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5CB1EA">
      <w:pPr>
        <w:adjustRightInd w:val="0"/>
        <w:snapToGrid w:val="0"/>
        <w:spacing w:line="288" w:lineRule="auto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  <w:bookmarkStart w:id="0" w:name="_GoBack"/>
      <w:bookmarkEnd w:id="0"/>
    </w:p>
    <w:p w14:paraId="2FD261EE">
      <w:pPr>
        <w:pStyle w:val="7"/>
      </w:pPr>
    </w:p>
    <w:p w14:paraId="27BDF396">
      <w:pPr>
        <w:pStyle w:val="7"/>
      </w:pPr>
    </w:p>
    <w:p w14:paraId="44B23E46">
      <w:pPr>
        <w:ind w:firstLine="3840" w:firstLineChars="1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邵市环评（ 1 ）〔202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号</w:t>
      </w:r>
    </w:p>
    <w:p w14:paraId="12119822">
      <w:pPr>
        <w:adjustRightInd w:val="0"/>
        <w:snapToGrid w:val="0"/>
        <w:spacing w:line="288" w:lineRule="auto"/>
        <w:jc w:val="center"/>
        <w:rPr>
          <w:rFonts w:hint="eastAsia" w:ascii="Times New Roman" w:hAnsi="Times New Roman" w:eastAsia="宋体" w:cs="Times New Roman"/>
          <w:b/>
          <w:bCs/>
          <w:sz w:val="36"/>
          <w:szCs w:val="36"/>
          <w:lang w:eastAsia="zh-CN"/>
        </w:rPr>
      </w:pPr>
      <w:r>
        <w:rPr>
          <w:rFonts w:ascii="Times New Roman" w:hAnsi="Times New Roman" w:eastAsia="宋体" w:cs="Times New Roman"/>
          <w:b/>
          <w:bCs/>
          <w:sz w:val="36"/>
          <w:szCs w:val="36"/>
        </w:rPr>
        <w:t>关于</w:t>
      </w:r>
      <w:r>
        <w:rPr>
          <w:rFonts w:hint="eastAsia" w:ascii="Times New Roman" w:hAnsi="Times New Roman" w:eastAsia="宋体" w:cs="Times New Roman"/>
          <w:b/>
          <w:bCs/>
          <w:sz w:val="36"/>
          <w:szCs w:val="36"/>
          <w:lang w:eastAsia="zh-CN"/>
        </w:rPr>
        <w:t>邵东金稻隆工贸有限公司年产5万件镰刀项目</w:t>
      </w:r>
    </w:p>
    <w:p w14:paraId="436A298D">
      <w:pPr>
        <w:adjustRightInd w:val="0"/>
        <w:snapToGrid w:val="0"/>
        <w:spacing w:line="288" w:lineRule="auto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  <w:r>
        <w:rPr>
          <w:rFonts w:ascii="Times New Roman" w:hAnsi="Times New Roman" w:eastAsia="宋体" w:cs="Times New Roman"/>
          <w:b/>
          <w:bCs/>
          <w:sz w:val="36"/>
          <w:szCs w:val="36"/>
        </w:rPr>
        <w:t>环境影响报告表的批复</w:t>
      </w:r>
    </w:p>
    <w:p w14:paraId="7E810972">
      <w:pPr>
        <w:pStyle w:val="7"/>
        <w:rPr>
          <w:color w:val="FF0000"/>
        </w:rPr>
      </w:pPr>
    </w:p>
    <w:p w14:paraId="15F4B71C">
      <w:pPr>
        <w:spacing w:line="54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邵东金稻隆工贸有限公司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 w14:paraId="3CE50FE5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你单位报送的《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邵东金稻隆工贸有限公司年产5万件镰刀项目</w:t>
      </w:r>
      <w:r>
        <w:rPr>
          <w:rFonts w:hint="eastAsia" w:ascii="仿宋" w:hAnsi="仿宋" w:eastAsia="仿宋" w:cs="仿宋"/>
          <w:sz w:val="32"/>
          <w:szCs w:val="32"/>
        </w:rPr>
        <w:t>环境影响报告表》</w:t>
      </w:r>
      <w:r>
        <w:rPr>
          <w:rFonts w:hint="eastAsia" w:ascii="仿宋" w:hAnsi="仿宋" w:eastAsia="仿宋" w:cs="仿宋"/>
          <w:kern w:val="0"/>
          <w:sz w:val="32"/>
          <w:szCs w:val="32"/>
        </w:rPr>
        <w:t>（以下简称《报告表》）</w:t>
      </w:r>
      <w:r>
        <w:rPr>
          <w:rFonts w:hint="eastAsia" w:ascii="仿宋" w:hAnsi="仿宋" w:eastAsia="仿宋" w:cs="仿宋"/>
          <w:sz w:val="32"/>
          <w:szCs w:val="32"/>
        </w:rPr>
        <w:t>以及项目申请批复的报告已收悉。经研究，现批复如下：</w:t>
      </w:r>
    </w:p>
    <w:p w14:paraId="38EE5B26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</w:t>
      </w:r>
      <w:r>
        <w:rPr>
          <w:rFonts w:hint="eastAsia" w:ascii="仿宋" w:hAnsi="仿宋" w:eastAsia="仿宋" w:cs="仿宋"/>
          <w:kern w:val="0"/>
          <w:sz w:val="32"/>
          <w:szCs w:val="32"/>
        </w:rPr>
        <w:t>基本情况</w:t>
      </w:r>
    </w:p>
    <w:p w14:paraId="02C9F385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你单位投资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</w:rPr>
        <w:t>0万元在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湖南省邵阳市邵东市黑田铺镇乘梧村14组19号</w:t>
      </w:r>
      <w:r>
        <w:rPr>
          <w:rFonts w:hint="eastAsia" w:ascii="仿宋" w:hAnsi="仿宋" w:eastAsia="仿宋" w:cs="仿宋"/>
          <w:sz w:val="32"/>
          <w:szCs w:val="32"/>
        </w:rPr>
        <w:t>（东经111°46′50.669″，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北纬</w:t>
      </w:r>
      <w:r>
        <w:rPr>
          <w:rFonts w:hint="eastAsia" w:ascii="仿宋" w:hAnsi="仿宋" w:eastAsia="仿宋" w:cs="仿宋"/>
          <w:sz w:val="32"/>
          <w:szCs w:val="32"/>
        </w:rPr>
        <w:t>27°19′31.231″）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建设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年产5万件镰刀项目</w:t>
      </w:r>
      <w:r>
        <w:rPr>
          <w:rFonts w:hint="eastAsia" w:ascii="仿宋" w:hAnsi="仿宋" w:eastAsia="仿宋" w:cs="仿宋"/>
          <w:sz w:val="32"/>
          <w:szCs w:val="32"/>
        </w:rPr>
        <w:t>，国民经济行业分类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C3323农用及园林用金属工具制造</w:t>
      </w:r>
      <w:r>
        <w:rPr>
          <w:rFonts w:hint="eastAsia" w:ascii="仿宋" w:hAnsi="仿宋" w:eastAsia="仿宋" w:cs="仿宋"/>
          <w:bCs/>
          <w:sz w:val="32"/>
          <w:szCs w:val="32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项目占地面积为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6500</w:t>
      </w:r>
      <w:r>
        <w:rPr>
          <w:rFonts w:hint="eastAsia" w:ascii="仿宋" w:hAnsi="仿宋" w:eastAsia="仿宋" w:cs="仿宋"/>
          <w:sz w:val="32"/>
          <w:szCs w:val="32"/>
        </w:rPr>
        <w:t>m</w:t>
      </w:r>
      <w:r>
        <w:rPr>
          <w:rFonts w:hint="eastAsia" w:ascii="仿宋" w:hAnsi="仿宋" w:eastAsia="仿宋" w:cs="仿宋"/>
          <w:sz w:val="32"/>
          <w:szCs w:val="32"/>
          <w:vertAlign w:val="superscript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生产车间利用现有空置厂房,</w:t>
      </w:r>
      <w:r>
        <w:rPr>
          <w:rFonts w:hint="eastAsia" w:ascii="仿宋" w:hAnsi="仿宋" w:eastAsia="仿宋" w:cs="仿宋"/>
          <w:sz w:val="32"/>
          <w:szCs w:val="32"/>
        </w:rPr>
        <w:t>主要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包括</w:t>
      </w:r>
      <w:r>
        <w:rPr>
          <w:rFonts w:hint="eastAsia" w:ascii="仿宋" w:hAnsi="仿宋" w:eastAsia="仿宋" w:cs="仿宋"/>
          <w:sz w:val="32"/>
          <w:szCs w:val="32"/>
        </w:rPr>
        <w:t>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生产车间、办公宿舍楼、办公室、食堂</w:t>
      </w:r>
      <w:r>
        <w:rPr>
          <w:rFonts w:hint="eastAsia" w:ascii="仿宋" w:hAnsi="仿宋" w:eastAsia="仿宋" w:cs="仿宋"/>
          <w:sz w:val="32"/>
          <w:szCs w:val="32"/>
        </w:rPr>
        <w:t>等，同时配套建设环保设施等工程。根据国家发展改革委第7号令《产业结构调整指导目录（2024年本）》，该项目符合国家产业政策要求。根据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湖南精威环保科技有限公司</w:t>
      </w:r>
      <w:r>
        <w:rPr>
          <w:rFonts w:hint="eastAsia" w:ascii="仿宋" w:hAnsi="仿宋" w:eastAsia="仿宋" w:cs="仿宋"/>
          <w:sz w:val="32"/>
          <w:szCs w:val="32"/>
        </w:rPr>
        <w:t>编制的建设项目环境影响报告表的分析结论，在你单位认真落实环评报告表提出的环保措施，确保外排污染物达标的前提下，从环境保护的角度，同意你单位按照报告表确定的地点、规模、工艺、污染防治措施建设该项目。</w:t>
      </w:r>
    </w:p>
    <w:p w14:paraId="47D381D6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二、在项目的建设、生产过程中，应严格执行环保“三同时”制度，并重点做好以下几项工作：</w:t>
      </w:r>
    </w:p>
    <w:p w14:paraId="13A3D310">
      <w:pPr>
        <w:spacing w:line="54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1、控制废水污染物排放。项目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抛光废水经</w:t>
      </w:r>
      <w:r>
        <w:rPr>
          <w:rFonts w:hint="eastAsia" w:ascii="仿宋" w:hAnsi="仿宋" w:eastAsia="仿宋" w:cs="仿宋"/>
          <w:sz w:val="32"/>
          <w:szCs w:val="32"/>
        </w:rPr>
        <w:t>沉淀池沉淀后循环使用不外排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；注塑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冷却水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循环使用不外排；</w:t>
      </w:r>
      <w:r>
        <w:rPr>
          <w:rFonts w:hint="eastAsia" w:ascii="仿宋" w:hAnsi="仿宋" w:eastAsia="仿宋" w:cs="仿宋"/>
          <w:sz w:val="32"/>
          <w:szCs w:val="32"/>
        </w:rPr>
        <w:t>生活污水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经</w:t>
      </w:r>
      <w:r>
        <w:rPr>
          <w:rFonts w:hint="eastAsia" w:ascii="仿宋" w:hAnsi="仿宋" w:eastAsia="仿宋" w:cs="仿宋"/>
          <w:sz w:val="32"/>
          <w:szCs w:val="32"/>
        </w:rPr>
        <w:t>隔油池、化粪池处理定期清掏，用作周边农田施肥。</w:t>
      </w:r>
    </w:p>
    <w:p w14:paraId="7934B5D6">
      <w:pPr>
        <w:spacing w:line="54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2、强化废气污染防治。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破碎机设置在密闭车间,产生的颗粒物每天清扫；注塑产生的非甲烷总烃由集气罩+二级活性炭吸附处理后</w:t>
      </w:r>
      <w:r>
        <w:rPr>
          <w:rFonts w:hint="eastAsia" w:ascii="仿宋" w:hAnsi="仿宋" w:eastAsia="仿宋" w:cs="仿宋"/>
          <w:sz w:val="32"/>
          <w:szCs w:val="32"/>
        </w:rPr>
        <w:t>通过15m高排气筒（DA001）排放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排气筒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非甲烷总烃和颗粒物浓度须达到《合成树脂工业污染物排放标准》(GB31572-2015，含2024年修改单) 表4 中大气污染物排放限值要求；厂界无组织颗粒物浓度须达到《合成树脂工业污染物排放标准》（GB31572-2015）表9中无组织排放浓度限值要求；厂区内无组织挥发性有机废气浓度须达到《挥发性有机物无组织排放控制标准》（GB37822-2019）标准限值。焊接烟尘收集后经移动式烟尘净化器处理；淬火产生的非甲烷总烃和颗粒物由集气罩收集后经静电油烟净化器+活性炭吸附处理后</w:t>
      </w:r>
      <w:r>
        <w:rPr>
          <w:rFonts w:hint="eastAsia" w:ascii="仿宋" w:hAnsi="仿宋" w:eastAsia="仿宋" w:cs="仿宋"/>
          <w:sz w:val="32"/>
          <w:szCs w:val="32"/>
        </w:rPr>
        <w:t>通过15m高排气筒（DA00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）排放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排气筒出口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颗粒物、非甲烷总烃</w:t>
      </w:r>
      <w:r>
        <w:rPr>
          <w:rFonts w:hint="eastAsia" w:ascii="仿宋" w:hAnsi="仿宋" w:eastAsia="仿宋" w:cs="仿宋"/>
          <w:sz w:val="32"/>
          <w:szCs w:val="32"/>
        </w:rPr>
        <w:t>浓度须达到《大气污染物综合排放标准》（GB 16297-1996）二级标准要求；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颗粒物</w:t>
      </w:r>
      <w:r>
        <w:rPr>
          <w:rFonts w:hint="eastAsia" w:ascii="仿宋" w:hAnsi="仿宋" w:eastAsia="仿宋" w:cs="仿宋"/>
          <w:sz w:val="32"/>
          <w:szCs w:val="32"/>
        </w:rPr>
        <w:t>无组织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排放浓度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须达到</w:t>
      </w:r>
      <w:r>
        <w:rPr>
          <w:rFonts w:ascii="仿宋" w:hAnsi="仿宋" w:eastAsia="仿宋" w:cs="仿宋"/>
          <w:sz w:val="32"/>
          <w:szCs w:val="32"/>
        </w:rPr>
        <w:t>《大气污染物综合排放标准》（GB16297-1996）表2无组织排放标准</w:t>
      </w:r>
      <w:r>
        <w:rPr>
          <w:rFonts w:hint="eastAsia" w:ascii="仿宋" w:hAnsi="仿宋" w:eastAsia="仿宋" w:cs="仿宋"/>
          <w:sz w:val="32"/>
          <w:szCs w:val="32"/>
        </w:rPr>
        <w:t>。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食堂油烟通过油烟净化器处理后引至屋顶排放，排放浓度须达到</w:t>
      </w:r>
      <w:r>
        <w:rPr>
          <w:rFonts w:ascii="仿宋" w:hAnsi="仿宋" w:eastAsia="仿宋" w:cs="仿宋"/>
          <w:sz w:val="32"/>
          <w:szCs w:val="32"/>
        </w:rPr>
        <w:t>《饮食业油烟排放标准（试行）》（GB18483-2001）最高允许排放浓度限值（2.0mg/m</w:t>
      </w:r>
      <w:r>
        <w:rPr>
          <w:rFonts w:ascii="仿宋" w:hAnsi="仿宋" w:eastAsia="仿宋" w:cs="仿宋"/>
          <w:sz w:val="32"/>
          <w:szCs w:val="32"/>
          <w:vertAlign w:val="superscript"/>
        </w:rPr>
        <w:t>3</w:t>
      </w:r>
      <w:r>
        <w:rPr>
          <w:rFonts w:ascii="仿宋" w:hAnsi="仿宋" w:eastAsia="仿宋" w:cs="仿宋"/>
          <w:sz w:val="32"/>
          <w:szCs w:val="32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要求。</w:t>
      </w:r>
    </w:p>
    <w:p w14:paraId="613954F7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3、加强噪声控制管理。选用先进的低噪声设备，对高噪声设备采取减振、隔声等措施，确保厂界噪声达到《工业企业厂界环境噪声排放标准》（GB12348-2008）中2类标准。</w:t>
      </w:r>
    </w:p>
    <w:p w14:paraId="43CC0EF5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4、妥善处置固体废物。按照“减量化、资源化、无害化”原则妥善处置固体废物。生活垃圾交由当地环卫部门处理；一般废包装材料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塑料边角料、废金属及沉淀池沉渣</w:t>
      </w:r>
      <w:r>
        <w:rPr>
          <w:rFonts w:hint="eastAsia" w:ascii="仿宋" w:hAnsi="仿宋" w:eastAsia="仿宋" w:cs="仿宋"/>
          <w:sz w:val="32"/>
          <w:szCs w:val="32"/>
        </w:rPr>
        <w:t>外售物资单位回收综合利用；除尘器收集的粉尘、人工清扫粉尘经收集后直接回用于生产。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沾染危化品的</w:t>
      </w:r>
      <w:r>
        <w:rPr>
          <w:rFonts w:hint="eastAsia" w:ascii="仿宋" w:hAnsi="仿宋" w:eastAsia="仿宋" w:cs="仿宋"/>
          <w:sz w:val="32"/>
          <w:szCs w:val="32"/>
        </w:rPr>
        <w:t>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包装桶</w:t>
      </w:r>
      <w:r>
        <w:rPr>
          <w:rFonts w:hint="eastAsia" w:ascii="仿宋" w:hAnsi="仿宋" w:eastAsia="仿宋" w:cs="仿宋"/>
          <w:sz w:val="32"/>
          <w:szCs w:val="32"/>
        </w:rPr>
        <w:t>、含油抹布/手套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/油刷及废活性炭</w:t>
      </w:r>
      <w:r>
        <w:rPr>
          <w:rFonts w:hint="eastAsia" w:ascii="仿宋" w:hAnsi="仿宋" w:eastAsia="仿宋" w:cs="仿宋"/>
          <w:sz w:val="32"/>
          <w:szCs w:val="32"/>
        </w:rPr>
        <w:t>收集后暂存在危废暂存间，危险废物暂存须符合《危险废物贮存污染控制标准》（GB18597—2023）的要求，并定期交由资质单位处置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7B91AAD2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、强化风险防范措施。危废暂存间等环境风险单元设防风、防雨、防晒、防渗、防漏、防腐等措施；建设单位在日常生产过程中须加强对废气、废水处理设施的监督管理和运行维护，保证废气、废水处理设施正常运行，杜绝事故排放发生，确保环境安全。</w:t>
      </w:r>
    </w:p>
    <w:p w14:paraId="77F49E13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6、加强企业环境管理。合理布局生产设施和污染防治设施，建立健全生产与环境保护管理制度，实行清洁生产，全过程控制污染。</w:t>
      </w:r>
    </w:p>
    <w:p w14:paraId="6DC554F4">
      <w:pPr>
        <w:spacing w:line="540" w:lineRule="exact"/>
        <w:ind w:firstLine="640" w:firstLineChars="200"/>
        <w:rPr>
          <w:rFonts w:hint="eastAsia"/>
        </w:rPr>
      </w:pPr>
      <w:r>
        <w:rPr>
          <w:rFonts w:hint="eastAsia" w:ascii="仿宋" w:hAnsi="仿宋" w:eastAsia="仿宋" w:cs="仿宋"/>
          <w:sz w:val="32"/>
          <w:szCs w:val="32"/>
        </w:rPr>
        <w:t>三、项目污染物排放总量控制指标：VOCs≤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0.13</w:t>
      </w:r>
      <w:r>
        <w:rPr>
          <w:rFonts w:hint="eastAsia" w:ascii="仿宋" w:hAnsi="仿宋" w:eastAsia="仿宋" w:cs="仿宋"/>
          <w:sz w:val="32"/>
          <w:szCs w:val="32"/>
        </w:rPr>
        <w:t>t/a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按照相关政策通过排污权交易方式获得排污总量。项目投入生产后，严格落实污染物总量控制制度，不得超过主要污染物排放总量控制指标。</w:t>
      </w:r>
    </w:p>
    <w:p w14:paraId="55CA68BC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四、项目建成后，在启动生产设施或者实际排污之前，按规定办理排污许可手续。</w:t>
      </w:r>
    </w:p>
    <w:p w14:paraId="2F36EA49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五、环境影响报告表经批准后，若项目的性质、规模、地点、采用的生产工艺或者防治污染、防止生态破坏的措施发生重大变动的，须重新报批该项目的环境影响报告表。自环境影响报告表批复文件批准之日起，如超过5年方决定工程开工建设的，环境影响报告表应当报我局重新审核。</w:t>
      </w:r>
    </w:p>
    <w:p w14:paraId="7656D49C"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六</w:t>
      </w:r>
      <w:r>
        <w:rPr>
          <w:rFonts w:hint="eastAsia" w:ascii="仿宋" w:hAnsi="仿宋" w:eastAsia="仿宋" w:cs="仿宋"/>
          <w:sz w:val="32"/>
          <w:szCs w:val="32"/>
        </w:rPr>
        <w:t>、按规定办理项目竣工环境保护验收手续，经验收合格后方可投入运营。</w:t>
      </w:r>
    </w:p>
    <w:p w14:paraId="7098DE59">
      <w:pPr>
        <w:spacing w:line="480" w:lineRule="atLeast"/>
        <w:ind w:firstLine="5120" w:firstLineChars="1600"/>
        <w:jc w:val="right"/>
        <w:rPr>
          <w:rFonts w:hint="eastAsia" w:ascii="仿宋" w:hAnsi="仿宋" w:eastAsia="仿宋" w:cs="仿宋"/>
          <w:sz w:val="32"/>
          <w:szCs w:val="32"/>
        </w:rPr>
      </w:pPr>
    </w:p>
    <w:p w14:paraId="419B2FDB">
      <w:pPr>
        <w:pStyle w:val="2"/>
        <w:ind w:firstLine="422"/>
      </w:pPr>
    </w:p>
    <w:p w14:paraId="56190637"/>
    <w:p w14:paraId="335320E7">
      <w:pPr>
        <w:spacing w:line="480" w:lineRule="atLeast"/>
        <w:ind w:firstLine="5440" w:firstLineChars="170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邵阳市生态环境局</w:t>
      </w:r>
    </w:p>
    <w:p w14:paraId="1A83EC9C">
      <w:pPr>
        <w:ind w:firstLine="5440" w:firstLineChars="17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2025年3月24日</w:t>
      </w:r>
    </w:p>
    <w:p w14:paraId="189BE2B2">
      <w:pPr>
        <w:rPr>
          <w:rFonts w:hint="eastAsia" w:ascii="仿宋" w:hAnsi="仿宋" w:eastAsia="仿宋" w:cs="仿宋"/>
          <w:sz w:val="32"/>
          <w:szCs w:val="32"/>
        </w:rPr>
      </w:pPr>
    </w:p>
    <w:p w14:paraId="61E80CF8">
      <w:pPr>
        <w:rPr>
          <w:rFonts w:hint="eastAsia" w:ascii="仿宋" w:hAnsi="仿宋" w:eastAsia="仿宋" w:cs="仿宋"/>
          <w:sz w:val="32"/>
          <w:szCs w:val="32"/>
        </w:rPr>
      </w:pPr>
    </w:p>
    <w:p w14:paraId="67A33565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1D2AE180">
      <w:pPr>
        <w:rPr>
          <w:rFonts w:hint="eastAsia" w:ascii="仿宋" w:hAnsi="仿宋" w:eastAsia="仿宋" w:cs="仿宋"/>
          <w:sz w:val="32"/>
          <w:szCs w:val="32"/>
        </w:rPr>
      </w:pPr>
    </w:p>
    <w:p w14:paraId="7309F286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74946243">
      <w:pPr>
        <w:rPr>
          <w:rFonts w:hint="eastAsia" w:ascii="仿宋" w:hAnsi="仿宋" w:eastAsia="仿宋" w:cs="仿宋"/>
          <w:sz w:val="32"/>
          <w:szCs w:val="32"/>
        </w:rPr>
      </w:pPr>
    </w:p>
    <w:p w14:paraId="62494BE4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48A47D18">
      <w:pPr>
        <w:rPr>
          <w:rFonts w:hint="eastAsia" w:ascii="仿宋" w:hAnsi="仿宋" w:eastAsia="仿宋" w:cs="仿宋"/>
          <w:sz w:val="32"/>
          <w:szCs w:val="32"/>
        </w:rPr>
      </w:pPr>
    </w:p>
    <w:p w14:paraId="6C7A0944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3CD7CDCE">
      <w:pPr>
        <w:rPr>
          <w:rFonts w:hint="eastAsia" w:ascii="仿宋" w:hAnsi="仿宋" w:eastAsia="仿宋" w:cs="仿宋"/>
          <w:sz w:val="32"/>
          <w:szCs w:val="32"/>
        </w:rPr>
      </w:pPr>
    </w:p>
    <w:p w14:paraId="697D3B91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1770F3C5">
      <w:pPr>
        <w:rPr>
          <w:rFonts w:hint="eastAsia" w:ascii="仿宋" w:hAnsi="仿宋" w:eastAsia="仿宋" w:cs="仿宋"/>
          <w:sz w:val="32"/>
          <w:szCs w:val="32"/>
        </w:rPr>
      </w:pPr>
    </w:p>
    <w:p w14:paraId="3B1D3310"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 w14:paraId="34DBE704">
      <w:pPr>
        <w:rPr>
          <w:rFonts w:hint="eastAsia"/>
        </w:rPr>
      </w:pPr>
    </w:p>
    <w:p w14:paraId="362B229D"/>
    <w:p w14:paraId="5EB2B782">
      <w:pPr>
        <w:rPr>
          <w:rFonts w:hint="eastAsia" w:eastAsia="仿宋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抄送：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黑田铺</w:t>
      </w:r>
      <w:r>
        <w:rPr>
          <w:rFonts w:hint="eastAsia" w:ascii="仿宋" w:hAnsi="仿宋" w:eastAsia="仿宋" w:cs="仿宋"/>
          <w:sz w:val="32"/>
          <w:szCs w:val="32"/>
        </w:rPr>
        <w:t xml:space="preserve">镇人民政府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湖南精威环保科技有限公司</w:t>
      </w:r>
    </w:p>
    <w:sectPr>
      <w:pgSz w:w="11906" w:h="16838"/>
      <w:pgMar w:top="1440" w:right="1746" w:bottom="1440" w:left="17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4ZDcxM2QwNzZiOTY4ZmI0ZGE0ZDZlYzk1ZGZlOWEifQ=="/>
  </w:docVars>
  <w:rsids>
    <w:rsidRoot w:val="1FB05097"/>
    <w:rsid w:val="00005823"/>
    <w:rsid w:val="000169B4"/>
    <w:rsid w:val="004D5645"/>
    <w:rsid w:val="00966085"/>
    <w:rsid w:val="00993CD1"/>
    <w:rsid w:val="00D62D2A"/>
    <w:rsid w:val="015B6D94"/>
    <w:rsid w:val="034F3225"/>
    <w:rsid w:val="045E54FE"/>
    <w:rsid w:val="0510745B"/>
    <w:rsid w:val="069B308D"/>
    <w:rsid w:val="07015471"/>
    <w:rsid w:val="073C6BB3"/>
    <w:rsid w:val="073F2733"/>
    <w:rsid w:val="098D603B"/>
    <w:rsid w:val="0B1D514F"/>
    <w:rsid w:val="0D7039A8"/>
    <w:rsid w:val="0E06376C"/>
    <w:rsid w:val="0FB1227D"/>
    <w:rsid w:val="100E1913"/>
    <w:rsid w:val="108D683E"/>
    <w:rsid w:val="117F6ACF"/>
    <w:rsid w:val="119157E6"/>
    <w:rsid w:val="11A54E4D"/>
    <w:rsid w:val="14FA7DA2"/>
    <w:rsid w:val="15D13671"/>
    <w:rsid w:val="1780013D"/>
    <w:rsid w:val="19E411AC"/>
    <w:rsid w:val="1A1A220A"/>
    <w:rsid w:val="1BF77A0D"/>
    <w:rsid w:val="1CAC629E"/>
    <w:rsid w:val="1DAB2B2D"/>
    <w:rsid w:val="1E407E58"/>
    <w:rsid w:val="1FB05097"/>
    <w:rsid w:val="1FE85605"/>
    <w:rsid w:val="20676FF3"/>
    <w:rsid w:val="20EA5002"/>
    <w:rsid w:val="22805BA9"/>
    <w:rsid w:val="24A361D8"/>
    <w:rsid w:val="26946721"/>
    <w:rsid w:val="270827A0"/>
    <w:rsid w:val="27B0758A"/>
    <w:rsid w:val="280E42B1"/>
    <w:rsid w:val="29323FCF"/>
    <w:rsid w:val="2AE863AE"/>
    <w:rsid w:val="2C3F2300"/>
    <w:rsid w:val="2C860CDA"/>
    <w:rsid w:val="2DEE02BF"/>
    <w:rsid w:val="2F966225"/>
    <w:rsid w:val="32AD3BB5"/>
    <w:rsid w:val="33F524FA"/>
    <w:rsid w:val="35264036"/>
    <w:rsid w:val="35843E04"/>
    <w:rsid w:val="38FD117B"/>
    <w:rsid w:val="3969377B"/>
    <w:rsid w:val="39E7493A"/>
    <w:rsid w:val="3A370E5B"/>
    <w:rsid w:val="3CDE3DFA"/>
    <w:rsid w:val="3DCC459A"/>
    <w:rsid w:val="4279503B"/>
    <w:rsid w:val="42CE66BF"/>
    <w:rsid w:val="44402779"/>
    <w:rsid w:val="460268E5"/>
    <w:rsid w:val="461F793F"/>
    <w:rsid w:val="47460F19"/>
    <w:rsid w:val="47490A0A"/>
    <w:rsid w:val="47A125F4"/>
    <w:rsid w:val="492E5F0F"/>
    <w:rsid w:val="4A920BEB"/>
    <w:rsid w:val="4C5C6A36"/>
    <w:rsid w:val="4C5D389F"/>
    <w:rsid w:val="4F9336E0"/>
    <w:rsid w:val="4FDF015D"/>
    <w:rsid w:val="50542658"/>
    <w:rsid w:val="55012924"/>
    <w:rsid w:val="560C2341"/>
    <w:rsid w:val="5621502B"/>
    <w:rsid w:val="56AF6998"/>
    <w:rsid w:val="56EA5611"/>
    <w:rsid w:val="583F5C3D"/>
    <w:rsid w:val="58926330"/>
    <w:rsid w:val="59D81DB4"/>
    <w:rsid w:val="5D192F00"/>
    <w:rsid w:val="5DB74A91"/>
    <w:rsid w:val="5FED3551"/>
    <w:rsid w:val="621023F8"/>
    <w:rsid w:val="63604E09"/>
    <w:rsid w:val="63F518A5"/>
    <w:rsid w:val="660F47D8"/>
    <w:rsid w:val="683F57E5"/>
    <w:rsid w:val="68C55CEA"/>
    <w:rsid w:val="6A451EB4"/>
    <w:rsid w:val="6C1D5E3D"/>
    <w:rsid w:val="6D967C55"/>
    <w:rsid w:val="6DBF81CB"/>
    <w:rsid w:val="6F032945"/>
    <w:rsid w:val="6F342EDC"/>
    <w:rsid w:val="6F9C0E1A"/>
    <w:rsid w:val="70052E70"/>
    <w:rsid w:val="7046609A"/>
    <w:rsid w:val="720C3E04"/>
    <w:rsid w:val="7298532D"/>
    <w:rsid w:val="72F25D89"/>
    <w:rsid w:val="73E25974"/>
    <w:rsid w:val="744321B9"/>
    <w:rsid w:val="750D5F15"/>
    <w:rsid w:val="76C7316E"/>
    <w:rsid w:val="78484242"/>
    <w:rsid w:val="797D0E26"/>
    <w:rsid w:val="7AC85AEE"/>
    <w:rsid w:val="7B5B3EF1"/>
    <w:rsid w:val="7B9B1144"/>
    <w:rsid w:val="7CB51565"/>
    <w:rsid w:val="7DE902D2"/>
    <w:rsid w:val="7E31519D"/>
    <w:rsid w:val="7E375D75"/>
    <w:rsid w:val="7E6F5DF9"/>
    <w:rsid w:val="7F6FCC8D"/>
    <w:rsid w:val="FFB6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360" w:lineRule="auto"/>
      <w:ind w:firstLine="868" w:firstLineChars="200"/>
      <w:outlineLvl w:val="2"/>
    </w:pPr>
    <w:rPr>
      <w:rFonts w:ascii="Times New Roman" w:hAnsi="Times New Roman"/>
      <w:b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autoRedefine/>
    <w:qFormat/>
    <w:uiPriority w:val="0"/>
    <w:pPr>
      <w:widowControl/>
      <w:snapToGrid w:val="0"/>
      <w:spacing w:before="60" w:after="160" w:line="259" w:lineRule="auto"/>
      <w:ind w:right="113"/>
    </w:pPr>
    <w:rPr>
      <w:kern w:val="0"/>
      <w:sz w:val="18"/>
      <w:szCs w:val="20"/>
    </w:rPr>
  </w:style>
  <w:style w:type="paragraph" w:customStyle="1" w:styleId="4">
    <w:name w:val="xl27"/>
    <w:basedOn w:val="1"/>
    <w:autoRedefine/>
    <w:qFormat/>
    <w:uiPriority w:val="0"/>
    <w:pPr>
      <w:widowControl/>
      <w:pBdr>
        <w:bottom w:val="single" w:color="auto" w:sz="12" w:space="0"/>
      </w:pBdr>
      <w:spacing w:before="100" w:after="100"/>
      <w:jc w:val="center"/>
    </w:pPr>
    <w:rPr>
      <w:rFonts w:ascii="宋体" w:hAnsi="宋体"/>
      <w:kern w:val="0"/>
      <w:szCs w:val="20"/>
    </w:rPr>
  </w:style>
  <w:style w:type="paragraph" w:customStyle="1" w:styleId="7">
    <w:name w:val="Default"/>
    <w:basedOn w:val="8"/>
    <w:next w:val="1"/>
    <w:autoRedefine/>
    <w:qFormat/>
    <w:uiPriority w:val="0"/>
    <w:pPr>
      <w:autoSpaceDE w:val="0"/>
      <w:autoSpaceDN w:val="0"/>
      <w:adjustRightInd w:val="0"/>
    </w:pPr>
    <w:rPr>
      <w:color w:val="000000"/>
      <w:sz w:val="24"/>
    </w:rPr>
  </w:style>
  <w:style w:type="paragraph" w:customStyle="1" w:styleId="8">
    <w:name w:val="纯文本1"/>
    <w:basedOn w:val="1"/>
    <w:autoRedefine/>
    <w:qFormat/>
    <w:uiPriority w:val="0"/>
    <w:rPr>
      <w:rFonts w:ascii="宋体" w:hAnsi="Courier New"/>
    </w:rPr>
  </w:style>
  <w:style w:type="paragraph" w:customStyle="1" w:styleId="9">
    <w:name w:val="样式9"/>
    <w:basedOn w:val="1"/>
    <w:autoRedefine/>
    <w:qFormat/>
    <w:uiPriority w:val="0"/>
    <w:pPr>
      <w:adjustRightInd w:val="0"/>
      <w:snapToGrid w:val="0"/>
      <w:spacing w:line="460" w:lineRule="exact"/>
      <w:ind w:firstLine="520" w:firstLineChars="200"/>
    </w:pPr>
    <w:rPr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1733</Words>
  <Characters>1888</Characters>
  <Lines>10</Lines>
  <Paragraphs>3</Paragraphs>
  <TotalTime>6</TotalTime>
  <ScaleCrop>false</ScaleCrop>
  <LinksUpToDate>false</LinksUpToDate>
  <CharactersWithSpaces>1898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2022-06-22T18:54:00Z</dcterms:created>
  <dc:creator>演示人</dc:creator>
  <cp:lastModifiedBy>演示人</cp:lastModifiedBy>
  <cp:lastPrinted>2025-01-17T17:20:00Z</cp:lastPrinted>
  <dcterms:modified xsi:type="dcterms:W3CDTF">2025-03-24T02:07:58Z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C6E883DAE0D046B08D3FBF792C67CBD7_13</vt:lpwstr>
  </property>
  <property fmtid="{D5CDD505-2E9C-101B-9397-08002B2CF9AE}" pid="4" name="KSOTemplateDocerSaveRecord">
    <vt:lpwstr>eyJoZGlkIjoiNmNhNDdjZGQ5ZjUxNDI0OGIyZGEwMWUzN2RmOWE2NGMifQ==</vt:lpwstr>
  </property>
</Properties>
</file>