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仿宋_GB2312"/>
          <w:color w:val="auto"/>
          <w:sz w:val="36"/>
          <w:szCs w:val="36"/>
          <w:lang w:val="en-US" w:eastAsia="zh-CN"/>
        </w:rPr>
      </w:pPr>
      <w:r>
        <w:rPr>
          <w:rFonts w:hint="eastAsia" w:eastAsia="仿宋_GB2312"/>
          <w:color w:val="auto"/>
          <w:sz w:val="36"/>
          <w:szCs w:val="36"/>
          <w:lang w:val="en-US" w:eastAsia="zh-CN"/>
        </w:rPr>
        <w:t xml:space="preserve">                                                                                                                                                                                                                                                                                                                                                                                                                                                                                                                                                                                                                                                                                                                                                                                                                                                                                                                           </w:t>
      </w:r>
    </w:p>
    <w:p>
      <w:pPr>
        <w:rPr>
          <w:rFonts w:eastAsia="仿宋_GB2312"/>
          <w:color w:val="auto"/>
          <w:sz w:val="36"/>
          <w:szCs w:val="36"/>
        </w:rPr>
      </w:pPr>
    </w:p>
    <w:p>
      <w:pPr>
        <w:rPr>
          <w:rFonts w:eastAsia="仿宋_GB2312"/>
          <w:color w:val="auto"/>
          <w:sz w:val="36"/>
          <w:szCs w:val="36"/>
        </w:rPr>
      </w:pPr>
    </w:p>
    <w:p>
      <w:pPr>
        <w:rPr>
          <w:rFonts w:eastAsia="仿宋_GB2312"/>
          <w:color w:val="auto"/>
          <w:sz w:val="36"/>
          <w:szCs w:val="36"/>
        </w:rPr>
      </w:pPr>
    </w:p>
    <w:p>
      <w:pPr>
        <w:rPr>
          <w:rFonts w:eastAsia="仿宋_GB2312"/>
          <w:color w:val="auto"/>
          <w:sz w:val="36"/>
          <w:szCs w:val="36"/>
        </w:rPr>
      </w:pPr>
    </w:p>
    <w:p>
      <w:pPr>
        <w:adjustRightInd w:val="0"/>
        <w:snapToGrid w:val="0"/>
        <w:jc w:val="center"/>
        <w:outlineLvl w:val="0"/>
        <w:rPr>
          <w:rFonts w:eastAsia="方正小标宋_GBK"/>
          <w:bCs/>
          <w:color w:val="auto"/>
          <w:sz w:val="72"/>
          <w:szCs w:val="72"/>
        </w:rPr>
      </w:pPr>
      <w:bookmarkStart w:id="0" w:name="_Toc71631396"/>
      <w:r>
        <w:rPr>
          <w:rFonts w:eastAsia="方正小标宋_GBK"/>
          <w:bCs/>
          <w:color w:val="auto"/>
          <w:sz w:val="72"/>
          <w:szCs w:val="72"/>
        </w:rPr>
        <w:t>建设项目环境影响报告表</w:t>
      </w:r>
      <w:bookmarkEnd w:id="0"/>
    </w:p>
    <w:p>
      <w:pPr>
        <w:adjustRightInd w:val="0"/>
        <w:snapToGrid w:val="0"/>
        <w:spacing w:before="192" w:beforeLines="80"/>
        <w:jc w:val="center"/>
        <w:rPr>
          <w:rFonts w:eastAsia="楷体_GB2312"/>
          <w:bCs/>
          <w:color w:val="auto"/>
          <w:sz w:val="48"/>
          <w:szCs w:val="48"/>
        </w:rPr>
      </w:pPr>
      <w:r>
        <w:rPr>
          <w:rFonts w:eastAsia="楷体_GB2312"/>
          <w:bCs/>
          <w:color w:val="auto"/>
          <w:sz w:val="48"/>
          <w:szCs w:val="48"/>
        </w:rPr>
        <w:t>（污染影响类）</w:t>
      </w:r>
    </w:p>
    <w:p>
      <w:pPr>
        <w:adjustRightInd w:val="0"/>
        <w:snapToGrid w:val="0"/>
        <w:spacing w:line="288" w:lineRule="auto"/>
        <w:jc w:val="center"/>
        <w:outlineLvl w:val="0"/>
        <w:rPr>
          <w:rFonts w:eastAsia="华文仿宋"/>
          <w:color w:val="auto"/>
          <w:kern w:val="44"/>
          <w:sz w:val="44"/>
          <w:szCs w:val="44"/>
        </w:rPr>
      </w:pPr>
    </w:p>
    <w:p>
      <w:pPr>
        <w:jc w:val="center"/>
        <w:rPr>
          <w:rFonts w:eastAsia="仿宋"/>
          <w:color w:val="auto"/>
          <w:sz w:val="52"/>
          <w:szCs w:val="52"/>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adjustRightInd w:val="0"/>
        <w:snapToGrid w:val="0"/>
        <w:spacing w:line="288" w:lineRule="auto"/>
        <w:ind w:firstLine="220"/>
        <w:rPr>
          <w:rFonts w:eastAsia="仿宋_GB2312"/>
          <w:color w:val="auto"/>
          <w:sz w:val="36"/>
          <w:szCs w:val="36"/>
          <w:u w:val="single"/>
        </w:rPr>
      </w:pPr>
      <w:r>
        <w:rPr>
          <w:rFonts w:eastAsia="仿宋_GB2312"/>
          <w:color w:val="auto"/>
          <w:sz w:val="36"/>
          <w:szCs w:val="36"/>
        </w:rPr>
        <w:t>项目名称：</w:t>
      </w:r>
      <w:r>
        <w:rPr>
          <w:rFonts w:hint="eastAsia" w:eastAsia="仿宋_GB2312"/>
          <w:color w:val="auto"/>
          <w:sz w:val="36"/>
          <w:szCs w:val="36"/>
          <w:u w:val="single"/>
          <w:lang w:eastAsia="zh-CN"/>
        </w:rPr>
        <w:t>年产5500吨水性新材料生产项目</w:t>
      </w:r>
      <w:r>
        <w:rPr>
          <w:rFonts w:hint="eastAsia" w:eastAsia="仿宋_GB2312"/>
          <w:color w:val="auto"/>
          <w:sz w:val="36"/>
          <w:szCs w:val="36"/>
          <w:u w:val="single"/>
        </w:rPr>
        <w:t xml:space="preserve"> </w:t>
      </w:r>
      <w:r>
        <w:rPr>
          <w:rFonts w:eastAsia="仿宋_GB2312"/>
          <w:color w:val="auto"/>
          <w:sz w:val="36"/>
          <w:szCs w:val="36"/>
          <w:u w:val="single"/>
        </w:rPr>
        <w:t xml:space="preserve"> </w:t>
      </w:r>
      <w:r>
        <w:rPr>
          <w:rFonts w:hint="eastAsia" w:eastAsia="仿宋_GB2312"/>
          <w:color w:val="auto"/>
          <w:sz w:val="36"/>
          <w:szCs w:val="36"/>
          <w:u w:val="single"/>
        </w:rPr>
        <w:t xml:space="preserve"> </w:t>
      </w:r>
    </w:p>
    <w:p>
      <w:pPr>
        <w:adjustRightInd w:val="0"/>
        <w:snapToGrid w:val="0"/>
        <w:spacing w:line="288" w:lineRule="auto"/>
        <w:rPr>
          <w:rFonts w:eastAsia="仿宋_GB2312"/>
          <w:color w:val="auto"/>
          <w:sz w:val="36"/>
          <w:szCs w:val="36"/>
          <w:u w:val="single"/>
        </w:rPr>
      </w:pPr>
      <w:r>
        <w:rPr>
          <w:rFonts w:eastAsia="仿宋_GB2312"/>
          <w:color w:val="auto"/>
          <w:sz w:val="36"/>
          <w:szCs w:val="36"/>
        </w:rPr>
        <w:t xml:space="preserve"> 建设单位（盖章）：</w:t>
      </w:r>
      <w:bookmarkStart w:id="19" w:name="_GoBack"/>
      <w:r>
        <w:rPr>
          <w:rFonts w:hint="eastAsia" w:eastAsia="仿宋_GB2312"/>
          <w:color w:val="auto"/>
          <w:sz w:val="36"/>
          <w:szCs w:val="36"/>
          <w:u w:val="single"/>
          <w:lang w:eastAsia="zh-CN"/>
        </w:rPr>
        <w:t>湖南拓聚新材料有限公司</w:t>
      </w:r>
      <w:bookmarkEnd w:id="19"/>
      <w:r>
        <w:rPr>
          <w:rFonts w:hint="eastAsia" w:eastAsia="仿宋_GB2312"/>
          <w:color w:val="auto"/>
          <w:sz w:val="36"/>
          <w:szCs w:val="36"/>
          <w:u w:val="single"/>
        </w:rPr>
        <w:t xml:space="preserve">  </w:t>
      </w:r>
    </w:p>
    <w:p>
      <w:pPr>
        <w:adjustRightInd w:val="0"/>
        <w:snapToGrid w:val="0"/>
        <w:spacing w:line="288" w:lineRule="auto"/>
        <w:rPr>
          <w:rFonts w:eastAsia="仿宋_GB2312"/>
          <w:color w:val="auto"/>
          <w:sz w:val="36"/>
          <w:szCs w:val="36"/>
          <w:u w:val="single"/>
        </w:rPr>
      </w:pPr>
      <w:r>
        <w:rPr>
          <w:rFonts w:eastAsia="仿宋_GB2312"/>
          <w:color w:val="auto"/>
          <w:sz w:val="36"/>
          <w:szCs w:val="36"/>
        </w:rPr>
        <w:t xml:space="preserve"> 编制日期：</w:t>
      </w:r>
      <w:r>
        <w:rPr>
          <w:rFonts w:eastAsia="仿宋_GB2312"/>
          <w:color w:val="auto"/>
          <w:sz w:val="36"/>
          <w:szCs w:val="36"/>
          <w:u w:val="single"/>
        </w:rPr>
        <w:t xml:space="preserve">         </w:t>
      </w:r>
      <w:r>
        <w:rPr>
          <w:rFonts w:hint="eastAsia" w:eastAsia="仿宋_GB2312"/>
          <w:color w:val="auto"/>
          <w:sz w:val="36"/>
          <w:szCs w:val="36"/>
          <w:u w:val="single"/>
        </w:rPr>
        <w:t xml:space="preserve">  </w:t>
      </w:r>
      <w:r>
        <w:rPr>
          <w:rFonts w:eastAsia="仿宋_GB2312"/>
          <w:color w:val="auto"/>
          <w:sz w:val="36"/>
          <w:szCs w:val="36"/>
          <w:u w:val="single"/>
        </w:rPr>
        <w:t>202</w:t>
      </w:r>
      <w:r>
        <w:rPr>
          <w:rFonts w:hint="eastAsia" w:eastAsia="仿宋_GB2312"/>
          <w:color w:val="auto"/>
          <w:sz w:val="36"/>
          <w:szCs w:val="36"/>
          <w:u w:val="single"/>
          <w:lang w:val="en-US" w:eastAsia="zh-CN"/>
        </w:rPr>
        <w:t>2</w:t>
      </w:r>
      <w:r>
        <w:rPr>
          <w:rFonts w:eastAsia="仿宋_GB2312"/>
          <w:color w:val="auto"/>
          <w:sz w:val="36"/>
          <w:szCs w:val="36"/>
          <w:u w:val="single"/>
        </w:rPr>
        <w:t>年</w:t>
      </w:r>
      <w:r>
        <w:rPr>
          <w:rFonts w:hint="eastAsia" w:eastAsia="仿宋_GB2312"/>
          <w:color w:val="auto"/>
          <w:sz w:val="36"/>
          <w:szCs w:val="36"/>
          <w:u w:val="single"/>
          <w:lang w:val="en-US" w:eastAsia="zh-CN"/>
        </w:rPr>
        <w:t>11</w:t>
      </w:r>
      <w:r>
        <w:rPr>
          <w:rFonts w:eastAsia="仿宋_GB2312"/>
          <w:color w:val="auto"/>
          <w:sz w:val="36"/>
          <w:szCs w:val="36"/>
          <w:u w:val="single"/>
        </w:rPr>
        <w:t xml:space="preserve">月   </w:t>
      </w:r>
      <w:r>
        <w:rPr>
          <w:rFonts w:hint="eastAsia" w:eastAsia="仿宋_GB2312"/>
          <w:color w:val="auto"/>
          <w:sz w:val="36"/>
          <w:szCs w:val="36"/>
          <w:u w:val="single"/>
        </w:rPr>
        <w:t xml:space="preserve">  </w:t>
      </w:r>
      <w:r>
        <w:rPr>
          <w:rFonts w:eastAsia="仿宋_GB2312"/>
          <w:color w:val="auto"/>
          <w:sz w:val="36"/>
          <w:szCs w:val="36"/>
          <w:u w:val="single"/>
        </w:rPr>
        <w:t xml:space="preserve">     </w:t>
      </w:r>
    </w:p>
    <w:p>
      <w:pPr>
        <w:adjustRightInd w:val="0"/>
        <w:snapToGrid w:val="0"/>
        <w:spacing w:line="288" w:lineRule="auto"/>
        <w:ind w:firstLine="1040"/>
        <w:rPr>
          <w:rFonts w:eastAsia="仿宋_GB2312"/>
          <w:color w:val="auto"/>
          <w:sz w:val="36"/>
          <w:szCs w:val="36"/>
          <w:u w:val="single"/>
        </w:rPr>
      </w:pPr>
      <w:bookmarkStart w:id="1" w:name="_Hlk57884087"/>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bookmarkEnd w:id="1"/>
    <w:p>
      <w:pPr>
        <w:adjustRightInd w:val="0"/>
        <w:snapToGrid w:val="0"/>
        <w:spacing w:line="288" w:lineRule="auto"/>
        <w:jc w:val="center"/>
        <w:rPr>
          <w:rFonts w:eastAsia="楷体_GB2312"/>
          <w:color w:val="auto"/>
          <w:sz w:val="36"/>
          <w:szCs w:val="36"/>
        </w:rPr>
      </w:pPr>
      <w:r>
        <w:rPr>
          <w:rFonts w:eastAsia="楷体_GB2312"/>
          <w:color w:val="auto"/>
          <w:sz w:val="36"/>
          <w:szCs w:val="36"/>
        </w:rPr>
        <w:t>中华人民共和国生态环境部制</w:t>
      </w:r>
    </w:p>
    <w:p>
      <w:pPr>
        <w:adjustRightInd w:val="0"/>
        <w:snapToGrid w:val="0"/>
        <w:spacing w:line="288" w:lineRule="auto"/>
        <w:ind w:firstLine="1040"/>
        <w:rPr>
          <w:rFonts w:eastAsia="仿宋_GB2312"/>
          <w:color w:val="auto"/>
          <w:sz w:val="36"/>
          <w:szCs w:val="36"/>
        </w:rPr>
      </w:pPr>
    </w:p>
    <w:p>
      <w:pPr>
        <w:pStyle w:val="2"/>
        <w:rPr>
          <w:color w:val="auto"/>
        </w:rPr>
      </w:pPr>
    </w:p>
    <w:p>
      <w:pPr>
        <w:rPr>
          <w:color w:val="auto"/>
        </w:rPr>
      </w:pPr>
    </w:p>
    <w:p>
      <w:pPr>
        <w:jc w:val="center"/>
        <w:rPr>
          <w:color w:val="auto"/>
          <w:sz w:val="28"/>
          <w:szCs w:val="36"/>
        </w:rPr>
      </w:pPr>
      <w:bookmarkStart w:id="2" w:name="_Toc71631397"/>
      <w:r>
        <w:rPr>
          <w:rFonts w:hint="eastAsia"/>
          <w:color w:val="auto"/>
          <w:sz w:val="28"/>
          <w:szCs w:val="36"/>
        </w:rPr>
        <w:t>修改说明</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3294"/>
        <w:gridCol w:w="329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序号</w:t>
            </w: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修改意见</w:t>
            </w: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修改内容</w:t>
            </w:r>
          </w:p>
        </w:tc>
        <w:tc>
          <w:tcPr>
            <w:tcW w:w="1698"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color w:val="auto"/>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1</w:t>
            </w: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1、核实项目与园区规划及规划环评的相符性。完善项目产业定位符合性分析。完善项目与《湖南省“十四五”生态环境保护规划》符合性分析。完善项目与湘政办函[2018]15号文件和湘环发[2020]27号文件的相符性分析。完善三线一单相符性分析。补充项目选址合理性分析。</w:t>
            </w: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1、核实</w:t>
            </w:r>
            <w:r>
              <w:rPr>
                <w:rFonts w:hint="eastAsia"/>
                <w:color w:val="auto"/>
                <w:lang w:val="en-US" w:eastAsia="zh-CN"/>
              </w:rPr>
              <w:t>了</w:t>
            </w:r>
            <w:r>
              <w:rPr>
                <w:rFonts w:hint="eastAsia"/>
                <w:color w:val="auto"/>
              </w:rPr>
              <w:t>项目与园区规划及规划环评的相符性。完善</w:t>
            </w:r>
            <w:r>
              <w:rPr>
                <w:rFonts w:hint="eastAsia"/>
                <w:color w:val="auto"/>
                <w:lang w:val="en-US" w:eastAsia="zh-CN"/>
              </w:rPr>
              <w:t>了</w:t>
            </w:r>
            <w:r>
              <w:rPr>
                <w:rFonts w:hint="eastAsia"/>
                <w:color w:val="auto"/>
              </w:rPr>
              <w:t>项目产业定位符合性分析。完善</w:t>
            </w:r>
            <w:r>
              <w:rPr>
                <w:rFonts w:hint="eastAsia"/>
                <w:color w:val="auto"/>
                <w:lang w:val="en-US" w:eastAsia="zh-CN"/>
              </w:rPr>
              <w:t>了</w:t>
            </w:r>
            <w:r>
              <w:rPr>
                <w:rFonts w:hint="eastAsia"/>
                <w:color w:val="auto"/>
              </w:rPr>
              <w:t>项目与《湖南省“十四五”生态环境保护规划》符合性分析。完善</w:t>
            </w:r>
            <w:r>
              <w:rPr>
                <w:rFonts w:hint="eastAsia"/>
                <w:color w:val="auto"/>
                <w:lang w:val="en-US" w:eastAsia="zh-CN"/>
              </w:rPr>
              <w:t>了</w:t>
            </w:r>
            <w:r>
              <w:rPr>
                <w:rFonts w:hint="eastAsia"/>
                <w:color w:val="auto"/>
              </w:rPr>
              <w:t>项目与湘政办函[2018]15号文件和湘环发[2020]27号文件的相符性分析。完善</w:t>
            </w:r>
            <w:r>
              <w:rPr>
                <w:rFonts w:hint="eastAsia"/>
                <w:color w:val="auto"/>
                <w:lang w:val="en-US" w:eastAsia="zh-CN"/>
              </w:rPr>
              <w:t>了</w:t>
            </w:r>
            <w:r>
              <w:rPr>
                <w:rFonts w:hint="eastAsia"/>
                <w:color w:val="auto"/>
              </w:rPr>
              <w:t>三线一单相符性分析。补充</w:t>
            </w:r>
            <w:r>
              <w:rPr>
                <w:rFonts w:hint="eastAsia"/>
                <w:color w:val="auto"/>
                <w:lang w:val="en-US" w:eastAsia="zh-CN"/>
              </w:rPr>
              <w:t>了</w:t>
            </w:r>
            <w:r>
              <w:rPr>
                <w:rFonts w:hint="eastAsia"/>
                <w:color w:val="auto"/>
              </w:rPr>
              <w:t>项目选址合理性分析。</w:t>
            </w:r>
          </w:p>
        </w:tc>
        <w:tc>
          <w:tcPr>
            <w:tcW w:w="1698" w:type="dxa"/>
            <w:vAlign w:val="center"/>
          </w:tcPr>
          <w:p>
            <w:pPr>
              <w:pStyle w:val="2"/>
              <w:pageBreakBefore w:val="0"/>
              <w:widowControl w:val="0"/>
              <w:numPr>
                <w:ilvl w:val="2"/>
                <w:numId w:val="0"/>
              </w:numPr>
              <w:kinsoku/>
              <w:wordWrap/>
              <w:overflowPunct/>
              <w:topLinePunct w:val="0"/>
              <w:autoSpaceDE/>
              <w:autoSpaceDN/>
              <w:bidi w:val="0"/>
              <w:adjustRightInd/>
              <w:snapToGrid/>
              <w:spacing w:before="0" w:after="0"/>
              <w:jc w:val="center"/>
              <w:textAlignment w:val="auto"/>
              <w:rPr>
                <w:rFonts w:hint="default" w:ascii="Times New Roman" w:hAnsi="Times New Roman" w:eastAsia="宋体"/>
                <w:color w:val="auto"/>
                <w:lang w:val="en-US" w:eastAsia="zh-CN"/>
              </w:rPr>
            </w:pPr>
            <w:r>
              <w:rPr>
                <w:rFonts w:hint="eastAsia" w:ascii="Times New Roman" w:hAnsi="Times New Roman"/>
                <w:color w:val="auto"/>
                <w:lang w:val="en-US" w:eastAsia="zh-CN"/>
              </w:rPr>
              <w:t>P1，P2-7，P10,P13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2</w:t>
            </w: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2、说明租赁场地基本情况，明确项目与其依托关系。细化项目建设内容，完善项目组成表。核实原辅材料消耗情况、产品方案及产能。细化平面布局。</w:t>
            </w: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2、说明</w:t>
            </w:r>
            <w:r>
              <w:rPr>
                <w:rFonts w:hint="eastAsia"/>
                <w:color w:val="auto"/>
                <w:lang w:val="en-US" w:eastAsia="zh-CN"/>
              </w:rPr>
              <w:t>了</w:t>
            </w:r>
            <w:r>
              <w:rPr>
                <w:rFonts w:hint="eastAsia"/>
                <w:color w:val="auto"/>
              </w:rPr>
              <w:t>租赁场地基本情况，明确</w:t>
            </w:r>
            <w:r>
              <w:rPr>
                <w:rFonts w:hint="eastAsia"/>
                <w:color w:val="auto"/>
                <w:lang w:val="en-US" w:eastAsia="zh-CN"/>
              </w:rPr>
              <w:t>了</w:t>
            </w:r>
            <w:r>
              <w:rPr>
                <w:rFonts w:hint="eastAsia"/>
                <w:color w:val="auto"/>
              </w:rPr>
              <w:t>项目与其依托关系。细化</w:t>
            </w:r>
            <w:r>
              <w:rPr>
                <w:rFonts w:hint="eastAsia"/>
                <w:color w:val="auto"/>
                <w:lang w:val="en-US" w:eastAsia="zh-CN"/>
              </w:rPr>
              <w:t>了</w:t>
            </w:r>
            <w:r>
              <w:rPr>
                <w:rFonts w:hint="eastAsia"/>
                <w:color w:val="auto"/>
              </w:rPr>
              <w:t>项目建设内容，完善</w:t>
            </w:r>
            <w:r>
              <w:rPr>
                <w:rFonts w:hint="eastAsia"/>
                <w:color w:val="auto"/>
                <w:lang w:val="en-US" w:eastAsia="zh-CN"/>
              </w:rPr>
              <w:t>了</w:t>
            </w:r>
            <w:r>
              <w:rPr>
                <w:rFonts w:hint="eastAsia"/>
                <w:color w:val="auto"/>
              </w:rPr>
              <w:t>项目组成表。核实</w:t>
            </w:r>
            <w:r>
              <w:rPr>
                <w:rFonts w:hint="eastAsia"/>
                <w:color w:val="auto"/>
                <w:lang w:val="en-US" w:eastAsia="zh-CN"/>
              </w:rPr>
              <w:t>了</w:t>
            </w:r>
            <w:r>
              <w:rPr>
                <w:rFonts w:hint="eastAsia"/>
                <w:color w:val="auto"/>
              </w:rPr>
              <w:t>原辅材料消耗情况、产品方案及产能。细化</w:t>
            </w:r>
            <w:r>
              <w:rPr>
                <w:rFonts w:hint="eastAsia"/>
                <w:color w:val="auto"/>
                <w:lang w:val="en-US" w:eastAsia="zh-CN"/>
              </w:rPr>
              <w:t>了</w:t>
            </w:r>
            <w:r>
              <w:rPr>
                <w:rFonts w:hint="eastAsia"/>
                <w:color w:val="auto"/>
              </w:rPr>
              <w:t>平面布局。</w:t>
            </w:r>
          </w:p>
        </w:tc>
        <w:tc>
          <w:tcPr>
            <w:tcW w:w="1698" w:type="dxa"/>
            <w:vAlign w:val="center"/>
          </w:tcPr>
          <w:p>
            <w:pPr>
              <w:pageBreakBefore w:val="0"/>
              <w:widowControl w:val="0"/>
              <w:kinsoku/>
              <w:wordWrap/>
              <w:overflowPunct/>
              <w:topLinePunct w:val="0"/>
              <w:autoSpaceDE/>
              <w:autoSpaceDN/>
              <w:bidi w:val="0"/>
              <w:adjustRightInd/>
              <w:snapToGrid/>
              <w:jc w:val="center"/>
              <w:textAlignment w:val="auto"/>
              <w:rPr>
                <w:rFonts w:hint="default" w:eastAsia="宋体"/>
                <w:color w:val="auto"/>
                <w:lang w:val="en-US" w:eastAsia="zh-CN"/>
              </w:rPr>
            </w:pPr>
            <w:r>
              <w:rPr>
                <w:rFonts w:hint="eastAsia"/>
                <w:color w:val="auto"/>
                <w:lang w:val="en-US" w:eastAsia="zh-CN"/>
              </w:rPr>
              <w:t>P14-17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3</w:t>
            </w: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3、加强周边环境及污染源调查，核实是否存在环境问题。核实主要环境保护目标，核实水质监测断面。</w:t>
            </w: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3、加强周边环境及污染源调查，核实是否存在环境问题。核实</w:t>
            </w:r>
            <w:r>
              <w:rPr>
                <w:rFonts w:hint="eastAsia"/>
                <w:color w:val="auto"/>
                <w:lang w:val="en-US" w:eastAsia="zh-CN"/>
              </w:rPr>
              <w:t>了</w:t>
            </w:r>
            <w:r>
              <w:rPr>
                <w:rFonts w:hint="eastAsia"/>
                <w:color w:val="auto"/>
              </w:rPr>
              <w:t>主要环境保护目标，核实</w:t>
            </w:r>
            <w:r>
              <w:rPr>
                <w:rFonts w:hint="eastAsia"/>
                <w:color w:val="auto"/>
                <w:lang w:val="en-US" w:eastAsia="zh-CN"/>
              </w:rPr>
              <w:t>了</w:t>
            </w:r>
            <w:r>
              <w:rPr>
                <w:rFonts w:hint="eastAsia"/>
                <w:color w:val="auto"/>
              </w:rPr>
              <w:t>水质监测断面。</w:t>
            </w:r>
          </w:p>
        </w:tc>
        <w:tc>
          <w:tcPr>
            <w:tcW w:w="1698" w:type="dxa"/>
            <w:vAlign w:val="center"/>
          </w:tcPr>
          <w:p>
            <w:pPr>
              <w:pageBreakBefore w:val="0"/>
              <w:widowControl w:val="0"/>
              <w:kinsoku/>
              <w:wordWrap/>
              <w:overflowPunct/>
              <w:topLinePunct w:val="0"/>
              <w:autoSpaceDE/>
              <w:autoSpaceDN/>
              <w:bidi w:val="0"/>
              <w:adjustRightInd/>
              <w:snapToGrid/>
              <w:jc w:val="center"/>
              <w:textAlignment w:val="auto"/>
              <w:rPr>
                <w:rFonts w:hint="eastAsia" w:eastAsia="宋体"/>
                <w:color w:val="auto"/>
                <w:lang w:val="en-US" w:eastAsia="zh-CN"/>
              </w:rPr>
            </w:pPr>
            <w:r>
              <w:rPr>
                <w:rFonts w:hint="eastAsia"/>
                <w:color w:val="auto"/>
                <w:lang w:val="en-US" w:eastAsia="zh-CN"/>
              </w:rPr>
              <w:t>P26-28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4</w:t>
            </w: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4、给出各产品生产工艺流程，核实产污节点。细化说明投料工序各物料配比、投料方式。补充去离子水制备工艺流程。补充去离子水制作工艺。核实用水节点、用水量、水平衡。核实废水种类、废水产生情况，论证高浓废水用做喷淋水的可行性。核实粉尘及VOCs产生节点、产污系数、产生情况、处理措施、收集及处理效率、排放情况。论证排气筒高度、数量设置的合理性。</w:t>
            </w: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4、给出各产品生产工艺流程，核实</w:t>
            </w:r>
            <w:r>
              <w:rPr>
                <w:rFonts w:hint="eastAsia"/>
                <w:color w:val="auto"/>
                <w:lang w:val="en-US" w:eastAsia="zh-CN"/>
              </w:rPr>
              <w:t>了</w:t>
            </w:r>
            <w:r>
              <w:rPr>
                <w:rFonts w:hint="eastAsia"/>
                <w:color w:val="auto"/>
              </w:rPr>
              <w:t>产污节点。细化说明</w:t>
            </w:r>
            <w:r>
              <w:rPr>
                <w:rFonts w:hint="eastAsia"/>
                <w:color w:val="auto"/>
                <w:lang w:val="en-US" w:eastAsia="zh-CN"/>
              </w:rPr>
              <w:t>了</w:t>
            </w:r>
            <w:r>
              <w:rPr>
                <w:rFonts w:hint="eastAsia"/>
                <w:color w:val="auto"/>
              </w:rPr>
              <w:t>投料工序各物料配比、投料方式。补充</w:t>
            </w:r>
            <w:r>
              <w:rPr>
                <w:rFonts w:hint="eastAsia"/>
                <w:color w:val="auto"/>
                <w:lang w:val="en-US" w:eastAsia="zh-CN"/>
              </w:rPr>
              <w:t>了</w:t>
            </w:r>
            <w:r>
              <w:rPr>
                <w:rFonts w:hint="eastAsia"/>
                <w:color w:val="auto"/>
              </w:rPr>
              <w:t>去离子水制备工艺流程。补充去离子水制作工艺。核实</w:t>
            </w:r>
            <w:r>
              <w:rPr>
                <w:rFonts w:hint="eastAsia"/>
                <w:color w:val="auto"/>
                <w:lang w:val="en-US" w:eastAsia="zh-CN"/>
              </w:rPr>
              <w:t>了</w:t>
            </w:r>
            <w:r>
              <w:rPr>
                <w:rFonts w:hint="eastAsia"/>
                <w:color w:val="auto"/>
              </w:rPr>
              <w:t>用水节点、用水量、水平衡。核实</w:t>
            </w:r>
            <w:r>
              <w:rPr>
                <w:rFonts w:hint="eastAsia"/>
                <w:color w:val="auto"/>
                <w:lang w:val="en-US" w:eastAsia="zh-CN"/>
              </w:rPr>
              <w:t>了</w:t>
            </w:r>
            <w:r>
              <w:rPr>
                <w:rFonts w:hint="eastAsia"/>
                <w:color w:val="auto"/>
              </w:rPr>
              <w:t>废水种类、废水产生情况，论证</w:t>
            </w:r>
            <w:r>
              <w:rPr>
                <w:rFonts w:hint="eastAsia"/>
                <w:color w:val="auto"/>
                <w:lang w:val="en-US" w:eastAsia="zh-CN"/>
              </w:rPr>
              <w:t>了</w:t>
            </w:r>
            <w:r>
              <w:rPr>
                <w:rFonts w:hint="eastAsia"/>
                <w:color w:val="auto"/>
              </w:rPr>
              <w:t>高浓废水</w:t>
            </w:r>
            <w:r>
              <w:rPr>
                <w:rFonts w:hint="eastAsia"/>
                <w:color w:val="auto"/>
                <w:lang w:val="en-US" w:eastAsia="zh-CN"/>
              </w:rPr>
              <w:t>综合利用的</w:t>
            </w:r>
            <w:r>
              <w:rPr>
                <w:rFonts w:hint="eastAsia"/>
                <w:color w:val="auto"/>
              </w:rPr>
              <w:t>可行性。核实</w:t>
            </w:r>
            <w:r>
              <w:rPr>
                <w:rFonts w:hint="eastAsia"/>
                <w:color w:val="auto"/>
                <w:lang w:val="en-US" w:eastAsia="zh-CN"/>
              </w:rPr>
              <w:t>了</w:t>
            </w:r>
            <w:r>
              <w:rPr>
                <w:rFonts w:hint="eastAsia"/>
                <w:color w:val="auto"/>
              </w:rPr>
              <w:t>粉尘及VOCs产生节点、产污系数、产生情况、处理措施、收集及处理效率、排放情况。论证排气筒设置的合理性。</w:t>
            </w:r>
          </w:p>
        </w:tc>
        <w:tc>
          <w:tcPr>
            <w:tcW w:w="1698" w:type="dxa"/>
            <w:vAlign w:val="center"/>
          </w:tcPr>
          <w:p>
            <w:pPr>
              <w:pStyle w:val="2"/>
              <w:pageBreakBefore w:val="0"/>
              <w:widowControl w:val="0"/>
              <w:numPr>
                <w:ilvl w:val="2"/>
                <w:numId w:val="0"/>
              </w:numPr>
              <w:kinsoku/>
              <w:wordWrap/>
              <w:overflowPunct/>
              <w:topLinePunct w:val="0"/>
              <w:autoSpaceDE/>
              <w:autoSpaceDN/>
              <w:bidi w:val="0"/>
              <w:adjustRightInd/>
              <w:snapToGrid/>
              <w:spacing w:before="0" w:after="0"/>
              <w:jc w:val="center"/>
              <w:textAlignment w:val="auto"/>
              <w:rPr>
                <w:rFonts w:hint="default" w:ascii="Times New Roman" w:hAnsi="Times New Roman" w:eastAsia="宋体"/>
                <w:color w:val="auto"/>
                <w:lang w:val="en-US" w:eastAsia="zh-CN"/>
              </w:rPr>
            </w:pPr>
            <w:r>
              <w:rPr>
                <w:rFonts w:hint="eastAsia" w:ascii="Times New Roman" w:hAnsi="Times New Roman"/>
                <w:color w:val="auto"/>
                <w:lang w:val="en-US" w:eastAsia="zh-CN"/>
              </w:rPr>
              <w:t>P21-23，P33,P35-37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5</w:t>
            </w: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5、核实噪声源、降噪措施、降噪量、噪声预测结果。核实固体废物产生种类、数量、属性、暂存处置措施及去向。针对危废暂存间建设提出建议，完善固废环境影响分析。核实风险物质、风险防范措施。补充产品仓库分区防控措施及防渗要求。</w:t>
            </w: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5、核实</w:t>
            </w:r>
            <w:r>
              <w:rPr>
                <w:rFonts w:hint="eastAsia"/>
                <w:color w:val="auto"/>
                <w:lang w:val="en-US" w:eastAsia="zh-CN"/>
              </w:rPr>
              <w:t>了</w:t>
            </w:r>
            <w:r>
              <w:rPr>
                <w:rFonts w:hint="eastAsia"/>
                <w:color w:val="auto"/>
              </w:rPr>
              <w:t>噪声源、降噪措施、降噪量、噪声预测结果。核实</w:t>
            </w:r>
            <w:r>
              <w:rPr>
                <w:rFonts w:hint="eastAsia"/>
                <w:color w:val="auto"/>
                <w:lang w:val="en-US" w:eastAsia="zh-CN"/>
              </w:rPr>
              <w:t>了</w:t>
            </w:r>
            <w:r>
              <w:rPr>
                <w:rFonts w:hint="eastAsia"/>
                <w:color w:val="auto"/>
              </w:rPr>
              <w:t>固体废物产生种类、数量、属性、暂存处置措施及去向。针对危废暂存间建设提出</w:t>
            </w:r>
            <w:r>
              <w:rPr>
                <w:rFonts w:hint="eastAsia"/>
                <w:color w:val="auto"/>
                <w:lang w:val="en-US" w:eastAsia="zh-CN"/>
              </w:rPr>
              <w:t>了</w:t>
            </w:r>
            <w:r>
              <w:rPr>
                <w:rFonts w:hint="eastAsia"/>
                <w:color w:val="auto"/>
              </w:rPr>
              <w:t>建议，完善</w:t>
            </w:r>
            <w:r>
              <w:rPr>
                <w:rFonts w:hint="eastAsia"/>
                <w:color w:val="auto"/>
                <w:lang w:val="en-US" w:eastAsia="zh-CN"/>
              </w:rPr>
              <w:t>了</w:t>
            </w:r>
            <w:r>
              <w:rPr>
                <w:rFonts w:hint="eastAsia"/>
                <w:color w:val="auto"/>
              </w:rPr>
              <w:t>固废环境影响分析。核实</w:t>
            </w:r>
            <w:r>
              <w:rPr>
                <w:rFonts w:hint="eastAsia"/>
                <w:color w:val="auto"/>
                <w:lang w:val="en-US" w:eastAsia="zh-CN"/>
              </w:rPr>
              <w:t>了</w:t>
            </w:r>
            <w:r>
              <w:rPr>
                <w:rFonts w:hint="eastAsia"/>
                <w:color w:val="auto"/>
              </w:rPr>
              <w:t>风险物质、风险防范措施。补充</w:t>
            </w:r>
            <w:r>
              <w:rPr>
                <w:rFonts w:hint="eastAsia"/>
                <w:color w:val="auto"/>
                <w:lang w:val="en-US" w:eastAsia="zh-CN"/>
              </w:rPr>
              <w:t>了</w:t>
            </w:r>
            <w:r>
              <w:rPr>
                <w:rFonts w:hint="eastAsia"/>
                <w:color w:val="auto"/>
              </w:rPr>
              <w:t>产品仓库分区防控措施及防渗要求。</w:t>
            </w:r>
          </w:p>
        </w:tc>
        <w:tc>
          <w:tcPr>
            <w:tcW w:w="1698" w:type="dxa"/>
            <w:vAlign w:val="center"/>
          </w:tcPr>
          <w:p>
            <w:pPr>
              <w:pStyle w:val="2"/>
              <w:pageBreakBefore w:val="0"/>
              <w:widowControl w:val="0"/>
              <w:numPr>
                <w:ilvl w:val="2"/>
                <w:numId w:val="0"/>
              </w:numPr>
              <w:kinsoku/>
              <w:wordWrap/>
              <w:overflowPunct/>
              <w:topLinePunct w:val="0"/>
              <w:autoSpaceDE/>
              <w:autoSpaceDN/>
              <w:bidi w:val="0"/>
              <w:adjustRightInd/>
              <w:snapToGrid/>
              <w:spacing w:before="0" w:after="0"/>
              <w:jc w:val="center"/>
              <w:textAlignment w:val="auto"/>
              <w:rPr>
                <w:rFonts w:hint="default" w:ascii="Times New Roman" w:hAnsi="Times New Roman" w:eastAsia="宋体"/>
                <w:color w:val="auto"/>
                <w:lang w:val="en-US" w:eastAsia="zh-CN"/>
              </w:rPr>
            </w:pPr>
            <w:r>
              <w:rPr>
                <w:rFonts w:hint="eastAsia" w:ascii="Times New Roman" w:hAnsi="Times New Roman"/>
                <w:color w:val="auto"/>
                <w:lang w:val="en-US" w:eastAsia="zh-CN"/>
              </w:rPr>
              <w:t>P41-44，P46-48，P49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6</w:t>
            </w: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6、核实环境监测计划、环境保护措施监督检查清单。完善附图附件。</w:t>
            </w: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6、核实</w:t>
            </w:r>
            <w:r>
              <w:rPr>
                <w:rFonts w:hint="eastAsia"/>
                <w:color w:val="auto"/>
                <w:lang w:val="en-US" w:eastAsia="zh-CN"/>
              </w:rPr>
              <w:t>了</w:t>
            </w:r>
            <w:r>
              <w:rPr>
                <w:rFonts w:hint="eastAsia"/>
                <w:color w:val="auto"/>
              </w:rPr>
              <w:t>环境监测计划、环境保护措施监督检查清单。完善</w:t>
            </w:r>
            <w:r>
              <w:rPr>
                <w:rFonts w:hint="eastAsia"/>
                <w:color w:val="auto"/>
                <w:lang w:val="en-US" w:eastAsia="zh-CN"/>
              </w:rPr>
              <w:t>了</w:t>
            </w:r>
            <w:r>
              <w:rPr>
                <w:rFonts w:hint="eastAsia"/>
                <w:color w:val="auto"/>
              </w:rPr>
              <w:t>附图附件。</w:t>
            </w:r>
          </w:p>
        </w:tc>
        <w:tc>
          <w:tcPr>
            <w:tcW w:w="1698" w:type="dxa"/>
            <w:vAlign w:val="center"/>
          </w:tcPr>
          <w:p>
            <w:pPr>
              <w:pageBreakBefore w:val="0"/>
              <w:widowControl w:val="0"/>
              <w:kinsoku/>
              <w:wordWrap/>
              <w:overflowPunct/>
              <w:topLinePunct w:val="0"/>
              <w:autoSpaceDE/>
              <w:autoSpaceDN/>
              <w:bidi w:val="0"/>
              <w:adjustRightInd/>
              <w:snapToGrid/>
              <w:jc w:val="center"/>
              <w:textAlignment w:val="auto"/>
              <w:rPr>
                <w:rFonts w:hint="default" w:eastAsia="宋体"/>
                <w:color w:val="auto"/>
                <w:lang w:val="en-US" w:eastAsia="zh-CN"/>
              </w:rPr>
            </w:pPr>
            <w:r>
              <w:rPr>
                <w:rFonts w:hint="eastAsia"/>
                <w:color w:val="auto"/>
                <w:lang w:val="en-US" w:eastAsia="zh-CN"/>
              </w:rPr>
              <w:t xml:space="preserve">P51，附图附件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pageBreakBefore w:val="0"/>
              <w:widowControl w:val="0"/>
              <w:kinsoku/>
              <w:wordWrap/>
              <w:overflowPunct/>
              <w:topLinePunct w:val="0"/>
              <w:autoSpaceDE/>
              <w:autoSpaceDN/>
              <w:bidi w:val="0"/>
              <w:adjustRightInd/>
              <w:snapToGrid/>
              <w:jc w:val="center"/>
              <w:textAlignment w:val="auto"/>
              <w:rPr>
                <w:rFonts w:hint="eastAsia" w:eastAsia="宋体"/>
                <w:color w:val="auto"/>
                <w:lang w:val="en-US" w:eastAsia="zh-CN"/>
              </w:rPr>
            </w:pPr>
            <w:r>
              <w:rPr>
                <w:rFonts w:hint="eastAsia"/>
                <w:color w:val="auto"/>
                <w:lang w:val="en-US" w:eastAsia="zh-CN"/>
              </w:rPr>
              <w:t>7</w:t>
            </w: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color w:val="auto"/>
              </w:rPr>
            </w:pPr>
          </w:p>
        </w:tc>
        <w:tc>
          <w:tcPr>
            <w:tcW w:w="3294" w:type="dxa"/>
            <w:vAlign w:val="center"/>
          </w:tcPr>
          <w:p>
            <w:pPr>
              <w:pageBreakBefore w:val="0"/>
              <w:widowControl w:val="0"/>
              <w:kinsoku/>
              <w:wordWrap/>
              <w:overflowPunct/>
              <w:topLinePunct w:val="0"/>
              <w:autoSpaceDE/>
              <w:autoSpaceDN/>
              <w:bidi w:val="0"/>
              <w:adjustRightInd/>
              <w:snapToGrid/>
              <w:jc w:val="center"/>
              <w:textAlignment w:val="auto"/>
              <w:rPr>
                <w:rFonts w:hint="default" w:eastAsia="宋体"/>
                <w:color w:val="auto"/>
                <w:lang w:val="en-US" w:eastAsia="zh-CN"/>
              </w:rPr>
            </w:pPr>
            <w:r>
              <w:rPr>
                <w:rFonts w:hint="eastAsia"/>
                <w:color w:val="auto"/>
                <w:lang w:val="en-US" w:eastAsia="zh-CN"/>
              </w:rPr>
              <w:t>其他相关的内容</w:t>
            </w:r>
          </w:p>
        </w:tc>
        <w:tc>
          <w:tcPr>
            <w:tcW w:w="1698" w:type="dxa"/>
            <w:vAlign w:val="center"/>
          </w:tcPr>
          <w:p>
            <w:pPr>
              <w:pageBreakBefore w:val="0"/>
              <w:widowControl w:val="0"/>
              <w:kinsoku/>
              <w:wordWrap/>
              <w:overflowPunct/>
              <w:topLinePunct w:val="0"/>
              <w:autoSpaceDE/>
              <w:autoSpaceDN/>
              <w:bidi w:val="0"/>
              <w:adjustRightInd/>
              <w:snapToGrid/>
              <w:jc w:val="center"/>
              <w:textAlignment w:val="auto"/>
              <w:rPr>
                <w:rFonts w:hint="default" w:eastAsia="宋体"/>
                <w:color w:val="auto"/>
                <w:lang w:val="en-US" w:eastAsia="zh-CN"/>
              </w:rPr>
            </w:pPr>
          </w:p>
        </w:tc>
      </w:tr>
    </w:tbl>
    <w:p>
      <w:pPr>
        <w:jc w:val="center"/>
        <w:rPr>
          <w:rFonts w:hint="eastAsia"/>
          <w:b/>
          <w:bCs/>
          <w:color w:val="auto"/>
          <w:sz w:val="28"/>
          <w:szCs w:val="36"/>
          <w:lang w:val="en-US" w:eastAsia="zh-CN"/>
        </w:rPr>
      </w:pPr>
    </w:p>
    <w:p>
      <w:pPr>
        <w:jc w:val="both"/>
        <w:rPr>
          <w:rFonts w:hint="default" w:eastAsia="宋体"/>
          <w:b/>
          <w:bCs/>
          <w:color w:val="auto"/>
          <w:sz w:val="28"/>
          <w:szCs w:val="36"/>
          <w:lang w:val="en-US" w:eastAsia="zh-CN"/>
        </w:rPr>
      </w:pPr>
      <w:r>
        <w:rPr>
          <w:rFonts w:hint="eastAsia"/>
          <w:b/>
          <w:bCs/>
          <w:color w:val="auto"/>
          <w:sz w:val="28"/>
          <w:szCs w:val="36"/>
          <w:lang w:val="en-US" w:eastAsia="zh-CN"/>
        </w:rPr>
        <w:t>注：变更了项目名称</w:t>
      </w:r>
    </w:p>
    <w:p>
      <w:pPr>
        <w:rPr>
          <w:color w:val="auto"/>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3"/>
        <w:spacing w:line="360" w:lineRule="auto"/>
        <w:jc w:val="center"/>
        <w:rPr>
          <w:color w:val="auto"/>
        </w:rPr>
      </w:pPr>
      <w:r>
        <w:rPr>
          <w:rFonts w:hint="eastAsia"/>
          <w:color w:val="auto"/>
        </w:rPr>
        <w:t xml:space="preserve">目 </w:t>
      </w:r>
      <w:r>
        <w:rPr>
          <w:color w:val="auto"/>
        </w:rPr>
        <w:t xml:space="preserve"> </w:t>
      </w:r>
      <w:r>
        <w:rPr>
          <w:rFonts w:hint="eastAsia"/>
          <w:color w:val="auto"/>
        </w:rPr>
        <w:t>录</w:t>
      </w:r>
      <w:bookmarkEnd w:id="2"/>
    </w:p>
    <w:p>
      <w:pPr>
        <w:pStyle w:val="26"/>
        <w:keepNext w:val="0"/>
        <w:keepLines w:val="0"/>
        <w:pageBreakBefore w:val="0"/>
        <w:widowControl w:val="0"/>
        <w:tabs>
          <w:tab w:val="right" w:leader="dot" w:pos="8834"/>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b/>
          <w:bCs/>
          <w:color w:val="auto"/>
          <w:sz w:val="28"/>
          <w:szCs w:val="28"/>
        </w:rPr>
      </w:pPr>
      <w:r>
        <w:rPr>
          <w:color w:val="auto"/>
          <w:sz w:val="28"/>
          <w:szCs w:val="28"/>
        </w:rPr>
        <w:fldChar w:fldCharType="begin"/>
      </w:r>
      <w:r>
        <w:rPr>
          <w:color w:val="auto"/>
          <w:sz w:val="28"/>
          <w:szCs w:val="28"/>
        </w:rPr>
        <w:instrText xml:space="preserve"> </w:instrText>
      </w:r>
      <w:r>
        <w:rPr>
          <w:rFonts w:hint="eastAsia"/>
          <w:color w:val="auto"/>
          <w:sz w:val="28"/>
          <w:szCs w:val="28"/>
        </w:rPr>
        <w:instrText xml:space="preserve">TOC \o "1-1" \h \z \u</w:instrText>
      </w:r>
      <w:r>
        <w:rPr>
          <w:color w:val="auto"/>
          <w:sz w:val="28"/>
          <w:szCs w:val="28"/>
        </w:rPr>
        <w:instrText xml:space="preserve"> </w:instrText>
      </w:r>
      <w:r>
        <w:rPr>
          <w:color w:val="auto"/>
          <w:sz w:val="28"/>
          <w:szCs w:val="28"/>
        </w:rPr>
        <w:fldChar w:fldCharType="separate"/>
      </w:r>
    </w:p>
    <w:p>
      <w:pPr>
        <w:pStyle w:val="26"/>
        <w:keepNext w:val="0"/>
        <w:keepLines w:val="0"/>
        <w:pageBreakBefore w:val="0"/>
        <w:widowControl w:val="0"/>
        <w:tabs>
          <w:tab w:val="right" w:leader="dot" w:pos="8834"/>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b/>
          <w:bCs/>
          <w:color w:val="auto"/>
          <w:sz w:val="28"/>
          <w:szCs w:val="28"/>
        </w:rPr>
      </w:pPr>
      <w:r>
        <w:rPr>
          <w:color w:val="auto"/>
          <w:sz w:val="28"/>
          <w:szCs w:val="28"/>
        </w:rPr>
        <w:fldChar w:fldCharType="begin"/>
      </w:r>
      <w:r>
        <w:rPr>
          <w:color w:val="auto"/>
          <w:sz w:val="28"/>
          <w:szCs w:val="28"/>
        </w:rPr>
        <w:instrText xml:space="preserve"> HYPERLINK \l "_Toc71631397" </w:instrText>
      </w:r>
      <w:r>
        <w:rPr>
          <w:color w:val="auto"/>
          <w:sz w:val="28"/>
          <w:szCs w:val="28"/>
        </w:rPr>
        <w:fldChar w:fldCharType="separate"/>
      </w:r>
      <w:r>
        <w:rPr>
          <w:rStyle w:val="39"/>
          <w:b/>
          <w:bCs/>
          <w:color w:val="auto"/>
          <w:sz w:val="28"/>
          <w:szCs w:val="28"/>
        </w:rPr>
        <w:t>目录</w:t>
      </w:r>
      <w:r>
        <w:rPr>
          <w:b/>
          <w:bCs/>
          <w:color w:val="auto"/>
          <w:sz w:val="28"/>
          <w:szCs w:val="28"/>
        </w:rPr>
        <w:tab/>
      </w:r>
      <w:r>
        <w:rPr>
          <w:rFonts w:hint="eastAsia"/>
          <w:b/>
          <w:bCs/>
          <w:color w:val="auto"/>
          <w:sz w:val="28"/>
          <w:szCs w:val="28"/>
          <w:lang w:val="en-US" w:eastAsia="zh-CN"/>
        </w:rPr>
        <w:t>1</w:t>
      </w:r>
      <w:r>
        <w:rPr>
          <w:b/>
          <w:bCs/>
          <w:color w:val="auto"/>
          <w:sz w:val="28"/>
          <w:szCs w:val="28"/>
        </w:rPr>
        <w:fldChar w:fldCharType="end"/>
      </w:r>
    </w:p>
    <w:p>
      <w:pPr>
        <w:pStyle w:val="26"/>
        <w:keepNext w:val="0"/>
        <w:keepLines w:val="0"/>
        <w:pageBreakBefore w:val="0"/>
        <w:widowControl w:val="0"/>
        <w:tabs>
          <w:tab w:val="right" w:leader="dot" w:pos="8834"/>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b/>
          <w:bCs/>
          <w:color w:val="auto"/>
          <w:sz w:val="28"/>
          <w:szCs w:val="28"/>
        </w:rPr>
      </w:pPr>
      <w:r>
        <w:rPr>
          <w:color w:val="auto"/>
          <w:sz w:val="28"/>
          <w:szCs w:val="28"/>
        </w:rPr>
        <w:fldChar w:fldCharType="begin"/>
      </w:r>
      <w:r>
        <w:rPr>
          <w:color w:val="auto"/>
          <w:sz w:val="28"/>
          <w:szCs w:val="28"/>
        </w:rPr>
        <w:instrText xml:space="preserve"> HYPERLINK \l "_Toc71631398" </w:instrText>
      </w:r>
      <w:r>
        <w:rPr>
          <w:color w:val="auto"/>
          <w:sz w:val="28"/>
          <w:szCs w:val="28"/>
        </w:rPr>
        <w:fldChar w:fldCharType="separate"/>
      </w:r>
      <w:r>
        <w:rPr>
          <w:rStyle w:val="39"/>
          <w:b/>
          <w:bCs/>
          <w:color w:val="auto"/>
          <w:sz w:val="28"/>
          <w:szCs w:val="28"/>
        </w:rPr>
        <w:t>一、建设项目基本情况</w:t>
      </w:r>
      <w:r>
        <w:rPr>
          <w:b/>
          <w:bCs/>
          <w:color w:val="auto"/>
          <w:sz w:val="28"/>
          <w:szCs w:val="28"/>
        </w:rPr>
        <w:tab/>
      </w:r>
      <w:r>
        <w:rPr>
          <w:b/>
          <w:bCs/>
          <w:color w:val="auto"/>
          <w:sz w:val="28"/>
          <w:szCs w:val="28"/>
        </w:rPr>
        <w:fldChar w:fldCharType="begin"/>
      </w:r>
      <w:r>
        <w:rPr>
          <w:b/>
          <w:bCs/>
          <w:color w:val="auto"/>
          <w:sz w:val="28"/>
          <w:szCs w:val="28"/>
        </w:rPr>
        <w:instrText xml:space="preserve"> PAGEREF _Toc71631398 \h </w:instrText>
      </w:r>
      <w:r>
        <w:rPr>
          <w:b/>
          <w:bCs/>
          <w:color w:val="auto"/>
          <w:sz w:val="28"/>
          <w:szCs w:val="28"/>
        </w:rPr>
        <w:fldChar w:fldCharType="separate"/>
      </w:r>
      <w:r>
        <w:rPr>
          <w:b/>
          <w:bCs/>
          <w:color w:val="auto"/>
          <w:sz w:val="28"/>
          <w:szCs w:val="28"/>
        </w:rPr>
        <w:t>2</w:t>
      </w:r>
      <w:r>
        <w:rPr>
          <w:b/>
          <w:bCs/>
          <w:color w:val="auto"/>
          <w:sz w:val="28"/>
          <w:szCs w:val="28"/>
        </w:rPr>
        <w:fldChar w:fldCharType="end"/>
      </w:r>
      <w:r>
        <w:rPr>
          <w:b/>
          <w:bCs/>
          <w:color w:val="auto"/>
          <w:sz w:val="28"/>
          <w:szCs w:val="28"/>
        </w:rPr>
        <w:fldChar w:fldCharType="end"/>
      </w:r>
    </w:p>
    <w:p>
      <w:pPr>
        <w:pStyle w:val="26"/>
        <w:keepNext w:val="0"/>
        <w:keepLines w:val="0"/>
        <w:pageBreakBefore w:val="0"/>
        <w:widowControl w:val="0"/>
        <w:tabs>
          <w:tab w:val="right" w:leader="dot" w:pos="8834"/>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b/>
          <w:bCs/>
          <w:color w:val="auto"/>
          <w:sz w:val="28"/>
          <w:szCs w:val="28"/>
        </w:rPr>
      </w:pPr>
      <w:r>
        <w:rPr>
          <w:color w:val="auto"/>
          <w:sz w:val="28"/>
          <w:szCs w:val="28"/>
        </w:rPr>
        <w:fldChar w:fldCharType="begin"/>
      </w:r>
      <w:r>
        <w:rPr>
          <w:color w:val="auto"/>
          <w:sz w:val="28"/>
          <w:szCs w:val="28"/>
        </w:rPr>
        <w:instrText xml:space="preserve"> HYPERLINK \l "_Toc71631399" </w:instrText>
      </w:r>
      <w:r>
        <w:rPr>
          <w:color w:val="auto"/>
          <w:sz w:val="28"/>
          <w:szCs w:val="28"/>
        </w:rPr>
        <w:fldChar w:fldCharType="separate"/>
      </w:r>
      <w:r>
        <w:rPr>
          <w:rStyle w:val="39"/>
          <w:b/>
          <w:bCs/>
          <w:color w:val="auto"/>
          <w:sz w:val="28"/>
          <w:szCs w:val="28"/>
        </w:rPr>
        <w:t>二、建设项目工程分析</w:t>
      </w:r>
      <w:r>
        <w:rPr>
          <w:b/>
          <w:bCs/>
          <w:color w:val="auto"/>
          <w:sz w:val="28"/>
          <w:szCs w:val="28"/>
        </w:rPr>
        <w:tab/>
      </w:r>
      <w:r>
        <w:rPr>
          <w:b/>
          <w:bCs/>
          <w:color w:val="auto"/>
          <w:sz w:val="28"/>
          <w:szCs w:val="28"/>
        </w:rPr>
        <w:fldChar w:fldCharType="begin"/>
      </w:r>
      <w:r>
        <w:rPr>
          <w:b/>
          <w:bCs/>
          <w:color w:val="auto"/>
          <w:sz w:val="28"/>
          <w:szCs w:val="28"/>
        </w:rPr>
        <w:instrText xml:space="preserve"> PAGEREF _Toc71631399 \h </w:instrText>
      </w:r>
      <w:r>
        <w:rPr>
          <w:b/>
          <w:bCs/>
          <w:color w:val="auto"/>
          <w:sz w:val="28"/>
          <w:szCs w:val="28"/>
        </w:rPr>
        <w:fldChar w:fldCharType="separate"/>
      </w:r>
      <w:r>
        <w:rPr>
          <w:b/>
          <w:bCs/>
          <w:color w:val="auto"/>
          <w:sz w:val="28"/>
          <w:szCs w:val="28"/>
        </w:rPr>
        <w:t>14</w:t>
      </w:r>
      <w:r>
        <w:rPr>
          <w:b/>
          <w:bCs/>
          <w:color w:val="auto"/>
          <w:sz w:val="28"/>
          <w:szCs w:val="28"/>
        </w:rPr>
        <w:fldChar w:fldCharType="end"/>
      </w:r>
      <w:r>
        <w:rPr>
          <w:b/>
          <w:bCs/>
          <w:color w:val="auto"/>
          <w:sz w:val="28"/>
          <w:szCs w:val="28"/>
        </w:rPr>
        <w:fldChar w:fldCharType="end"/>
      </w:r>
    </w:p>
    <w:p>
      <w:pPr>
        <w:pStyle w:val="26"/>
        <w:keepNext w:val="0"/>
        <w:keepLines w:val="0"/>
        <w:pageBreakBefore w:val="0"/>
        <w:widowControl w:val="0"/>
        <w:tabs>
          <w:tab w:val="right" w:leader="dot" w:pos="8834"/>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b/>
          <w:bCs/>
          <w:color w:val="auto"/>
          <w:sz w:val="28"/>
          <w:szCs w:val="28"/>
        </w:rPr>
      </w:pPr>
      <w:r>
        <w:rPr>
          <w:color w:val="auto"/>
          <w:sz w:val="28"/>
          <w:szCs w:val="28"/>
        </w:rPr>
        <w:fldChar w:fldCharType="begin"/>
      </w:r>
      <w:r>
        <w:rPr>
          <w:color w:val="auto"/>
          <w:sz w:val="28"/>
          <w:szCs w:val="28"/>
        </w:rPr>
        <w:instrText xml:space="preserve"> HYPERLINK \l "_Toc71631403" </w:instrText>
      </w:r>
      <w:r>
        <w:rPr>
          <w:color w:val="auto"/>
          <w:sz w:val="28"/>
          <w:szCs w:val="28"/>
        </w:rPr>
        <w:fldChar w:fldCharType="separate"/>
      </w:r>
      <w:r>
        <w:rPr>
          <w:rStyle w:val="39"/>
          <w:b/>
          <w:bCs/>
          <w:color w:val="auto"/>
          <w:sz w:val="28"/>
          <w:szCs w:val="28"/>
        </w:rPr>
        <w:t>三、区域环境质量现状、环境保护目标及评价标准</w:t>
      </w:r>
      <w:r>
        <w:rPr>
          <w:b/>
          <w:bCs/>
          <w:color w:val="auto"/>
          <w:sz w:val="28"/>
          <w:szCs w:val="28"/>
        </w:rPr>
        <w:tab/>
      </w:r>
      <w:r>
        <w:rPr>
          <w:b/>
          <w:bCs/>
          <w:color w:val="auto"/>
          <w:sz w:val="28"/>
          <w:szCs w:val="28"/>
        </w:rPr>
        <w:fldChar w:fldCharType="begin"/>
      </w:r>
      <w:r>
        <w:rPr>
          <w:b/>
          <w:bCs/>
          <w:color w:val="auto"/>
          <w:sz w:val="28"/>
          <w:szCs w:val="28"/>
        </w:rPr>
        <w:instrText xml:space="preserve"> PAGEREF _Toc71631403 \h </w:instrText>
      </w:r>
      <w:r>
        <w:rPr>
          <w:b/>
          <w:bCs/>
          <w:color w:val="auto"/>
          <w:sz w:val="28"/>
          <w:szCs w:val="28"/>
        </w:rPr>
        <w:fldChar w:fldCharType="separate"/>
      </w:r>
      <w:r>
        <w:rPr>
          <w:b/>
          <w:bCs/>
          <w:color w:val="auto"/>
          <w:sz w:val="28"/>
          <w:szCs w:val="28"/>
        </w:rPr>
        <w:t>24</w:t>
      </w:r>
      <w:r>
        <w:rPr>
          <w:b/>
          <w:bCs/>
          <w:color w:val="auto"/>
          <w:sz w:val="28"/>
          <w:szCs w:val="28"/>
        </w:rPr>
        <w:fldChar w:fldCharType="end"/>
      </w:r>
      <w:r>
        <w:rPr>
          <w:b/>
          <w:bCs/>
          <w:color w:val="auto"/>
          <w:sz w:val="28"/>
          <w:szCs w:val="28"/>
        </w:rPr>
        <w:fldChar w:fldCharType="end"/>
      </w:r>
    </w:p>
    <w:p>
      <w:pPr>
        <w:pStyle w:val="26"/>
        <w:keepNext w:val="0"/>
        <w:keepLines w:val="0"/>
        <w:pageBreakBefore w:val="0"/>
        <w:widowControl w:val="0"/>
        <w:tabs>
          <w:tab w:val="right" w:leader="dot" w:pos="8834"/>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b/>
          <w:bCs/>
          <w:color w:val="auto"/>
          <w:sz w:val="28"/>
          <w:szCs w:val="28"/>
        </w:rPr>
      </w:pPr>
      <w:r>
        <w:rPr>
          <w:color w:val="auto"/>
          <w:sz w:val="28"/>
          <w:szCs w:val="28"/>
        </w:rPr>
        <w:fldChar w:fldCharType="begin"/>
      </w:r>
      <w:r>
        <w:rPr>
          <w:color w:val="auto"/>
          <w:sz w:val="28"/>
          <w:szCs w:val="28"/>
        </w:rPr>
        <w:instrText xml:space="preserve"> HYPERLINK \l "_Toc71631404" </w:instrText>
      </w:r>
      <w:r>
        <w:rPr>
          <w:color w:val="auto"/>
          <w:sz w:val="28"/>
          <w:szCs w:val="28"/>
        </w:rPr>
        <w:fldChar w:fldCharType="separate"/>
      </w:r>
      <w:r>
        <w:rPr>
          <w:rStyle w:val="39"/>
          <w:rFonts w:eastAsia="黑体"/>
          <w:b/>
          <w:bCs/>
          <w:color w:val="auto"/>
          <w:kern w:val="44"/>
          <w:sz w:val="28"/>
          <w:szCs w:val="28"/>
        </w:rPr>
        <w:t>四、主要环境影响和保护措施</w:t>
      </w:r>
      <w:r>
        <w:rPr>
          <w:b/>
          <w:bCs/>
          <w:color w:val="auto"/>
          <w:sz w:val="28"/>
          <w:szCs w:val="28"/>
        </w:rPr>
        <w:tab/>
      </w:r>
      <w:r>
        <w:rPr>
          <w:b/>
          <w:bCs/>
          <w:color w:val="auto"/>
          <w:sz w:val="28"/>
          <w:szCs w:val="28"/>
        </w:rPr>
        <w:fldChar w:fldCharType="begin"/>
      </w:r>
      <w:r>
        <w:rPr>
          <w:b/>
          <w:bCs/>
          <w:color w:val="auto"/>
          <w:sz w:val="28"/>
          <w:szCs w:val="28"/>
        </w:rPr>
        <w:instrText xml:space="preserve"> PAGEREF _Toc71631404 \h </w:instrText>
      </w:r>
      <w:r>
        <w:rPr>
          <w:b/>
          <w:bCs/>
          <w:color w:val="auto"/>
          <w:sz w:val="28"/>
          <w:szCs w:val="28"/>
        </w:rPr>
        <w:fldChar w:fldCharType="separate"/>
      </w:r>
      <w:r>
        <w:rPr>
          <w:b/>
          <w:bCs/>
          <w:color w:val="auto"/>
          <w:sz w:val="28"/>
          <w:szCs w:val="28"/>
        </w:rPr>
        <w:t>32</w:t>
      </w:r>
      <w:r>
        <w:rPr>
          <w:b/>
          <w:bCs/>
          <w:color w:val="auto"/>
          <w:sz w:val="28"/>
          <w:szCs w:val="28"/>
        </w:rPr>
        <w:fldChar w:fldCharType="end"/>
      </w:r>
      <w:r>
        <w:rPr>
          <w:b/>
          <w:bCs/>
          <w:color w:val="auto"/>
          <w:sz w:val="28"/>
          <w:szCs w:val="28"/>
        </w:rPr>
        <w:fldChar w:fldCharType="end"/>
      </w:r>
    </w:p>
    <w:p>
      <w:pPr>
        <w:pStyle w:val="26"/>
        <w:keepNext w:val="0"/>
        <w:keepLines w:val="0"/>
        <w:pageBreakBefore w:val="0"/>
        <w:widowControl w:val="0"/>
        <w:tabs>
          <w:tab w:val="right" w:leader="dot" w:pos="8834"/>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b/>
          <w:bCs/>
          <w:color w:val="auto"/>
          <w:sz w:val="28"/>
          <w:szCs w:val="28"/>
        </w:rPr>
      </w:pPr>
      <w:r>
        <w:rPr>
          <w:color w:val="auto"/>
          <w:sz w:val="28"/>
          <w:szCs w:val="28"/>
        </w:rPr>
        <w:fldChar w:fldCharType="begin"/>
      </w:r>
      <w:r>
        <w:rPr>
          <w:color w:val="auto"/>
          <w:sz w:val="28"/>
          <w:szCs w:val="28"/>
        </w:rPr>
        <w:instrText xml:space="preserve"> HYPERLINK \l "_Toc71631405" </w:instrText>
      </w:r>
      <w:r>
        <w:rPr>
          <w:color w:val="auto"/>
          <w:sz w:val="28"/>
          <w:szCs w:val="28"/>
        </w:rPr>
        <w:fldChar w:fldCharType="separate"/>
      </w:r>
      <w:r>
        <w:rPr>
          <w:rStyle w:val="39"/>
          <w:rFonts w:eastAsia="黑体"/>
          <w:b/>
          <w:bCs/>
          <w:color w:val="auto"/>
          <w:kern w:val="44"/>
          <w:sz w:val="28"/>
          <w:szCs w:val="28"/>
        </w:rPr>
        <w:t>4.1施工期环境影响分析：</w:t>
      </w:r>
      <w:r>
        <w:rPr>
          <w:b/>
          <w:bCs/>
          <w:color w:val="auto"/>
          <w:sz w:val="28"/>
          <w:szCs w:val="28"/>
        </w:rPr>
        <w:tab/>
      </w:r>
      <w:r>
        <w:rPr>
          <w:b/>
          <w:bCs/>
          <w:color w:val="auto"/>
          <w:sz w:val="28"/>
          <w:szCs w:val="28"/>
        </w:rPr>
        <w:fldChar w:fldCharType="begin"/>
      </w:r>
      <w:r>
        <w:rPr>
          <w:b/>
          <w:bCs/>
          <w:color w:val="auto"/>
          <w:sz w:val="28"/>
          <w:szCs w:val="28"/>
        </w:rPr>
        <w:instrText xml:space="preserve"> PAGEREF _Toc71631405 \h </w:instrText>
      </w:r>
      <w:r>
        <w:rPr>
          <w:b/>
          <w:bCs/>
          <w:color w:val="auto"/>
          <w:sz w:val="28"/>
          <w:szCs w:val="28"/>
        </w:rPr>
        <w:fldChar w:fldCharType="separate"/>
      </w:r>
      <w:r>
        <w:rPr>
          <w:b/>
          <w:bCs/>
          <w:color w:val="auto"/>
          <w:sz w:val="28"/>
          <w:szCs w:val="28"/>
        </w:rPr>
        <w:t>32</w:t>
      </w:r>
      <w:r>
        <w:rPr>
          <w:b/>
          <w:bCs/>
          <w:color w:val="auto"/>
          <w:sz w:val="28"/>
          <w:szCs w:val="28"/>
        </w:rPr>
        <w:fldChar w:fldCharType="end"/>
      </w:r>
      <w:r>
        <w:rPr>
          <w:b/>
          <w:bCs/>
          <w:color w:val="auto"/>
          <w:sz w:val="28"/>
          <w:szCs w:val="28"/>
        </w:rPr>
        <w:fldChar w:fldCharType="end"/>
      </w:r>
    </w:p>
    <w:p>
      <w:pPr>
        <w:pStyle w:val="26"/>
        <w:keepNext w:val="0"/>
        <w:keepLines w:val="0"/>
        <w:pageBreakBefore w:val="0"/>
        <w:widowControl w:val="0"/>
        <w:tabs>
          <w:tab w:val="right" w:leader="dot" w:pos="8834"/>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b/>
          <w:bCs/>
          <w:color w:val="auto"/>
          <w:sz w:val="28"/>
          <w:szCs w:val="28"/>
        </w:rPr>
      </w:pPr>
      <w:r>
        <w:rPr>
          <w:color w:val="auto"/>
          <w:sz w:val="28"/>
          <w:szCs w:val="28"/>
        </w:rPr>
        <w:fldChar w:fldCharType="begin"/>
      </w:r>
      <w:r>
        <w:rPr>
          <w:color w:val="auto"/>
          <w:sz w:val="28"/>
          <w:szCs w:val="28"/>
        </w:rPr>
        <w:instrText xml:space="preserve"> HYPERLINK \l "_Toc71631406" </w:instrText>
      </w:r>
      <w:r>
        <w:rPr>
          <w:color w:val="auto"/>
          <w:sz w:val="28"/>
          <w:szCs w:val="28"/>
        </w:rPr>
        <w:fldChar w:fldCharType="separate"/>
      </w:r>
      <w:r>
        <w:rPr>
          <w:rStyle w:val="39"/>
          <w:b/>
          <w:bCs/>
          <w:color w:val="auto"/>
          <w:sz w:val="28"/>
          <w:szCs w:val="28"/>
        </w:rPr>
        <w:t>4.2营运期环境影响分析：</w:t>
      </w:r>
      <w:r>
        <w:rPr>
          <w:b/>
          <w:bCs/>
          <w:color w:val="auto"/>
          <w:sz w:val="28"/>
          <w:szCs w:val="28"/>
        </w:rPr>
        <w:tab/>
      </w:r>
      <w:r>
        <w:rPr>
          <w:b/>
          <w:bCs/>
          <w:color w:val="auto"/>
          <w:sz w:val="28"/>
          <w:szCs w:val="28"/>
        </w:rPr>
        <w:fldChar w:fldCharType="begin"/>
      </w:r>
      <w:r>
        <w:rPr>
          <w:b/>
          <w:bCs/>
          <w:color w:val="auto"/>
          <w:sz w:val="28"/>
          <w:szCs w:val="28"/>
        </w:rPr>
        <w:instrText xml:space="preserve"> PAGEREF _Toc71631406 \h </w:instrText>
      </w:r>
      <w:r>
        <w:rPr>
          <w:b/>
          <w:bCs/>
          <w:color w:val="auto"/>
          <w:sz w:val="28"/>
          <w:szCs w:val="28"/>
        </w:rPr>
        <w:fldChar w:fldCharType="separate"/>
      </w:r>
      <w:r>
        <w:rPr>
          <w:b/>
          <w:bCs/>
          <w:color w:val="auto"/>
          <w:sz w:val="28"/>
          <w:szCs w:val="28"/>
        </w:rPr>
        <w:t>33</w:t>
      </w:r>
      <w:r>
        <w:rPr>
          <w:b/>
          <w:bCs/>
          <w:color w:val="auto"/>
          <w:sz w:val="28"/>
          <w:szCs w:val="28"/>
        </w:rPr>
        <w:fldChar w:fldCharType="end"/>
      </w:r>
      <w:r>
        <w:rPr>
          <w:b/>
          <w:bCs/>
          <w:color w:val="auto"/>
          <w:sz w:val="28"/>
          <w:szCs w:val="28"/>
        </w:rPr>
        <w:fldChar w:fldCharType="end"/>
      </w:r>
    </w:p>
    <w:p>
      <w:pPr>
        <w:pStyle w:val="26"/>
        <w:keepNext w:val="0"/>
        <w:keepLines w:val="0"/>
        <w:pageBreakBefore w:val="0"/>
        <w:widowControl w:val="0"/>
        <w:tabs>
          <w:tab w:val="right" w:leader="dot" w:pos="8834"/>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b/>
          <w:bCs/>
          <w:color w:val="auto"/>
          <w:sz w:val="28"/>
          <w:szCs w:val="28"/>
        </w:rPr>
      </w:pPr>
      <w:r>
        <w:rPr>
          <w:color w:val="auto"/>
          <w:sz w:val="28"/>
          <w:szCs w:val="28"/>
        </w:rPr>
        <w:fldChar w:fldCharType="begin"/>
      </w:r>
      <w:r>
        <w:rPr>
          <w:color w:val="auto"/>
          <w:sz w:val="28"/>
          <w:szCs w:val="28"/>
        </w:rPr>
        <w:instrText xml:space="preserve"> HYPERLINK \l "_Toc71631407" </w:instrText>
      </w:r>
      <w:r>
        <w:rPr>
          <w:color w:val="auto"/>
          <w:sz w:val="28"/>
          <w:szCs w:val="28"/>
        </w:rPr>
        <w:fldChar w:fldCharType="separate"/>
      </w:r>
      <w:r>
        <w:rPr>
          <w:rStyle w:val="39"/>
          <w:rFonts w:eastAsia="黑体"/>
          <w:b/>
          <w:bCs/>
          <w:color w:val="auto"/>
          <w:kern w:val="44"/>
          <w:sz w:val="28"/>
          <w:szCs w:val="28"/>
        </w:rPr>
        <w:t>五、环境保护措施监督检查清单</w:t>
      </w:r>
      <w:r>
        <w:rPr>
          <w:b/>
          <w:bCs/>
          <w:color w:val="auto"/>
          <w:sz w:val="28"/>
          <w:szCs w:val="28"/>
        </w:rPr>
        <w:tab/>
      </w:r>
      <w:r>
        <w:rPr>
          <w:b/>
          <w:bCs/>
          <w:color w:val="auto"/>
          <w:sz w:val="28"/>
          <w:szCs w:val="28"/>
        </w:rPr>
        <w:fldChar w:fldCharType="begin"/>
      </w:r>
      <w:r>
        <w:rPr>
          <w:b/>
          <w:bCs/>
          <w:color w:val="auto"/>
          <w:sz w:val="28"/>
          <w:szCs w:val="28"/>
        </w:rPr>
        <w:instrText xml:space="preserve"> PAGEREF _Toc71631407 \h </w:instrText>
      </w:r>
      <w:r>
        <w:rPr>
          <w:b/>
          <w:bCs/>
          <w:color w:val="auto"/>
          <w:sz w:val="28"/>
          <w:szCs w:val="28"/>
        </w:rPr>
        <w:fldChar w:fldCharType="separate"/>
      </w:r>
      <w:r>
        <w:rPr>
          <w:b/>
          <w:bCs/>
          <w:color w:val="auto"/>
          <w:sz w:val="28"/>
          <w:szCs w:val="28"/>
        </w:rPr>
        <w:t>50</w:t>
      </w:r>
      <w:r>
        <w:rPr>
          <w:b/>
          <w:bCs/>
          <w:color w:val="auto"/>
          <w:sz w:val="28"/>
          <w:szCs w:val="28"/>
        </w:rPr>
        <w:fldChar w:fldCharType="end"/>
      </w:r>
      <w:r>
        <w:rPr>
          <w:b/>
          <w:bCs/>
          <w:color w:val="auto"/>
          <w:sz w:val="28"/>
          <w:szCs w:val="28"/>
        </w:rPr>
        <w:fldChar w:fldCharType="end"/>
      </w:r>
    </w:p>
    <w:p>
      <w:pPr>
        <w:pStyle w:val="26"/>
        <w:keepNext w:val="0"/>
        <w:keepLines w:val="0"/>
        <w:pageBreakBefore w:val="0"/>
        <w:widowControl w:val="0"/>
        <w:tabs>
          <w:tab w:val="right" w:leader="dot" w:pos="8834"/>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b/>
          <w:bCs/>
          <w:color w:val="auto"/>
          <w:sz w:val="28"/>
          <w:szCs w:val="28"/>
        </w:rPr>
      </w:pPr>
      <w:r>
        <w:rPr>
          <w:color w:val="auto"/>
          <w:sz w:val="28"/>
          <w:szCs w:val="28"/>
        </w:rPr>
        <w:fldChar w:fldCharType="begin"/>
      </w:r>
      <w:r>
        <w:rPr>
          <w:color w:val="auto"/>
          <w:sz w:val="28"/>
          <w:szCs w:val="28"/>
        </w:rPr>
        <w:instrText xml:space="preserve"> HYPERLINK \l "_Toc71631408" </w:instrText>
      </w:r>
      <w:r>
        <w:rPr>
          <w:color w:val="auto"/>
          <w:sz w:val="28"/>
          <w:szCs w:val="28"/>
        </w:rPr>
        <w:fldChar w:fldCharType="separate"/>
      </w:r>
      <w:r>
        <w:rPr>
          <w:rStyle w:val="39"/>
          <w:rFonts w:eastAsia="黑体"/>
          <w:b/>
          <w:bCs/>
          <w:color w:val="auto"/>
          <w:kern w:val="44"/>
          <w:sz w:val="28"/>
          <w:szCs w:val="28"/>
        </w:rPr>
        <w:t>六、结论</w:t>
      </w:r>
      <w:r>
        <w:rPr>
          <w:b/>
          <w:bCs/>
          <w:color w:val="auto"/>
          <w:sz w:val="28"/>
          <w:szCs w:val="28"/>
        </w:rPr>
        <w:tab/>
      </w:r>
      <w:r>
        <w:rPr>
          <w:b/>
          <w:bCs/>
          <w:color w:val="auto"/>
          <w:sz w:val="28"/>
          <w:szCs w:val="28"/>
        </w:rPr>
        <w:fldChar w:fldCharType="begin"/>
      </w:r>
      <w:r>
        <w:rPr>
          <w:b/>
          <w:bCs/>
          <w:color w:val="auto"/>
          <w:sz w:val="28"/>
          <w:szCs w:val="28"/>
        </w:rPr>
        <w:instrText xml:space="preserve"> PAGEREF _Toc71631408 \h </w:instrText>
      </w:r>
      <w:r>
        <w:rPr>
          <w:b/>
          <w:bCs/>
          <w:color w:val="auto"/>
          <w:sz w:val="28"/>
          <w:szCs w:val="28"/>
        </w:rPr>
        <w:fldChar w:fldCharType="separate"/>
      </w:r>
      <w:r>
        <w:rPr>
          <w:b/>
          <w:bCs/>
          <w:color w:val="auto"/>
          <w:sz w:val="28"/>
          <w:szCs w:val="28"/>
        </w:rPr>
        <w:t>53</w:t>
      </w:r>
      <w:r>
        <w:rPr>
          <w:b/>
          <w:bCs/>
          <w:color w:val="auto"/>
          <w:sz w:val="28"/>
          <w:szCs w:val="28"/>
        </w:rPr>
        <w:fldChar w:fldCharType="end"/>
      </w:r>
      <w:r>
        <w:rPr>
          <w:b/>
          <w:bCs/>
          <w:color w:val="auto"/>
          <w:sz w:val="28"/>
          <w:szCs w:val="28"/>
        </w:rPr>
        <w:fldChar w:fldCharType="end"/>
      </w:r>
    </w:p>
    <w:p>
      <w:pPr>
        <w:pStyle w:val="26"/>
        <w:keepNext w:val="0"/>
        <w:keepLines w:val="0"/>
        <w:pageBreakBefore w:val="0"/>
        <w:widowControl w:val="0"/>
        <w:tabs>
          <w:tab w:val="right" w:leader="dot" w:pos="8834"/>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color w:val="auto"/>
          <w:sz w:val="28"/>
          <w:szCs w:val="28"/>
        </w:rPr>
      </w:pPr>
      <w:r>
        <w:rPr>
          <w:color w:val="auto"/>
          <w:sz w:val="28"/>
          <w:szCs w:val="28"/>
        </w:rPr>
        <w:fldChar w:fldCharType="begin"/>
      </w:r>
      <w:r>
        <w:rPr>
          <w:color w:val="auto"/>
          <w:sz w:val="28"/>
          <w:szCs w:val="28"/>
        </w:rPr>
        <w:instrText xml:space="preserve"> HYPERLINK \l "_Toc71631410" </w:instrText>
      </w:r>
      <w:r>
        <w:rPr>
          <w:color w:val="auto"/>
          <w:sz w:val="28"/>
          <w:szCs w:val="28"/>
        </w:rPr>
        <w:fldChar w:fldCharType="separate"/>
      </w:r>
      <w:r>
        <w:rPr>
          <w:rStyle w:val="39"/>
          <w:rFonts w:eastAsia="方正小标宋_GBK"/>
          <w:b/>
          <w:bCs/>
          <w:snapToGrid w:val="0"/>
          <w:color w:val="auto"/>
          <w:sz w:val="28"/>
          <w:szCs w:val="28"/>
        </w:rPr>
        <w:t>建设项目污染物排放量汇总表</w:t>
      </w:r>
      <w:r>
        <w:rPr>
          <w:b/>
          <w:bCs/>
          <w:color w:val="auto"/>
          <w:sz w:val="28"/>
          <w:szCs w:val="28"/>
        </w:rPr>
        <w:tab/>
      </w:r>
      <w:r>
        <w:rPr>
          <w:b/>
          <w:bCs/>
          <w:color w:val="auto"/>
          <w:sz w:val="28"/>
          <w:szCs w:val="28"/>
        </w:rPr>
        <w:fldChar w:fldCharType="begin"/>
      </w:r>
      <w:r>
        <w:rPr>
          <w:b/>
          <w:bCs/>
          <w:color w:val="auto"/>
          <w:sz w:val="28"/>
          <w:szCs w:val="28"/>
        </w:rPr>
        <w:instrText xml:space="preserve"> PAGEREF _Toc71631410 \h </w:instrText>
      </w:r>
      <w:r>
        <w:rPr>
          <w:b/>
          <w:bCs/>
          <w:color w:val="auto"/>
          <w:sz w:val="28"/>
          <w:szCs w:val="28"/>
        </w:rPr>
        <w:fldChar w:fldCharType="separate"/>
      </w:r>
      <w:r>
        <w:rPr>
          <w:b/>
          <w:bCs/>
          <w:color w:val="auto"/>
          <w:sz w:val="28"/>
          <w:szCs w:val="28"/>
        </w:rPr>
        <w:t>54</w:t>
      </w:r>
      <w:r>
        <w:rPr>
          <w:b/>
          <w:bCs/>
          <w:color w:val="auto"/>
          <w:sz w:val="28"/>
          <w:szCs w:val="28"/>
        </w:rPr>
        <w:fldChar w:fldCharType="end"/>
      </w:r>
      <w:r>
        <w:rPr>
          <w:b/>
          <w:bCs/>
          <w:color w:val="auto"/>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8"/>
          <w:szCs w:val="28"/>
        </w:rPr>
      </w:pPr>
      <w:r>
        <w:rPr>
          <w:color w:val="auto"/>
          <w:sz w:val="28"/>
          <w:szCs w:val="28"/>
        </w:rPr>
        <w:fldChar w:fldCharType="end"/>
      </w:r>
      <w:r>
        <w:rPr>
          <w:rFonts w:hint="eastAsia"/>
          <w:color w:val="auto"/>
          <w:sz w:val="28"/>
          <w:szCs w:val="28"/>
        </w:rPr>
        <w:t>附件1 营业执照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8"/>
          <w:szCs w:val="28"/>
        </w:rPr>
      </w:pPr>
      <w:r>
        <w:rPr>
          <w:rFonts w:hint="eastAsia"/>
          <w:color w:val="auto"/>
          <w:sz w:val="28"/>
          <w:szCs w:val="28"/>
        </w:rPr>
        <w:t xml:space="preserve">附件2 </w:t>
      </w:r>
      <w:r>
        <w:rPr>
          <w:rFonts w:hint="eastAsia"/>
          <w:color w:val="auto"/>
          <w:sz w:val="28"/>
          <w:szCs w:val="28"/>
          <w:lang w:val="en-US" w:eastAsia="zh-CN"/>
        </w:rPr>
        <w:t>委托书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8"/>
          <w:szCs w:val="28"/>
        </w:rPr>
      </w:pPr>
      <w:r>
        <w:rPr>
          <w:rFonts w:hint="eastAsia"/>
          <w:color w:val="auto"/>
          <w:sz w:val="28"/>
          <w:szCs w:val="28"/>
        </w:rPr>
        <w:t>附件</w:t>
      </w:r>
      <w:r>
        <w:rPr>
          <w:rFonts w:hint="eastAsia"/>
          <w:color w:val="auto"/>
          <w:sz w:val="28"/>
          <w:szCs w:val="28"/>
          <w:lang w:val="en-US" w:eastAsia="zh-CN"/>
        </w:rPr>
        <w:t>3</w:t>
      </w:r>
      <w:r>
        <w:rPr>
          <w:rFonts w:hint="eastAsia"/>
          <w:color w:val="auto"/>
          <w:sz w:val="28"/>
          <w:szCs w:val="28"/>
        </w:rPr>
        <w:t xml:space="preserve"> 用地证明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8"/>
          <w:szCs w:val="28"/>
        </w:rPr>
      </w:pPr>
      <w:r>
        <w:rPr>
          <w:rFonts w:hint="eastAsia"/>
          <w:color w:val="auto"/>
          <w:sz w:val="28"/>
          <w:szCs w:val="28"/>
        </w:rPr>
        <w:t>附件</w:t>
      </w:r>
      <w:r>
        <w:rPr>
          <w:rFonts w:hint="eastAsia"/>
          <w:color w:val="auto"/>
          <w:sz w:val="28"/>
          <w:szCs w:val="28"/>
          <w:lang w:val="en-US" w:eastAsia="zh-CN"/>
        </w:rPr>
        <w:t>4</w:t>
      </w:r>
      <w:r>
        <w:rPr>
          <w:rFonts w:hint="eastAsia"/>
          <w:color w:val="auto"/>
          <w:sz w:val="28"/>
          <w:szCs w:val="28"/>
        </w:rPr>
        <w:t xml:space="preserve"> 工业园批复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8"/>
          <w:szCs w:val="28"/>
        </w:rPr>
      </w:pPr>
      <w:r>
        <w:rPr>
          <w:rFonts w:hint="eastAsia"/>
          <w:color w:val="auto"/>
          <w:sz w:val="28"/>
          <w:szCs w:val="28"/>
          <w:lang w:val="en-US" w:eastAsia="zh-CN"/>
        </w:rPr>
        <w:t xml:space="preserve">附件5 </w:t>
      </w:r>
      <w:r>
        <w:rPr>
          <w:rFonts w:hint="eastAsia"/>
          <w:color w:val="auto"/>
          <w:sz w:val="28"/>
          <w:szCs w:val="28"/>
        </w:rPr>
        <w:t>邵东市人民政府常务会议纪要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8"/>
          <w:szCs w:val="28"/>
          <w:lang w:val="en-US" w:eastAsia="zh-CN"/>
        </w:rPr>
      </w:pPr>
      <w:r>
        <w:rPr>
          <w:rFonts w:hint="eastAsia"/>
          <w:color w:val="auto"/>
          <w:sz w:val="28"/>
          <w:szCs w:val="28"/>
          <w:lang w:val="en-US" w:eastAsia="zh-CN"/>
        </w:rPr>
        <w:t>附件6 关于明确邵东经济开发区托管廉桥医药工业科技园等专业园区的函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宋体"/>
          <w:color w:val="auto"/>
          <w:sz w:val="28"/>
          <w:szCs w:val="28"/>
          <w:lang w:val="en-US" w:eastAsia="zh-CN"/>
        </w:rPr>
      </w:pPr>
      <w:r>
        <w:rPr>
          <w:rFonts w:hint="eastAsia"/>
          <w:color w:val="auto"/>
          <w:sz w:val="28"/>
          <w:szCs w:val="28"/>
          <w:lang w:val="en-US" w:eastAsia="zh-CN"/>
        </w:rPr>
        <w:t>附件7</w:t>
      </w:r>
      <w:r>
        <w:rPr>
          <w:rFonts w:hint="eastAsia"/>
          <w:color w:val="auto"/>
          <w:sz w:val="28"/>
          <w:szCs w:val="28"/>
        </w:rPr>
        <w:tab/>
      </w:r>
      <w:r>
        <w:rPr>
          <w:rFonts w:hint="eastAsia"/>
          <w:color w:val="auto"/>
          <w:sz w:val="28"/>
          <w:szCs w:val="28"/>
          <w:lang w:val="en-US" w:eastAsia="zh-CN"/>
        </w:rPr>
        <w:t xml:space="preserve"> 专家评审意见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color w:val="auto"/>
          <w:sz w:val="28"/>
          <w:szCs w:val="28"/>
          <w:lang w:eastAsia="zh-CN"/>
        </w:rPr>
      </w:pPr>
      <w:r>
        <w:rPr>
          <w:rFonts w:hint="eastAsia" w:ascii="Times New Roman" w:hAnsi="Times New Roman" w:cs="Times New Roman"/>
          <w:color w:val="auto"/>
          <w:sz w:val="28"/>
          <w:szCs w:val="28"/>
          <w:lang w:eastAsia="zh-CN"/>
        </w:rPr>
        <w:t>附图1 项目地理位置图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color w:val="auto"/>
          <w:sz w:val="28"/>
          <w:szCs w:val="28"/>
          <w:lang w:eastAsia="zh-CN"/>
        </w:rPr>
      </w:pPr>
      <w:r>
        <w:rPr>
          <w:rFonts w:hint="eastAsia" w:ascii="Times New Roman" w:hAnsi="Times New Roman" w:cs="Times New Roman"/>
          <w:color w:val="auto"/>
          <w:sz w:val="28"/>
          <w:szCs w:val="28"/>
          <w:lang w:eastAsia="zh-CN"/>
        </w:rPr>
        <w:t>附图2 项目平面布置图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color w:val="auto"/>
          <w:sz w:val="28"/>
          <w:szCs w:val="28"/>
          <w:lang w:eastAsia="zh-CN"/>
        </w:rPr>
      </w:pPr>
      <w:r>
        <w:rPr>
          <w:rFonts w:hint="eastAsia" w:ascii="Times New Roman" w:hAnsi="Times New Roman" w:cs="Times New Roman"/>
          <w:color w:val="auto"/>
          <w:sz w:val="28"/>
          <w:szCs w:val="28"/>
          <w:lang w:eastAsia="zh-CN"/>
        </w:rPr>
        <w:t>附图3</w:t>
      </w:r>
      <w:r>
        <w:rPr>
          <w:rFonts w:hint="eastAsia" w:ascii="Times New Roman" w:hAnsi="Times New Roman" w:cs="Times New Roman"/>
          <w:color w:val="auto"/>
          <w:sz w:val="28"/>
          <w:szCs w:val="28"/>
          <w:lang w:val="en-US" w:eastAsia="zh-CN"/>
        </w:rPr>
        <w:t xml:space="preserve"> </w:t>
      </w:r>
      <w:r>
        <w:rPr>
          <w:rFonts w:hint="eastAsia" w:ascii="Times New Roman" w:hAnsi="Times New Roman" w:cs="Times New Roman"/>
          <w:color w:val="auto"/>
          <w:sz w:val="28"/>
          <w:szCs w:val="28"/>
          <w:lang w:eastAsia="zh-CN"/>
        </w:rPr>
        <w:t>周边环境敏感目标分布图</w:t>
      </w:r>
    </w:p>
    <w:p>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sz w:val="28"/>
          <w:szCs w:val="28"/>
        </w:rPr>
      </w:pPr>
    </w:p>
    <w:p>
      <w:pPr>
        <w:pStyle w:val="3"/>
        <w:rPr>
          <w:color w:val="auto"/>
        </w:rPr>
        <w:sectPr>
          <w:footerReference r:id="rId5" w:type="default"/>
          <w:pgSz w:w="11906" w:h="16838"/>
          <w:pgMar w:top="1701" w:right="1531" w:bottom="1701" w:left="1531" w:header="851" w:footer="1077" w:gutter="0"/>
          <w:pgNumType w:fmt="decimal" w:start="1"/>
          <w:cols w:space="720" w:num="1"/>
          <w:docGrid w:linePitch="312" w:charSpace="0"/>
        </w:sectPr>
      </w:pPr>
      <w:bookmarkStart w:id="3" w:name="_Toc71631398"/>
    </w:p>
    <w:p>
      <w:pPr>
        <w:pStyle w:val="3"/>
        <w:rPr>
          <w:color w:val="auto"/>
        </w:rPr>
      </w:pPr>
      <w:r>
        <w:rPr>
          <w:color w:val="auto"/>
        </w:rPr>
        <w:t>一、建设项目基本情况</w:t>
      </w:r>
      <w:bookmarkEnd w:id="3"/>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rPr>
            </w:pPr>
            <w:r>
              <w:rPr>
                <w:color w:val="auto"/>
              </w:rPr>
              <w:t>建设项目名称</w:t>
            </w:r>
          </w:p>
        </w:tc>
        <w:tc>
          <w:tcPr>
            <w:tcW w:w="6488" w:type="dxa"/>
            <w:gridSpan w:val="3"/>
            <w:vAlign w:val="center"/>
          </w:tcPr>
          <w:p>
            <w:pPr>
              <w:adjustRightInd w:val="0"/>
              <w:snapToGrid w:val="0"/>
              <w:jc w:val="center"/>
              <w:rPr>
                <w:rFonts w:hint="eastAsia" w:eastAsia="宋体"/>
                <w:color w:val="auto"/>
                <w:lang w:eastAsia="zh-CN"/>
              </w:rPr>
            </w:pPr>
            <w:r>
              <w:rPr>
                <w:rFonts w:hint="eastAsia"/>
                <w:color w:val="auto"/>
                <w:lang w:eastAsia="zh-CN"/>
              </w:rPr>
              <w:t>年产5500吨水性新材料生产项目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rPr>
            </w:pPr>
            <w:r>
              <w:rPr>
                <w:color w:val="auto"/>
              </w:rPr>
              <w:t>项目代码</w:t>
            </w:r>
          </w:p>
        </w:tc>
        <w:tc>
          <w:tcPr>
            <w:tcW w:w="6488" w:type="dxa"/>
            <w:gridSpan w:val="3"/>
            <w:vAlign w:val="center"/>
          </w:tcPr>
          <w:p>
            <w:pPr>
              <w:adjustRightInd w:val="0"/>
              <w:snapToGrid w:val="0"/>
              <w:jc w:val="center"/>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rPr>
            </w:pPr>
            <w:r>
              <w:rPr>
                <w:color w:val="auto"/>
              </w:rPr>
              <w:t>建设单位联系人</w:t>
            </w:r>
          </w:p>
        </w:tc>
        <w:tc>
          <w:tcPr>
            <w:tcW w:w="1637" w:type="dxa"/>
            <w:vAlign w:val="center"/>
          </w:tcPr>
          <w:p>
            <w:pPr>
              <w:adjustRightInd w:val="0"/>
              <w:snapToGrid w:val="0"/>
              <w:jc w:val="center"/>
              <w:rPr>
                <w:rFonts w:hint="eastAsia" w:eastAsia="宋体"/>
                <w:color w:val="auto"/>
                <w:lang w:eastAsia="zh-CN"/>
              </w:rPr>
            </w:pPr>
            <w:r>
              <w:rPr>
                <w:rFonts w:hint="eastAsia"/>
                <w:color w:val="auto"/>
                <w:lang w:eastAsia="zh-CN"/>
              </w:rPr>
              <w:t>雷冠军</w:t>
            </w:r>
          </w:p>
        </w:tc>
        <w:tc>
          <w:tcPr>
            <w:tcW w:w="2212" w:type="dxa"/>
            <w:vAlign w:val="center"/>
          </w:tcPr>
          <w:p>
            <w:pPr>
              <w:adjustRightInd w:val="0"/>
              <w:snapToGrid w:val="0"/>
              <w:jc w:val="center"/>
              <w:rPr>
                <w:color w:val="auto"/>
              </w:rPr>
            </w:pPr>
            <w:r>
              <w:rPr>
                <w:color w:val="auto"/>
              </w:rPr>
              <w:t>联系方式</w:t>
            </w:r>
          </w:p>
        </w:tc>
        <w:tc>
          <w:tcPr>
            <w:tcW w:w="2639" w:type="dxa"/>
            <w:vAlign w:val="center"/>
          </w:tcPr>
          <w:p>
            <w:pPr>
              <w:adjustRightInd w:val="0"/>
              <w:snapToGrid w:val="0"/>
              <w:jc w:val="center"/>
              <w:rPr>
                <w:rFonts w:hint="default" w:eastAsia="宋体"/>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rPr>
            </w:pPr>
            <w:r>
              <w:rPr>
                <w:color w:val="auto"/>
              </w:rPr>
              <w:t>建设地点</w:t>
            </w:r>
          </w:p>
        </w:tc>
        <w:tc>
          <w:tcPr>
            <w:tcW w:w="6488" w:type="dxa"/>
            <w:gridSpan w:val="3"/>
            <w:vAlign w:val="center"/>
          </w:tcPr>
          <w:p>
            <w:pPr>
              <w:adjustRightInd w:val="0"/>
              <w:snapToGrid w:val="0"/>
              <w:jc w:val="center"/>
              <w:rPr>
                <w:rFonts w:hint="eastAsia" w:eastAsia="宋体"/>
                <w:color w:val="auto"/>
                <w:lang w:eastAsia="zh-CN"/>
              </w:rPr>
            </w:pPr>
            <w:r>
              <w:rPr>
                <w:rFonts w:hint="eastAsia"/>
                <w:color w:val="auto"/>
                <w:lang w:eastAsia="zh-CN"/>
              </w:rPr>
              <w:t>湖南省邵阳市邵东市黑田铺镇团结村金华湘印刷产业园内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rPr>
            </w:pPr>
            <w:bookmarkStart w:id="4" w:name="_Hlk70624142"/>
            <w:r>
              <w:rPr>
                <w:color w:val="auto"/>
              </w:rPr>
              <w:t>地理坐标</w:t>
            </w:r>
          </w:p>
        </w:tc>
        <w:tc>
          <w:tcPr>
            <w:tcW w:w="6488" w:type="dxa"/>
            <w:gridSpan w:val="3"/>
            <w:vAlign w:val="center"/>
          </w:tcPr>
          <w:p>
            <w:pPr>
              <w:jc w:val="center"/>
              <w:rPr>
                <w:rFonts w:hint="eastAsia" w:eastAsia="宋体"/>
                <w:color w:val="auto"/>
                <w:lang w:eastAsia="zh-CN"/>
              </w:rPr>
            </w:pPr>
            <w:r>
              <w:rPr>
                <w:color w:val="auto"/>
              </w:rPr>
              <w:t>东经</w:t>
            </w:r>
            <w:r>
              <w:rPr>
                <w:rFonts w:hint="eastAsia"/>
                <w:color w:val="auto"/>
                <w:u w:val="single"/>
                <w:lang w:eastAsia="zh-CN"/>
              </w:rPr>
              <w:t>111度45分44.1秒</w:t>
            </w:r>
            <w:r>
              <w:rPr>
                <w:color w:val="auto"/>
              </w:rPr>
              <w:t>，北纬</w:t>
            </w:r>
            <w:r>
              <w:rPr>
                <w:rFonts w:hint="eastAsia"/>
                <w:color w:val="auto"/>
                <w:u w:val="single"/>
                <w:lang w:eastAsia="zh-CN"/>
              </w:rPr>
              <w:t>27度18分28.8秒</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color w:val="auto"/>
              </w:rPr>
            </w:pPr>
            <w:r>
              <w:rPr>
                <w:color w:val="auto"/>
              </w:rPr>
              <w:t>国民经济</w:t>
            </w:r>
          </w:p>
          <w:p>
            <w:pPr>
              <w:adjustRightInd w:val="0"/>
              <w:snapToGrid w:val="0"/>
              <w:jc w:val="center"/>
              <w:rPr>
                <w:color w:val="auto"/>
              </w:rPr>
            </w:pPr>
            <w:r>
              <w:rPr>
                <w:color w:val="auto"/>
              </w:rPr>
              <w:t>行业类别</w:t>
            </w:r>
          </w:p>
        </w:tc>
        <w:tc>
          <w:tcPr>
            <w:tcW w:w="1637" w:type="dxa"/>
            <w:vAlign w:val="center"/>
          </w:tcPr>
          <w:p>
            <w:pPr>
              <w:pStyle w:val="2"/>
              <w:rPr>
                <w:rFonts w:hint="eastAsia" w:ascii="Times New Roman" w:hAnsi="Times New Roman" w:eastAsia="宋体" w:cs="Times New Roman"/>
                <w:b w:val="0"/>
                <w:color w:val="auto"/>
                <w:kern w:val="2"/>
                <w:sz w:val="24"/>
                <w:szCs w:val="21"/>
                <w:lang w:val="en-US" w:eastAsia="zh-CN" w:bidi="ar-SA"/>
              </w:rPr>
            </w:pPr>
            <w:r>
              <w:rPr>
                <w:rFonts w:hint="eastAsia" w:ascii="Times New Roman" w:hAnsi="Times New Roman" w:cs="Times New Roman"/>
                <w:b w:val="0"/>
                <w:color w:val="auto"/>
                <w:kern w:val="2"/>
                <w:sz w:val="24"/>
                <w:szCs w:val="21"/>
                <w:lang w:val="en-US" w:eastAsia="zh-CN" w:bidi="ar-SA"/>
              </w:rPr>
              <w:t>C2641 涂料制造</w:t>
            </w:r>
          </w:p>
        </w:tc>
        <w:tc>
          <w:tcPr>
            <w:tcW w:w="2212" w:type="dxa"/>
            <w:vAlign w:val="center"/>
          </w:tcPr>
          <w:p>
            <w:pPr>
              <w:adjustRightInd w:val="0"/>
              <w:snapToGrid w:val="0"/>
              <w:jc w:val="center"/>
              <w:rPr>
                <w:color w:val="auto"/>
              </w:rPr>
            </w:pPr>
            <w:bookmarkStart w:id="5" w:name="_Hlk49843745"/>
            <w:r>
              <w:rPr>
                <w:color w:val="auto"/>
              </w:rPr>
              <w:t>建设项目</w:t>
            </w:r>
          </w:p>
          <w:p>
            <w:pPr>
              <w:adjustRightInd w:val="0"/>
              <w:snapToGrid w:val="0"/>
              <w:jc w:val="center"/>
              <w:rPr>
                <w:color w:val="auto"/>
              </w:rPr>
            </w:pPr>
            <w:r>
              <w:rPr>
                <w:color w:val="auto"/>
              </w:rPr>
              <w:t>行业类别</w:t>
            </w:r>
            <w:bookmarkEnd w:id="5"/>
          </w:p>
        </w:tc>
        <w:tc>
          <w:tcPr>
            <w:tcW w:w="2639" w:type="dxa"/>
            <w:vAlign w:val="center"/>
          </w:tcPr>
          <w:p>
            <w:pPr>
              <w:rPr>
                <w:color w:val="auto"/>
              </w:rPr>
            </w:pPr>
            <w:r>
              <w:rPr>
                <w:rFonts w:hint="eastAsia"/>
                <w:color w:val="auto"/>
                <w:szCs w:val="21"/>
                <w:lang w:eastAsia="zh-CN"/>
              </w:rPr>
              <w:t xml:space="preserve">二十三、化学原料和化学制品制造业 </w:t>
            </w:r>
            <w:r>
              <w:rPr>
                <w:rFonts w:hint="eastAsia"/>
                <w:color w:val="auto"/>
                <w:szCs w:val="21"/>
                <w:highlight w:val="none"/>
                <w:lang w:val="en-US" w:eastAsia="zh-CN"/>
              </w:rPr>
              <w:t>26</w:t>
            </w:r>
            <w:r>
              <w:rPr>
                <w:rFonts w:hint="eastAsia"/>
                <w:color w:val="auto"/>
                <w:szCs w:val="21"/>
                <w:lang w:eastAsia="zh-CN"/>
              </w:rPr>
              <w:t xml:space="preserve"> 涂料、油墨、原料及类似产品是在 264，单纯物理分离、物理提纯、混合、分装的（不产生废水或挥发性有机物的除外）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color w:val="auto"/>
              </w:rPr>
            </w:pPr>
            <w:r>
              <w:rPr>
                <w:color w:val="auto"/>
              </w:rPr>
              <w:t>建设性质</w:t>
            </w:r>
          </w:p>
        </w:tc>
        <w:tc>
          <w:tcPr>
            <w:tcW w:w="1637" w:type="dxa"/>
            <w:vAlign w:val="center"/>
          </w:tcPr>
          <w:p>
            <w:pPr>
              <w:rPr>
                <w:rFonts w:hint="eastAsia"/>
                <w:color w:val="auto"/>
                <w:szCs w:val="21"/>
              </w:rPr>
            </w:pPr>
            <w:r>
              <w:rPr>
                <w:rFonts w:hint="eastAsia"/>
                <w:color w:val="auto"/>
                <w:szCs w:val="21"/>
              </w:rPr>
              <w:t>☑新建（迁建）</w:t>
            </w:r>
          </w:p>
          <w:p>
            <w:pPr>
              <w:rPr>
                <w:rFonts w:hint="eastAsia"/>
                <w:color w:val="auto"/>
                <w:szCs w:val="21"/>
              </w:rPr>
            </w:pPr>
            <w:r>
              <w:rPr>
                <w:rFonts w:hint="eastAsia"/>
                <w:color w:val="auto"/>
                <w:szCs w:val="21"/>
              </w:rPr>
              <w:t>□改建</w:t>
            </w:r>
          </w:p>
          <w:p>
            <w:pPr>
              <w:rPr>
                <w:rFonts w:hint="eastAsia"/>
                <w:color w:val="auto"/>
                <w:szCs w:val="21"/>
              </w:rPr>
            </w:pPr>
            <w:r>
              <w:rPr>
                <w:rFonts w:hint="eastAsia"/>
                <w:color w:val="auto"/>
                <w:szCs w:val="21"/>
              </w:rPr>
              <w:t>□扩建</w:t>
            </w:r>
          </w:p>
          <w:p>
            <w:pPr>
              <w:rPr>
                <w:rFonts w:hint="eastAsia"/>
                <w:color w:val="auto"/>
                <w:szCs w:val="21"/>
              </w:rPr>
            </w:pPr>
            <w:r>
              <w:rPr>
                <w:rFonts w:hint="eastAsia"/>
                <w:color w:val="auto"/>
                <w:szCs w:val="21"/>
              </w:rPr>
              <w:t>□技术改造</w:t>
            </w:r>
          </w:p>
        </w:tc>
        <w:tc>
          <w:tcPr>
            <w:tcW w:w="2212" w:type="dxa"/>
            <w:vAlign w:val="center"/>
          </w:tcPr>
          <w:p>
            <w:pPr>
              <w:adjustRightInd w:val="0"/>
              <w:snapToGrid w:val="0"/>
              <w:jc w:val="center"/>
              <w:rPr>
                <w:color w:val="auto"/>
              </w:rPr>
            </w:pPr>
            <w:r>
              <w:rPr>
                <w:color w:val="auto"/>
              </w:rPr>
              <w:t>建设项目</w:t>
            </w:r>
          </w:p>
          <w:p>
            <w:pPr>
              <w:adjustRightInd w:val="0"/>
              <w:snapToGrid w:val="0"/>
              <w:jc w:val="center"/>
              <w:rPr>
                <w:color w:val="auto"/>
              </w:rPr>
            </w:pPr>
            <w:r>
              <w:rPr>
                <w:color w:val="auto"/>
              </w:rPr>
              <w:t>申报情形</w:t>
            </w:r>
          </w:p>
        </w:tc>
        <w:tc>
          <w:tcPr>
            <w:tcW w:w="2639" w:type="dxa"/>
            <w:vAlign w:val="center"/>
          </w:tcPr>
          <w:p>
            <w:pPr>
              <w:jc w:val="left"/>
              <w:rPr>
                <w:color w:val="auto"/>
              </w:rPr>
            </w:pPr>
            <w:r>
              <w:rPr>
                <w:color w:val="auto"/>
              </w:rPr>
              <w:t xml:space="preserve">☑首次申报项目             </w:t>
            </w:r>
          </w:p>
          <w:p>
            <w:pPr>
              <w:jc w:val="left"/>
              <w:rPr>
                <w:color w:val="auto"/>
              </w:rPr>
            </w:pPr>
            <w:r>
              <w:rPr>
                <w:color w:val="auto"/>
              </w:rPr>
              <w:t>□不予批准后再次申报项目</w:t>
            </w:r>
          </w:p>
          <w:p>
            <w:pPr>
              <w:jc w:val="left"/>
              <w:rPr>
                <w:color w:val="auto"/>
              </w:rPr>
            </w:pPr>
            <w:r>
              <w:rPr>
                <w:color w:val="auto"/>
              </w:rPr>
              <w:t xml:space="preserve">□超五年重新审核项目     </w:t>
            </w:r>
          </w:p>
          <w:p>
            <w:pPr>
              <w:jc w:val="left"/>
              <w:rPr>
                <w:color w:val="auto"/>
              </w:rPr>
            </w:pPr>
            <w:r>
              <w:rPr>
                <w:color w:val="auto"/>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color w:val="auto"/>
              </w:rPr>
            </w:pPr>
            <w:r>
              <w:rPr>
                <w:color w:val="auto"/>
              </w:rPr>
              <w:t>项目审批（核准/</w:t>
            </w:r>
          </w:p>
          <w:p>
            <w:pPr>
              <w:adjustRightInd w:val="0"/>
              <w:snapToGrid w:val="0"/>
              <w:jc w:val="center"/>
              <w:rPr>
                <w:color w:val="auto"/>
              </w:rPr>
            </w:pPr>
            <w:r>
              <w:rPr>
                <w:color w:val="auto"/>
              </w:rPr>
              <w:t>备案）部门（选填）</w:t>
            </w:r>
          </w:p>
        </w:tc>
        <w:tc>
          <w:tcPr>
            <w:tcW w:w="1637" w:type="dxa"/>
            <w:vAlign w:val="center"/>
          </w:tcPr>
          <w:p>
            <w:pPr>
              <w:adjustRightInd w:val="0"/>
              <w:snapToGrid w:val="0"/>
              <w:jc w:val="center"/>
              <w:rPr>
                <w:color w:val="auto"/>
              </w:rPr>
            </w:pPr>
            <w:r>
              <w:rPr>
                <w:color w:val="auto"/>
              </w:rPr>
              <w:t>无</w:t>
            </w:r>
          </w:p>
        </w:tc>
        <w:tc>
          <w:tcPr>
            <w:tcW w:w="2212" w:type="dxa"/>
            <w:vAlign w:val="center"/>
          </w:tcPr>
          <w:p>
            <w:pPr>
              <w:adjustRightInd w:val="0"/>
              <w:snapToGrid w:val="0"/>
              <w:jc w:val="center"/>
              <w:rPr>
                <w:color w:val="auto"/>
              </w:rPr>
            </w:pPr>
            <w:r>
              <w:rPr>
                <w:color w:val="auto"/>
              </w:rPr>
              <w:t>项目审批（核准/</w:t>
            </w:r>
          </w:p>
          <w:p>
            <w:pPr>
              <w:adjustRightInd w:val="0"/>
              <w:snapToGrid w:val="0"/>
              <w:jc w:val="center"/>
              <w:rPr>
                <w:color w:val="auto"/>
              </w:rPr>
            </w:pPr>
            <w:r>
              <w:rPr>
                <w:color w:val="auto"/>
              </w:rPr>
              <w:t>备案）文号（选填）</w:t>
            </w:r>
          </w:p>
        </w:tc>
        <w:tc>
          <w:tcPr>
            <w:tcW w:w="2639" w:type="dxa"/>
            <w:vAlign w:val="center"/>
          </w:tcPr>
          <w:p>
            <w:pPr>
              <w:adjustRightInd w:val="0"/>
              <w:snapToGrid w:val="0"/>
              <w:jc w:val="center"/>
              <w:rPr>
                <w:color w:val="auto"/>
              </w:rPr>
            </w:pPr>
            <w:r>
              <w:rPr>
                <w:color w:val="auto"/>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rPr>
            </w:pPr>
            <w:r>
              <w:rPr>
                <w:color w:val="auto"/>
              </w:rPr>
              <w:t>总投资（万元）</w:t>
            </w:r>
          </w:p>
        </w:tc>
        <w:tc>
          <w:tcPr>
            <w:tcW w:w="1637" w:type="dxa"/>
            <w:vAlign w:val="center"/>
          </w:tcPr>
          <w:p>
            <w:pPr>
              <w:adjustRightInd w:val="0"/>
              <w:snapToGrid w:val="0"/>
              <w:jc w:val="center"/>
              <w:rPr>
                <w:rFonts w:hint="eastAsia" w:eastAsia="宋体"/>
                <w:color w:val="auto"/>
                <w:lang w:eastAsia="zh-CN"/>
              </w:rPr>
            </w:pPr>
            <w:r>
              <w:rPr>
                <w:rFonts w:hint="eastAsia"/>
                <w:color w:val="auto"/>
                <w:lang w:eastAsia="zh-CN"/>
              </w:rPr>
              <w:t>200万</w:t>
            </w:r>
          </w:p>
        </w:tc>
        <w:tc>
          <w:tcPr>
            <w:tcW w:w="2212" w:type="dxa"/>
            <w:tcMar>
              <w:top w:w="16" w:type="dxa"/>
              <w:left w:w="16" w:type="dxa"/>
              <w:right w:w="16" w:type="dxa"/>
            </w:tcMar>
            <w:vAlign w:val="center"/>
          </w:tcPr>
          <w:p>
            <w:pPr>
              <w:adjustRightInd w:val="0"/>
              <w:snapToGrid w:val="0"/>
              <w:jc w:val="center"/>
              <w:rPr>
                <w:color w:val="auto"/>
              </w:rPr>
            </w:pPr>
            <w:r>
              <w:rPr>
                <w:color w:val="auto"/>
              </w:rPr>
              <w:t>环保投资（万元）</w:t>
            </w:r>
          </w:p>
        </w:tc>
        <w:tc>
          <w:tcPr>
            <w:tcW w:w="2639" w:type="dxa"/>
            <w:vAlign w:val="center"/>
          </w:tcPr>
          <w:p>
            <w:pPr>
              <w:adjustRightInd w:val="0"/>
              <w:snapToGrid w:val="0"/>
              <w:jc w:val="center"/>
              <w:rPr>
                <w:rFonts w:hint="default" w:eastAsia="宋体"/>
                <w:color w:val="auto"/>
                <w:lang w:val="en-US" w:eastAsia="zh-CN"/>
              </w:rPr>
            </w:pPr>
            <w:r>
              <w:rPr>
                <w:rFonts w:hint="eastAsia"/>
                <w:color w:val="auto"/>
                <w:lang w:val="en-US" w:eastAsia="zh-CN"/>
              </w:rPr>
              <w:t>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rPr>
            </w:pPr>
            <w:r>
              <w:rPr>
                <w:color w:val="auto"/>
              </w:rPr>
              <w:t>环保投资占比（%）</w:t>
            </w:r>
          </w:p>
        </w:tc>
        <w:tc>
          <w:tcPr>
            <w:tcW w:w="1637" w:type="dxa"/>
            <w:vAlign w:val="center"/>
          </w:tcPr>
          <w:p>
            <w:pPr>
              <w:adjustRightInd w:val="0"/>
              <w:snapToGrid w:val="0"/>
              <w:jc w:val="center"/>
              <w:rPr>
                <w:rFonts w:hint="default" w:eastAsia="宋体"/>
                <w:color w:val="auto"/>
                <w:lang w:val="en-US" w:eastAsia="zh-CN"/>
              </w:rPr>
            </w:pPr>
            <w:r>
              <w:rPr>
                <w:rFonts w:hint="eastAsia"/>
                <w:color w:val="auto"/>
                <w:lang w:val="en-US" w:eastAsia="zh-CN"/>
              </w:rPr>
              <w:t>14</w:t>
            </w:r>
          </w:p>
        </w:tc>
        <w:tc>
          <w:tcPr>
            <w:tcW w:w="2212" w:type="dxa"/>
            <w:tcMar>
              <w:top w:w="16" w:type="dxa"/>
              <w:left w:w="16" w:type="dxa"/>
              <w:right w:w="16" w:type="dxa"/>
            </w:tcMar>
            <w:vAlign w:val="center"/>
          </w:tcPr>
          <w:p>
            <w:pPr>
              <w:adjustRightInd w:val="0"/>
              <w:snapToGrid w:val="0"/>
              <w:jc w:val="center"/>
              <w:rPr>
                <w:color w:val="auto"/>
              </w:rPr>
            </w:pPr>
            <w:r>
              <w:rPr>
                <w:color w:val="auto"/>
              </w:rPr>
              <w:t>施工工期</w:t>
            </w:r>
          </w:p>
        </w:tc>
        <w:tc>
          <w:tcPr>
            <w:tcW w:w="2639" w:type="dxa"/>
            <w:vAlign w:val="center"/>
          </w:tcPr>
          <w:p>
            <w:pPr>
              <w:adjustRightInd w:val="0"/>
              <w:snapToGrid w:val="0"/>
              <w:jc w:val="center"/>
              <w:rPr>
                <w:rFonts w:hint="default" w:eastAsia="宋体"/>
                <w:color w:val="auto"/>
                <w:lang w:val="en-US" w:eastAsia="zh-CN"/>
              </w:rPr>
            </w:pPr>
            <w:r>
              <w:rPr>
                <w:rFonts w:hint="eastAsia"/>
                <w:color w:val="auto"/>
                <w:lang w:val="en-US" w:eastAsia="zh-CN"/>
              </w:rPr>
              <w:t>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rPr>
            </w:pPr>
            <w:r>
              <w:rPr>
                <w:color w:val="auto"/>
              </w:rPr>
              <w:t>是否开工建设</w:t>
            </w:r>
          </w:p>
        </w:tc>
        <w:tc>
          <w:tcPr>
            <w:tcW w:w="1637" w:type="dxa"/>
            <w:vAlign w:val="center"/>
          </w:tcPr>
          <w:p>
            <w:pPr>
              <w:adjustRightInd w:val="0"/>
              <w:snapToGrid w:val="0"/>
              <w:rPr>
                <w:color w:val="auto"/>
              </w:rPr>
            </w:pPr>
            <w:r>
              <w:rPr>
                <w:color w:val="auto"/>
              </w:rPr>
              <w:t>☑否</w:t>
            </w:r>
          </w:p>
          <w:p>
            <w:pPr>
              <w:adjustRightInd w:val="0"/>
              <w:snapToGrid w:val="0"/>
              <w:rPr>
                <w:color w:val="auto"/>
              </w:rPr>
            </w:pPr>
            <w:r>
              <w:rPr>
                <w:color w:val="auto"/>
              </w:rPr>
              <w:t>□是：</w:t>
            </w:r>
            <w:r>
              <w:rPr>
                <w:color w:val="auto"/>
                <w:u w:val="single"/>
              </w:rPr>
              <w:t xml:space="preserve">             </w:t>
            </w:r>
          </w:p>
        </w:tc>
        <w:tc>
          <w:tcPr>
            <w:tcW w:w="2212" w:type="dxa"/>
            <w:tcMar>
              <w:top w:w="16" w:type="dxa"/>
              <w:left w:w="16" w:type="dxa"/>
              <w:right w:w="16" w:type="dxa"/>
            </w:tcMar>
            <w:vAlign w:val="center"/>
          </w:tcPr>
          <w:p>
            <w:pPr>
              <w:adjustRightInd w:val="0"/>
              <w:snapToGrid w:val="0"/>
              <w:jc w:val="center"/>
              <w:rPr>
                <w:color w:val="auto"/>
                <w:spacing w:val="-6"/>
              </w:rPr>
            </w:pPr>
            <w:r>
              <w:rPr>
                <w:color w:val="auto"/>
                <w:spacing w:val="-6"/>
              </w:rPr>
              <w:t>用地（用海）</w:t>
            </w:r>
          </w:p>
          <w:p>
            <w:pPr>
              <w:adjustRightInd w:val="0"/>
              <w:snapToGrid w:val="0"/>
              <w:jc w:val="center"/>
              <w:rPr>
                <w:color w:val="auto"/>
              </w:rPr>
            </w:pPr>
            <w:r>
              <w:rPr>
                <w:color w:val="auto"/>
                <w:spacing w:val="-6"/>
              </w:rPr>
              <w:t>面积（m</w:t>
            </w:r>
            <w:r>
              <w:rPr>
                <w:color w:val="auto"/>
                <w:spacing w:val="-6"/>
                <w:vertAlign w:val="superscript"/>
              </w:rPr>
              <w:t>2</w:t>
            </w:r>
            <w:r>
              <w:rPr>
                <w:color w:val="auto"/>
                <w:spacing w:val="-6"/>
              </w:rPr>
              <w:t>）</w:t>
            </w:r>
          </w:p>
        </w:tc>
        <w:tc>
          <w:tcPr>
            <w:tcW w:w="2639" w:type="dxa"/>
            <w:vAlign w:val="center"/>
          </w:tcPr>
          <w:p>
            <w:pPr>
              <w:adjustRightInd w:val="0"/>
              <w:snapToGrid w:val="0"/>
              <w:jc w:val="center"/>
              <w:rPr>
                <w:rFonts w:hint="default" w:eastAsia="宋体"/>
                <w:color w:val="auto"/>
                <w:lang w:val="en-US" w:eastAsia="zh-CN"/>
              </w:rPr>
            </w:pPr>
            <w:r>
              <w:rPr>
                <w:rFonts w:hint="eastAsia"/>
                <w:color w:val="auto"/>
                <w:lang w:val="en-US" w:eastAsia="zh-CN"/>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auto"/>
                <w:kern w:val="0"/>
              </w:rPr>
            </w:pPr>
            <w:r>
              <w:rPr>
                <w:color w:val="auto"/>
                <w:kern w:val="0"/>
              </w:rPr>
              <w:t>专项评价设置情况</w:t>
            </w:r>
          </w:p>
        </w:tc>
        <w:tc>
          <w:tcPr>
            <w:tcW w:w="6488" w:type="dxa"/>
            <w:gridSpan w:val="3"/>
            <w:vAlign w:val="center"/>
          </w:tcPr>
          <w:p>
            <w:pPr>
              <w:autoSpaceDE w:val="0"/>
              <w:autoSpaceDN w:val="0"/>
              <w:adjustRightInd w:val="0"/>
              <w:snapToGrid w:val="0"/>
              <w:jc w:val="center"/>
              <w:rPr>
                <w:color w:val="auto"/>
                <w:kern w:val="0"/>
              </w:rPr>
            </w:pPr>
            <w:r>
              <w:rPr>
                <w:color w:val="auto"/>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382" w:type="dxa"/>
            <w:vAlign w:val="center"/>
          </w:tcPr>
          <w:p>
            <w:pPr>
              <w:autoSpaceDE w:val="0"/>
              <w:autoSpaceDN w:val="0"/>
              <w:adjustRightInd w:val="0"/>
              <w:snapToGrid w:val="0"/>
              <w:jc w:val="center"/>
              <w:rPr>
                <w:color w:val="auto"/>
                <w:kern w:val="0"/>
              </w:rPr>
            </w:pPr>
            <w:r>
              <w:rPr>
                <w:color w:val="auto"/>
              </w:rPr>
              <w:t>规划情况</w:t>
            </w:r>
          </w:p>
        </w:tc>
        <w:tc>
          <w:tcPr>
            <w:tcW w:w="6488" w:type="dxa"/>
            <w:gridSpan w:val="3"/>
            <w:vAlign w:val="center"/>
          </w:tcPr>
          <w:p>
            <w:pPr>
              <w:spacing w:line="360" w:lineRule="auto"/>
              <w:ind w:firstLine="480" w:firstLineChars="200"/>
              <w:rPr>
                <w:rFonts w:hint="default" w:eastAsia="宋体"/>
                <w:color w:val="auto"/>
                <w:kern w:val="0"/>
                <w:lang w:val="en-US" w:eastAsia="zh-CN"/>
              </w:rPr>
            </w:pPr>
            <w:r>
              <w:rPr>
                <w:rFonts w:hint="eastAsia"/>
                <w:color w:val="auto"/>
                <w:lang w:eastAsia="zh-CN"/>
              </w:rPr>
              <w:t>《邵东县包装印刷、塑料制品、新材料工业园规划》</w:t>
            </w:r>
            <w:r>
              <w:rPr>
                <w:rFonts w:hint="eastAsia"/>
                <w:color w:val="auto"/>
                <w:highlight w:val="none"/>
              </w:rPr>
              <w:t>邵东市发展和改革局</w:t>
            </w:r>
            <w:r>
              <w:rPr>
                <w:rFonts w:hint="eastAsia"/>
                <w:color w:val="auto"/>
                <w:highlight w:val="none"/>
                <w:lang w:eastAsia="zh-CN"/>
              </w:rPr>
              <w:t>（</w:t>
            </w:r>
            <w:r>
              <w:rPr>
                <w:rFonts w:hint="eastAsia"/>
                <w:color w:val="auto"/>
                <w:highlight w:val="none"/>
                <w:lang w:val="en-US" w:eastAsia="zh-CN"/>
              </w:rPr>
              <w:t>邵发改审[2018]162号</w:t>
            </w:r>
            <w:r>
              <w:rPr>
                <w:rFonts w:hint="eastAsia"/>
                <w:color w:val="auto"/>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djustRightInd w:val="0"/>
              <w:snapToGrid w:val="0"/>
              <w:jc w:val="center"/>
              <w:rPr>
                <w:color w:val="auto"/>
              </w:rPr>
            </w:pPr>
            <w:r>
              <w:rPr>
                <w:color w:val="auto"/>
              </w:rPr>
              <w:t>规划环境影响</w:t>
            </w:r>
          </w:p>
          <w:p>
            <w:pPr>
              <w:adjustRightInd w:val="0"/>
              <w:snapToGrid w:val="0"/>
              <w:jc w:val="center"/>
              <w:rPr>
                <w:color w:val="auto"/>
                <w:kern w:val="0"/>
              </w:rPr>
            </w:pPr>
            <w:r>
              <w:rPr>
                <w:color w:val="auto"/>
              </w:rPr>
              <w:t>评价情况</w:t>
            </w:r>
          </w:p>
        </w:tc>
        <w:tc>
          <w:tcPr>
            <w:tcW w:w="6488" w:type="dxa"/>
            <w:gridSpan w:val="3"/>
            <w:vAlign w:val="center"/>
          </w:tcPr>
          <w:p>
            <w:pPr>
              <w:pStyle w:val="33"/>
              <w:rPr>
                <w:color w:val="auto"/>
              </w:rPr>
            </w:pPr>
            <w:r>
              <w:rPr>
                <w:color w:val="auto"/>
              </w:rPr>
              <w:t>邵东县金华湘包装印刷产业园开发有限公司</w:t>
            </w:r>
            <w:r>
              <w:rPr>
                <w:rFonts w:hint="eastAsia"/>
                <w:color w:val="auto"/>
              </w:rPr>
              <w:t>于2018年委托湖南景玺环保科技有限公司编制了《</w:t>
            </w:r>
            <w:r>
              <w:rPr>
                <w:color w:val="auto"/>
              </w:rPr>
              <w:t>邵东县包装印刷、塑料制品、新材料工业园规划环境影响报告书</w:t>
            </w:r>
            <w:r>
              <w:rPr>
                <w:rFonts w:hint="eastAsia"/>
                <w:color w:val="auto"/>
              </w:rPr>
              <w:t>》，邵阳市生态环境局邵东分局（原邵东县环境保护局）于2018年6月22日以邵环评函[2018]02号函对该规划下达了审查意见。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auto"/>
                <w:kern w:val="0"/>
              </w:rPr>
            </w:pPr>
            <w:r>
              <w:rPr>
                <w:color w:val="auto"/>
                <w:kern w:val="0"/>
              </w:rPr>
              <w:t>规划及规划环境</w:t>
            </w:r>
          </w:p>
          <w:p>
            <w:pPr>
              <w:autoSpaceDE w:val="0"/>
              <w:autoSpaceDN w:val="0"/>
              <w:adjustRightInd w:val="0"/>
              <w:snapToGrid w:val="0"/>
              <w:jc w:val="center"/>
              <w:rPr>
                <w:color w:val="auto"/>
                <w:kern w:val="0"/>
              </w:rPr>
            </w:pPr>
            <w:r>
              <w:rPr>
                <w:color w:val="auto"/>
                <w:kern w:val="0"/>
              </w:rPr>
              <w:t>影响评价符合性分析</w:t>
            </w:r>
          </w:p>
        </w:tc>
        <w:tc>
          <w:tcPr>
            <w:tcW w:w="6488" w:type="dxa"/>
            <w:gridSpan w:val="3"/>
            <w:vAlign w:val="center"/>
          </w:tcPr>
          <w:p>
            <w:pPr>
              <w:autoSpaceDE w:val="0"/>
              <w:autoSpaceDN w:val="0"/>
              <w:adjustRightInd w:val="0"/>
              <w:snapToGrid w:val="0"/>
              <w:spacing w:line="360" w:lineRule="auto"/>
              <w:ind w:firstLine="480" w:firstLineChars="200"/>
              <w:jc w:val="left"/>
              <w:rPr>
                <w:color w:val="auto"/>
              </w:rPr>
            </w:pPr>
            <w:r>
              <w:rPr>
                <w:rFonts w:hint="eastAsia"/>
                <w:color w:val="auto"/>
              </w:rPr>
              <w:t>该园区位于</w:t>
            </w:r>
            <w:r>
              <w:rPr>
                <w:rFonts w:hint="eastAsia"/>
                <w:color w:val="auto"/>
                <w:lang w:eastAsia="zh-CN"/>
              </w:rPr>
              <w:t>邵东市黑田铺镇</w:t>
            </w:r>
            <w:r>
              <w:rPr>
                <w:rFonts w:hint="eastAsia"/>
                <w:color w:val="auto"/>
              </w:rPr>
              <w:t>玉京、团结、莲中三个村结合部，规划范围为北至华红路，南至谭邵高速，东至东湘路，西至西湘路，总占地面积为166.41 hm</w:t>
            </w:r>
            <w:r>
              <w:rPr>
                <w:rFonts w:hint="eastAsia"/>
                <w:color w:val="auto"/>
                <w:vertAlign w:val="superscript"/>
              </w:rPr>
              <w:t>2</w:t>
            </w:r>
            <w:r>
              <w:rPr>
                <w:rFonts w:hint="eastAsia"/>
                <w:color w:val="auto"/>
              </w:rPr>
              <w:t>，除居住用地、公共设施用地、道路广场用地、工程设施用地外，其余为二类工业用地。园区以包装印刷、塑料制品、新材料为主导产业，污染物排放量须符合以下条件：水污染排放量小且符合污水处理厂接纳标准的项目；大气污染物排放量小、防护距离小，以液化石油气、天然气、电力等清洁能源为燃料的项目。园区引进项目名录如下：</w:t>
            </w:r>
          </w:p>
          <w:p>
            <w:pPr>
              <w:autoSpaceDE w:val="0"/>
              <w:autoSpaceDN w:val="0"/>
              <w:adjustRightInd w:val="0"/>
              <w:snapToGrid w:val="0"/>
              <w:jc w:val="center"/>
              <w:rPr>
                <w:color w:val="auto"/>
              </w:rPr>
            </w:pPr>
            <w:r>
              <w:rPr>
                <w:rFonts w:hint="eastAsia"/>
                <w:color w:val="auto"/>
              </w:rPr>
              <w:t>表1-1     园区引进项目名录一览表</w:t>
            </w:r>
          </w:p>
          <w:tbl>
            <w:tblPr>
              <w:tblStyle w:val="34"/>
              <w:tblW w:w="60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2179"/>
              <w:gridCol w:w="29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项 目</w:t>
                  </w:r>
                </w:p>
              </w:tc>
              <w:tc>
                <w:tcPr>
                  <w:tcW w:w="21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一类工业</w:t>
                  </w:r>
                </w:p>
              </w:tc>
              <w:tc>
                <w:tcPr>
                  <w:tcW w:w="29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二类工业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0"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鼓励类</w:t>
                  </w:r>
                </w:p>
              </w:tc>
              <w:tc>
                <w:tcPr>
                  <w:tcW w:w="21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标准厂房、现代生产性服务业、仓储物流业、科技服务业、环境科技咨询机构、与园区主导产业相关联的下游产业（如包装业）、商务商贸服务业等。</w:t>
                  </w:r>
                </w:p>
              </w:tc>
              <w:tc>
                <w:tcPr>
                  <w:tcW w:w="29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包装印刷产业；塑料制品；新材料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允许类</w:t>
                  </w:r>
                </w:p>
              </w:tc>
              <w:tc>
                <w:tcPr>
                  <w:tcW w:w="21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w:t>
                  </w:r>
                </w:p>
              </w:tc>
              <w:tc>
                <w:tcPr>
                  <w:tcW w:w="29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2"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限制类</w:t>
                  </w:r>
                </w:p>
              </w:tc>
              <w:tc>
                <w:tcPr>
                  <w:tcW w:w="21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w:t>
                  </w:r>
                </w:p>
              </w:tc>
              <w:tc>
                <w:tcPr>
                  <w:tcW w:w="29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高能耗、高水耗，污水排放量较大行业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8"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禁止类</w:t>
                  </w:r>
                </w:p>
              </w:tc>
              <w:tc>
                <w:tcPr>
                  <w:tcW w:w="21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w:t>
                  </w:r>
                </w:p>
              </w:tc>
              <w:tc>
                <w:tcPr>
                  <w:tcW w:w="29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排放</w:t>
                  </w:r>
                  <w:r>
                    <w:rPr>
                      <w:rFonts w:hint="eastAsia"/>
                      <w:color w:val="auto"/>
                      <w:sz w:val="21"/>
                      <w:szCs w:val="21"/>
                      <w:lang w:eastAsia="zh-CN"/>
                    </w:rPr>
                    <w:t>邵东市美桥城市污水处理厂</w:t>
                  </w:r>
                  <w:r>
                    <w:rPr>
                      <w:rFonts w:hint="eastAsia"/>
                      <w:color w:val="auto"/>
                      <w:sz w:val="21"/>
                      <w:szCs w:val="21"/>
                    </w:rPr>
                    <w:t>不能处理的污水的企业；使用燃煤锅炉的；虽然</w:t>
                  </w:r>
                  <w:r>
                    <w:rPr>
                      <w:color w:val="auto"/>
                      <w:sz w:val="21"/>
                      <w:szCs w:val="21"/>
                    </w:rPr>
                    <w:t>符合园区产业定位</w:t>
                  </w:r>
                  <w:r>
                    <w:rPr>
                      <w:rFonts w:hint="eastAsia"/>
                      <w:color w:val="auto"/>
                      <w:sz w:val="21"/>
                      <w:szCs w:val="21"/>
                    </w:rPr>
                    <w:t>，但</w:t>
                  </w:r>
                  <w:r>
                    <w:rPr>
                      <w:color w:val="auto"/>
                      <w:sz w:val="21"/>
                      <w:szCs w:val="21"/>
                    </w:rPr>
                    <w:t>污染排放</w:t>
                  </w:r>
                  <w:r>
                    <w:rPr>
                      <w:rFonts w:hint="eastAsia"/>
                      <w:color w:val="auto"/>
                      <w:sz w:val="21"/>
                      <w:szCs w:val="21"/>
                    </w:rPr>
                    <w:t>高于二类工业</w:t>
                  </w:r>
                  <w:r>
                    <w:rPr>
                      <w:color w:val="auto"/>
                      <w:sz w:val="21"/>
                      <w:szCs w:val="21"/>
                    </w:rPr>
                    <w:t>的</w:t>
                  </w:r>
                  <w:r>
                    <w:rPr>
                      <w:rFonts w:hint="eastAsia"/>
                      <w:color w:val="auto"/>
                      <w:sz w:val="21"/>
                      <w:szCs w:val="21"/>
                    </w:rPr>
                    <w:t>企</w:t>
                  </w:r>
                  <w:r>
                    <w:rPr>
                      <w:color w:val="auto"/>
                      <w:sz w:val="21"/>
                      <w:szCs w:val="21"/>
                    </w:rPr>
                    <w:t>业</w:t>
                  </w:r>
                  <w:r>
                    <w:rPr>
                      <w:rFonts w:hint="eastAsia"/>
                      <w:color w:val="auto"/>
                      <w:sz w:val="21"/>
                      <w:szCs w:val="21"/>
                    </w:rPr>
                    <w:t>。</w:t>
                  </w:r>
                </w:p>
              </w:tc>
            </w:tr>
          </w:tbl>
          <w:p>
            <w:pPr>
              <w:autoSpaceDE w:val="0"/>
              <w:autoSpaceDN w:val="0"/>
              <w:adjustRightInd w:val="0"/>
              <w:snapToGrid w:val="0"/>
              <w:spacing w:line="360" w:lineRule="auto"/>
              <w:ind w:firstLine="480" w:firstLineChars="200"/>
              <w:jc w:val="left"/>
              <w:rPr>
                <w:rFonts w:hint="eastAsia"/>
                <w:color w:val="auto"/>
              </w:rPr>
            </w:pPr>
          </w:p>
          <w:p>
            <w:pPr>
              <w:autoSpaceDE w:val="0"/>
              <w:autoSpaceDN w:val="0"/>
              <w:adjustRightInd w:val="0"/>
              <w:snapToGrid w:val="0"/>
              <w:spacing w:line="360" w:lineRule="auto"/>
              <w:ind w:firstLine="480" w:firstLineChars="200"/>
              <w:jc w:val="left"/>
              <w:rPr>
                <w:rFonts w:hint="default" w:eastAsia="宋体"/>
                <w:color w:val="auto"/>
                <w:lang w:val="en-US" w:eastAsia="zh-CN"/>
              </w:rPr>
            </w:pPr>
            <w:r>
              <w:rPr>
                <w:rFonts w:hint="eastAsia"/>
                <w:color w:val="auto"/>
                <w:lang w:val="en-US" w:eastAsia="zh-CN"/>
              </w:rPr>
              <w:t>与</w:t>
            </w:r>
            <w:r>
              <w:rPr>
                <w:rFonts w:hint="eastAsia"/>
                <w:color w:val="auto"/>
              </w:rPr>
              <w:t>规划环评</w:t>
            </w:r>
            <w:r>
              <w:rPr>
                <w:rFonts w:hint="eastAsia"/>
                <w:color w:val="auto"/>
                <w:lang w:val="en-US" w:eastAsia="zh-CN"/>
              </w:rPr>
              <w:t>符合性分析：</w:t>
            </w:r>
          </w:p>
          <w:p>
            <w:pPr>
              <w:autoSpaceDE w:val="0"/>
              <w:autoSpaceDN w:val="0"/>
              <w:adjustRightInd w:val="0"/>
              <w:snapToGrid w:val="0"/>
              <w:spacing w:line="360" w:lineRule="auto"/>
              <w:ind w:firstLine="480" w:firstLineChars="200"/>
              <w:jc w:val="left"/>
              <w:rPr>
                <w:rFonts w:hint="eastAsia"/>
                <w:color w:val="auto"/>
              </w:rPr>
            </w:pPr>
            <w:r>
              <w:rPr>
                <w:rFonts w:hint="eastAsia"/>
                <w:color w:val="auto"/>
              </w:rPr>
              <w:t>项目厂址位于邵东县包装印刷、塑料制品、新材料工业园内，根据《邵东县包装印刷、塑料制品、新材料工业园用地布局规划图》，项目拟建地属二类工业用地，本项目用地符合园区用地规划的要求。</w:t>
            </w:r>
          </w:p>
          <w:p>
            <w:pPr>
              <w:autoSpaceDE w:val="0"/>
              <w:autoSpaceDN w:val="0"/>
              <w:adjustRightInd w:val="0"/>
              <w:snapToGrid w:val="0"/>
              <w:spacing w:line="360" w:lineRule="auto"/>
              <w:ind w:firstLine="480" w:firstLineChars="200"/>
              <w:jc w:val="left"/>
              <w:rPr>
                <w:rFonts w:hint="eastAsia"/>
                <w:color w:val="auto"/>
              </w:rPr>
            </w:pPr>
            <w:r>
              <w:rPr>
                <w:rFonts w:hint="eastAsia"/>
                <w:color w:val="auto"/>
              </w:rPr>
              <w:t>给水工程规划</w:t>
            </w:r>
            <w:r>
              <w:rPr>
                <w:rFonts w:hint="eastAsia"/>
                <w:color w:val="auto"/>
                <w:lang w:eastAsia="zh-CN"/>
              </w:rPr>
              <w:t>：</w:t>
            </w:r>
            <w:r>
              <w:rPr>
                <w:rFonts w:hint="eastAsia"/>
                <w:color w:val="auto"/>
              </w:rPr>
              <w:t>本区供水目前主要依靠马皇冲水库。其位于</w:t>
            </w:r>
            <w:r>
              <w:rPr>
                <w:rFonts w:hint="eastAsia"/>
                <w:color w:val="auto"/>
                <w:lang w:eastAsia="zh-CN"/>
              </w:rPr>
              <w:t>邵东市黑田铺镇</w:t>
            </w:r>
            <w:r>
              <w:rPr>
                <w:rFonts w:hint="eastAsia"/>
                <w:color w:val="auto"/>
              </w:rPr>
              <w:t>东北部马皇冲村，水库总库容1000万立方米。其枢纽工程由大坝、溢洪道、分层放水塔、输水隧洞等组成，是一座以灌溉为主，兼顾防洪、城镇供水等综合利用的小型水利工程。</w:t>
            </w:r>
          </w:p>
          <w:p>
            <w:pPr>
              <w:autoSpaceDE w:val="0"/>
              <w:autoSpaceDN w:val="0"/>
              <w:adjustRightInd w:val="0"/>
              <w:snapToGrid w:val="0"/>
              <w:spacing w:line="360" w:lineRule="auto"/>
              <w:ind w:firstLine="480" w:firstLineChars="200"/>
              <w:jc w:val="left"/>
              <w:rPr>
                <w:rFonts w:hint="eastAsia"/>
                <w:color w:val="auto"/>
              </w:rPr>
            </w:pPr>
            <w:r>
              <w:rPr>
                <w:rFonts w:hint="eastAsia"/>
                <w:color w:val="auto"/>
              </w:rPr>
              <w:t>排水工程规划</w:t>
            </w:r>
            <w:r>
              <w:rPr>
                <w:rFonts w:hint="eastAsia"/>
                <w:color w:val="auto"/>
                <w:lang w:eastAsia="zh-CN"/>
              </w:rPr>
              <w:t>：</w:t>
            </w:r>
            <w:r>
              <w:rPr>
                <w:rFonts w:hint="eastAsia"/>
                <w:color w:val="auto"/>
              </w:rPr>
              <w:t>园区内企业所产生的废水，排入园区污水管网，经园区至宋家塘管理区福星路污水管网，进入</w:t>
            </w:r>
            <w:r>
              <w:rPr>
                <w:rFonts w:hint="eastAsia"/>
                <w:color w:val="auto"/>
                <w:lang w:eastAsia="zh-CN"/>
              </w:rPr>
              <w:t>邵东市美桥城市污水处理厂</w:t>
            </w:r>
            <w:r>
              <w:rPr>
                <w:rFonts w:hint="eastAsia"/>
                <w:color w:val="auto"/>
              </w:rPr>
              <w:t>达标排放。</w:t>
            </w:r>
          </w:p>
          <w:p>
            <w:pPr>
              <w:autoSpaceDE w:val="0"/>
              <w:autoSpaceDN w:val="0"/>
              <w:adjustRightInd w:val="0"/>
              <w:snapToGrid w:val="0"/>
              <w:spacing w:line="360" w:lineRule="auto"/>
              <w:ind w:firstLine="480" w:firstLineChars="200"/>
              <w:jc w:val="left"/>
              <w:rPr>
                <w:rFonts w:hint="eastAsia"/>
                <w:color w:val="auto"/>
                <w:lang w:val="en-US" w:eastAsia="zh-CN"/>
              </w:rPr>
            </w:pPr>
            <w:r>
              <w:rPr>
                <w:rFonts w:hint="eastAsia"/>
                <w:color w:val="auto"/>
              </w:rPr>
              <w:t>采取雨污分流制，进一步完善排水管网建设，提高污水收集和处理率。污水管网规划，首先要考虑重要区域的防涝安全，其次要考虑生活服务和配套区实际，在网络方面避免出现污水收集盲区，污水管线布置要充分考虑近远期结合。根据工业园规划，园区内排水体制严格执行雨、污分流制。</w:t>
            </w:r>
            <w:r>
              <w:rPr>
                <w:rFonts w:hint="eastAsia"/>
                <w:color w:val="auto"/>
                <w:lang w:val="en-US" w:eastAsia="zh-CN"/>
              </w:rPr>
              <w:t xml:space="preserve">  </w:t>
            </w:r>
          </w:p>
          <w:p>
            <w:pPr>
              <w:autoSpaceDE w:val="0"/>
              <w:autoSpaceDN w:val="0"/>
              <w:adjustRightInd w:val="0"/>
              <w:snapToGrid w:val="0"/>
              <w:spacing w:line="360" w:lineRule="auto"/>
              <w:ind w:firstLine="480" w:firstLineChars="200"/>
              <w:jc w:val="left"/>
              <w:rPr>
                <w:rFonts w:hint="eastAsia"/>
                <w:color w:val="auto"/>
              </w:rPr>
            </w:pPr>
            <w:r>
              <w:rPr>
                <w:rFonts w:hint="eastAsia"/>
                <w:color w:val="auto"/>
              </w:rPr>
              <w:t>根据中华人民共和国国家发展和改革委员会第29号令《产业结构调整指导目录（2019年本）》（2021修改）“化工石化”条目中的“7、水性木器、工业、船舶涂料，高固体分、无溶剂、辐射固化、功能性外墙外保温涂料等环境友好、资源节约型涂料”</w:t>
            </w:r>
            <w:r>
              <w:rPr>
                <w:rFonts w:hint="eastAsia"/>
                <w:color w:val="auto"/>
                <w:lang w:val="en-US" w:eastAsia="zh-CN"/>
              </w:rPr>
              <w:t>属于“鼓励类”。</w:t>
            </w:r>
            <w:r>
              <w:rPr>
                <w:rFonts w:hint="eastAsia"/>
                <w:color w:val="auto"/>
              </w:rPr>
              <w:t>本项目</w:t>
            </w:r>
            <w:r>
              <w:rPr>
                <w:rFonts w:hint="eastAsia"/>
                <w:color w:val="auto"/>
                <w:lang w:val="en-US" w:eastAsia="zh-CN"/>
              </w:rPr>
              <w:t>为</w:t>
            </w:r>
            <w:r>
              <w:rPr>
                <w:rFonts w:hint="eastAsia"/>
                <w:color w:val="auto"/>
              </w:rPr>
              <w:t>“C2641 涂料制造”</w:t>
            </w:r>
            <w:r>
              <w:rPr>
                <w:rFonts w:hint="eastAsia"/>
                <w:color w:val="auto"/>
                <w:lang w:val="en-US" w:eastAsia="zh-CN"/>
              </w:rPr>
              <w:t>中的水性涂料制造，</w:t>
            </w:r>
            <w:r>
              <w:rPr>
                <w:rFonts w:hint="eastAsia"/>
                <w:color w:val="auto"/>
              </w:rPr>
              <w:t>属于园区引进项目名录中鼓励类的“</w:t>
            </w:r>
            <w:r>
              <w:rPr>
                <w:rFonts w:hint="eastAsia"/>
                <w:color w:val="auto"/>
                <w:lang w:val="en-US" w:eastAsia="zh-CN"/>
              </w:rPr>
              <w:t>新材料</w:t>
            </w:r>
            <w:r>
              <w:rPr>
                <w:rFonts w:hint="eastAsia"/>
                <w:color w:val="auto"/>
              </w:rPr>
              <w:t>二类工业”，符合邵东县包装印刷、塑料制品、新材料工业园的产业定位。</w:t>
            </w:r>
          </w:p>
          <w:p>
            <w:pPr>
              <w:autoSpaceDE w:val="0"/>
              <w:autoSpaceDN w:val="0"/>
              <w:adjustRightInd w:val="0"/>
              <w:snapToGrid w:val="0"/>
              <w:spacing w:line="360" w:lineRule="auto"/>
              <w:ind w:firstLine="480" w:firstLineChars="200"/>
              <w:jc w:val="left"/>
              <w:rPr>
                <w:rFonts w:hint="eastAsia"/>
                <w:color w:val="auto"/>
                <w:lang w:eastAsia="zh-CN"/>
              </w:rPr>
            </w:pPr>
            <w:r>
              <w:rPr>
                <w:rFonts w:hint="eastAsia"/>
                <w:color w:val="auto"/>
                <w:lang w:eastAsia="zh-CN"/>
              </w:rPr>
              <w:t>与规划环评审查意见符合性分析：</w:t>
            </w:r>
          </w:p>
          <w:p>
            <w:pPr>
              <w:autoSpaceDE w:val="0"/>
              <w:autoSpaceDN w:val="0"/>
              <w:adjustRightInd w:val="0"/>
              <w:snapToGrid w:val="0"/>
              <w:spacing w:line="360" w:lineRule="auto"/>
              <w:ind w:firstLine="480" w:firstLineChars="200"/>
              <w:jc w:val="left"/>
              <w:rPr>
                <w:rFonts w:hint="eastAsia"/>
                <w:color w:val="auto"/>
                <w:lang w:eastAsia="zh-CN"/>
              </w:rPr>
            </w:pPr>
            <w:r>
              <w:rPr>
                <w:rFonts w:hint="eastAsia"/>
                <w:color w:val="auto"/>
                <w:lang w:eastAsia="zh-CN"/>
              </w:rPr>
              <w:t>1、进一步优化规划布局。园区内各功能区应相对集中，并严格按照环评报告书提出的功能区规划进行建设，处理好园区工业、生活、配套服务等各功能的关系。本项目生产区与生活区分开布置，符合规划布局要求；</w:t>
            </w:r>
          </w:p>
          <w:p>
            <w:pPr>
              <w:autoSpaceDE w:val="0"/>
              <w:autoSpaceDN w:val="0"/>
              <w:adjustRightInd w:val="0"/>
              <w:snapToGrid w:val="0"/>
              <w:spacing w:line="360" w:lineRule="auto"/>
              <w:ind w:firstLine="480" w:firstLineChars="200"/>
              <w:jc w:val="left"/>
              <w:rPr>
                <w:rFonts w:hint="eastAsia"/>
                <w:color w:val="auto"/>
                <w:lang w:eastAsia="zh-CN"/>
              </w:rPr>
            </w:pPr>
            <w:r>
              <w:rPr>
                <w:rFonts w:hint="eastAsia"/>
                <w:color w:val="auto"/>
                <w:lang w:eastAsia="zh-CN"/>
              </w:rPr>
              <w:t>2、严格执行园区项目准入制度。入园项目必须符合园区总体发展规划、用地规划、环保规划及主导产业定位要求，不得引进报告书确定的限制入园、禁止入园项目。入园企业必须严格执行建设项目环境影响评价和“三同时”管理制度，推行清洁生产，确保污染物浓度、总量分别满足达标排放和总量控制要求。本项目为“C2641 涂料制造”中的水性涂料制造</w:t>
            </w:r>
            <w:r>
              <w:rPr>
                <w:rFonts w:hint="eastAsia"/>
                <w:color w:val="auto"/>
                <w:lang w:val="en-US" w:eastAsia="zh-CN"/>
              </w:rPr>
              <w:t>生产项目</w:t>
            </w:r>
            <w:r>
              <w:rPr>
                <w:rFonts w:hint="eastAsia"/>
                <w:color w:val="auto"/>
                <w:lang w:eastAsia="zh-CN"/>
              </w:rPr>
              <w:t>，属于园区引进项目名录中鼓励类的“新材料二类工业”生产项目，符合主导产业定位要求；</w:t>
            </w:r>
          </w:p>
          <w:p>
            <w:pPr>
              <w:autoSpaceDE w:val="0"/>
              <w:autoSpaceDN w:val="0"/>
              <w:adjustRightInd w:val="0"/>
              <w:snapToGrid w:val="0"/>
              <w:spacing w:line="360" w:lineRule="auto"/>
              <w:ind w:firstLine="480" w:firstLineChars="200"/>
              <w:jc w:val="left"/>
              <w:rPr>
                <w:rFonts w:hint="eastAsia"/>
                <w:color w:val="auto"/>
                <w:lang w:eastAsia="zh-CN"/>
              </w:rPr>
            </w:pPr>
            <w:r>
              <w:rPr>
                <w:rFonts w:hint="eastAsia"/>
                <w:color w:val="auto"/>
                <w:lang w:eastAsia="zh-CN"/>
              </w:rPr>
              <w:t>3、按雨污分流制建设园区排水管网，雨水排入园区雨水管网，废水经污水管网系统收集后通过市政管网进入县城污水处理厂。园区截污、排污管网与道路建设同步进行，保障园区生产、生活污水全部纳入污水处理厂集中处理。各企业外排废水须达到《污水综合排放标准》（GB8978-1996）中三级标准后才能排入污水管网，经污水处理厂处理达到《城镇污水处理厂污染物排放标准》（GB18918-2002）中一级A标准后排入邵水河。本项目去离子水生产过程中产生的少量废水用于邵东东创鞋底厂的绿化，综合利用，生活污水经化粪池处理后排入园区污水管网，进入污水处理厂进一步处理；</w:t>
            </w:r>
          </w:p>
          <w:p>
            <w:pPr>
              <w:autoSpaceDE w:val="0"/>
              <w:autoSpaceDN w:val="0"/>
              <w:adjustRightInd w:val="0"/>
              <w:snapToGrid w:val="0"/>
              <w:spacing w:line="360" w:lineRule="auto"/>
              <w:ind w:firstLine="480" w:firstLineChars="200"/>
              <w:jc w:val="left"/>
              <w:rPr>
                <w:rFonts w:hint="eastAsia"/>
                <w:color w:val="auto"/>
                <w:lang w:eastAsia="zh-CN"/>
              </w:rPr>
            </w:pPr>
            <w:r>
              <w:rPr>
                <w:rFonts w:hint="eastAsia"/>
                <w:color w:val="auto"/>
                <w:lang w:eastAsia="zh-CN"/>
              </w:rPr>
              <w:t>4、按要求采取大气污染物控制措施。加强施工期间扬尘控制管理。加强企业管理，对各企业有工艺废气产生的生产节点，应配置废气收集与处理设施，确保达标排放。职工食堂的炉灶锅台应安装抽油烟机及净化装置，外排油烟须达到《饮食业油烟排放标准》（GB18483-2001）。本项目本项目无二氧化硫、氮氧化物产生，不设食堂，无油烟产生，少量有机废气经负压收集活性炭吸附处理后能够达标排放；</w:t>
            </w:r>
          </w:p>
          <w:p>
            <w:pPr>
              <w:autoSpaceDE w:val="0"/>
              <w:autoSpaceDN w:val="0"/>
              <w:adjustRightInd w:val="0"/>
              <w:snapToGrid w:val="0"/>
              <w:spacing w:line="360" w:lineRule="auto"/>
              <w:ind w:firstLine="480" w:firstLineChars="200"/>
              <w:jc w:val="left"/>
              <w:rPr>
                <w:rFonts w:hint="default"/>
                <w:color w:val="auto"/>
                <w:lang w:val="en-US" w:eastAsia="zh-CN"/>
              </w:rPr>
            </w:pPr>
            <w:r>
              <w:rPr>
                <w:rFonts w:hint="eastAsia"/>
                <w:color w:val="auto"/>
                <w:lang w:eastAsia="zh-CN"/>
              </w:rPr>
              <w:t>5、加强园区噪声控制管理。加强施工期间管理，合理安排施工时间，园界噪声须达到《建筑施工场界环境噪声排放标准》（GB12523-2011）限值。优化各企业的布局，加强园区绿化，有效降低噪声对外环境的影响。本项目为</w:t>
            </w:r>
            <w:r>
              <w:rPr>
                <w:rFonts w:hint="eastAsia"/>
                <w:color w:val="auto"/>
                <w:lang w:val="en-US" w:eastAsia="zh-CN"/>
              </w:rPr>
              <w:t>租用现有厂房</w:t>
            </w:r>
            <w:r>
              <w:rPr>
                <w:rFonts w:hint="eastAsia"/>
                <w:color w:val="auto"/>
                <w:lang w:eastAsia="zh-CN"/>
              </w:rPr>
              <w:t>，</w:t>
            </w:r>
            <w:r>
              <w:rPr>
                <w:rFonts w:hint="eastAsia"/>
                <w:color w:val="auto"/>
                <w:lang w:val="en-US" w:eastAsia="zh-CN"/>
              </w:rPr>
              <w:t>施工期</w:t>
            </w:r>
            <w:r>
              <w:rPr>
                <w:rFonts w:hint="eastAsia"/>
                <w:color w:val="auto"/>
                <w:lang w:eastAsia="zh-CN"/>
              </w:rPr>
              <w:t>涉及的工程量很小，通过合理安排施工时间，对周边环境影响很小；</w:t>
            </w:r>
            <w:r>
              <w:rPr>
                <w:rFonts w:hint="eastAsia"/>
                <w:color w:val="auto"/>
                <w:lang w:val="en-US" w:eastAsia="zh-CN"/>
              </w:rPr>
              <w:t>生产过程中高噪声设备较少，采取相应的减震、隔音等污染防治措施，厂界能够达到相应的标准；</w:t>
            </w:r>
          </w:p>
          <w:p>
            <w:pPr>
              <w:autoSpaceDE w:val="0"/>
              <w:autoSpaceDN w:val="0"/>
              <w:adjustRightInd w:val="0"/>
              <w:snapToGrid w:val="0"/>
              <w:spacing w:line="360" w:lineRule="auto"/>
              <w:ind w:firstLine="480" w:firstLineChars="200"/>
              <w:jc w:val="left"/>
              <w:rPr>
                <w:rFonts w:hint="eastAsia"/>
                <w:color w:val="auto"/>
                <w:lang w:eastAsia="zh-CN"/>
              </w:rPr>
            </w:pPr>
            <w:r>
              <w:rPr>
                <w:rFonts w:hint="eastAsia"/>
                <w:color w:val="auto"/>
                <w:lang w:eastAsia="zh-CN"/>
              </w:rPr>
              <w:t>6、做好工业固废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对工业企业产生的固体废物特别是危险固废应按国家有关规定综合利用或妥善处置，严防二次污染。本项目本项目提高固体废物的综合利用率，能够利用的全部综合利用，危险废物妥善处置，实现零排放，生活垃圾完全实现无害化处理；</w:t>
            </w:r>
          </w:p>
          <w:p>
            <w:pPr>
              <w:autoSpaceDE w:val="0"/>
              <w:autoSpaceDN w:val="0"/>
              <w:adjustRightInd w:val="0"/>
              <w:snapToGrid w:val="0"/>
              <w:spacing w:line="360" w:lineRule="auto"/>
              <w:ind w:firstLine="480" w:firstLineChars="200"/>
              <w:jc w:val="left"/>
              <w:rPr>
                <w:rFonts w:hint="eastAsia"/>
                <w:color w:val="auto"/>
                <w:lang w:eastAsia="zh-CN"/>
              </w:rPr>
            </w:pPr>
            <w:r>
              <w:rPr>
                <w:rFonts w:hint="eastAsia"/>
                <w:color w:val="auto"/>
                <w:lang w:eastAsia="zh-CN"/>
              </w:rPr>
              <w:t>7、园区要建立专职的环境监督管理机构，采取防范环境风险事故措施，编制突发环境事件应急预案，严防环境风险事故发生。本项目按要求建立风险防范措施，防止环境风险事故发生；</w:t>
            </w:r>
          </w:p>
          <w:p>
            <w:pPr>
              <w:autoSpaceDE w:val="0"/>
              <w:autoSpaceDN w:val="0"/>
              <w:adjustRightInd w:val="0"/>
              <w:snapToGrid w:val="0"/>
              <w:spacing w:line="360" w:lineRule="auto"/>
              <w:ind w:firstLine="480" w:firstLineChars="200"/>
              <w:jc w:val="left"/>
              <w:rPr>
                <w:rFonts w:hint="eastAsia"/>
                <w:color w:val="auto"/>
                <w:lang w:eastAsia="zh-CN"/>
              </w:rPr>
            </w:pPr>
            <w:r>
              <w:rPr>
                <w:rFonts w:hint="eastAsia"/>
                <w:color w:val="auto"/>
                <w:lang w:eastAsia="zh-CN"/>
              </w:rPr>
              <w:t>8、做好建设期的生态保护和水土保持工作。落实生态环境的保护、恢复和补偿措施，对土方石开挖、堆存及回填要实施围挡、护坡等措施，裸露地及时恢复植被，防止水土流失。本项目利用现有工业厂房进行</w:t>
            </w:r>
            <w:r>
              <w:rPr>
                <w:rFonts w:hint="eastAsia"/>
                <w:color w:val="auto"/>
                <w:lang w:val="en-US" w:eastAsia="zh-CN"/>
              </w:rPr>
              <w:t>建设</w:t>
            </w:r>
            <w:r>
              <w:rPr>
                <w:rFonts w:hint="eastAsia"/>
                <w:color w:val="auto"/>
                <w:lang w:eastAsia="zh-CN"/>
              </w:rPr>
              <w:t>，不涉及土方石开挖等；</w:t>
            </w:r>
          </w:p>
          <w:p>
            <w:pPr>
              <w:autoSpaceDE w:val="0"/>
              <w:autoSpaceDN w:val="0"/>
              <w:adjustRightInd w:val="0"/>
              <w:snapToGrid w:val="0"/>
              <w:spacing w:line="360" w:lineRule="auto"/>
              <w:ind w:firstLine="480" w:firstLineChars="200"/>
              <w:jc w:val="left"/>
              <w:rPr>
                <w:rFonts w:hint="default"/>
                <w:color w:val="auto"/>
                <w:lang w:val="en-US" w:eastAsia="zh-CN"/>
              </w:rPr>
            </w:pPr>
            <w:r>
              <w:rPr>
                <w:rFonts w:hint="eastAsia"/>
                <w:color w:val="auto"/>
                <w:lang w:eastAsia="zh-CN"/>
              </w:rPr>
              <w:t>9、严格执行园区污染物总量控制要求，全面控制大气、水环境污染物排放量。污染物总量控制指标：COD≤52.9、氨氮≤5.29t/a；SO2≤6.41t/a、NOx≤31.99t/a、VOCs≤157.66t/a。本项目无二氧化硫、氮氧化物产生，生活污水经化粪池处理后，排入生活污水处理厂进一下处理，生活污水中少量的COD、氨氮总量纳入污水处理厂的总量指标当中，生产过程中产生少量的有机废气，经集气罩收集后通过活性炭吸附装置处理，排放的总量</w:t>
            </w:r>
            <w:r>
              <w:rPr>
                <w:rFonts w:hint="eastAsia"/>
                <w:color w:val="auto"/>
                <w:lang w:val="en-US" w:eastAsia="zh-CN"/>
              </w:rPr>
              <w:t>较小。</w:t>
            </w:r>
          </w:p>
          <w:p>
            <w:pPr>
              <w:autoSpaceDE w:val="0"/>
              <w:autoSpaceDN w:val="0"/>
              <w:adjustRightInd w:val="0"/>
              <w:snapToGrid w:val="0"/>
              <w:spacing w:line="360" w:lineRule="auto"/>
              <w:ind w:firstLine="480" w:firstLineChars="200"/>
              <w:jc w:val="left"/>
              <w:rPr>
                <w:rFonts w:hint="default" w:eastAsia="宋体"/>
                <w:color w:val="auto"/>
                <w:lang w:val="en-US" w:eastAsia="zh-CN"/>
              </w:rPr>
            </w:pPr>
            <w:r>
              <w:rPr>
                <w:rFonts w:hint="eastAsia"/>
                <w:color w:val="auto"/>
                <w:lang w:val="en-US" w:eastAsia="zh-CN"/>
              </w:rPr>
              <w:t xml:space="preserve">综上所述，本项目符合《邵东县包装印刷、塑料制品、新材料工业园规划环境影响报告书》及审查意见的要求。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auto"/>
                <w:kern w:val="0"/>
              </w:rPr>
            </w:pPr>
            <w:r>
              <w:rPr>
                <w:color w:val="auto"/>
                <w:kern w:val="0"/>
              </w:rPr>
              <w:t>其他符合性分析</w:t>
            </w:r>
          </w:p>
        </w:tc>
        <w:tc>
          <w:tcPr>
            <w:tcW w:w="6488" w:type="dxa"/>
            <w:gridSpan w:val="3"/>
            <w:vAlign w:val="center"/>
          </w:tcPr>
          <w:p>
            <w:pPr>
              <w:pStyle w:val="4"/>
              <w:rPr>
                <w:rFonts w:ascii="Times New Roman" w:hAnsi="Times New Roman"/>
                <w:color w:val="auto"/>
                <w:szCs w:val="24"/>
              </w:rPr>
            </w:pPr>
            <w:r>
              <w:rPr>
                <w:rFonts w:ascii="Times New Roman" w:hAnsi="Times New Roman"/>
                <w:color w:val="auto"/>
                <w:szCs w:val="24"/>
              </w:rPr>
              <w:t>1.1 项目与《产业结构调整指导目录（2019年本）》</w:t>
            </w:r>
            <w:r>
              <w:rPr>
                <w:rFonts w:hint="eastAsia" w:ascii="Times New Roman" w:hAnsi="Times New Roman"/>
                <w:color w:val="auto"/>
                <w:szCs w:val="24"/>
                <w:lang w:eastAsia="zh-CN"/>
              </w:rPr>
              <w:t>（</w:t>
            </w:r>
            <w:r>
              <w:rPr>
                <w:rFonts w:hint="eastAsia" w:ascii="Times New Roman" w:hAnsi="Times New Roman"/>
                <w:color w:val="auto"/>
                <w:szCs w:val="24"/>
                <w:lang w:val="en-US" w:eastAsia="zh-CN"/>
              </w:rPr>
              <w:t>2021修改</w:t>
            </w:r>
            <w:r>
              <w:rPr>
                <w:rFonts w:hint="eastAsia" w:ascii="Times New Roman" w:hAnsi="Times New Roman"/>
                <w:color w:val="auto"/>
                <w:szCs w:val="24"/>
                <w:lang w:eastAsia="zh-CN"/>
              </w:rPr>
              <w:t>）</w:t>
            </w:r>
            <w:r>
              <w:rPr>
                <w:rFonts w:ascii="Times New Roman" w:hAnsi="Times New Roman"/>
                <w:color w:val="auto"/>
                <w:szCs w:val="24"/>
              </w:rPr>
              <w:t>符合性分析</w:t>
            </w:r>
          </w:p>
          <w:p>
            <w:pPr>
              <w:spacing w:line="360" w:lineRule="auto"/>
              <w:ind w:firstLine="480" w:firstLineChars="200"/>
              <w:rPr>
                <w:color w:val="auto"/>
              </w:rPr>
            </w:pPr>
            <w:r>
              <w:rPr>
                <w:color w:val="auto"/>
              </w:rPr>
              <w:t>根据中华人民共和国国家发展和改革委员会第29号令《产业结构调整指导目录（2019年本）》</w:t>
            </w:r>
            <w:r>
              <w:rPr>
                <w:rFonts w:hint="eastAsia"/>
                <w:color w:val="auto"/>
              </w:rPr>
              <w:t>（2021修改）</w:t>
            </w:r>
            <w:r>
              <w:rPr>
                <w:color w:val="auto"/>
              </w:rPr>
              <w:t>，</w:t>
            </w:r>
            <w:r>
              <w:rPr>
                <w:rFonts w:hint="eastAsia"/>
                <w:color w:val="auto"/>
              </w:rPr>
              <w:t>“化工石化”条目中的“7、水性木器、工业、船舶涂料，高固体分、无溶剂、辐射固化、功能性外墙外保温涂料等环境友好、资源节约型涂料”</w:t>
            </w:r>
            <w:r>
              <w:rPr>
                <w:rFonts w:hint="eastAsia"/>
                <w:color w:val="auto"/>
                <w:lang w:val="en-US" w:eastAsia="zh-CN"/>
              </w:rPr>
              <w:t>属于</w:t>
            </w:r>
            <w:r>
              <w:rPr>
                <w:rFonts w:hint="eastAsia"/>
                <w:color w:val="auto"/>
              </w:rPr>
              <w:t>产业结构调整指导目录中鼓励类。本项目为“C2641 涂料制造”中的水性涂料制造生产项目</w:t>
            </w:r>
            <w:r>
              <w:rPr>
                <w:rFonts w:hint="eastAsia"/>
                <w:color w:val="auto"/>
                <w:lang w:eastAsia="zh-CN"/>
              </w:rPr>
              <w:t>，</w:t>
            </w:r>
            <w:r>
              <w:rPr>
                <w:rFonts w:hint="eastAsia"/>
                <w:color w:val="auto"/>
                <w:lang w:val="en-US" w:eastAsia="zh-CN"/>
              </w:rPr>
              <w:t>因此</w:t>
            </w:r>
            <w:r>
              <w:rPr>
                <w:color w:val="auto"/>
              </w:rPr>
              <w:t>本项目符合国家产业政策要求。</w:t>
            </w:r>
          </w:p>
          <w:p>
            <w:pPr>
              <w:spacing w:line="360" w:lineRule="auto"/>
              <w:rPr>
                <w:b/>
                <w:color w:val="auto"/>
              </w:rPr>
            </w:pPr>
            <w:r>
              <w:rPr>
                <w:b/>
                <w:color w:val="auto"/>
              </w:rPr>
              <w:t>1.2 项目与 《国土资源部、国家发展和改革委员会关于发布实施&lt;限制用地项目目录（2012年本）&gt;和&lt;禁止用地项目目录（2012年本）&gt;的通知》（国土资发【2012】98号）符合性分析</w:t>
            </w:r>
          </w:p>
          <w:p>
            <w:pPr>
              <w:spacing w:line="360" w:lineRule="auto"/>
              <w:ind w:firstLine="480" w:firstLineChars="200"/>
              <w:rPr>
                <w:color w:val="auto"/>
              </w:rPr>
            </w:pPr>
            <w:r>
              <w:rPr>
                <w:color w:val="auto"/>
              </w:rPr>
              <w:t>根据《国土资源部、国家发展和改革委员会关于发布实施&lt;限制用地项目目录（2012年本）&gt;和&lt;禁止用地项目目录（2012年本）&gt;的通知》（国土资发【2012】98号），本项目不属于《限制目录》和《禁止目录》中的建设项目，不属于该文件中限批或禁批的范围。</w:t>
            </w:r>
          </w:p>
          <w:p>
            <w:pPr>
              <w:spacing w:line="360" w:lineRule="auto"/>
              <w:rPr>
                <w:b/>
                <w:color w:val="auto"/>
              </w:rPr>
            </w:pPr>
            <w:r>
              <w:rPr>
                <w:b/>
                <w:color w:val="auto"/>
              </w:rPr>
              <w:t>1.3 项目与《湖南省人民政府办公厅关于加快推进产业园区改革和创新发展的实施意见》（湘政办函[2018]15号）</w:t>
            </w:r>
            <w:r>
              <w:rPr>
                <w:rFonts w:hint="eastAsia"/>
                <w:b/>
                <w:color w:val="auto"/>
              </w:rPr>
              <w:t>和《关于进一步规范和加强产业园区生态环境管理的通知》（湘环发[2020]27号）</w:t>
            </w:r>
            <w:r>
              <w:rPr>
                <w:b/>
                <w:color w:val="auto"/>
              </w:rPr>
              <w:t>的符合性分析</w:t>
            </w:r>
          </w:p>
          <w:p>
            <w:pPr>
              <w:spacing w:line="360" w:lineRule="auto"/>
              <w:ind w:firstLine="480" w:firstLineChars="200"/>
              <w:rPr>
                <w:rFonts w:hint="eastAsia"/>
                <w:color w:val="auto"/>
              </w:rPr>
            </w:pPr>
            <w:r>
              <w:rPr>
                <w:color w:val="auto"/>
              </w:rPr>
              <w:t>按照湘政办函[2018]15号文件</w:t>
            </w:r>
            <w:r>
              <w:rPr>
                <w:rFonts w:hint="eastAsia"/>
                <w:color w:val="auto"/>
              </w:rPr>
              <w:t>及湘环发[2020]27号文件</w:t>
            </w:r>
            <w:r>
              <w:rPr>
                <w:color w:val="auto"/>
              </w:rPr>
              <w:t>规定，新建工业项目须进入省级及以上园区，按规定新建工业项目和补办工业项目环评手续的，均不能受理审批。</w:t>
            </w:r>
            <w:r>
              <w:rPr>
                <w:rFonts w:hint="eastAsia"/>
                <w:color w:val="auto"/>
              </w:rPr>
              <w:t>根据《邵东市人民政府常务会议纪要》（2</w:t>
            </w:r>
            <w:r>
              <w:rPr>
                <w:color w:val="auto"/>
              </w:rPr>
              <w:t>020</w:t>
            </w:r>
            <w:r>
              <w:rPr>
                <w:rFonts w:hint="eastAsia"/>
                <w:color w:val="auto"/>
              </w:rPr>
              <w:t>第2</w:t>
            </w:r>
            <w:r>
              <w:rPr>
                <w:color w:val="auto"/>
              </w:rPr>
              <w:t>0</w:t>
            </w:r>
            <w:r>
              <w:rPr>
                <w:rFonts w:hint="eastAsia"/>
                <w:color w:val="auto"/>
              </w:rPr>
              <w:t>次），邵东市人民政府同意以邵东经济开发区为依托将仙槎桥镇五金工业园、廉桥镇医药科技园、黑田铺镇印刷产业园进行整合。</w:t>
            </w:r>
          </w:p>
          <w:p>
            <w:pPr>
              <w:spacing w:line="360" w:lineRule="auto"/>
              <w:ind w:firstLine="480" w:firstLineChars="200"/>
              <w:rPr>
                <w:rFonts w:hint="eastAsia"/>
                <w:color w:val="auto"/>
              </w:rPr>
            </w:pPr>
            <w:r>
              <w:rPr>
                <w:rFonts w:hint="eastAsia"/>
                <w:color w:val="auto"/>
                <w:lang w:eastAsia="zh-CN"/>
              </w:rPr>
              <w:t>邵东市</w:t>
            </w:r>
            <w:r>
              <w:rPr>
                <w:rFonts w:hint="eastAsia"/>
                <w:color w:val="auto"/>
              </w:rPr>
              <w:t>包装印刷、塑料制品、新材料工业园位于邵东</w:t>
            </w:r>
            <w:r>
              <w:rPr>
                <w:rFonts w:hint="eastAsia"/>
                <w:color w:val="auto"/>
                <w:lang w:val="en-US" w:eastAsia="zh-CN"/>
              </w:rPr>
              <w:t>市</w:t>
            </w:r>
            <w:r>
              <w:rPr>
                <w:rFonts w:hint="eastAsia"/>
                <w:color w:val="auto"/>
              </w:rPr>
              <w:t>黑田铺镇，前身为邵东县金华湘包装印刷产业园，于2014年7月立项，于2015年年初动工。工业园东至东湘路，西至西湘路，南至潭邵高速，北至华红路，总规划面积166.41hm2，除居住用地、公共设施用地、道路广场用地、工程设施用地外，其余为二类工业用地。</w:t>
            </w:r>
          </w:p>
          <w:p>
            <w:pPr>
              <w:spacing w:line="360" w:lineRule="auto"/>
              <w:ind w:firstLine="480" w:firstLineChars="200"/>
              <w:rPr>
                <w:rFonts w:hint="eastAsia"/>
                <w:color w:val="auto"/>
              </w:rPr>
            </w:pPr>
            <w:r>
              <w:rPr>
                <w:rFonts w:hint="eastAsia"/>
                <w:color w:val="auto"/>
              </w:rPr>
              <w:t>2017年11月10日，邵东县金华箱包装印刷产业园开发有限公司委托湖南景玺环保科技有限公司对邵东县包装印刷、塑料制品、新材料工业园进行了规划环境影响评价工作，并于2018年6月22日由邵东县环境保护局以邵环评函[2018]02号文件审批通过该工业园规划环境影响报告书。</w:t>
            </w:r>
          </w:p>
          <w:p>
            <w:pPr>
              <w:spacing w:line="360" w:lineRule="auto"/>
              <w:ind w:firstLine="480" w:firstLineChars="200"/>
              <w:rPr>
                <w:color w:val="auto"/>
              </w:rPr>
            </w:pPr>
            <w:r>
              <w:rPr>
                <w:rFonts w:hint="eastAsia"/>
                <w:color w:val="auto"/>
              </w:rPr>
              <w:t>邵东市包装印刷、塑料制品、新材料工业园产业园</w:t>
            </w:r>
            <w:r>
              <w:rPr>
                <w:rFonts w:hint="eastAsia"/>
                <w:color w:val="auto"/>
                <w:lang w:val="en-US" w:eastAsia="zh-CN"/>
              </w:rPr>
              <w:t>约定成俗称之为</w:t>
            </w:r>
            <w:r>
              <w:rPr>
                <w:rFonts w:hint="eastAsia"/>
                <w:color w:val="auto"/>
              </w:rPr>
              <w:t>黑田铺镇印刷产业园</w:t>
            </w:r>
            <w:r>
              <w:rPr>
                <w:rFonts w:hint="eastAsia"/>
                <w:color w:val="auto"/>
                <w:lang w:eastAsia="zh-CN"/>
              </w:rPr>
              <w:t>。</w:t>
            </w:r>
            <w:r>
              <w:rPr>
                <w:color w:val="auto"/>
              </w:rPr>
              <w:t>本项目</w:t>
            </w:r>
            <w:r>
              <w:rPr>
                <w:rFonts w:hint="eastAsia"/>
                <w:color w:val="auto"/>
              </w:rPr>
              <w:t>位于邵东市包装印刷、塑料制品、新材料工业园产业园内，符合省级园区“1+N”模式</w:t>
            </w:r>
            <w:r>
              <w:rPr>
                <w:color w:val="auto"/>
              </w:rPr>
              <w:t>，因此符合湘政办函[2018]15号文件</w:t>
            </w:r>
            <w:r>
              <w:rPr>
                <w:rFonts w:hint="eastAsia"/>
                <w:color w:val="auto"/>
              </w:rPr>
              <w:t>和湘环发[2020]27号文件的</w:t>
            </w:r>
            <w:r>
              <w:rPr>
                <w:color w:val="auto"/>
              </w:rPr>
              <w:t>要求。</w:t>
            </w:r>
          </w:p>
          <w:p>
            <w:pPr>
              <w:tabs>
                <w:tab w:val="left" w:pos="8820"/>
                <w:tab w:val="left" w:pos="9000"/>
              </w:tabs>
              <w:spacing w:line="360" w:lineRule="auto"/>
              <w:rPr>
                <w:b/>
                <w:color w:val="auto"/>
                <w:kern w:val="0"/>
                <w:szCs w:val="20"/>
              </w:rPr>
            </w:pPr>
            <w:r>
              <w:rPr>
                <w:rFonts w:hint="eastAsia"/>
                <w:b/>
                <w:color w:val="auto"/>
                <w:kern w:val="0"/>
                <w:szCs w:val="20"/>
              </w:rPr>
              <w:t>1.4与《挥发性有机物（</w:t>
            </w:r>
            <w:r>
              <w:rPr>
                <w:b/>
                <w:color w:val="auto"/>
                <w:kern w:val="0"/>
              </w:rPr>
              <w:t>VOCs</w:t>
            </w:r>
            <w:r>
              <w:rPr>
                <w:rFonts w:hint="eastAsia"/>
                <w:b/>
                <w:color w:val="auto"/>
                <w:kern w:val="0"/>
                <w:szCs w:val="20"/>
              </w:rPr>
              <w:t>）污染防治技术政策》相符性分析</w:t>
            </w:r>
          </w:p>
          <w:p>
            <w:pPr>
              <w:tabs>
                <w:tab w:val="left" w:pos="8820"/>
                <w:tab w:val="left" w:pos="9000"/>
              </w:tabs>
              <w:spacing w:line="360" w:lineRule="auto"/>
              <w:ind w:firstLine="480" w:firstLineChars="200"/>
              <w:rPr>
                <w:color w:val="auto"/>
                <w:kern w:val="0"/>
                <w:szCs w:val="20"/>
              </w:rPr>
            </w:pPr>
            <w:r>
              <w:rPr>
                <w:rFonts w:hint="eastAsia"/>
                <w:color w:val="auto"/>
                <w:kern w:val="0"/>
                <w:szCs w:val="20"/>
              </w:rPr>
              <w:t>根据《挥发性有机物（</w:t>
            </w:r>
            <w:r>
              <w:rPr>
                <w:color w:val="auto"/>
                <w:kern w:val="0"/>
              </w:rPr>
              <w:t>VOCs</w:t>
            </w:r>
            <w:r>
              <w:rPr>
                <w:rFonts w:hint="eastAsia"/>
                <w:color w:val="auto"/>
                <w:kern w:val="0"/>
                <w:szCs w:val="20"/>
              </w:rPr>
              <w:t>）污染防治技术政策》中相关要求，含VOCs产品的使用过程中，应采取废气收集措施，提高废气收集效率，减少废气的无组织排放与逸散，并对收集后的废气进行回收或处理后达标排放。恶臭气体污染源可采用生物技术、等离子体技术、吸附技术、吸收技术、紫外光高级氧化技术或组合技术等进行净化。净化后的恶臭气体除满足达标排放的要求外，还应采取高空排放等措施，避免产生扰民问题。</w:t>
            </w:r>
          </w:p>
          <w:p>
            <w:pPr>
              <w:tabs>
                <w:tab w:val="left" w:pos="8820"/>
                <w:tab w:val="left" w:pos="9000"/>
              </w:tabs>
              <w:spacing w:line="360" w:lineRule="auto"/>
              <w:ind w:firstLine="480" w:firstLineChars="200"/>
              <w:rPr>
                <w:color w:val="auto"/>
                <w:kern w:val="0"/>
                <w:szCs w:val="20"/>
              </w:rPr>
            </w:pPr>
            <w:r>
              <w:rPr>
                <w:rFonts w:hint="eastAsia"/>
                <w:color w:val="auto"/>
                <w:kern w:val="0"/>
                <w:szCs w:val="20"/>
              </w:rPr>
              <w:t>本项目挥发性有机物来源于</w:t>
            </w:r>
            <w:r>
              <w:rPr>
                <w:rFonts w:hint="eastAsia"/>
                <w:color w:val="auto"/>
                <w:kern w:val="0"/>
                <w:szCs w:val="20"/>
                <w:lang w:eastAsia="zh-CN"/>
              </w:rPr>
              <w:t>涂料搅拌分散过程中产生的</w:t>
            </w:r>
            <w:r>
              <w:rPr>
                <w:rFonts w:hint="eastAsia"/>
                <w:color w:val="auto"/>
                <w:kern w:val="0"/>
                <w:szCs w:val="20"/>
              </w:rPr>
              <w:t>有机废气。项目产生的有机废气均通过集气罩收集+</w:t>
            </w:r>
            <w:r>
              <w:rPr>
                <w:rFonts w:hint="eastAsia"/>
                <w:color w:val="auto"/>
                <w:kern w:val="0"/>
                <w:szCs w:val="20"/>
                <w:lang w:eastAsia="zh-CN"/>
              </w:rPr>
              <w:t>活性炭吸附</w:t>
            </w:r>
            <w:r>
              <w:rPr>
                <w:rFonts w:hint="eastAsia"/>
                <w:color w:val="auto"/>
                <w:kern w:val="0"/>
                <w:szCs w:val="20"/>
              </w:rPr>
              <w:t>+15m高排气筒排放，以减少有机废气对周边环境的影响，项目采取的措施符合《挥发性有机物（VOCs）污染防治技术政策》的要求。</w:t>
            </w:r>
          </w:p>
          <w:p>
            <w:pPr>
              <w:spacing w:line="360" w:lineRule="auto"/>
              <w:rPr>
                <w:b/>
                <w:color w:val="auto"/>
                <w:sz w:val="24"/>
                <w:szCs w:val="24"/>
              </w:rPr>
            </w:pPr>
            <w:r>
              <w:rPr>
                <w:b/>
                <w:color w:val="auto"/>
                <w:sz w:val="24"/>
                <w:szCs w:val="24"/>
              </w:rPr>
              <w:t>1.</w:t>
            </w:r>
            <w:r>
              <w:rPr>
                <w:rFonts w:hint="eastAsia"/>
                <w:b/>
                <w:color w:val="auto"/>
                <w:sz w:val="24"/>
                <w:szCs w:val="24"/>
                <w:lang w:val="en-US" w:eastAsia="zh-CN"/>
              </w:rPr>
              <w:t>5</w:t>
            </w:r>
            <w:r>
              <w:rPr>
                <w:b/>
                <w:color w:val="auto"/>
                <w:sz w:val="24"/>
                <w:szCs w:val="24"/>
              </w:rPr>
              <w:t>与《</w:t>
            </w:r>
            <w:r>
              <w:rPr>
                <w:rFonts w:hint="eastAsia"/>
                <w:b/>
                <w:color w:val="auto"/>
                <w:sz w:val="24"/>
                <w:szCs w:val="24"/>
              </w:rPr>
              <w:t>2020年挥发性有机物治理攻坚方案</w:t>
            </w:r>
            <w:r>
              <w:rPr>
                <w:b/>
                <w:color w:val="auto"/>
                <w:sz w:val="24"/>
                <w:szCs w:val="24"/>
              </w:rPr>
              <w:t>》</w:t>
            </w:r>
            <w:r>
              <w:rPr>
                <w:rFonts w:hint="eastAsia"/>
                <w:b/>
                <w:color w:val="auto"/>
                <w:sz w:val="24"/>
                <w:szCs w:val="24"/>
              </w:rPr>
              <w:t>符合性</w:t>
            </w:r>
            <w:r>
              <w:rPr>
                <w:b/>
                <w:color w:val="auto"/>
                <w:sz w:val="24"/>
                <w:szCs w:val="24"/>
              </w:rPr>
              <w:t>分析</w:t>
            </w:r>
          </w:p>
          <w:p>
            <w:pPr>
              <w:spacing w:line="360" w:lineRule="auto"/>
              <w:ind w:firstLine="480" w:firstLineChars="200"/>
              <w:rPr>
                <w:color w:val="auto"/>
                <w:sz w:val="24"/>
                <w:szCs w:val="24"/>
              </w:rPr>
            </w:pPr>
            <w:r>
              <w:rPr>
                <w:rFonts w:hint="eastAsia"/>
                <w:color w:val="auto"/>
                <w:sz w:val="24"/>
                <w:szCs w:val="24"/>
                <w:lang w:eastAsia="zh-CN"/>
              </w:rPr>
              <w:t>根据《2020年挥发性有机物治理攻坚方案》，全面落实标准要求，强化无组织排放控制：本项目加强含VOCs物料全方位、全链条、全环节密闭管理。储存环节采用密闭容器，装卸、转移和输送环节应采用密闭容器。聚焦治污设施“三率”，提升综合治理效率：按照“应收尽收”的原则提升废气收集率，本项目</w:t>
            </w:r>
            <w:r>
              <w:rPr>
                <w:rFonts w:hint="eastAsia"/>
                <w:color w:val="auto"/>
                <w:sz w:val="24"/>
                <w:szCs w:val="24"/>
                <w:lang w:val="en-US" w:eastAsia="zh-CN"/>
              </w:rPr>
              <w:t>环评要求</w:t>
            </w:r>
            <w:r>
              <w:rPr>
                <w:rFonts w:hint="eastAsia"/>
                <w:color w:val="auto"/>
                <w:sz w:val="24"/>
                <w:szCs w:val="24"/>
                <w:lang w:eastAsia="zh-CN"/>
              </w:rPr>
              <w:t>对现有的挥发性有机物废气进行收集处理；除恶臭异味治理外，一般不采用低温等离子、光催化、光氧化等技术，本项目采用</w:t>
            </w:r>
            <w:r>
              <w:rPr>
                <w:rFonts w:hint="eastAsia"/>
                <w:color w:val="auto"/>
                <w:sz w:val="24"/>
                <w:szCs w:val="24"/>
                <w:lang w:val="en-US" w:eastAsia="zh-CN"/>
              </w:rPr>
              <w:t>活性炭吸附装置，提高处理效率；本项目加强生产车间密闭管理，在符合安全生产、职业卫生相关规定前提下，采用卷帘门、密闭性好的塑钢门窗等，在非必要时保持关闭。因此符合《2020年挥发性有机物治理攻坚方案》的要求。</w:t>
            </w:r>
          </w:p>
          <w:p>
            <w:pPr>
              <w:spacing w:line="360" w:lineRule="auto"/>
              <w:rPr>
                <w:b/>
                <w:color w:val="auto"/>
                <w:sz w:val="24"/>
                <w:szCs w:val="24"/>
              </w:rPr>
            </w:pPr>
            <w:r>
              <w:rPr>
                <w:b/>
                <w:color w:val="auto"/>
                <w:sz w:val="24"/>
                <w:szCs w:val="24"/>
              </w:rPr>
              <w:t>1.</w:t>
            </w:r>
            <w:r>
              <w:rPr>
                <w:rFonts w:hint="eastAsia"/>
                <w:b/>
                <w:color w:val="auto"/>
                <w:sz w:val="24"/>
                <w:szCs w:val="24"/>
                <w:lang w:val="en-US" w:eastAsia="zh-CN"/>
              </w:rPr>
              <w:t>6</w:t>
            </w:r>
            <w:r>
              <w:rPr>
                <w:b/>
                <w:color w:val="auto"/>
                <w:sz w:val="24"/>
                <w:szCs w:val="24"/>
              </w:rPr>
              <w:t>与《</w:t>
            </w:r>
            <w:r>
              <w:rPr>
                <w:rFonts w:hint="eastAsia"/>
                <w:b/>
                <w:color w:val="auto"/>
                <w:sz w:val="24"/>
                <w:szCs w:val="24"/>
              </w:rPr>
              <w:t>重点行业挥发性有机物综合治理方案》符合性</w:t>
            </w:r>
            <w:r>
              <w:rPr>
                <w:b/>
                <w:color w:val="auto"/>
                <w:sz w:val="24"/>
                <w:szCs w:val="24"/>
              </w:rPr>
              <w:t>分析</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val="en-US" w:eastAsia="zh-CN"/>
              </w:rPr>
            </w:pPr>
            <w:r>
              <w:rPr>
                <w:rFonts w:hint="eastAsia"/>
                <w:color w:val="auto"/>
                <w:sz w:val="24"/>
                <w:szCs w:val="24"/>
                <w:lang w:eastAsia="zh-CN"/>
              </w:rPr>
              <w:t>根据《重点行业挥发性有机物综合治理方案》石化、化工、工业涂装、包装印刷、油品储运销等行业为重点行业</w:t>
            </w:r>
            <w:r>
              <w:rPr>
                <w:color w:val="auto"/>
                <w:sz w:val="24"/>
                <w:szCs w:val="24"/>
              </w:rPr>
              <w:t>。</w:t>
            </w:r>
            <w:r>
              <w:rPr>
                <w:rFonts w:hint="eastAsia"/>
                <w:color w:val="auto"/>
                <w:sz w:val="24"/>
                <w:szCs w:val="24"/>
                <w:lang w:val="en-US" w:eastAsia="zh-CN"/>
              </w:rPr>
              <w:t>本项目属于水性涂料生产项目，符合“大力推进源头替代”“鼓励加快低VOCs含量涂料、油墨、胶粘剂等研发和生产。”的要求。</w:t>
            </w:r>
          </w:p>
          <w:p>
            <w:pPr>
              <w:spacing w:line="360" w:lineRule="auto"/>
              <w:rPr>
                <w:b/>
                <w:color w:val="auto"/>
                <w:sz w:val="24"/>
                <w:szCs w:val="24"/>
              </w:rPr>
            </w:pPr>
            <w:r>
              <w:rPr>
                <w:b/>
                <w:color w:val="auto"/>
                <w:sz w:val="24"/>
                <w:szCs w:val="24"/>
              </w:rPr>
              <w:t>1.</w:t>
            </w:r>
            <w:r>
              <w:rPr>
                <w:rFonts w:hint="eastAsia"/>
                <w:b/>
                <w:color w:val="auto"/>
                <w:sz w:val="24"/>
                <w:szCs w:val="24"/>
                <w:lang w:val="en-US" w:eastAsia="zh-CN"/>
              </w:rPr>
              <w:t>7</w:t>
            </w:r>
            <w:r>
              <w:rPr>
                <w:b/>
                <w:color w:val="auto"/>
                <w:sz w:val="24"/>
                <w:szCs w:val="24"/>
              </w:rPr>
              <w:t>与</w:t>
            </w:r>
            <w:r>
              <w:rPr>
                <w:rFonts w:hint="eastAsia"/>
                <w:b/>
                <w:color w:val="auto"/>
                <w:sz w:val="24"/>
                <w:szCs w:val="24"/>
              </w:rPr>
              <w:t>《湖南省“十四五”生态环境保护规划》符合性</w:t>
            </w:r>
            <w:r>
              <w:rPr>
                <w:b/>
                <w:color w:val="auto"/>
                <w:sz w:val="24"/>
                <w:szCs w:val="24"/>
              </w:rPr>
              <w:t>分析</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eastAsia="zh-CN"/>
              </w:rPr>
            </w:pPr>
            <w:r>
              <w:rPr>
                <w:rFonts w:hint="eastAsia"/>
                <w:color w:val="auto"/>
                <w:sz w:val="24"/>
                <w:szCs w:val="24"/>
                <w:lang w:eastAsia="zh-CN"/>
              </w:rPr>
              <w:t>(一)深入打好碧水保卫战。</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eastAsia="zh-CN"/>
              </w:rPr>
            </w:pPr>
            <w:r>
              <w:rPr>
                <w:rFonts w:hint="eastAsia"/>
                <w:color w:val="auto"/>
                <w:sz w:val="24"/>
                <w:szCs w:val="24"/>
                <w:lang w:eastAsia="zh-CN"/>
              </w:rPr>
              <w:t>强化饮用水水源地保护监管。本项目不涉及饮用水水源地。</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eastAsia="zh-CN"/>
              </w:rPr>
            </w:pPr>
            <w:r>
              <w:rPr>
                <w:rFonts w:hint="eastAsia"/>
                <w:color w:val="auto"/>
                <w:sz w:val="24"/>
                <w:szCs w:val="24"/>
                <w:lang w:eastAsia="zh-CN"/>
              </w:rPr>
              <w:t>深化重点领域水污染治理。以企业和工业聚集区为重点，推进工业园区污水处理设施分类管理、分期升级改造，实施省级及以上工业园区专项整治行动，实现省级及以上工业园区污水管网全覆盖、污水全收集、污水集中处理设施稳定达标运行、进出水水质在线监控并联网正常，规范设置园区集中污水处理设施排污口，建立园区水环境管理“一园一档”。本项目污水排入污水处理厂进一步处理。</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eastAsia="zh-CN"/>
              </w:rPr>
            </w:pPr>
            <w:r>
              <w:rPr>
                <w:rFonts w:hint="eastAsia"/>
                <w:color w:val="auto"/>
                <w:sz w:val="24"/>
                <w:szCs w:val="24"/>
                <w:lang w:eastAsia="zh-CN"/>
              </w:rPr>
              <w:t>强化水资源保障与利用。工业用水重复利用、畜禽粪污和渔业养殖尾水资源化利用水平显著提升。本项目除尘水循环使用。</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eastAsia="zh-CN"/>
              </w:rPr>
            </w:pPr>
            <w:r>
              <w:rPr>
                <w:rFonts w:hint="eastAsia"/>
                <w:color w:val="auto"/>
                <w:sz w:val="24"/>
                <w:szCs w:val="24"/>
                <w:lang w:eastAsia="zh-CN"/>
              </w:rPr>
              <w:t>(二)深入打好蓝天保卫战。</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eastAsia="zh-CN"/>
              </w:rPr>
            </w:pPr>
            <w:r>
              <w:rPr>
                <w:rFonts w:hint="eastAsia"/>
                <w:color w:val="auto"/>
                <w:sz w:val="24"/>
                <w:szCs w:val="24"/>
                <w:lang w:eastAsia="zh-CN"/>
              </w:rPr>
              <w:t>强化重点行业VOCs科学治理。以工业涂装、石化、化工、包装印刷、油品储运销等行业为重点，实施企业VOCs原料替代、排放全过程控制。推进使用先进生产工艺设备，减少无组织排放。实行重点排放源排放浓度与去除效率双重控制。本项目产生的VOCs集中收集后通过活性炭吸附装置进行处理。</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eastAsia="zh-CN"/>
              </w:rPr>
            </w:pPr>
            <w:r>
              <w:rPr>
                <w:rFonts w:hint="eastAsia"/>
                <w:color w:val="auto"/>
                <w:sz w:val="24"/>
                <w:szCs w:val="24"/>
                <w:lang w:eastAsia="zh-CN"/>
              </w:rPr>
              <w:t>积极应对重污染天气。加强重污染天气应急响应，修订完善并持续更新重污染天气应急预案，细化应急减排措施，实施应急减排清单化管理。督促工业企业按照“一厂一案”要求，配套制定具体的应急响应操作方案。本项目实施后，根据当地环境主管部门的意见，配套制定具体的应急响应操作方案。</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2" w:firstLineChars="200"/>
              <w:textAlignment w:val="auto"/>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eastAsia="宋体" w:cs="Times New Roman"/>
                <w:b/>
                <w:color w:val="auto"/>
                <w:kern w:val="2"/>
                <w:sz w:val="24"/>
                <w:szCs w:val="24"/>
                <w:lang w:val="en-US" w:eastAsia="zh-CN" w:bidi="ar-SA"/>
              </w:rPr>
              <w:t>1.8与《湖南省“十四五”生态环境保护规划》符合性分析</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val="en-US" w:eastAsia="zh-CN"/>
              </w:rPr>
            </w:pPr>
            <w:r>
              <w:rPr>
                <w:rFonts w:hint="eastAsia"/>
                <w:color w:val="auto"/>
                <w:sz w:val="24"/>
                <w:szCs w:val="24"/>
                <w:lang w:val="en-US" w:eastAsia="zh-CN"/>
              </w:rPr>
              <w:t>(一)深入打好碧水保卫战。</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val="en-US" w:eastAsia="zh-CN"/>
              </w:rPr>
            </w:pPr>
            <w:r>
              <w:rPr>
                <w:rFonts w:hint="eastAsia"/>
                <w:color w:val="auto"/>
                <w:sz w:val="24"/>
                <w:szCs w:val="24"/>
                <w:lang w:val="en-US" w:eastAsia="zh-CN"/>
              </w:rPr>
              <w:t>强化饮用水水源地保护监管。本项目不涉及饮用水水源地。</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val="en-US" w:eastAsia="zh-CN"/>
              </w:rPr>
            </w:pPr>
            <w:r>
              <w:rPr>
                <w:rFonts w:hint="eastAsia"/>
                <w:color w:val="auto"/>
                <w:sz w:val="24"/>
                <w:szCs w:val="24"/>
                <w:lang w:val="en-US" w:eastAsia="zh-CN"/>
              </w:rPr>
              <w:t>深化重点领域水污染治理。以企业和工业聚集区为重点，推进工业园区污水处理设施分类管理、分期升级改造，实施省级及以上工业园区专项整治行动，实现省级及以上工业园区污水管网全覆盖、污水全收集、污水集中处理设施稳定达标运行、进出水水质在线监控并联网正常，规范设置园区集中污水处理设施排污口，建立园区水环境管理“一园一档”。本项目污水排入污水处理厂进一步处理。</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val="en-US" w:eastAsia="zh-CN"/>
              </w:rPr>
            </w:pPr>
            <w:r>
              <w:rPr>
                <w:rFonts w:hint="eastAsia"/>
                <w:color w:val="auto"/>
                <w:sz w:val="24"/>
                <w:szCs w:val="24"/>
                <w:lang w:val="en-US" w:eastAsia="zh-CN"/>
              </w:rPr>
              <w:t>强化水资源保障与利用。工业用水重复利用、畜禽粪污和渔业养殖尾水资源化利用水平显著提升。</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val="en-US" w:eastAsia="zh-CN"/>
              </w:rPr>
            </w:pPr>
            <w:r>
              <w:rPr>
                <w:rFonts w:hint="eastAsia"/>
                <w:color w:val="auto"/>
                <w:sz w:val="24"/>
                <w:szCs w:val="24"/>
                <w:lang w:val="en-US" w:eastAsia="zh-CN"/>
              </w:rPr>
              <w:t>本项目去离子水生产过程中产生的废水用于除尘，除尘废水循环使用。</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val="en-US" w:eastAsia="zh-CN"/>
              </w:rPr>
            </w:pPr>
            <w:r>
              <w:rPr>
                <w:rFonts w:hint="eastAsia"/>
                <w:color w:val="auto"/>
                <w:sz w:val="24"/>
                <w:szCs w:val="24"/>
                <w:lang w:val="en-US" w:eastAsia="zh-CN"/>
              </w:rPr>
              <w:t>(二)深入打好蓝天保卫战。</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val="en-US" w:eastAsia="zh-CN"/>
              </w:rPr>
            </w:pPr>
            <w:r>
              <w:rPr>
                <w:rFonts w:hint="eastAsia"/>
                <w:color w:val="auto"/>
                <w:sz w:val="24"/>
                <w:szCs w:val="24"/>
                <w:lang w:val="en-US" w:eastAsia="zh-CN"/>
              </w:rPr>
              <w:t>强化重点行业VOCs科学治理。以工业涂装、石化、化工、包装印刷、油品储运销等行业为重点，实施企业VOCs原料替代、排放全过程控制。推进使用先进生产工艺设备，减少无组织排放。实行重点排放源排放浓度与去除效率双重控制。本项目产生的VOCs集中收集后通过活性炭吸附装置进行处理。</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color w:val="auto"/>
                <w:sz w:val="24"/>
                <w:szCs w:val="24"/>
                <w:lang w:val="en-US" w:eastAsia="zh-CN"/>
              </w:rPr>
            </w:pPr>
            <w:r>
              <w:rPr>
                <w:rFonts w:hint="eastAsia"/>
                <w:color w:val="auto"/>
                <w:sz w:val="24"/>
                <w:szCs w:val="24"/>
                <w:lang w:val="en-US" w:eastAsia="zh-CN"/>
              </w:rPr>
              <w:t>积极应对重污染天气。加强重污染天气应急响应，修订完善并持续更新重污染天气应急预案，细化应急减排措施，实施应急减排清单化管理。督促工业企业按照“一厂一案”要求，配套制定具体的应急响应操作方案。本项目实施后，根据当地环境主管部门的意见，配套制定具体的应急响应操作方案。</w:t>
            </w:r>
          </w:p>
          <w:p>
            <w:pPr>
              <w:pStyle w:val="19"/>
              <w:bidi w:val="0"/>
              <w:rPr>
                <w:rFonts w:hint="default"/>
                <w:color w:val="auto"/>
                <w:lang w:val="en-US" w:eastAsia="zh-CN"/>
              </w:rPr>
            </w:pPr>
            <w:r>
              <w:rPr>
                <w:rFonts w:hint="eastAsia"/>
                <w:color w:val="auto"/>
                <w:lang w:val="en-US" w:eastAsia="zh-CN"/>
              </w:rPr>
              <w:t>因此本项目符合《湖南省“十四五”生态环境保护规划》相关要求。</w:t>
            </w:r>
          </w:p>
          <w:p>
            <w:pPr>
              <w:spacing w:line="360" w:lineRule="auto"/>
              <w:rPr>
                <w:b/>
                <w:color w:val="auto"/>
              </w:rPr>
            </w:pPr>
            <w:r>
              <w:rPr>
                <w:rFonts w:hint="eastAsia"/>
                <w:b/>
                <w:color w:val="auto"/>
              </w:rPr>
              <w:t>1.</w:t>
            </w:r>
            <w:r>
              <w:rPr>
                <w:rFonts w:hint="eastAsia"/>
                <w:b/>
                <w:color w:val="auto"/>
                <w:lang w:val="en-US" w:eastAsia="zh-CN"/>
              </w:rPr>
              <w:t>9</w:t>
            </w:r>
            <w:r>
              <w:rPr>
                <w:b/>
                <w:color w:val="auto"/>
              </w:rPr>
              <w:t>项目与</w:t>
            </w:r>
            <w:r>
              <w:rPr>
                <w:rFonts w:hint="eastAsia"/>
                <w:b/>
                <w:color w:val="auto"/>
              </w:rPr>
              <w:t>“三线一单”的符合性分析</w:t>
            </w:r>
          </w:p>
          <w:p>
            <w:pPr>
              <w:pStyle w:val="2"/>
              <w:keepNext/>
              <w:keepLines/>
              <w:pageBreakBefore w:val="0"/>
              <w:widowControl w:val="0"/>
              <w:kinsoku/>
              <w:wordWrap/>
              <w:overflowPunct/>
              <w:topLinePunct w:val="0"/>
              <w:autoSpaceDE/>
              <w:autoSpaceDN/>
              <w:bidi w:val="0"/>
              <w:adjustRightInd/>
              <w:snapToGrid/>
              <w:spacing w:line="360" w:lineRule="auto"/>
              <w:ind w:firstLine="420"/>
              <w:textAlignment w:val="auto"/>
              <w:rPr>
                <w:b w:val="0"/>
                <w:color w:val="auto"/>
                <w:sz w:val="24"/>
                <w:szCs w:val="24"/>
              </w:rPr>
            </w:pPr>
            <w:r>
              <w:rPr>
                <w:b w:val="0"/>
                <w:color w:val="auto"/>
                <w:sz w:val="24"/>
                <w:szCs w:val="24"/>
              </w:rPr>
              <w:t>根据《邵阳市人民政府关于实施“三线一单”生态环境分区管控的意见》（邵市政发[2020]10号），项目所在地为重点管控单元，环境管控单元编码为ZH43052120003，项目与环境管控单元管控要求相符性如下表所示：</w:t>
            </w:r>
          </w:p>
          <w:p>
            <w:pPr>
              <w:jc w:val="center"/>
              <w:rPr>
                <w:b/>
                <w:color w:val="auto"/>
              </w:rPr>
            </w:pPr>
            <w:r>
              <w:rPr>
                <w:b/>
                <w:color w:val="auto"/>
              </w:rPr>
              <w:t>表1-5 与环境管控单元相符性</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79"/>
              <w:gridCol w:w="1803"/>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4" w:type="pct"/>
                  <w:gridSpan w:val="2"/>
                  <w:noWrap w:val="0"/>
                  <w:vAlign w:val="center"/>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与项目有关的管控要求</w:t>
                  </w:r>
                </w:p>
              </w:tc>
              <w:tc>
                <w:tcPr>
                  <w:tcW w:w="1440" w:type="pct"/>
                  <w:noWrap w:val="0"/>
                  <w:vAlign w:val="center"/>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本项目概况</w:t>
                  </w:r>
                </w:p>
              </w:tc>
              <w:tc>
                <w:tcPr>
                  <w:tcW w:w="356"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restart"/>
                  <w:noWrap w:val="0"/>
                  <w:vAlign w:val="center"/>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空间布局约束</w:t>
                  </w:r>
                </w:p>
              </w:tc>
              <w:tc>
                <w:tcPr>
                  <w:tcW w:w="2778"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（1.1）城区内10蒸吨/小时以下的工业锅炉、高污染燃料禁燃区内的工业锅炉必须要求使用清洁能源。当城市燃气供应不能满足需求时，可以过渡使用</w:t>
                  </w:r>
                  <w:r>
                    <w:rPr>
                      <w:rFonts w:hint="eastAsia"/>
                      <w:color w:val="auto"/>
                      <w:sz w:val="21"/>
                      <w:szCs w:val="21"/>
                      <w:lang w:val="en-US" w:eastAsia="zh-CN"/>
                    </w:rPr>
                    <w:t>生物质成型颗粒</w:t>
                  </w:r>
                  <w:r>
                    <w:rPr>
                      <w:color w:val="auto"/>
                      <w:sz w:val="21"/>
                      <w:szCs w:val="21"/>
                      <w:lang w:val="en-US" w:eastAsia="zh-CN"/>
                    </w:rPr>
                    <w:t>、柴油等非高污染物燃料</w:t>
                  </w:r>
                </w:p>
              </w:tc>
              <w:tc>
                <w:tcPr>
                  <w:tcW w:w="1440"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本项目不设置锅炉</w:t>
                  </w:r>
                </w:p>
              </w:tc>
              <w:tc>
                <w:tcPr>
                  <w:tcW w:w="356"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p>
              </w:tc>
              <w:tc>
                <w:tcPr>
                  <w:tcW w:w="2778"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1.5）严禁渣土车带泥上路和抛撒漏，划定渣土车禁行路线，设立禁行标志，加强对环境敏感目标保护，严禁建成区以外工地渣土车进入城内道路。严禁民用车辆（非渣土公司车辆）装运渣土。渣土车离开工地前必须将轮胎、车身冲洗干净，渣土必须密封或覆盖运输</w:t>
                  </w:r>
                </w:p>
              </w:tc>
              <w:tc>
                <w:tcPr>
                  <w:tcW w:w="1440"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rFonts w:hint="default"/>
                      <w:color w:val="auto"/>
                      <w:sz w:val="21"/>
                      <w:szCs w:val="21"/>
                      <w:lang w:val="en-US" w:eastAsia="zh-CN"/>
                    </w:rPr>
                  </w:pPr>
                  <w:r>
                    <w:rPr>
                      <w:color w:val="auto"/>
                      <w:sz w:val="21"/>
                      <w:szCs w:val="21"/>
                      <w:lang w:val="en-US" w:eastAsia="zh-CN"/>
                    </w:rPr>
                    <w:t>本项目</w:t>
                  </w:r>
                  <w:r>
                    <w:rPr>
                      <w:rFonts w:hint="eastAsia"/>
                      <w:color w:val="auto"/>
                      <w:sz w:val="21"/>
                      <w:szCs w:val="21"/>
                      <w:lang w:val="en-US" w:eastAsia="zh-CN"/>
                    </w:rPr>
                    <w:t>施工期严格按照管理要求进行施工管理</w:t>
                  </w:r>
                </w:p>
              </w:tc>
              <w:tc>
                <w:tcPr>
                  <w:tcW w:w="356"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p>
              </w:tc>
              <w:tc>
                <w:tcPr>
                  <w:tcW w:w="2778"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（1.6）禁止在城市规划区域内新改扩建燃煤型锅炉、砖瓦窑炉等设施，城市周边区域严格控制审批新的涉气污染企业</w:t>
                  </w:r>
                </w:p>
              </w:tc>
              <w:tc>
                <w:tcPr>
                  <w:tcW w:w="1440"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本不设锅炉、窑炉等设备</w:t>
                  </w:r>
                </w:p>
              </w:tc>
              <w:tc>
                <w:tcPr>
                  <w:tcW w:w="356"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noWrap w:val="0"/>
                  <w:vAlign w:val="center"/>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污染物排放管控</w:t>
                  </w:r>
                </w:p>
              </w:tc>
              <w:tc>
                <w:tcPr>
                  <w:tcW w:w="2778"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（2.1）加强企业监管，确保污染物达标排放</w:t>
                  </w:r>
                </w:p>
              </w:tc>
              <w:tc>
                <w:tcPr>
                  <w:tcW w:w="1440"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本项目各污染物经处理达到相应排放标准后排放</w:t>
                  </w:r>
                </w:p>
              </w:tc>
              <w:tc>
                <w:tcPr>
                  <w:tcW w:w="356"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p>
              </w:tc>
              <w:tc>
                <w:tcPr>
                  <w:tcW w:w="2778"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2.6）城区20蒸吨以上燃煤锅炉要限期实施除尘、低氮改造，并安装在线监测设备。未安装烟气在线监测设备或未达到相关排放要求的一律依法停产整治。对城区工业企业锅炉、窑炉烟气不能达标排放和具备煤改气条件而不进行煤改气的企业一律限期整改，逾期未完成整改的停产；对已改用生物质锅炉但仍然偷偷使用燃煤和非成型生物质燃料的从严处罚</w:t>
                  </w:r>
                </w:p>
              </w:tc>
              <w:tc>
                <w:tcPr>
                  <w:tcW w:w="1440"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rFonts w:hint="default"/>
                      <w:color w:val="auto"/>
                      <w:sz w:val="21"/>
                      <w:szCs w:val="21"/>
                      <w:lang w:val="en-US" w:eastAsia="zh-CN"/>
                    </w:rPr>
                  </w:pPr>
                  <w:r>
                    <w:rPr>
                      <w:color w:val="auto"/>
                      <w:sz w:val="21"/>
                      <w:szCs w:val="21"/>
                      <w:lang w:val="en-US" w:eastAsia="zh-CN"/>
                    </w:rPr>
                    <w:t>本项目不配套锅炉设备</w:t>
                  </w:r>
                </w:p>
              </w:tc>
              <w:tc>
                <w:tcPr>
                  <w:tcW w:w="356"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restart"/>
                  <w:noWrap w:val="0"/>
                  <w:vAlign w:val="center"/>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环境风险防控</w:t>
                  </w:r>
                </w:p>
              </w:tc>
              <w:tc>
                <w:tcPr>
                  <w:tcW w:w="2778"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（3.1）加强企业危险废物监管</w:t>
                  </w:r>
                </w:p>
              </w:tc>
              <w:tc>
                <w:tcPr>
                  <w:tcW w:w="1440"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本项目危险废物存储、运输、处理等过程均按相关规定执行</w:t>
                  </w:r>
                </w:p>
              </w:tc>
              <w:tc>
                <w:tcPr>
                  <w:tcW w:w="356"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p>
              </w:tc>
              <w:tc>
                <w:tcPr>
                  <w:tcW w:w="2778"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（3.4）执行市级环境风险防控相关要求，重点关注农用地污染风险重点管控区/农用地有优先保护区/其他土壤重点管控区/土壤污染风险一般管控区</w:t>
                  </w:r>
                </w:p>
              </w:tc>
              <w:tc>
                <w:tcPr>
                  <w:tcW w:w="1440"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本项目</w:t>
                  </w:r>
                  <w:r>
                    <w:rPr>
                      <w:rFonts w:hint="eastAsia"/>
                      <w:color w:val="auto"/>
                      <w:sz w:val="21"/>
                      <w:szCs w:val="21"/>
                      <w:lang w:val="en-US" w:eastAsia="zh-CN"/>
                    </w:rPr>
                    <w:t>位于工业园区</w:t>
                  </w:r>
                  <w:r>
                    <w:rPr>
                      <w:color w:val="auto"/>
                      <w:sz w:val="21"/>
                      <w:szCs w:val="21"/>
                      <w:lang w:val="en-US" w:eastAsia="zh-CN"/>
                    </w:rPr>
                    <w:t>，运营过程中主要大气污染物为有机废气、一般工业固体废物、危险废物，有机废气经收集处理后达标排放，一般工业固体废物交有关单位处理，危险废物交资质单位处理，不会对土壤造成不良影响</w:t>
                  </w:r>
                </w:p>
              </w:tc>
              <w:tc>
                <w:tcPr>
                  <w:tcW w:w="356"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资源开发效率要求</w:t>
                  </w:r>
                </w:p>
              </w:tc>
              <w:tc>
                <w:tcPr>
                  <w:tcW w:w="2778"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（4.1）鼓励企业提供废水、余热利用效率</w:t>
                  </w:r>
                </w:p>
              </w:tc>
              <w:tc>
                <w:tcPr>
                  <w:tcW w:w="1440"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rFonts w:hint="default"/>
                      <w:color w:val="auto"/>
                      <w:sz w:val="21"/>
                      <w:szCs w:val="21"/>
                      <w:lang w:val="en-US" w:eastAsia="zh-CN"/>
                    </w:rPr>
                  </w:pPr>
                  <w:r>
                    <w:rPr>
                      <w:color w:val="auto"/>
                      <w:sz w:val="21"/>
                      <w:szCs w:val="21"/>
                      <w:lang w:val="en-US" w:eastAsia="zh-CN"/>
                    </w:rPr>
                    <w:t>本项目运营过程中外排废水为生活污水，</w:t>
                  </w:r>
                  <w:r>
                    <w:rPr>
                      <w:rFonts w:hint="eastAsia"/>
                      <w:color w:val="auto"/>
                      <w:sz w:val="21"/>
                      <w:szCs w:val="21"/>
                      <w:lang w:val="en-US" w:eastAsia="zh-CN"/>
                    </w:rPr>
                    <w:t>生活污水经处理后排入市政污水管网进入污水处理厂进一步处理，少量的工业废水循环使用，不外排</w:t>
                  </w:r>
                </w:p>
              </w:tc>
              <w:tc>
                <w:tcPr>
                  <w:tcW w:w="356" w:type="pct"/>
                  <w:noWrap w:val="0"/>
                  <w:vAlign w:val="top"/>
                </w:tcPr>
                <w:p>
                  <w:pPr>
                    <w:pStyle w:val="44"/>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0" w:firstLine="0" w:firstLineChars="0"/>
                    <w:textAlignment w:val="baseline"/>
                    <w:rPr>
                      <w:color w:val="auto"/>
                      <w:sz w:val="21"/>
                      <w:szCs w:val="21"/>
                      <w:lang w:val="en-US" w:eastAsia="zh-CN"/>
                    </w:rPr>
                  </w:pPr>
                  <w:r>
                    <w:rPr>
                      <w:color w:val="auto"/>
                      <w:sz w:val="21"/>
                      <w:szCs w:val="21"/>
                      <w:lang w:val="en-US" w:eastAsia="zh-CN"/>
                    </w:rPr>
                    <w:t>相符</w:t>
                  </w:r>
                </w:p>
              </w:tc>
            </w:tr>
          </w:tbl>
          <w:p>
            <w:pPr>
              <w:pStyle w:val="44"/>
              <w:keepNext w:val="0"/>
              <w:keepLines w:val="0"/>
              <w:pageBreakBefore w:val="0"/>
              <w:widowControl w:val="0"/>
              <w:kinsoku/>
              <w:wordWrap/>
              <w:overflowPunct/>
              <w:topLinePunct w:val="0"/>
              <w:bidi w:val="0"/>
              <w:spacing w:before="0" w:after="0" w:line="360" w:lineRule="auto"/>
              <w:ind w:firstLine="480" w:firstLineChars="200"/>
              <w:jc w:val="both"/>
              <w:rPr>
                <w:color w:val="auto"/>
                <w:sz w:val="24"/>
                <w:szCs w:val="24"/>
                <w:lang w:val="en-US" w:eastAsia="zh-CN"/>
              </w:rPr>
            </w:pPr>
            <w:r>
              <w:rPr>
                <w:color w:val="auto"/>
                <w:sz w:val="24"/>
                <w:szCs w:val="24"/>
                <w:lang w:val="en-US" w:eastAsia="zh-CN"/>
              </w:rPr>
              <w:t>综上，本项目与《邵阳市人民政府关于实施“三线一单”生态环境分区管控的意见》（邵市政发[2020]10号）相关管控要求相符。</w:t>
            </w:r>
          </w:p>
          <w:p>
            <w:pPr>
              <w:keepNext w:val="0"/>
              <w:keepLines w:val="0"/>
              <w:pageBreakBefore w:val="0"/>
              <w:widowControl w:val="0"/>
              <w:kinsoku/>
              <w:wordWrap/>
              <w:overflowPunct/>
              <w:topLinePunct w:val="0"/>
              <w:bidi w:val="0"/>
              <w:spacing w:line="360" w:lineRule="auto"/>
              <w:rPr>
                <w:rFonts w:hint="eastAsia"/>
                <w:b/>
                <w:color w:val="auto"/>
                <w:lang w:val="en-US" w:eastAsia="zh-CN"/>
              </w:rPr>
            </w:pPr>
            <w:r>
              <w:rPr>
                <w:rFonts w:hint="eastAsia"/>
                <w:b/>
                <w:color w:val="auto"/>
                <w:lang w:val="en-US" w:eastAsia="zh-CN"/>
              </w:rPr>
              <w:t>1.10项目选址合理性分析</w:t>
            </w:r>
          </w:p>
          <w:p>
            <w:pPr>
              <w:pStyle w:val="44"/>
              <w:keepNext w:val="0"/>
              <w:keepLines w:val="0"/>
              <w:pageBreakBefore w:val="0"/>
              <w:widowControl w:val="0"/>
              <w:kinsoku/>
              <w:wordWrap/>
              <w:overflowPunct/>
              <w:topLinePunct w:val="0"/>
              <w:bidi w:val="0"/>
              <w:spacing w:before="0" w:after="0" w:line="360" w:lineRule="auto"/>
              <w:ind w:firstLine="480" w:firstLineChars="200"/>
              <w:jc w:val="both"/>
              <w:rPr>
                <w:color w:val="auto"/>
                <w:kern w:val="0"/>
              </w:rPr>
            </w:pPr>
            <w:r>
              <w:rPr>
                <w:rFonts w:hint="eastAsia"/>
                <w:color w:val="auto"/>
                <w:sz w:val="24"/>
                <w:szCs w:val="24"/>
                <w:lang w:val="en-US" w:eastAsia="zh-CN"/>
              </w:rPr>
              <w:t>本项目位于湖南省邵阳市邵东市黑田铺镇团结村金华湘印刷产业园内，项目用地为工业用地，用地性质符合规划要求。区域内水、电、路等相应配套设置齐全，基础条件充足，政策环境优越。本项目进行涂料的生产，在采取本环评建议的环保措施前提下，本项目建设营运对周边地区环境影响较小，项目的建设不会对周围环境造成明显的不利影响。从本项目所处地理位置和周围环境分析，周围无较大的环境制约因素，在采取了环保措施，保证周围环境不受到其影响的前提下，该项目的选址合理。</w:t>
            </w:r>
          </w:p>
        </w:tc>
      </w:tr>
    </w:tbl>
    <w:p>
      <w:pPr>
        <w:spacing w:line="360" w:lineRule="auto"/>
        <w:outlineLvl w:val="0"/>
        <w:rPr>
          <w:rFonts w:eastAsia="黑体"/>
          <w:color w:val="auto"/>
          <w:sz w:val="30"/>
        </w:rPr>
        <w:sectPr>
          <w:footerReference r:id="rId6" w:type="default"/>
          <w:pgSz w:w="11906" w:h="16838"/>
          <w:pgMar w:top="1701" w:right="1531" w:bottom="1701" w:left="1531" w:header="851" w:footer="1077" w:gutter="0"/>
          <w:pgNumType w:fmt="decimal"/>
          <w:cols w:space="720" w:num="1"/>
          <w:docGrid w:linePitch="312" w:charSpace="0"/>
        </w:sectPr>
      </w:pPr>
    </w:p>
    <w:p>
      <w:pPr>
        <w:pStyle w:val="3"/>
        <w:rPr>
          <w:color w:val="auto"/>
        </w:rPr>
      </w:pPr>
      <w:bookmarkStart w:id="6" w:name="_Toc71631399"/>
      <w:r>
        <w:rPr>
          <w:color w:val="auto"/>
        </w:rPr>
        <w:t>二、建设项目工程分析</w:t>
      </w:r>
      <w:bookmarkEnd w:id="6"/>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8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23" w:type="dxa"/>
            <w:vAlign w:val="center"/>
          </w:tcPr>
          <w:p>
            <w:pPr>
              <w:pStyle w:val="29"/>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建设内容</w:t>
            </w:r>
          </w:p>
        </w:tc>
        <w:tc>
          <w:tcPr>
            <w:tcW w:w="8161" w:type="dxa"/>
          </w:tcPr>
          <w:p>
            <w:pPr>
              <w:pStyle w:val="4"/>
              <w:rPr>
                <w:rFonts w:ascii="Times New Roman" w:hAnsi="Times New Roman"/>
                <w:color w:val="auto"/>
              </w:rPr>
            </w:pPr>
            <w:r>
              <w:rPr>
                <w:rFonts w:ascii="Times New Roman" w:hAnsi="Times New Roman"/>
                <w:color w:val="auto"/>
              </w:rPr>
              <w:t>2.1项目名称、性质、地点及规模</w:t>
            </w:r>
          </w:p>
          <w:p>
            <w:pPr>
              <w:spacing w:line="360" w:lineRule="auto"/>
              <w:ind w:firstLine="482" w:firstLineChars="200"/>
              <w:rPr>
                <w:rFonts w:hint="eastAsia" w:eastAsia="宋体"/>
                <w:color w:val="auto"/>
                <w:lang w:eastAsia="zh-CN"/>
              </w:rPr>
            </w:pPr>
            <w:r>
              <w:rPr>
                <w:b/>
                <w:bCs/>
                <w:color w:val="auto"/>
              </w:rPr>
              <w:t>项目名称：</w:t>
            </w:r>
            <w:r>
              <w:rPr>
                <w:rFonts w:hint="eastAsia"/>
                <w:color w:val="auto"/>
                <w:lang w:eastAsia="zh-CN"/>
              </w:rPr>
              <w:t>年产5500吨水性新材料生产项目</w:t>
            </w:r>
          </w:p>
          <w:p>
            <w:pPr>
              <w:pStyle w:val="10"/>
              <w:spacing w:line="360" w:lineRule="auto"/>
              <w:ind w:firstLine="482" w:firstLineChars="200"/>
              <w:rPr>
                <w:rFonts w:hint="eastAsia" w:eastAsia="宋体"/>
                <w:color w:val="auto"/>
                <w:sz w:val="24"/>
                <w:lang w:eastAsia="zh-CN"/>
              </w:rPr>
            </w:pPr>
            <w:r>
              <w:rPr>
                <w:b/>
                <w:bCs/>
                <w:color w:val="auto"/>
                <w:sz w:val="24"/>
              </w:rPr>
              <w:t>建设单位：</w:t>
            </w:r>
            <w:r>
              <w:rPr>
                <w:rFonts w:hint="eastAsia"/>
                <w:color w:val="auto"/>
                <w:sz w:val="24"/>
                <w:lang w:eastAsia="zh-CN"/>
              </w:rPr>
              <w:t>湖南拓聚新材料有限公司</w:t>
            </w:r>
          </w:p>
          <w:p>
            <w:pPr>
              <w:pStyle w:val="10"/>
              <w:spacing w:line="360" w:lineRule="auto"/>
              <w:ind w:firstLine="482" w:firstLineChars="200"/>
              <w:rPr>
                <w:color w:val="auto"/>
                <w:sz w:val="24"/>
              </w:rPr>
            </w:pPr>
            <w:r>
              <w:rPr>
                <w:b/>
                <w:bCs/>
                <w:color w:val="auto"/>
                <w:sz w:val="24"/>
              </w:rPr>
              <w:t>建设性质：</w:t>
            </w:r>
            <w:r>
              <w:rPr>
                <w:rFonts w:hint="eastAsia"/>
                <w:color w:val="auto"/>
                <w:sz w:val="24"/>
              </w:rPr>
              <w:t>新建</w:t>
            </w:r>
          </w:p>
          <w:p>
            <w:pPr>
              <w:pStyle w:val="10"/>
              <w:spacing w:line="360" w:lineRule="auto"/>
              <w:ind w:firstLine="482" w:firstLineChars="200"/>
              <w:rPr>
                <w:color w:val="auto"/>
                <w:sz w:val="24"/>
              </w:rPr>
            </w:pPr>
            <w:r>
              <w:rPr>
                <w:b/>
                <w:bCs/>
                <w:color w:val="auto"/>
                <w:sz w:val="24"/>
              </w:rPr>
              <w:t>建设规模：</w:t>
            </w:r>
            <w:r>
              <w:rPr>
                <w:rFonts w:hint="eastAsia"/>
                <w:color w:val="auto"/>
                <w:sz w:val="24"/>
                <w:lang w:eastAsia="zh-CN"/>
              </w:rPr>
              <w:t>年产2000吨水性环氧乳液、</w:t>
            </w:r>
            <w:r>
              <w:rPr>
                <w:rFonts w:hint="eastAsia"/>
                <w:color w:val="auto"/>
                <w:sz w:val="24"/>
                <w:lang w:val="en-US" w:eastAsia="zh-CN"/>
              </w:rPr>
              <w:t>5</w:t>
            </w:r>
            <w:r>
              <w:rPr>
                <w:rFonts w:hint="eastAsia"/>
                <w:color w:val="auto"/>
                <w:sz w:val="24"/>
                <w:lang w:eastAsia="zh-CN"/>
              </w:rPr>
              <w:t>00吨水性防火隔热材料、2000吨隔热砂浆</w:t>
            </w:r>
            <w:r>
              <w:rPr>
                <w:rFonts w:hint="eastAsia"/>
                <w:color w:val="auto"/>
                <w:sz w:val="24"/>
              </w:rPr>
              <w:t>。</w:t>
            </w:r>
          </w:p>
          <w:p>
            <w:pPr>
              <w:spacing w:line="360" w:lineRule="auto"/>
              <w:ind w:firstLine="482" w:firstLineChars="200"/>
              <w:rPr>
                <w:color w:val="auto"/>
              </w:rPr>
            </w:pPr>
            <w:r>
              <w:rPr>
                <w:b/>
                <w:bCs/>
                <w:color w:val="auto"/>
              </w:rPr>
              <w:t>总投资：</w:t>
            </w:r>
            <w:r>
              <w:rPr>
                <w:color w:val="auto"/>
              </w:rPr>
              <w:t>总投资</w:t>
            </w:r>
            <w:r>
              <w:rPr>
                <w:rFonts w:hint="eastAsia"/>
                <w:color w:val="auto"/>
                <w:lang w:eastAsia="zh-CN"/>
              </w:rPr>
              <w:t>200万</w:t>
            </w:r>
            <w:r>
              <w:rPr>
                <w:color w:val="auto"/>
              </w:rPr>
              <w:t>元，全部为企业自筹。</w:t>
            </w:r>
          </w:p>
          <w:p>
            <w:pPr>
              <w:spacing w:line="360" w:lineRule="auto"/>
              <w:ind w:firstLine="482" w:firstLineChars="200"/>
              <w:rPr>
                <w:color w:val="auto"/>
              </w:rPr>
            </w:pPr>
            <w:r>
              <w:rPr>
                <w:b/>
                <w:bCs/>
                <w:color w:val="auto"/>
              </w:rPr>
              <w:t>建设地点：</w:t>
            </w:r>
            <w:r>
              <w:rPr>
                <w:color w:val="auto"/>
              </w:rPr>
              <w:t>位于湖南省邵东市</w:t>
            </w:r>
            <w:r>
              <w:rPr>
                <w:rFonts w:hint="eastAsia"/>
                <w:color w:val="auto"/>
              </w:rPr>
              <w:t>包装印刷、塑料制品、新材料工业园（原黑田铺印刷产业园）</w:t>
            </w:r>
            <w:r>
              <w:rPr>
                <w:color w:val="auto"/>
              </w:rPr>
              <w:t>，其地理坐标为</w:t>
            </w:r>
            <w:r>
              <w:rPr>
                <w:rFonts w:hint="eastAsia"/>
                <w:color w:val="auto"/>
              </w:rPr>
              <w:t>东经</w:t>
            </w:r>
            <w:r>
              <w:rPr>
                <w:rFonts w:hint="eastAsia"/>
                <w:color w:val="auto"/>
                <w:lang w:eastAsia="zh-CN"/>
              </w:rPr>
              <w:t>111度45分44.1秒</w:t>
            </w:r>
            <w:r>
              <w:rPr>
                <w:rFonts w:hint="eastAsia"/>
                <w:color w:val="auto"/>
              </w:rPr>
              <w:t>，北纬</w:t>
            </w:r>
            <w:r>
              <w:rPr>
                <w:rFonts w:hint="eastAsia"/>
                <w:color w:val="auto"/>
                <w:lang w:eastAsia="zh-CN"/>
              </w:rPr>
              <w:t>27度18分28.8秒</w:t>
            </w:r>
            <w:r>
              <w:rPr>
                <w:color w:val="auto"/>
              </w:rPr>
              <w:t>，</w:t>
            </w:r>
            <w:r>
              <w:rPr>
                <w:rFonts w:hint="eastAsia"/>
                <w:color w:val="auto"/>
              </w:rPr>
              <w:t>项目建设用地性质属于工业用地，</w:t>
            </w:r>
            <w:r>
              <w:rPr>
                <w:color w:val="auto"/>
              </w:rPr>
              <w:t>厂区四邻关系：</w:t>
            </w:r>
            <w:r>
              <w:rPr>
                <w:rFonts w:hint="eastAsia"/>
                <w:color w:val="auto"/>
                <w:lang w:eastAsia="zh-CN"/>
              </w:rPr>
              <w:t>东面为邵东东创鞋底厂办公楼，南面为园区道路，西面为空地，北面为邵东东创鞋底厂厂房</w:t>
            </w:r>
            <w:r>
              <w:rPr>
                <w:color w:val="auto"/>
              </w:rPr>
              <w:t>。地理位置详见附图1。</w:t>
            </w:r>
          </w:p>
          <w:p>
            <w:pPr>
              <w:pStyle w:val="4"/>
              <w:rPr>
                <w:rFonts w:ascii="Times New Roman" w:hAnsi="Times New Roman"/>
                <w:color w:val="auto"/>
              </w:rPr>
            </w:pPr>
            <w:r>
              <w:rPr>
                <w:rFonts w:hint="eastAsia" w:ascii="Times New Roman" w:hAnsi="Times New Roman"/>
                <w:color w:val="auto"/>
              </w:rPr>
              <w:t>2.2建设工程内容和规模</w:t>
            </w:r>
          </w:p>
          <w:p>
            <w:pPr>
              <w:adjustRightInd w:val="0"/>
              <w:snapToGrid w:val="0"/>
              <w:spacing w:line="360" w:lineRule="auto"/>
              <w:ind w:firstLine="480" w:firstLineChars="200"/>
              <w:rPr>
                <w:rFonts w:hint="eastAsia" w:eastAsia="宋体"/>
                <w:color w:val="auto"/>
                <w:lang w:val="en-US" w:eastAsia="zh-CN"/>
              </w:rPr>
            </w:pPr>
            <w:r>
              <w:rPr>
                <w:rFonts w:hint="eastAsia"/>
                <w:color w:val="auto"/>
                <w:lang w:val="en-US" w:eastAsia="zh-CN"/>
              </w:rPr>
              <w:t>根据《建设项目环境影响评价分类管理名录（2021年版）》涂料生产过程属于二十三、化学原料和化学制品制造业 26 涂料、油墨、原料及类似产品是在 264，单纯物理分离、物理提纯、混合、分装的（不产生废水或挥发性有机物的除外），需要编制环境影响报告表。</w:t>
            </w:r>
          </w:p>
          <w:p>
            <w:pPr>
              <w:widowControl/>
              <w:adjustRightInd w:val="0"/>
              <w:snapToGrid w:val="0"/>
              <w:spacing w:line="360" w:lineRule="auto"/>
              <w:ind w:firstLine="480" w:firstLineChars="200"/>
              <w:rPr>
                <w:color w:val="auto"/>
              </w:rPr>
            </w:pPr>
            <w:r>
              <w:rPr>
                <w:rFonts w:hint="eastAsia"/>
                <w:color w:val="auto"/>
              </w:rPr>
              <w:t>本项目主要建设内容和规模见表2-1。建设项目主要经济技术指标见表2-2。</w:t>
            </w:r>
          </w:p>
          <w:p>
            <w:pPr>
              <w:pStyle w:val="58"/>
              <w:spacing w:before="24" w:after="24"/>
              <w:rPr>
                <w:b/>
                <w:bCs/>
                <w:color w:val="auto"/>
                <w:szCs w:val="21"/>
              </w:rPr>
            </w:pPr>
            <w:r>
              <w:rPr>
                <w:rFonts w:hint="eastAsia"/>
                <w:b/>
                <w:bCs/>
                <w:color w:val="auto"/>
                <w:szCs w:val="21"/>
              </w:rPr>
              <w:t>表2-1项目主要建设内容和规模</w:t>
            </w:r>
          </w:p>
          <w:tbl>
            <w:tblPr>
              <w:tblStyle w:val="34"/>
              <w:tblW w:w="80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672"/>
              <w:gridCol w:w="3786"/>
              <w:gridCol w:w="12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368" w:type="dxa"/>
                  <w:tcBorders>
                    <w:top w:val="single" w:color="auto" w:sz="12" w:space="0"/>
                    <w:left w:val="single" w:color="auto" w:sz="12" w:space="0"/>
                    <w:bottom w:val="single" w:color="auto" w:sz="4" w:space="0"/>
                    <w:right w:val="single" w:color="auto" w:sz="4" w:space="0"/>
                  </w:tcBorders>
                  <w:vAlign w:val="center"/>
                </w:tcPr>
                <w:p>
                  <w:pPr>
                    <w:pStyle w:val="76"/>
                    <w:rPr>
                      <w:rFonts w:hAnsi="Times New Roman"/>
                      <w:b/>
                      <w:color w:val="auto"/>
                      <w:sz w:val="21"/>
                    </w:rPr>
                  </w:pPr>
                  <w:r>
                    <w:rPr>
                      <w:rFonts w:hint="eastAsia" w:hAnsi="Times New Roman"/>
                      <w:b/>
                      <w:color w:val="auto"/>
                      <w:sz w:val="21"/>
                    </w:rPr>
                    <w:t>工程类别</w:t>
                  </w:r>
                </w:p>
              </w:tc>
              <w:tc>
                <w:tcPr>
                  <w:tcW w:w="1672" w:type="dxa"/>
                  <w:tcBorders>
                    <w:top w:val="single" w:color="auto" w:sz="12" w:space="0"/>
                    <w:left w:val="single" w:color="auto" w:sz="4" w:space="0"/>
                    <w:bottom w:val="single" w:color="auto" w:sz="4" w:space="0"/>
                    <w:right w:val="single" w:color="auto" w:sz="4" w:space="0"/>
                  </w:tcBorders>
                  <w:vAlign w:val="center"/>
                </w:tcPr>
                <w:p>
                  <w:pPr>
                    <w:pStyle w:val="76"/>
                    <w:rPr>
                      <w:rFonts w:hAnsi="Times New Roman"/>
                      <w:b/>
                      <w:color w:val="auto"/>
                      <w:sz w:val="21"/>
                    </w:rPr>
                  </w:pPr>
                  <w:r>
                    <w:rPr>
                      <w:rFonts w:hint="eastAsia" w:hAnsi="Times New Roman"/>
                      <w:b/>
                      <w:color w:val="auto"/>
                      <w:sz w:val="21"/>
                    </w:rPr>
                    <w:t>项目名称</w:t>
                  </w:r>
                </w:p>
              </w:tc>
              <w:tc>
                <w:tcPr>
                  <w:tcW w:w="378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b/>
                      <w:color w:val="auto"/>
                      <w:sz w:val="21"/>
                      <w:szCs w:val="21"/>
                    </w:rPr>
                  </w:pPr>
                  <w:r>
                    <w:rPr>
                      <w:rFonts w:hint="eastAsia"/>
                      <w:b/>
                      <w:color w:val="auto"/>
                      <w:sz w:val="21"/>
                      <w:szCs w:val="21"/>
                    </w:rPr>
                    <w:t>项目内容</w:t>
                  </w:r>
                </w:p>
              </w:tc>
              <w:tc>
                <w:tcPr>
                  <w:tcW w:w="1233"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b/>
                      <w:color w:val="auto"/>
                      <w:sz w:val="21"/>
                      <w:szCs w:val="21"/>
                    </w:rPr>
                  </w:pPr>
                  <w:r>
                    <w:rPr>
                      <w:rFonts w:hint="eastAsia"/>
                      <w:b/>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368" w:type="dxa"/>
                  <w:tcBorders>
                    <w:top w:val="single" w:color="auto" w:sz="4" w:space="0"/>
                    <w:left w:val="single" w:color="auto" w:sz="12"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主体工程</w:t>
                  </w:r>
                </w:p>
              </w:tc>
              <w:tc>
                <w:tcPr>
                  <w:tcW w:w="1672" w:type="dxa"/>
                  <w:tcBorders>
                    <w:top w:val="single" w:color="auto" w:sz="4" w:space="0"/>
                    <w:left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生产车间</w:t>
                  </w:r>
                </w:p>
              </w:tc>
              <w:tc>
                <w:tcPr>
                  <w:tcW w:w="3786" w:type="dxa"/>
                  <w:tcBorders>
                    <w:top w:val="single" w:color="auto" w:sz="4" w:space="0"/>
                    <w:left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lang w:val="en-US" w:eastAsia="zh-CN"/>
                    </w:rPr>
                    <w:t>1F，</w:t>
                  </w:r>
                  <w:r>
                    <w:rPr>
                      <w:rFonts w:hint="eastAsia"/>
                      <w:color w:val="auto"/>
                      <w:sz w:val="21"/>
                      <w:szCs w:val="21"/>
                      <w:lang w:eastAsia="zh-CN"/>
                    </w:rPr>
                    <w:t>框架结构</w:t>
                  </w:r>
                  <w:r>
                    <w:rPr>
                      <w:rFonts w:hint="eastAsia"/>
                      <w:color w:val="auto"/>
                      <w:sz w:val="21"/>
                      <w:szCs w:val="21"/>
                    </w:rPr>
                    <w:t>，建筑面积</w:t>
                  </w:r>
                  <w:r>
                    <w:rPr>
                      <w:rFonts w:hint="eastAsia"/>
                      <w:color w:val="auto"/>
                      <w:sz w:val="21"/>
                      <w:szCs w:val="21"/>
                      <w:lang w:val="en-US" w:eastAsia="zh-CN"/>
                    </w:rPr>
                    <w:t xml:space="preserve">  1200</w:t>
                  </w:r>
                  <w:r>
                    <w:rPr>
                      <w:rFonts w:hint="eastAsia"/>
                      <w:color w:val="auto"/>
                      <w:sz w:val="21"/>
                      <w:szCs w:val="21"/>
                    </w:rPr>
                    <w:t>m</w:t>
                  </w:r>
                  <w:r>
                    <w:rPr>
                      <w:rFonts w:hint="eastAsia"/>
                      <w:color w:val="auto"/>
                      <w:sz w:val="21"/>
                      <w:szCs w:val="21"/>
                      <w:vertAlign w:val="superscript"/>
                    </w:rPr>
                    <w:t>2</w:t>
                  </w:r>
                </w:p>
              </w:tc>
              <w:tc>
                <w:tcPr>
                  <w:tcW w:w="1233" w:type="dxa"/>
                  <w:tcBorders>
                    <w:top w:val="single" w:color="auto" w:sz="4" w:space="0"/>
                    <w:left w:val="single" w:color="auto" w:sz="4" w:space="0"/>
                    <w:right w:val="single" w:color="auto" w:sz="12" w:space="0"/>
                  </w:tcBorders>
                  <w:vAlign w:val="center"/>
                </w:tcPr>
                <w:p>
                  <w:pPr>
                    <w:adjustRightInd w:val="0"/>
                    <w:snapToGrid w:val="0"/>
                    <w:jc w:val="center"/>
                    <w:rPr>
                      <w:rFonts w:hint="eastAsia" w:eastAsia="宋体"/>
                      <w:color w:val="auto"/>
                      <w:sz w:val="21"/>
                      <w:szCs w:val="21"/>
                      <w:lang w:eastAsia="zh-CN"/>
                    </w:rPr>
                  </w:pPr>
                  <w:r>
                    <w:rPr>
                      <w:rFonts w:hint="eastAsia"/>
                      <w:color w:val="auto"/>
                      <w:sz w:val="21"/>
                      <w:szCs w:val="21"/>
                      <w:lang w:eastAsia="zh-CN"/>
                    </w:rPr>
                    <w:t>租赁现有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368" w:type="dxa"/>
                  <w:vMerge w:val="restart"/>
                  <w:tcBorders>
                    <w:left w:val="single" w:color="auto" w:sz="12" w:space="0"/>
                    <w:right w:val="single" w:color="auto" w:sz="4" w:space="0"/>
                  </w:tcBorders>
                  <w:vAlign w:val="center"/>
                </w:tcPr>
                <w:p>
                  <w:pPr>
                    <w:adjustRightInd w:val="0"/>
                    <w:snapToGrid w:val="0"/>
                    <w:jc w:val="center"/>
                    <w:rPr>
                      <w:rFonts w:hint="eastAsia"/>
                      <w:color w:val="auto"/>
                      <w:sz w:val="21"/>
                      <w:szCs w:val="21"/>
                    </w:rPr>
                  </w:pPr>
                  <w:r>
                    <w:rPr>
                      <w:rFonts w:hint="eastAsia"/>
                      <w:color w:val="auto"/>
                      <w:sz w:val="21"/>
                      <w:szCs w:val="21"/>
                    </w:rPr>
                    <w:t>储运工程</w:t>
                  </w:r>
                </w:p>
              </w:tc>
              <w:tc>
                <w:tcPr>
                  <w:tcW w:w="1672" w:type="dxa"/>
                  <w:tcBorders>
                    <w:top w:val="single" w:color="auto" w:sz="4" w:space="0"/>
                    <w:left w:val="single" w:color="auto" w:sz="4" w:space="0"/>
                    <w:right w:val="single" w:color="auto" w:sz="4" w:space="0"/>
                  </w:tcBorders>
                  <w:vAlign w:val="center"/>
                </w:tcPr>
                <w:p>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原料仓库</w:t>
                  </w:r>
                </w:p>
              </w:tc>
              <w:tc>
                <w:tcPr>
                  <w:tcW w:w="3786" w:type="dxa"/>
                  <w:tcBorders>
                    <w:top w:val="single" w:color="auto" w:sz="4" w:space="0"/>
                    <w:left w:val="single" w:color="auto" w:sz="4" w:space="0"/>
                    <w:right w:val="single" w:color="auto" w:sz="4" w:space="0"/>
                  </w:tcBorders>
                  <w:vAlign w:val="center"/>
                </w:tcPr>
                <w:p>
                  <w:pPr>
                    <w:adjustRightInd w:val="0"/>
                    <w:snapToGrid w:val="0"/>
                    <w:jc w:val="center"/>
                    <w:rPr>
                      <w:rFonts w:hint="eastAsia"/>
                      <w:color w:val="auto"/>
                      <w:sz w:val="21"/>
                      <w:szCs w:val="21"/>
                      <w:lang w:val="en-US" w:eastAsia="zh-CN"/>
                    </w:rPr>
                  </w:pPr>
                  <w:r>
                    <w:rPr>
                      <w:rFonts w:hint="eastAsia"/>
                      <w:color w:val="auto"/>
                      <w:sz w:val="21"/>
                      <w:szCs w:val="21"/>
                      <w:lang w:val="en-US" w:eastAsia="zh-CN"/>
                    </w:rPr>
                    <w:t>1F，</w:t>
                  </w:r>
                  <w:r>
                    <w:rPr>
                      <w:rFonts w:hint="eastAsia"/>
                      <w:color w:val="auto"/>
                      <w:sz w:val="21"/>
                      <w:szCs w:val="21"/>
                      <w:lang w:eastAsia="zh-CN"/>
                    </w:rPr>
                    <w:t>框架结构</w:t>
                  </w:r>
                  <w:r>
                    <w:rPr>
                      <w:rFonts w:hint="eastAsia"/>
                      <w:color w:val="auto"/>
                      <w:sz w:val="21"/>
                      <w:szCs w:val="21"/>
                    </w:rPr>
                    <w:t>，建筑面积</w:t>
                  </w:r>
                  <w:r>
                    <w:rPr>
                      <w:rFonts w:hint="eastAsia"/>
                      <w:color w:val="auto"/>
                      <w:sz w:val="21"/>
                      <w:szCs w:val="21"/>
                      <w:lang w:val="en-US" w:eastAsia="zh-CN"/>
                    </w:rPr>
                    <w:t xml:space="preserve">  300</w:t>
                  </w:r>
                  <w:r>
                    <w:rPr>
                      <w:rFonts w:hint="eastAsia"/>
                      <w:color w:val="auto"/>
                      <w:sz w:val="21"/>
                      <w:szCs w:val="21"/>
                    </w:rPr>
                    <w:t>m</w:t>
                  </w:r>
                  <w:r>
                    <w:rPr>
                      <w:rFonts w:hint="eastAsia"/>
                      <w:color w:val="auto"/>
                      <w:sz w:val="21"/>
                      <w:szCs w:val="21"/>
                      <w:vertAlign w:val="superscript"/>
                    </w:rPr>
                    <w:t>2</w:t>
                  </w:r>
                </w:p>
              </w:tc>
              <w:tc>
                <w:tcPr>
                  <w:tcW w:w="1233" w:type="dxa"/>
                  <w:tcBorders>
                    <w:top w:val="single" w:color="auto" w:sz="4" w:space="0"/>
                    <w:left w:val="single" w:color="auto" w:sz="4" w:space="0"/>
                    <w:right w:val="single" w:color="auto" w:sz="12" w:space="0"/>
                  </w:tcBorders>
                  <w:vAlign w:val="center"/>
                </w:tcPr>
                <w:p>
                  <w:pPr>
                    <w:adjustRightInd w:val="0"/>
                    <w:snapToGrid w:val="0"/>
                    <w:jc w:val="center"/>
                    <w:rPr>
                      <w:rFonts w:hint="eastAsia"/>
                      <w:color w:val="auto"/>
                      <w:sz w:val="21"/>
                      <w:szCs w:val="21"/>
                      <w:lang w:eastAsia="zh-CN"/>
                    </w:rPr>
                  </w:pPr>
                  <w:r>
                    <w:rPr>
                      <w:rFonts w:hint="eastAsia"/>
                      <w:color w:val="auto"/>
                      <w:sz w:val="21"/>
                      <w:szCs w:val="21"/>
                      <w:lang w:eastAsia="zh-CN"/>
                    </w:rPr>
                    <w:t>租赁现有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368" w:type="dxa"/>
                  <w:vMerge w:val="continue"/>
                  <w:tcBorders>
                    <w:left w:val="single" w:color="auto" w:sz="12" w:space="0"/>
                    <w:right w:val="single" w:color="auto" w:sz="4" w:space="0"/>
                  </w:tcBorders>
                  <w:vAlign w:val="center"/>
                </w:tcPr>
                <w:p>
                  <w:pPr>
                    <w:adjustRightInd w:val="0"/>
                    <w:snapToGrid w:val="0"/>
                    <w:jc w:val="center"/>
                    <w:rPr>
                      <w:rFonts w:hint="eastAsia"/>
                      <w:color w:val="auto"/>
                      <w:sz w:val="21"/>
                      <w:szCs w:val="21"/>
                    </w:rPr>
                  </w:pPr>
                </w:p>
              </w:tc>
              <w:tc>
                <w:tcPr>
                  <w:tcW w:w="1672" w:type="dxa"/>
                  <w:tcBorders>
                    <w:top w:val="single" w:color="auto" w:sz="4" w:space="0"/>
                    <w:left w:val="single" w:color="auto" w:sz="4" w:space="0"/>
                    <w:right w:val="single" w:color="auto" w:sz="4" w:space="0"/>
                  </w:tcBorders>
                  <w:vAlign w:val="center"/>
                </w:tcPr>
                <w:p>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产品仓库</w:t>
                  </w:r>
                </w:p>
              </w:tc>
              <w:tc>
                <w:tcPr>
                  <w:tcW w:w="3786" w:type="dxa"/>
                  <w:tcBorders>
                    <w:top w:val="single" w:color="auto" w:sz="4" w:space="0"/>
                    <w:left w:val="single" w:color="auto" w:sz="4" w:space="0"/>
                    <w:right w:val="single" w:color="auto" w:sz="4" w:space="0"/>
                  </w:tcBorders>
                  <w:vAlign w:val="center"/>
                </w:tcPr>
                <w:p>
                  <w:pPr>
                    <w:adjustRightInd w:val="0"/>
                    <w:snapToGrid w:val="0"/>
                    <w:jc w:val="center"/>
                    <w:rPr>
                      <w:rFonts w:hint="eastAsia"/>
                      <w:color w:val="auto"/>
                      <w:sz w:val="21"/>
                      <w:szCs w:val="21"/>
                      <w:lang w:val="en-US" w:eastAsia="zh-CN"/>
                    </w:rPr>
                  </w:pPr>
                  <w:r>
                    <w:rPr>
                      <w:rFonts w:hint="eastAsia"/>
                      <w:color w:val="auto"/>
                      <w:sz w:val="21"/>
                      <w:szCs w:val="21"/>
                      <w:lang w:val="en-US" w:eastAsia="zh-CN"/>
                    </w:rPr>
                    <w:t>1F，</w:t>
                  </w:r>
                  <w:r>
                    <w:rPr>
                      <w:rFonts w:hint="eastAsia"/>
                      <w:color w:val="auto"/>
                      <w:sz w:val="21"/>
                      <w:szCs w:val="21"/>
                      <w:lang w:eastAsia="zh-CN"/>
                    </w:rPr>
                    <w:t>框架结构</w:t>
                  </w:r>
                  <w:r>
                    <w:rPr>
                      <w:rFonts w:hint="eastAsia"/>
                      <w:color w:val="auto"/>
                      <w:sz w:val="21"/>
                      <w:szCs w:val="21"/>
                    </w:rPr>
                    <w:t>，建筑面积</w:t>
                  </w:r>
                  <w:r>
                    <w:rPr>
                      <w:rFonts w:hint="eastAsia"/>
                      <w:color w:val="auto"/>
                      <w:sz w:val="21"/>
                      <w:szCs w:val="21"/>
                      <w:lang w:val="en-US" w:eastAsia="zh-CN"/>
                    </w:rPr>
                    <w:t xml:space="preserve">  300</w:t>
                  </w:r>
                  <w:r>
                    <w:rPr>
                      <w:rFonts w:hint="eastAsia"/>
                      <w:color w:val="auto"/>
                      <w:sz w:val="21"/>
                      <w:szCs w:val="21"/>
                    </w:rPr>
                    <w:t>m</w:t>
                  </w:r>
                  <w:r>
                    <w:rPr>
                      <w:rFonts w:hint="eastAsia"/>
                      <w:color w:val="auto"/>
                      <w:sz w:val="21"/>
                      <w:szCs w:val="21"/>
                      <w:vertAlign w:val="superscript"/>
                    </w:rPr>
                    <w:t>2</w:t>
                  </w:r>
                </w:p>
              </w:tc>
              <w:tc>
                <w:tcPr>
                  <w:tcW w:w="1233" w:type="dxa"/>
                  <w:tcBorders>
                    <w:top w:val="single" w:color="auto" w:sz="4" w:space="0"/>
                    <w:left w:val="single" w:color="auto" w:sz="4" w:space="0"/>
                    <w:right w:val="single" w:color="auto" w:sz="12" w:space="0"/>
                  </w:tcBorders>
                  <w:vAlign w:val="center"/>
                </w:tcPr>
                <w:p>
                  <w:pPr>
                    <w:adjustRightInd w:val="0"/>
                    <w:snapToGrid w:val="0"/>
                    <w:jc w:val="center"/>
                    <w:rPr>
                      <w:rFonts w:hint="eastAsia"/>
                      <w:color w:val="auto"/>
                      <w:sz w:val="21"/>
                      <w:szCs w:val="21"/>
                    </w:rPr>
                  </w:pPr>
                  <w:r>
                    <w:rPr>
                      <w:rFonts w:hint="eastAsia"/>
                      <w:color w:val="auto"/>
                      <w:sz w:val="21"/>
                      <w:szCs w:val="21"/>
                      <w:lang w:eastAsia="zh-CN"/>
                    </w:rPr>
                    <w:t>租赁现有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368" w:type="dxa"/>
                  <w:tcBorders>
                    <w:top w:val="single" w:color="auto" w:sz="4" w:space="0"/>
                    <w:left w:val="single" w:color="auto" w:sz="12" w:space="0"/>
                    <w:bottom w:val="single" w:color="auto" w:sz="4" w:space="0"/>
                    <w:right w:val="single" w:color="auto" w:sz="4" w:space="0"/>
                  </w:tcBorders>
                  <w:vAlign w:val="center"/>
                </w:tcPr>
                <w:p>
                  <w:pPr>
                    <w:pStyle w:val="76"/>
                    <w:rPr>
                      <w:rFonts w:hAnsi="Times New Roman"/>
                      <w:color w:val="auto"/>
                      <w:sz w:val="21"/>
                    </w:rPr>
                  </w:pPr>
                  <w:r>
                    <w:rPr>
                      <w:rFonts w:hint="eastAsia" w:hAnsi="Times New Roman"/>
                      <w:color w:val="auto"/>
                      <w:sz w:val="21"/>
                    </w:rPr>
                    <w:t>辅助工程</w:t>
                  </w:r>
                </w:p>
              </w:tc>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eastAsia="宋体"/>
                      <w:color w:val="auto"/>
                      <w:sz w:val="21"/>
                      <w:szCs w:val="21"/>
                      <w:lang w:eastAsia="zh-CN"/>
                    </w:rPr>
                  </w:pPr>
                  <w:r>
                    <w:rPr>
                      <w:rFonts w:hint="eastAsia"/>
                      <w:color w:val="auto"/>
                      <w:sz w:val="21"/>
                      <w:szCs w:val="21"/>
                      <w:lang w:eastAsia="zh-CN"/>
                    </w:rPr>
                    <w:t>办公区</w:t>
                  </w:r>
                </w:p>
              </w:tc>
              <w:tc>
                <w:tcPr>
                  <w:tcW w:w="37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lang w:val="en-US" w:eastAsia="zh-CN"/>
                    </w:rPr>
                    <w:t>位于产品仓库上方</w:t>
                  </w:r>
                  <w:r>
                    <w:rPr>
                      <w:rFonts w:hint="eastAsia"/>
                      <w:color w:val="auto"/>
                      <w:sz w:val="21"/>
                      <w:szCs w:val="21"/>
                    </w:rPr>
                    <w:t>，</w:t>
                  </w:r>
                  <w:r>
                    <w:rPr>
                      <w:rFonts w:hint="eastAsia"/>
                      <w:color w:val="auto"/>
                      <w:sz w:val="21"/>
                      <w:szCs w:val="21"/>
                      <w:lang w:eastAsia="zh-CN"/>
                    </w:rPr>
                    <w:t>框架结构</w:t>
                  </w:r>
                  <w:r>
                    <w:rPr>
                      <w:rFonts w:hint="eastAsia"/>
                      <w:color w:val="auto"/>
                      <w:sz w:val="21"/>
                      <w:szCs w:val="21"/>
                    </w:rPr>
                    <w:t>，建筑面积</w:t>
                  </w:r>
                  <w:r>
                    <w:rPr>
                      <w:rFonts w:hint="eastAsia"/>
                      <w:color w:val="auto"/>
                      <w:sz w:val="21"/>
                      <w:szCs w:val="21"/>
                      <w:lang w:val="en-US" w:eastAsia="zh-CN"/>
                    </w:rPr>
                    <w:t>200</w:t>
                  </w:r>
                  <w:r>
                    <w:rPr>
                      <w:rFonts w:hint="eastAsia"/>
                      <w:color w:val="auto"/>
                      <w:sz w:val="21"/>
                      <w:szCs w:val="21"/>
                    </w:rPr>
                    <w:t>m</w:t>
                  </w:r>
                  <w:r>
                    <w:rPr>
                      <w:rFonts w:hint="eastAsia"/>
                      <w:color w:val="auto"/>
                      <w:sz w:val="21"/>
                      <w:szCs w:val="21"/>
                      <w:vertAlign w:val="superscript"/>
                    </w:rPr>
                    <w:t>2</w:t>
                  </w:r>
                </w:p>
              </w:tc>
              <w:tc>
                <w:tcPr>
                  <w:tcW w:w="123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color w:val="auto"/>
                      <w:sz w:val="21"/>
                      <w:szCs w:val="21"/>
                    </w:rPr>
                  </w:pPr>
                  <w:r>
                    <w:rPr>
                      <w:rFonts w:hint="eastAsia"/>
                      <w:color w:val="auto"/>
                      <w:sz w:val="21"/>
                      <w:szCs w:val="21"/>
                      <w:lang w:eastAsia="zh-CN"/>
                    </w:rPr>
                    <w:t>租赁现有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368" w:type="dxa"/>
                  <w:vMerge w:val="restart"/>
                  <w:tcBorders>
                    <w:top w:val="single" w:color="auto" w:sz="4" w:space="0"/>
                    <w:left w:val="single" w:color="auto" w:sz="12" w:space="0"/>
                    <w:bottom w:val="single" w:color="auto" w:sz="4" w:space="0"/>
                    <w:right w:val="single" w:color="auto" w:sz="4" w:space="0"/>
                  </w:tcBorders>
                  <w:vAlign w:val="center"/>
                </w:tcPr>
                <w:p>
                  <w:pPr>
                    <w:pStyle w:val="76"/>
                    <w:rPr>
                      <w:rFonts w:hAnsi="Times New Roman"/>
                      <w:color w:val="auto"/>
                      <w:sz w:val="21"/>
                    </w:rPr>
                  </w:pPr>
                  <w:r>
                    <w:rPr>
                      <w:rFonts w:hint="eastAsia" w:hAnsi="Times New Roman"/>
                      <w:color w:val="auto"/>
                      <w:sz w:val="21"/>
                    </w:rPr>
                    <w:t>公用工程</w:t>
                  </w:r>
                </w:p>
              </w:tc>
              <w:tc>
                <w:tcPr>
                  <w:tcW w:w="1672" w:type="dxa"/>
                  <w:tcBorders>
                    <w:top w:val="single" w:color="auto" w:sz="4" w:space="0"/>
                    <w:left w:val="single" w:color="auto" w:sz="4" w:space="0"/>
                    <w:bottom w:val="single" w:color="auto" w:sz="4" w:space="0"/>
                    <w:right w:val="single" w:color="auto" w:sz="4" w:space="0"/>
                  </w:tcBorders>
                  <w:vAlign w:val="center"/>
                </w:tcPr>
                <w:p>
                  <w:pPr>
                    <w:pStyle w:val="76"/>
                    <w:rPr>
                      <w:rFonts w:hAnsi="Times New Roman"/>
                      <w:color w:val="auto"/>
                      <w:sz w:val="21"/>
                    </w:rPr>
                  </w:pPr>
                  <w:r>
                    <w:rPr>
                      <w:rFonts w:hint="eastAsia" w:hAnsi="Times New Roman"/>
                      <w:color w:val="auto"/>
                      <w:sz w:val="21"/>
                    </w:rPr>
                    <w:t>供水</w:t>
                  </w:r>
                </w:p>
              </w:tc>
              <w:tc>
                <w:tcPr>
                  <w:tcW w:w="3786" w:type="dxa"/>
                  <w:tcBorders>
                    <w:top w:val="single" w:color="auto" w:sz="4" w:space="0"/>
                    <w:left w:val="single" w:color="auto" w:sz="4" w:space="0"/>
                    <w:bottom w:val="single" w:color="auto" w:sz="4" w:space="0"/>
                    <w:right w:val="single" w:color="auto" w:sz="4" w:space="0"/>
                  </w:tcBorders>
                  <w:vAlign w:val="center"/>
                </w:tcPr>
                <w:p>
                  <w:pPr>
                    <w:pStyle w:val="76"/>
                    <w:rPr>
                      <w:rFonts w:hAnsi="Times New Roman"/>
                      <w:color w:val="auto"/>
                      <w:sz w:val="21"/>
                    </w:rPr>
                  </w:pPr>
                  <w:r>
                    <w:rPr>
                      <w:rFonts w:hint="eastAsia" w:hAnsi="Times New Roman"/>
                      <w:color w:val="auto"/>
                      <w:sz w:val="21"/>
                    </w:rPr>
                    <w:t>邵东市自来水公司提供</w:t>
                  </w:r>
                </w:p>
              </w:tc>
              <w:tc>
                <w:tcPr>
                  <w:tcW w:w="1233" w:type="dxa"/>
                  <w:tcBorders>
                    <w:top w:val="single" w:color="auto" w:sz="4" w:space="0"/>
                    <w:left w:val="single" w:color="auto" w:sz="4" w:space="0"/>
                    <w:bottom w:val="single" w:color="auto" w:sz="4" w:space="0"/>
                    <w:right w:val="single" w:color="auto" w:sz="12" w:space="0"/>
                  </w:tcBorders>
                  <w:vAlign w:val="center"/>
                </w:tcPr>
                <w:p>
                  <w:pPr>
                    <w:pStyle w:val="76"/>
                    <w:rPr>
                      <w:rFonts w:hAnsi="Times New Roman"/>
                      <w:color w:val="auto"/>
                      <w:sz w:val="21"/>
                    </w:rPr>
                  </w:pPr>
                  <w:r>
                    <w:rPr>
                      <w:rFonts w:hint="eastAsia" w:hAnsi="Times New Roman"/>
                      <w:color w:val="auto"/>
                      <w:sz w:val="21"/>
                    </w:rPr>
                    <w:t>依托园区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368" w:type="dxa"/>
                  <w:vMerge w:val="continue"/>
                  <w:tcBorders>
                    <w:top w:val="single" w:color="auto" w:sz="4" w:space="0"/>
                    <w:left w:val="single" w:color="auto" w:sz="12" w:space="0"/>
                    <w:bottom w:val="single" w:color="auto" w:sz="4" w:space="0"/>
                    <w:right w:val="single" w:color="auto" w:sz="4" w:space="0"/>
                  </w:tcBorders>
                  <w:vAlign w:val="center"/>
                </w:tcPr>
                <w:p>
                  <w:pPr>
                    <w:pStyle w:val="76"/>
                    <w:rPr>
                      <w:rFonts w:hAnsi="Times New Roman"/>
                      <w:color w:val="auto"/>
                      <w:sz w:val="21"/>
                    </w:rPr>
                  </w:pPr>
                </w:p>
              </w:tc>
              <w:tc>
                <w:tcPr>
                  <w:tcW w:w="1672" w:type="dxa"/>
                  <w:tcBorders>
                    <w:top w:val="single" w:color="auto" w:sz="4" w:space="0"/>
                    <w:left w:val="single" w:color="auto" w:sz="4" w:space="0"/>
                    <w:bottom w:val="single" w:color="auto" w:sz="4" w:space="0"/>
                    <w:right w:val="single" w:color="auto" w:sz="4" w:space="0"/>
                  </w:tcBorders>
                  <w:vAlign w:val="center"/>
                </w:tcPr>
                <w:p>
                  <w:pPr>
                    <w:pStyle w:val="76"/>
                    <w:rPr>
                      <w:rFonts w:hAnsi="Times New Roman"/>
                      <w:color w:val="auto"/>
                      <w:sz w:val="21"/>
                    </w:rPr>
                  </w:pPr>
                  <w:r>
                    <w:rPr>
                      <w:rFonts w:hint="eastAsia" w:hAnsi="Times New Roman"/>
                      <w:color w:val="auto"/>
                      <w:sz w:val="21"/>
                    </w:rPr>
                    <w:t>排水</w:t>
                  </w:r>
                </w:p>
              </w:tc>
              <w:tc>
                <w:tcPr>
                  <w:tcW w:w="3786" w:type="dxa"/>
                  <w:tcBorders>
                    <w:top w:val="single" w:color="auto" w:sz="4" w:space="0"/>
                    <w:left w:val="single" w:color="auto" w:sz="4" w:space="0"/>
                    <w:bottom w:val="single" w:color="auto" w:sz="4" w:space="0"/>
                    <w:right w:val="single" w:color="auto" w:sz="4" w:space="0"/>
                  </w:tcBorders>
                  <w:vAlign w:val="center"/>
                </w:tcPr>
                <w:p>
                  <w:pPr>
                    <w:pStyle w:val="76"/>
                    <w:rPr>
                      <w:rFonts w:hint="eastAsia" w:hAnsi="Times New Roman" w:eastAsia="宋体"/>
                      <w:color w:val="auto"/>
                      <w:sz w:val="21"/>
                      <w:lang w:eastAsia="zh-CN"/>
                    </w:rPr>
                  </w:pPr>
                  <w:r>
                    <w:rPr>
                      <w:rFonts w:hint="eastAsia" w:hAnsi="Times New Roman"/>
                      <w:color w:val="auto"/>
                      <w:sz w:val="21"/>
                    </w:rPr>
                    <w:t>生活污水先经化粪池、隔油池</w:t>
                  </w:r>
                  <w:r>
                    <w:rPr>
                      <w:rFonts w:hint="eastAsia" w:hAnsi="Times New Roman"/>
                      <w:color w:val="auto"/>
                      <w:sz w:val="21"/>
                      <w:lang w:eastAsia="zh-CN"/>
                    </w:rPr>
                    <w:t>处理后</w:t>
                  </w:r>
                  <w:r>
                    <w:rPr>
                      <w:rFonts w:hint="eastAsia" w:hAnsi="Times New Roman"/>
                      <w:color w:val="auto"/>
                      <w:sz w:val="21"/>
                    </w:rPr>
                    <w:t>进入</w:t>
                  </w:r>
                  <w:r>
                    <w:rPr>
                      <w:rFonts w:hint="eastAsia" w:hAnsi="Times New Roman"/>
                      <w:color w:val="auto"/>
                      <w:sz w:val="21"/>
                      <w:lang w:eastAsia="zh-CN"/>
                    </w:rPr>
                    <w:t>邵东市美桥城市污水处理厂</w:t>
                  </w:r>
                </w:p>
              </w:tc>
              <w:tc>
                <w:tcPr>
                  <w:tcW w:w="1233" w:type="dxa"/>
                  <w:tcBorders>
                    <w:top w:val="single" w:color="auto" w:sz="4" w:space="0"/>
                    <w:left w:val="single" w:color="auto" w:sz="4" w:space="0"/>
                    <w:bottom w:val="single" w:color="auto" w:sz="4" w:space="0"/>
                    <w:right w:val="single" w:color="auto" w:sz="12" w:space="0"/>
                  </w:tcBorders>
                  <w:vAlign w:val="center"/>
                </w:tcPr>
                <w:p>
                  <w:pPr>
                    <w:pStyle w:val="76"/>
                    <w:rPr>
                      <w:rFonts w:hAnsi="Times New Roman"/>
                      <w:color w:val="auto"/>
                      <w:sz w:val="21"/>
                    </w:rPr>
                  </w:pPr>
                  <w:r>
                    <w:rPr>
                      <w:rFonts w:hint="eastAsia" w:hAnsi="Times New Roman"/>
                      <w:color w:val="auto"/>
                      <w:sz w:val="21"/>
                    </w:rPr>
                    <w:t>依托园区污水管网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368" w:type="dxa"/>
                  <w:vMerge w:val="continue"/>
                  <w:tcBorders>
                    <w:top w:val="single" w:color="auto" w:sz="4" w:space="0"/>
                    <w:left w:val="single" w:color="auto" w:sz="12" w:space="0"/>
                    <w:bottom w:val="single" w:color="auto" w:sz="4" w:space="0"/>
                    <w:right w:val="single" w:color="auto" w:sz="4" w:space="0"/>
                  </w:tcBorders>
                  <w:vAlign w:val="center"/>
                </w:tcPr>
                <w:p>
                  <w:pPr>
                    <w:pStyle w:val="76"/>
                    <w:rPr>
                      <w:rFonts w:hAnsi="Times New Roman"/>
                      <w:color w:val="auto"/>
                      <w:sz w:val="21"/>
                    </w:rPr>
                  </w:pPr>
                </w:p>
              </w:tc>
              <w:tc>
                <w:tcPr>
                  <w:tcW w:w="1672" w:type="dxa"/>
                  <w:tcBorders>
                    <w:top w:val="single" w:color="auto" w:sz="4" w:space="0"/>
                    <w:left w:val="single" w:color="auto" w:sz="4" w:space="0"/>
                    <w:bottom w:val="single" w:color="auto" w:sz="4" w:space="0"/>
                    <w:right w:val="single" w:color="auto" w:sz="4" w:space="0"/>
                  </w:tcBorders>
                  <w:vAlign w:val="center"/>
                </w:tcPr>
                <w:p>
                  <w:pPr>
                    <w:pStyle w:val="76"/>
                    <w:rPr>
                      <w:rFonts w:hAnsi="Times New Roman"/>
                      <w:color w:val="auto"/>
                      <w:sz w:val="21"/>
                    </w:rPr>
                  </w:pPr>
                  <w:r>
                    <w:rPr>
                      <w:rFonts w:hint="eastAsia" w:hAnsi="Times New Roman"/>
                      <w:color w:val="auto"/>
                      <w:sz w:val="21"/>
                    </w:rPr>
                    <w:t>供电</w:t>
                  </w:r>
                </w:p>
              </w:tc>
              <w:tc>
                <w:tcPr>
                  <w:tcW w:w="3786" w:type="dxa"/>
                  <w:tcBorders>
                    <w:top w:val="single" w:color="auto" w:sz="4" w:space="0"/>
                    <w:left w:val="single" w:color="auto" w:sz="4" w:space="0"/>
                    <w:bottom w:val="single" w:color="auto" w:sz="4" w:space="0"/>
                    <w:right w:val="single" w:color="auto" w:sz="4" w:space="0"/>
                  </w:tcBorders>
                  <w:vAlign w:val="center"/>
                </w:tcPr>
                <w:p>
                  <w:pPr>
                    <w:pStyle w:val="76"/>
                    <w:rPr>
                      <w:rFonts w:hint="eastAsia" w:hAnsi="Times New Roman" w:eastAsia="宋体"/>
                      <w:color w:val="auto"/>
                      <w:sz w:val="21"/>
                      <w:lang w:eastAsia="zh-CN"/>
                    </w:rPr>
                  </w:pPr>
                  <w:r>
                    <w:rPr>
                      <w:rFonts w:hint="eastAsia" w:hAnsi="Times New Roman"/>
                      <w:color w:val="auto"/>
                      <w:sz w:val="21"/>
                    </w:rPr>
                    <w:t>邵东市供电公司提供</w:t>
                  </w:r>
                </w:p>
              </w:tc>
              <w:tc>
                <w:tcPr>
                  <w:tcW w:w="1233" w:type="dxa"/>
                  <w:tcBorders>
                    <w:top w:val="single" w:color="auto" w:sz="4" w:space="0"/>
                    <w:left w:val="single" w:color="auto" w:sz="4" w:space="0"/>
                    <w:bottom w:val="single" w:color="auto" w:sz="4" w:space="0"/>
                    <w:right w:val="single" w:color="auto" w:sz="12" w:space="0"/>
                  </w:tcBorders>
                  <w:vAlign w:val="center"/>
                </w:tcPr>
                <w:p>
                  <w:pPr>
                    <w:pStyle w:val="76"/>
                    <w:rPr>
                      <w:rFonts w:hAnsi="Times New Roman"/>
                      <w:color w:val="auto"/>
                      <w:sz w:val="21"/>
                    </w:rPr>
                  </w:pPr>
                  <w:r>
                    <w:rPr>
                      <w:rFonts w:hint="eastAsia" w:hAnsi="Times New Roman"/>
                      <w:color w:val="auto"/>
                      <w:sz w:val="21"/>
                    </w:rPr>
                    <w:t>依托园区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368" w:type="dxa"/>
                  <w:vMerge w:val="continue"/>
                  <w:tcBorders>
                    <w:top w:val="single" w:color="auto" w:sz="4" w:space="0"/>
                    <w:left w:val="single" w:color="auto" w:sz="12" w:space="0"/>
                    <w:bottom w:val="single" w:color="auto" w:sz="4" w:space="0"/>
                    <w:right w:val="single" w:color="auto" w:sz="4" w:space="0"/>
                  </w:tcBorders>
                  <w:vAlign w:val="center"/>
                </w:tcPr>
                <w:p>
                  <w:pPr>
                    <w:pStyle w:val="76"/>
                    <w:rPr>
                      <w:rFonts w:hAnsi="Times New Roman"/>
                      <w:color w:val="auto"/>
                      <w:sz w:val="21"/>
                    </w:rPr>
                  </w:pPr>
                </w:p>
              </w:tc>
              <w:tc>
                <w:tcPr>
                  <w:tcW w:w="1672" w:type="dxa"/>
                  <w:tcBorders>
                    <w:top w:val="single" w:color="auto" w:sz="4" w:space="0"/>
                    <w:left w:val="single" w:color="auto" w:sz="4" w:space="0"/>
                    <w:bottom w:val="single" w:color="auto" w:sz="4" w:space="0"/>
                    <w:right w:val="single" w:color="auto" w:sz="4" w:space="0"/>
                  </w:tcBorders>
                  <w:vAlign w:val="center"/>
                </w:tcPr>
                <w:p>
                  <w:pPr>
                    <w:pStyle w:val="76"/>
                    <w:rPr>
                      <w:rFonts w:hAnsi="Times New Roman"/>
                      <w:color w:val="auto"/>
                      <w:sz w:val="21"/>
                    </w:rPr>
                  </w:pPr>
                  <w:r>
                    <w:rPr>
                      <w:rFonts w:hint="eastAsia" w:hAnsi="Times New Roman"/>
                      <w:color w:val="auto"/>
                      <w:sz w:val="21"/>
                    </w:rPr>
                    <w:t>供暖</w:t>
                  </w:r>
                </w:p>
              </w:tc>
              <w:tc>
                <w:tcPr>
                  <w:tcW w:w="3786" w:type="dxa"/>
                  <w:tcBorders>
                    <w:top w:val="single" w:color="auto" w:sz="4" w:space="0"/>
                    <w:left w:val="single" w:color="auto" w:sz="4" w:space="0"/>
                    <w:bottom w:val="single" w:color="auto" w:sz="4" w:space="0"/>
                    <w:right w:val="single" w:color="auto" w:sz="4" w:space="0"/>
                  </w:tcBorders>
                  <w:vAlign w:val="center"/>
                </w:tcPr>
                <w:p>
                  <w:pPr>
                    <w:pStyle w:val="76"/>
                    <w:rPr>
                      <w:rFonts w:hAnsi="Times New Roman"/>
                      <w:bCs/>
                      <w:color w:val="auto"/>
                      <w:sz w:val="21"/>
                    </w:rPr>
                  </w:pPr>
                  <w:r>
                    <w:rPr>
                      <w:rFonts w:hint="eastAsia" w:hAnsi="Times New Roman"/>
                      <w:bCs/>
                      <w:color w:val="auto"/>
                      <w:sz w:val="21"/>
                    </w:rPr>
                    <w:t>空调供暖</w:t>
                  </w:r>
                </w:p>
              </w:tc>
              <w:tc>
                <w:tcPr>
                  <w:tcW w:w="1233" w:type="dxa"/>
                  <w:tcBorders>
                    <w:top w:val="single" w:color="auto" w:sz="4" w:space="0"/>
                    <w:left w:val="single" w:color="auto" w:sz="4" w:space="0"/>
                    <w:bottom w:val="single" w:color="auto" w:sz="4" w:space="0"/>
                    <w:right w:val="single" w:color="auto" w:sz="12" w:space="0"/>
                  </w:tcBorders>
                  <w:vAlign w:val="center"/>
                </w:tcPr>
                <w:p>
                  <w:pPr>
                    <w:pStyle w:val="76"/>
                    <w:rPr>
                      <w:rFonts w:hAnsi="Times New Roman"/>
                      <w:bCs/>
                      <w:color w:val="auto"/>
                      <w:sz w:val="21"/>
                    </w:rPr>
                  </w:pPr>
                  <w:r>
                    <w:rPr>
                      <w:rFonts w:hint="eastAsia"/>
                      <w:color w:val="auto"/>
                      <w:sz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368" w:type="dxa"/>
                  <w:vMerge w:val="restart"/>
                  <w:tcBorders>
                    <w:top w:val="single" w:color="auto" w:sz="4" w:space="0"/>
                    <w:left w:val="single" w:color="auto" w:sz="12" w:space="0"/>
                    <w:right w:val="single" w:color="auto" w:sz="4" w:space="0"/>
                  </w:tcBorders>
                  <w:vAlign w:val="center"/>
                </w:tcPr>
                <w:p>
                  <w:pPr>
                    <w:pStyle w:val="76"/>
                    <w:rPr>
                      <w:rFonts w:hAnsi="Times New Roman"/>
                      <w:color w:val="auto"/>
                      <w:sz w:val="21"/>
                    </w:rPr>
                  </w:pPr>
                  <w:r>
                    <w:rPr>
                      <w:rFonts w:hint="eastAsia" w:hAnsi="Times New Roman"/>
                      <w:color w:val="auto"/>
                      <w:sz w:val="21"/>
                    </w:rPr>
                    <w:t>环保工程</w:t>
                  </w:r>
                </w:p>
              </w:tc>
              <w:tc>
                <w:tcPr>
                  <w:tcW w:w="1672" w:type="dxa"/>
                  <w:tcBorders>
                    <w:top w:val="single" w:color="auto" w:sz="4" w:space="0"/>
                    <w:left w:val="single" w:color="auto" w:sz="4" w:space="0"/>
                    <w:bottom w:val="single" w:color="auto" w:sz="4" w:space="0"/>
                    <w:right w:val="single" w:color="auto" w:sz="4" w:space="0"/>
                  </w:tcBorders>
                  <w:vAlign w:val="center"/>
                </w:tcPr>
                <w:p>
                  <w:pPr>
                    <w:pStyle w:val="76"/>
                    <w:rPr>
                      <w:rFonts w:hAnsi="Times New Roman"/>
                      <w:color w:val="auto"/>
                      <w:sz w:val="21"/>
                    </w:rPr>
                  </w:pPr>
                  <w:r>
                    <w:rPr>
                      <w:rFonts w:hint="eastAsia" w:hAnsi="Times New Roman"/>
                      <w:color w:val="auto"/>
                      <w:sz w:val="21"/>
                    </w:rPr>
                    <w:t>废气</w:t>
                  </w:r>
                </w:p>
              </w:tc>
              <w:tc>
                <w:tcPr>
                  <w:tcW w:w="3786" w:type="dxa"/>
                  <w:tcBorders>
                    <w:top w:val="single" w:color="auto" w:sz="4" w:space="0"/>
                    <w:left w:val="single" w:color="auto" w:sz="4" w:space="0"/>
                    <w:bottom w:val="single" w:color="auto" w:sz="4" w:space="0"/>
                    <w:right w:val="single" w:color="auto" w:sz="4" w:space="0"/>
                  </w:tcBorders>
                  <w:vAlign w:val="center"/>
                </w:tcPr>
                <w:p>
                  <w:pPr>
                    <w:pStyle w:val="76"/>
                    <w:rPr>
                      <w:rFonts w:hint="eastAsia" w:hAnsi="Times New Roman" w:eastAsia="宋体"/>
                      <w:color w:val="auto"/>
                      <w:sz w:val="21"/>
                      <w:lang w:eastAsia="zh-CN"/>
                    </w:rPr>
                  </w:pPr>
                  <w:r>
                    <w:rPr>
                      <w:rFonts w:hint="eastAsia" w:hAnsi="Times New Roman"/>
                      <w:color w:val="auto"/>
                      <w:sz w:val="21"/>
                      <w:lang w:eastAsia="zh-CN"/>
                    </w:rPr>
                    <w:t>涂料搅拌分散过程中产生的</w:t>
                  </w:r>
                  <w:r>
                    <w:rPr>
                      <w:rFonts w:hint="eastAsia" w:hAnsi="Times New Roman"/>
                      <w:color w:val="auto"/>
                      <w:sz w:val="21"/>
                    </w:rPr>
                    <w:t>VOCs经集气罩收集后通过活性炭吸附装置处理后，通过1</w:t>
                  </w:r>
                  <w:r>
                    <w:rPr>
                      <w:rFonts w:hAnsi="Times New Roman"/>
                      <w:color w:val="auto"/>
                      <w:sz w:val="21"/>
                    </w:rPr>
                    <w:t>5</w:t>
                  </w:r>
                  <w:r>
                    <w:rPr>
                      <w:rFonts w:hint="eastAsia" w:hAnsi="Times New Roman"/>
                      <w:color w:val="auto"/>
                      <w:sz w:val="21"/>
                    </w:rPr>
                    <w:t>m高排气筒（1#）高空排放</w:t>
                  </w:r>
                  <w:r>
                    <w:rPr>
                      <w:rFonts w:hint="eastAsia" w:hAnsi="Times New Roman"/>
                      <w:color w:val="auto"/>
                      <w:sz w:val="21"/>
                      <w:lang w:eastAsia="zh-CN"/>
                    </w:rPr>
                    <w:t>，</w:t>
                  </w:r>
                  <w:r>
                    <w:rPr>
                      <w:rFonts w:hint="eastAsia" w:hAnsi="Times New Roman"/>
                      <w:color w:val="auto"/>
                      <w:sz w:val="21"/>
                    </w:rPr>
                    <w:t>同时加强车间通风；</w:t>
                  </w:r>
                  <w:r>
                    <w:rPr>
                      <w:rFonts w:hint="eastAsia" w:hAnsi="Times New Roman"/>
                      <w:color w:val="auto"/>
                      <w:sz w:val="21"/>
                      <w:lang w:eastAsia="zh-CN"/>
                    </w:rPr>
                    <w:t>投料、搅拌过程中产生的颗粒物经布袋除尘器处理后，通过15m高的排气筒高空排放。</w:t>
                  </w:r>
                </w:p>
              </w:tc>
              <w:tc>
                <w:tcPr>
                  <w:tcW w:w="1233" w:type="dxa"/>
                  <w:tcBorders>
                    <w:top w:val="single" w:color="auto" w:sz="4" w:space="0"/>
                    <w:left w:val="single" w:color="auto" w:sz="4" w:space="0"/>
                    <w:bottom w:val="single" w:color="auto" w:sz="4" w:space="0"/>
                    <w:right w:val="single" w:color="auto" w:sz="12" w:space="0"/>
                  </w:tcBorders>
                  <w:vAlign w:val="center"/>
                </w:tcPr>
                <w:p>
                  <w:pPr>
                    <w:pStyle w:val="76"/>
                    <w:rPr>
                      <w:rFonts w:hAnsi="Times New Roman"/>
                      <w:color w:val="auto"/>
                      <w:sz w:val="21"/>
                    </w:rPr>
                  </w:pPr>
                  <w:r>
                    <w:rPr>
                      <w:rFonts w:hint="eastAsia"/>
                      <w:color w:val="auto"/>
                      <w:sz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368" w:type="dxa"/>
                  <w:vMerge w:val="continue"/>
                  <w:tcBorders>
                    <w:left w:val="single" w:color="auto" w:sz="12" w:space="0"/>
                    <w:right w:val="single" w:color="auto" w:sz="4" w:space="0"/>
                  </w:tcBorders>
                  <w:vAlign w:val="center"/>
                </w:tcPr>
                <w:p>
                  <w:pPr>
                    <w:pStyle w:val="76"/>
                    <w:rPr>
                      <w:rFonts w:hAnsi="Times New Roman"/>
                      <w:color w:val="auto"/>
                      <w:sz w:val="21"/>
                    </w:rPr>
                  </w:pPr>
                </w:p>
              </w:tc>
              <w:tc>
                <w:tcPr>
                  <w:tcW w:w="1672" w:type="dxa"/>
                  <w:tcBorders>
                    <w:top w:val="single" w:color="auto" w:sz="4" w:space="0"/>
                    <w:left w:val="single" w:color="auto" w:sz="4" w:space="0"/>
                    <w:bottom w:val="single" w:color="auto" w:sz="4" w:space="0"/>
                    <w:right w:val="single" w:color="auto" w:sz="4" w:space="0"/>
                  </w:tcBorders>
                  <w:vAlign w:val="center"/>
                </w:tcPr>
                <w:p>
                  <w:pPr>
                    <w:pStyle w:val="76"/>
                    <w:rPr>
                      <w:rFonts w:hAnsi="Times New Roman"/>
                      <w:color w:val="auto"/>
                      <w:sz w:val="21"/>
                    </w:rPr>
                  </w:pPr>
                  <w:r>
                    <w:rPr>
                      <w:rFonts w:hint="eastAsia" w:hAnsi="Times New Roman"/>
                      <w:color w:val="auto"/>
                      <w:sz w:val="21"/>
                    </w:rPr>
                    <w:t>废水</w:t>
                  </w:r>
                </w:p>
              </w:tc>
              <w:tc>
                <w:tcPr>
                  <w:tcW w:w="3786" w:type="dxa"/>
                  <w:tcBorders>
                    <w:top w:val="single" w:color="auto" w:sz="4" w:space="0"/>
                    <w:left w:val="single" w:color="auto" w:sz="4" w:space="0"/>
                    <w:bottom w:val="single" w:color="auto" w:sz="4" w:space="0"/>
                    <w:right w:val="single" w:color="auto" w:sz="4" w:space="0"/>
                  </w:tcBorders>
                  <w:vAlign w:val="center"/>
                </w:tcPr>
                <w:p>
                  <w:pPr>
                    <w:pStyle w:val="76"/>
                    <w:rPr>
                      <w:rFonts w:hAnsi="Times New Roman"/>
                      <w:color w:val="auto"/>
                      <w:sz w:val="21"/>
                    </w:rPr>
                  </w:pPr>
                  <w:r>
                    <w:rPr>
                      <w:rFonts w:hint="eastAsia" w:hAnsi="Times New Roman"/>
                      <w:color w:val="auto"/>
                      <w:sz w:val="21"/>
                    </w:rPr>
                    <w:t>雨污分流，雨水经厂区汇流，进入雨水管道；</w:t>
                  </w:r>
                  <w:r>
                    <w:rPr>
                      <w:rFonts w:hint="eastAsia" w:hAnsi="Times New Roman"/>
                      <w:color w:val="auto"/>
                      <w:sz w:val="21"/>
                      <w:lang w:eastAsia="zh-CN"/>
                    </w:rPr>
                    <w:t>本项目去离子水生产过程中产生少量废水，用于邵东东创鞋底厂的绿化，综合利用</w:t>
                  </w:r>
                  <w:r>
                    <w:rPr>
                      <w:rFonts w:hint="eastAsia" w:hAnsi="Times New Roman"/>
                      <w:color w:val="auto"/>
                      <w:sz w:val="21"/>
                      <w:lang w:val="en-US" w:eastAsia="zh-CN"/>
                    </w:rPr>
                    <w:t>，</w:t>
                  </w:r>
                  <w:r>
                    <w:rPr>
                      <w:rFonts w:hint="eastAsia" w:hAnsi="Times New Roman"/>
                      <w:color w:val="auto"/>
                      <w:sz w:val="21"/>
                      <w:lang w:eastAsia="zh-CN"/>
                    </w:rPr>
                    <w:t>不外排</w:t>
                  </w:r>
                  <w:r>
                    <w:rPr>
                      <w:rFonts w:hint="eastAsia" w:hAnsi="Times New Roman"/>
                      <w:color w:val="auto"/>
                      <w:sz w:val="21"/>
                    </w:rPr>
                    <w:t>；生活污水经化粪池、隔油池</w:t>
                  </w:r>
                  <w:r>
                    <w:rPr>
                      <w:rFonts w:hint="eastAsia" w:hAnsi="Times New Roman"/>
                      <w:color w:val="auto"/>
                      <w:sz w:val="21"/>
                      <w:lang w:eastAsia="zh-CN"/>
                    </w:rPr>
                    <w:t>处理后</w:t>
                  </w:r>
                  <w:r>
                    <w:rPr>
                      <w:rFonts w:hint="eastAsia" w:hAnsi="Times New Roman"/>
                      <w:color w:val="auto"/>
                      <w:sz w:val="21"/>
                    </w:rPr>
                    <w:t>进入</w:t>
                  </w:r>
                  <w:r>
                    <w:rPr>
                      <w:rFonts w:hint="eastAsia" w:hAnsi="Times New Roman"/>
                      <w:color w:val="auto"/>
                      <w:sz w:val="21"/>
                      <w:lang w:eastAsia="zh-CN"/>
                    </w:rPr>
                    <w:t>邵东市美桥城市污水处理厂</w:t>
                  </w:r>
                  <w:r>
                    <w:rPr>
                      <w:rFonts w:hint="eastAsia" w:hAnsi="Times New Roman"/>
                      <w:color w:val="auto"/>
                      <w:sz w:val="21"/>
                    </w:rPr>
                    <w:t>深度处理。</w:t>
                  </w:r>
                </w:p>
              </w:tc>
              <w:tc>
                <w:tcPr>
                  <w:tcW w:w="1233" w:type="dxa"/>
                  <w:tcBorders>
                    <w:top w:val="single" w:color="auto" w:sz="4" w:space="0"/>
                    <w:left w:val="single" w:color="auto" w:sz="4" w:space="0"/>
                    <w:bottom w:val="single" w:color="auto" w:sz="4" w:space="0"/>
                    <w:right w:val="single" w:color="auto" w:sz="12" w:space="0"/>
                  </w:tcBorders>
                  <w:vAlign w:val="center"/>
                </w:tcPr>
                <w:p>
                  <w:pPr>
                    <w:pStyle w:val="76"/>
                    <w:rPr>
                      <w:rFonts w:hAnsi="Times New Roman"/>
                      <w:color w:val="auto"/>
                      <w:sz w:val="21"/>
                    </w:rPr>
                  </w:pPr>
                  <w:r>
                    <w:rPr>
                      <w:rFonts w:hint="eastAsia"/>
                      <w:color w:val="auto"/>
                      <w:sz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368" w:type="dxa"/>
                  <w:vMerge w:val="continue"/>
                  <w:tcBorders>
                    <w:left w:val="single" w:color="auto" w:sz="12" w:space="0"/>
                    <w:right w:val="single" w:color="auto" w:sz="4" w:space="0"/>
                  </w:tcBorders>
                  <w:vAlign w:val="center"/>
                </w:tcPr>
                <w:p>
                  <w:pPr>
                    <w:pStyle w:val="76"/>
                    <w:rPr>
                      <w:rFonts w:hAnsi="Times New Roman"/>
                      <w:color w:val="auto"/>
                      <w:sz w:val="21"/>
                    </w:rPr>
                  </w:pPr>
                </w:p>
              </w:tc>
              <w:tc>
                <w:tcPr>
                  <w:tcW w:w="1672" w:type="dxa"/>
                  <w:tcBorders>
                    <w:top w:val="single" w:color="auto" w:sz="4" w:space="0"/>
                    <w:left w:val="single" w:color="auto" w:sz="4" w:space="0"/>
                    <w:bottom w:val="single" w:color="auto" w:sz="4" w:space="0"/>
                    <w:right w:val="single" w:color="auto" w:sz="4" w:space="0"/>
                  </w:tcBorders>
                  <w:vAlign w:val="center"/>
                </w:tcPr>
                <w:p>
                  <w:pPr>
                    <w:pStyle w:val="76"/>
                    <w:rPr>
                      <w:rFonts w:hAnsi="Times New Roman"/>
                      <w:color w:val="auto"/>
                      <w:sz w:val="21"/>
                    </w:rPr>
                  </w:pPr>
                  <w:r>
                    <w:rPr>
                      <w:rFonts w:hint="eastAsia" w:hAnsi="Times New Roman"/>
                      <w:color w:val="auto"/>
                      <w:sz w:val="21"/>
                    </w:rPr>
                    <w:t>噪声</w:t>
                  </w:r>
                </w:p>
              </w:tc>
              <w:tc>
                <w:tcPr>
                  <w:tcW w:w="3786" w:type="dxa"/>
                  <w:tcBorders>
                    <w:top w:val="single" w:color="auto" w:sz="4" w:space="0"/>
                    <w:left w:val="single" w:color="auto" w:sz="4" w:space="0"/>
                    <w:bottom w:val="single" w:color="auto" w:sz="4" w:space="0"/>
                    <w:right w:val="single" w:color="auto" w:sz="4" w:space="0"/>
                  </w:tcBorders>
                  <w:vAlign w:val="center"/>
                </w:tcPr>
                <w:p>
                  <w:pPr>
                    <w:pStyle w:val="76"/>
                    <w:rPr>
                      <w:rFonts w:hAnsi="Times New Roman"/>
                      <w:color w:val="auto"/>
                      <w:sz w:val="21"/>
                    </w:rPr>
                  </w:pPr>
                  <w:r>
                    <w:rPr>
                      <w:rFonts w:hint="eastAsia" w:hAnsi="Times New Roman"/>
                      <w:color w:val="auto"/>
                      <w:sz w:val="21"/>
                    </w:rPr>
                    <w:t>厂房隔声、距离衰减、设备基础减震降噪等措施</w:t>
                  </w:r>
                </w:p>
              </w:tc>
              <w:tc>
                <w:tcPr>
                  <w:tcW w:w="1233" w:type="dxa"/>
                  <w:tcBorders>
                    <w:top w:val="single" w:color="auto" w:sz="4" w:space="0"/>
                    <w:left w:val="single" w:color="auto" w:sz="4" w:space="0"/>
                    <w:bottom w:val="single" w:color="auto" w:sz="4" w:space="0"/>
                    <w:right w:val="single" w:color="auto" w:sz="12" w:space="0"/>
                  </w:tcBorders>
                  <w:vAlign w:val="center"/>
                </w:tcPr>
                <w:p>
                  <w:pPr>
                    <w:pStyle w:val="76"/>
                    <w:rPr>
                      <w:rFonts w:hAnsi="Times New Roman"/>
                      <w:color w:val="auto"/>
                      <w:sz w:val="21"/>
                    </w:rPr>
                  </w:pPr>
                  <w:r>
                    <w:rPr>
                      <w:rFonts w:hint="eastAsia"/>
                      <w:color w:val="auto"/>
                      <w:sz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368" w:type="dxa"/>
                  <w:vMerge w:val="continue"/>
                  <w:tcBorders>
                    <w:left w:val="single" w:color="auto" w:sz="12" w:space="0"/>
                    <w:right w:val="single" w:color="auto" w:sz="4" w:space="0"/>
                  </w:tcBorders>
                  <w:vAlign w:val="center"/>
                </w:tcPr>
                <w:p>
                  <w:pPr>
                    <w:pStyle w:val="76"/>
                    <w:rPr>
                      <w:rFonts w:hAnsi="Times New Roman"/>
                      <w:color w:val="auto"/>
                      <w:sz w:val="21"/>
                    </w:rPr>
                  </w:pPr>
                </w:p>
              </w:tc>
              <w:tc>
                <w:tcPr>
                  <w:tcW w:w="1672" w:type="dxa"/>
                  <w:tcBorders>
                    <w:top w:val="single" w:color="auto" w:sz="4" w:space="0"/>
                    <w:left w:val="single" w:color="auto" w:sz="4" w:space="0"/>
                    <w:bottom w:val="single" w:color="auto" w:sz="4" w:space="0"/>
                    <w:right w:val="single" w:color="auto" w:sz="4" w:space="0"/>
                  </w:tcBorders>
                  <w:vAlign w:val="center"/>
                </w:tcPr>
                <w:p>
                  <w:pPr>
                    <w:pStyle w:val="76"/>
                    <w:rPr>
                      <w:rFonts w:hAnsi="Times New Roman"/>
                      <w:color w:val="auto"/>
                      <w:sz w:val="21"/>
                    </w:rPr>
                  </w:pPr>
                  <w:r>
                    <w:rPr>
                      <w:rFonts w:hint="eastAsia" w:hAnsi="Times New Roman"/>
                      <w:color w:val="auto"/>
                      <w:sz w:val="21"/>
                    </w:rPr>
                    <w:t>固废</w:t>
                  </w:r>
                </w:p>
              </w:tc>
              <w:tc>
                <w:tcPr>
                  <w:tcW w:w="3786" w:type="dxa"/>
                  <w:tcBorders>
                    <w:top w:val="single" w:color="auto" w:sz="4" w:space="0"/>
                    <w:left w:val="single" w:color="auto" w:sz="4" w:space="0"/>
                    <w:bottom w:val="single" w:color="auto" w:sz="4" w:space="0"/>
                    <w:right w:val="single" w:color="auto" w:sz="4" w:space="0"/>
                  </w:tcBorders>
                  <w:vAlign w:val="center"/>
                </w:tcPr>
                <w:p>
                  <w:pPr>
                    <w:pStyle w:val="76"/>
                    <w:rPr>
                      <w:rFonts w:hAnsi="Times New Roman"/>
                      <w:color w:val="auto"/>
                      <w:sz w:val="21"/>
                    </w:rPr>
                  </w:pPr>
                  <w:r>
                    <w:rPr>
                      <w:rFonts w:hint="eastAsia" w:hAnsi="Times New Roman"/>
                      <w:color w:val="auto"/>
                      <w:sz w:val="21"/>
                      <w:lang w:eastAsia="zh-CN"/>
                    </w:rPr>
                    <w:t>废包装袋外售废品回收点回收利用；水性涂料废包装桶为一般固体废物，由厂商回收后回用于原料包装；布袋除尘器</w:t>
                  </w:r>
                  <w:r>
                    <w:rPr>
                      <w:rFonts w:hint="eastAsia" w:hAnsi="Times New Roman"/>
                      <w:color w:val="auto"/>
                      <w:sz w:val="21"/>
                      <w:lang w:val="en-US" w:eastAsia="zh-CN"/>
                    </w:rPr>
                    <w:t>收集粉尘回用于生产</w:t>
                  </w:r>
                  <w:r>
                    <w:rPr>
                      <w:rFonts w:hint="eastAsia" w:hAnsi="Times New Roman"/>
                      <w:color w:val="auto"/>
                      <w:sz w:val="21"/>
                      <w:lang w:eastAsia="zh-CN"/>
                    </w:rPr>
                    <w:t>；反渗透膜为一般固体废物，反渗透膜交厂家回收利用；废活性炭属于危险废物，集中收集，暂存危废暂存间，定期交资质单位处置。生活垃圾委托环卫部门定期清运。</w:t>
                  </w:r>
                </w:p>
              </w:tc>
              <w:tc>
                <w:tcPr>
                  <w:tcW w:w="1233" w:type="dxa"/>
                  <w:tcBorders>
                    <w:top w:val="single" w:color="auto" w:sz="4" w:space="0"/>
                    <w:left w:val="single" w:color="auto" w:sz="4" w:space="0"/>
                    <w:bottom w:val="single" w:color="auto" w:sz="4" w:space="0"/>
                    <w:right w:val="single" w:color="auto" w:sz="12" w:space="0"/>
                  </w:tcBorders>
                  <w:vAlign w:val="center"/>
                </w:tcPr>
                <w:p>
                  <w:pPr>
                    <w:pStyle w:val="76"/>
                    <w:rPr>
                      <w:rFonts w:hAnsi="Times New Roman"/>
                      <w:color w:val="auto"/>
                      <w:sz w:val="21"/>
                    </w:rPr>
                  </w:pPr>
                  <w:r>
                    <w:rPr>
                      <w:rFonts w:hint="eastAsia"/>
                      <w:color w:val="auto"/>
                      <w:sz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368" w:type="dxa"/>
                  <w:vMerge w:val="continue"/>
                  <w:tcBorders>
                    <w:left w:val="single" w:color="auto" w:sz="12" w:space="0"/>
                    <w:bottom w:val="single" w:color="auto" w:sz="12" w:space="0"/>
                    <w:right w:val="single" w:color="auto" w:sz="4" w:space="0"/>
                  </w:tcBorders>
                  <w:vAlign w:val="center"/>
                </w:tcPr>
                <w:p>
                  <w:pPr>
                    <w:pStyle w:val="76"/>
                    <w:rPr>
                      <w:rFonts w:hAnsi="Times New Roman"/>
                      <w:color w:val="auto"/>
                      <w:sz w:val="21"/>
                    </w:rPr>
                  </w:pPr>
                </w:p>
              </w:tc>
              <w:tc>
                <w:tcPr>
                  <w:tcW w:w="1672" w:type="dxa"/>
                  <w:tcBorders>
                    <w:top w:val="single" w:color="auto" w:sz="4" w:space="0"/>
                    <w:left w:val="single" w:color="auto" w:sz="4" w:space="0"/>
                    <w:bottom w:val="single" w:color="auto" w:sz="12" w:space="0"/>
                    <w:right w:val="single" w:color="auto" w:sz="4" w:space="0"/>
                  </w:tcBorders>
                  <w:vAlign w:val="center"/>
                </w:tcPr>
                <w:p>
                  <w:pPr>
                    <w:pStyle w:val="76"/>
                    <w:rPr>
                      <w:color w:val="auto"/>
                      <w:sz w:val="21"/>
                    </w:rPr>
                  </w:pPr>
                  <w:r>
                    <w:rPr>
                      <w:rFonts w:hint="eastAsia"/>
                      <w:color w:val="auto"/>
                      <w:sz w:val="21"/>
                    </w:rPr>
                    <w:t>风险防范措施</w:t>
                  </w:r>
                </w:p>
              </w:tc>
              <w:tc>
                <w:tcPr>
                  <w:tcW w:w="3786" w:type="dxa"/>
                  <w:tcBorders>
                    <w:top w:val="single" w:color="auto" w:sz="4" w:space="0"/>
                    <w:left w:val="single" w:color="auto" w:sz="4" w:space="0"/>
                    <w:bottom w:val="single" w:color="auto" w:sz="12" w:space="0"/>
                    <w:right w:val="single" w:color="auto" w:sz="4" w:space="0"/>
                  </w:tcBorders>
                  <w:vAlign w:val="center"/>
                </w:tcPr>
                <w:p>
                  <w:pPr>
                    <w:pStyle w:val="76"/>
                    <w:rPr>
                      <w:color w:val="auto"/>
                      <w:sz w:val="21"/>
                    </w:rPr>
                  </w:pPr>
                  <w:r>
                    <w:rPr>
                      <w:rFonts w:hint="eastAsia"/>
                      <w:color w:val="auto"/>
                      <w:sz w:val="21"/>
                    </w:rPr>
                    <w:t>危废暂存间防渗，严格按照消防安全的相关规定，在车间内设置灭火器材。产品和液态原辅料均存储于</w:t>
                  </w:r>
                  <w:r>
                    <w:rPr>
                      <w:rFonts w:hint="eastAsia"/>
                      <w:color w:val="auto"/>
                      <w:sz w:val="21"/>
                      <w:lang w:val="en-US" w:eastAsia="zh-CN"/>
                    </w:rPr>
                    <w:t>仓库内</w:t>
                  </w:r>
                  <w:r>
                    <w:rPr>
                      <w:rFonts w:hint="eastAsia"/>
                      <w:color w:val="auto"/>
                      <w:sz w:val="21"/>
                      <w:lang w:eastAsia="zh-CN"/>
                    </w:rPr>
                    <w:t>。危险废物暂存间、原料储存区、成品储存区建设截流边沟、应急池，</w:t>
                  </w:r>
                  <w:r>
                    <w:rPr>
                      <w:rFonts w:hint="eastAsia"/>
                      <w:color w:val="auto"/>
                      <w:sz w:val="21"/>
                      <w:lang w:val="en-US" w:eastAsia="zh-CN"/>
                    </w:rPr>
                    <w:t>生产车间临时存放的少量液态物料存放在接液托盘上，</w:t>
                  </w:r>
                  <w:r>
                    <w:rPr>
                      <w:rFonts w:hint="eastAsia"/>
                      <w:color w:val="auto"/>
                      <w:sz w:val="21"/>
                      <w:lang w:eastAsia="zh-CN"/>
                    </w:rPr>
                    <w:t>收集泄漏物，避免进入环境。</w:t>
                  </w:r>
                  <w:r>
                    <w:rPr>
                      <w:rFonts w:hint="eastAsia"/>
                      <w:color w:val="auto"/>
                      <w:sz w:val="21"/>
                    </w:rPr>
                    <w:t>根据国家环保部相关文件要求，企业应制定环境污染事故发生的工作计划，消除事故隐患的实施及突发性事故的应急办法等。</w:t>
                  </w:r>
                </w:p>
              </w:tc>
              <w:tc>
                <w:tcPr>
                  <w:tcW w:w="1233" w:type="dxa"/>
                  <w:tcBorders>
                    <w:top w:val="single" w:color="auto" w:sz="4" w:space="0"/>
                    <w:left w:val="single" w:color="auto" w:sz="4" w:space="0"/>
                    <w:bottom w:val="single" w:color="auto" w:sz="12" w:space="0"/>
                    <w:right w:val="single" w:color="auto" w:sz="12" w:space="0"/>
                  </w:tcBorders>
                  <w:vAlign w:val="center"/>
                </w:tcPr>
                <w:p>
                  <w:pPr>
                    <w:pStyle w:val="76"/>
                    <w:rPr>
                      <w:color w:val="auto"/>
                      <w:sz w:val="21"/>
                    </w:rPr>
                  </w:pPr>
                  <w:r>
                    <w:rPr>
                      <w:rFonts w:hint="eastAsia"/>
                      <w:color w:val="auto"/>
                      <w:sz w:val="21"/>
                    </w:rPr>
                    <w:t>新建</w:t>
                  </w:r>
                </w:p>
              </w:tc>
            </w:tr>
          </w:tbl>
          <w:p>
            <w:pPr>
              <w:adjustRightInd w:val="0"/>
              <w:snapToGrid w:val="0"/>
              <w:jc w:val="center"/>
              <w:rPr>
                <w:b/>
                <w:color w:val="auto"/>
                <w:szCs w:val="21"/>
              </w:rPr>
            </w:pPr>
          </w:p>
          <w:p>
            <w:pPr>
              <w:pStyle w:val="4"/>
              <w:rPr>
                <w:rFonts w:ascii="Times New Roman" w:hAnsi="Times New Roman"/>
                <w:color w:val="auto"/>
              </w:rPr>
            </w:pPr>
            <w:r>
              <w:rPr>
                <w:rFonts w:hint="eastAsia" w:ascii="Times New Roman" w:hAnsi="Times New Roman"/>
                <w:color w:val="auto"/>
              </w:rPr>
              <w:t>2.3、平面布置合理性分析</w:t>
            </w:r>
          </w:p>
          <w:p>
            <w:pPr>
              <w:widowControl/>
              <w:adjustRightInd w:val="0"/>
              <w:snapToGrid w:val="0"/>
              <w:spacing w:line="360" w:lineRule="auto"/>
              <w:ind w:firstLine="480" w:firstLineChars="200"/>
              <w:rPr>
                <w:color w:val="auto"/>
              </w:rPr>
            </w:pPr>
            <w:r>
              <w:rPr>
                <w:rFonts w:hint="eastAsia"/>
                <w:color w:val="auto"/>
              </w:rPr>
              <w:t>本项目</w:t>
            </w:r>
            <w:r>
              <w:rPr>
                <w:rFonts w:hint="eastAsia"/>
                <w:color w:val="auto"/>
                <w:lang w:eastAsia="zh-CN"/>
              </w:rPr>
              <w:t>租用邵东东创鞋底厂的一层厂房和二层办公区。一层厂房自北往南依次布置生产车间、原料仓库、成品仓库</w:t>
            </w:r>
            <w:r>
              <w:rPr>
                <w:rFonts w:hint="eastAsia"/>
                <w:color w:val="auto"/>
                <w:lang w:val="en-US" w:eastAsia="zh-CN"/>
              </w:rPr>
              <w:t>；</w:t>
            </w:r>
            <w:r>
              <w:rPr>
                <w:rFonts w:hint="eastAsia"/>
                <w:color w:val="auto"/>
                <w:lang w:eastAsia="zh-CN"/>
              </w:rPr>
              <w:t>办公区</w:t>
            </w:r>
            <w:r>
              <w:rPr>
                <w:rFonts w:hint="eastAsia"/>
                <w:color w:val="auto"/>
                <w:lang w:val="en-US" w:eastAsia="zh-CN"/>
              </w:rPr>
              <w:t>布置在</w:t>
            </w:r>
            <w:r>
              <w:rPr>
                <w:rFonts w:hint="eastAsia"/>
                <w:color w:val="auto"/>
                <w:lang w:eastAsia="zh-CN"/>
              </w:rPr>
              <w:t>成品仓库上方，位于</w:t>
            </w:r>
            <w:r>
              <w:rPr>
                <w:rFonts w:hint="eastAsia"/>
                <w:color w:val="auto"/>
                <w:lang w:val="en-US" w:eastAsia="zh-CN"/>
              </w:rPr>
              <w:t>厂区东南部，位于主导风向的侧风向</w:t>
            </w:r>
            <w:r>
              <w:rPr>
                <w:rFonts w:hint="eastAsia"/>
                <w:color w:val="auto"/>
              </w:rPr>
              <w:t>。厂区布局分区明确，根据工艺流程设置设备，减少了物流的运输时间和成本。项目最近敏感点为</w:t>
            </w:r>
            <w:r>
              <w:rPr>
                <w:rFonts w:hint="eastAsia"/>
                <w:color w:val="auto"/>
                <w:lang w:eastAsia="zh-CN"/>
              </w:rPr>
              <w:t>西面黑田铺圳玄小学</w:t>
            </w:r>
            <w:r>
              <w:rPr>
                <w:rFonts w:hint="eastAsia"/>
                <w:color w:val="auto"/>
              </w:rPr>
              <w:t>，距离</w:t>
            </w:r>
            <w:r>
              <w:rPr>
                <w:rFonts w:hint="eastAsia"/>
                <w:color w:val="auto"/>
                <w:lang w:val="en-US" w:eastAsia="zh-CN"/>
              </w:rPr>
              <w:t>140</w:t>
            </w:r>
            <w:r>
              <w:rPr>
                <w:rFonts w:hint="eastAsia"/>
                <w:color w:val="auto"/>
              </w:rPr>
              <w:t>m。</w:t>
            </w:r>
          </w:p>
          <w:p>
            <w:pPr>
              <w:widowControl/>
              <w:adjustRightInd w:val="0"/>
              <w:snapToGrid w:val="0"/>
              <w:spacing w:line="360" w:lineRule="auto"/>
              <w:ind w:firstLine="480" w:firstLineChars="200"/>
              <w:rPr>
                <w:b/>
                <w:color w:val="auto"/>
                <w:highlight w:val="yellow"/>
              </w:rPr>
            </w:pPr>
            <w:r>
              <w:rPr>
                <w:rFonts w:hint="eastAsia"/>
                <w:color w:val="auto"/>
              </w:rPr>
              <w:t>总体而言，此布局功能区相对独立设置，增加了厂内物流的连续性，缩短了运输时间，生产联系紧密，便于生产和管理，同时为降低环境影响，其平面布局合理。项目平面布置详见</w:t>
            </w:r>
            <w:r>
              <w:rPr>
                <w:rFonts w:hint="eastAsia"/>
                <w:color w:val="auto"/>
                <w:shd w:val="clear" w:color="FFFFFF" w:fill="auto"/>
              </w:rPr>
              <w:t>附图2</w:t>
            </w:r>
            <w:r>
              <w:rPr>
                <w:rFonts w:hint="eastAsia"/>
                <w:color w:val="auto"/>
              </w:rPr>
              <w:t>。</w:t>
            </w:r>
          </w:p>
          <w:p>
            <w:pPr>
              <w:pStyle w:val="4"/>
              <w:rPr>
                <w:rFonts w:ascii="Times New Roman" w:hAnsi="Times New Roman"/>
                <w:color w:val="auto"/>
                <w:szCs w:val="24"/>
              </w:rPr>
            </w:pPr>
            <w:r>
              <w:rPr>
                <w:rFonts w:hint="eastAsia" w:ascii="Times New Roman" w:hAnsi="Times New Roman"/>
                <w:color w:val="auto"/>
                <w:szCs w:val="24"/>
              </w:rPr>
              <w:t>2.4、主要生产设备、原材料消耗和产品方案</w:t>
            </w:r>
          </w:p>
          <w:p>
            <w:pPr>
              <w:adjustRightInd w:val="0"/>
              <w:snapToGrid w:val="0"/>
              <w:spacing w:line="360" w:lineRule="auto"/>
              <w:ind w:firstLine="480" w:firstLineChars="200"/>
              <w:rPr>
                <w:color w:val="auto"/>
              </w:rPr>
            </w:pPr>
            <w:r>
              <w:rPr>
                <w:rFonts w:hint="eastAsia"/>
                <w:color w:val="auto"/>
              </w:rPr>
              <w:t>（一）主要生产设备</w:t>
            </w:r>
          </w:p>
          <w:p>
            <w:pPr>
              <w:pStyle w:val="87"/>
              <w:spacing w:line="360" w:lineRule="auto"/>
              <w:ind w:firstLine="480"/>
              <w:jc w:val="both"/>
              <w:rPr>
                <w:b/>
                <w:bCs/>
                <w:color w:val="auto"/>
                <w:szCs w:val="24"/>
              </w:rPr>
            </w:pPr>
            <w:r>
              <w:rPr>
                <w:rFonts w:hint="eastAsia" w:cs="Times New Roman"/>
                <w:bCs/>
                <w:color w:val="auto"/>
                <w:szCs w:val="24"/>
              </w:rPr>
              <w:t>本项目主要设备见表2-</w:t>
            </w:r>
            <w:r>
              <w:rPr>
                <w:rFonts w:hint="eastAsia" w:cs="Times New Roman"/>
                <w:bCs/>
                <w:color w:val="auto"/>
                <w:szCs w:val="24"/>
                <w:lang w:val="en-US" w:eastAsia="zh-CN"/>
              </w:rPr>
              <w:t>2</w:t>
            </w:r>
            <w:r>
              <w:rPr>
                <w:rFonts w:hint="eastAsia" w:cs="Times New Roman"/>
                <w:bCs/>
                <w:color w:val="auto"/>
                <w:szCs w:val="24"/>
              </w:rPr>
              <w:t>。</w:t>
            </w:r>
          </w:p>
          <w:p>
            <w:pPr>
              <w:pStyle w:val="58"/>
              <w:spacing w:before="24" w:after="24"/>
              <w:rPr>
                <w:rFonts w:hint="eastAsia"/>
                <w:b/>
                <w:bCs/>
                <w:color w:val="auto"/>
                <w:szCs w:val="21"/>
              </w:rPr>
            </w:pPr>
            <w:r>
              <w:rPr>
                <w:rFonts w:hint="eastAsia"/>
                <w:b/>
                <w:bCs/>
                <w:color w:val="auto"/>
                <w:szCs w:val="21"/>
              </w:rPr>
              <w:t>表2-</w:t>
            </w:r>
            <w:r>
              <w:rPr>
                <w:rFonts w:hint="eastAsia"/>
                <w:b/>
                <w:bCs/>
                <w:color w:val="auto"/>
                <w:szCs w:val="21"/>
                <w:lang w:val="en-US" w:eastAsia="zh-CN"/>
              </w:rPr>
              <w:t xml:space="preserve">2 </w:t>
            </w:r>
            <w:r>
              <w:rPr>
                <w:rFonts w:hint="eastAsia"/>
                <w:b/>
                <w:bCs/>
                <w:color w:val="auto"/>
                <w:szCs w:val="21"/>
                <w:lang w:eastAsia="zh-CN"/>
              </w:rPr>
              <w:t>主要</w:t>
            </w:r>
            <w:r>
              <w:rPr>
                <w:rFonts w:hint="eastAsia"/>
                <w:b/>
                <w:bCs/>
                <w:color w:val="auto"/>
                <w:szCs w:val="21"/>
              </w:rPr>
              <w:t>生产设备一览表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984"/>
              <w:gridCol w:w="1298"/>
              <w:gridCol w:w="1324"/>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64" w:type="dxa"/>
                  <w:noWrap w:val="0"/>
                  <w:vAlign w:val="center"/>
                </w:tcPr>
                <w:p>
                  <w:pPr>
                    <w:widowControl/>
                    <w:jc w:val="center"/>
                    <w:rPr>
                      <w:b/>
                      <w:color w:val="auto"/>
                      <w:kern w:val="0"/>
                      <w:sz w:val="21"/>
                      <w:szCs w:val="21"/>
                    </w:rPr>
                  </w:pPr>
                  <w:r>
                    <w:rPr>
                      <w:rFonts w:hint="eastAsia"/>
                      <w:b/>
                      <w:color w:val="auto"/>
                      <w:kern w:val="0"/>
                      <w:sz w:val="21"/>
                      <w:szCs w:val="21"/>
                    </w:rPr>
                    <w:t>序号</w:t>
                  </w:r>
                </w:p>
              </w:tc>
              <w:tc>
                <w:tcPr>
                  <w:tcW w:w="1984" w:type="dxa"/>
                  <w:noWrap w:val="0"/>
                  <w:vAlign w:val="center"/>
                </w:tcPr>
                <w:p>
                  <w:pPr>
                    <w:widowControl/>
                    <w:jc w:val="center"/>
                    <w:rPr>
                      <w:b/>
                      <w:color w:val="auto"/>
                      <w:kern w:val="0"/>
                      <w:sz w:val="21"/>
                      <w:szCs w:val="21"/>
                    </w:rPr>
                  </w:pPr>
                  <w:r>
                    <w:rPr>
                      <w:rFonts w:hint="eastAsia"/>
                      <w:b/>
                      <w:color w:val="auto"/>
                      <w:kern w:val="0"/>
                      <w:sz w:val="21"/>
                      <w:szCs w:val="21"/>
                    </w:rPr>
                    <w:t>名称</w:t>
                  </w:r>
                </w:p>
              </w:tc>
              <w:tc>
                <w:tcPr>
                  <w:tcW w:w="1298" w:type="dxa"/>
                  <w:noWrap w:val="0"/>
                  <w:vAlign w:val="center"/>
                </w:tcPr>
                <w:p>
                  <w:pPr>
                    <w:widowControl/>
                    <w:jc w:val="center"/>
                    <w:rPr>
                      <w:rFonts w:hint="eastAsia" w:eastAsia="宋体"/>
                      <w:b/>
                      <w:color w:val="auto"/>
                      <w:kern w:val="0"/>
                      <w:sz w:val="21"/>
                      <w:szCs w:val="21"/>
                      <w:lang w:eastAsia="zh-CN"/>
                    </w:rPr>
                  </w:pPr>
                  <w:r>
                    <w:rPr>
                      <w:rFonts w:hint="eastAsia"/>
                      <w:b/>
                      <w:color w:val="auto"/>
                      <w:kern w:val="0"/>
                      <w:sz w:val="21"/>
                      <w:szCs w:val="21"/>
                      <w:lang w:val="en-US" w:eastAsia="zh-CN"/>
                    </w:rPr>
                    <w:t>型号</w:t>
                  </w:r>
                </w:p>
              </w:tc>
              <w:tc>
                <w:tcPr>
                  <w:tcW w:w="1324" w:type="dxa"/>
                  <w:noWrap w:val="0"/>
                  <w:vAlign w:val="center"/>
                </w:tcPr>
                <w:p>
                  <w:pPr>
                    <w:widowControl/>
                    <w:jc w:val="center"/>
                    <w:rPr>
                      <w:b/>
                      <w:color w:val="auto"/>
                      <w:kern w:val="0"/>
                      <w:sz w:val="21"/>
                      <w:szCs w:val="21"/>
                    </w:rPr>
                  </w:pPr>
                  <w:r>
                    <w:rPr>
                      <w:rFonts w:hint="eastAsia"/>
                      <w:b/>
                      <w:color w:val="auto"/>
                      <w:kern w:val="0"/>
                      <w:sz w:val="21"/>
                      <w:szCs w:val="21"/>
                    </w:rPr>
                    <w:t>数量</w:t>
                  </w:r>
                </w:p>
              </w:tc>
              <w:tc>
                <w:tcPr>
                  <w:tcW w:w="2309" w:type="dxa"/>
                  <w:noWrap w:val="0"/>
                  <w:vAlign w:val="center"/>
                </w:tcPr>
                <w:p>
                  <w:pPr>
                    <w:widowControl/>
                    <w:jc w:val="center"/>
                    <w:rPr>
                      <w:rFonts w:hint="eastAsia" w:eastAsia="宋体"/>
                      <w:b/>
                      <w:color w:val="auto"/>
                      <w:kern w:val="0"/>
                      <w:sz w:val="21"/>
                      <w:szCs w:val="21"/>
                      <w:lang w:val="en-US" w:eastAsia="zh-CN"/>
                    </w:rPr>
                  </w:pPr>
                  <w:r>
                    <w:rPr>
                      <w:rFonts w:hint="eastAsia"/>
                      <w:b/>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4" w:type="dxa"/>
                  <w:noWrap w:val="0"/>
                  <w:vAlign w:val="center"/>
                </w:tcPr>
                <w:p>
                  <w:pPr>
                    <w:widowControl/>
                    <w:jc w:val="center"/>
                    <w:rPr>
                      <w:color w:val="auto"/>
                      <w:kern w:val="0"/>
                      <w:sz w:val="21"/>
                      <w:szCs w:val="21"/>
                    </w:rPr>
                  </w:pPr>
                  <w:r>
                    <w:rPr>
                      <w:color w:val="auto"/>
                      <w:kern w:val="0"/>
                      <w:sz w:val="21"/>
                      <w:szCs w:val="21"/>
                    </w:rPr>
                    <w:t>1</w:t>
                  </w:r>
                </w:p>
              </w:tc>
              <w:tc>
                <w:tcPr>
                  <w:tcW w:w="1984" w:type="dxa"/>
                  <w:noWrap w:val="0"/>
                  <w:vAlign w:val="center"/>
                </w:tcPr>
                <w:p>
                  <w:pPr>
                    <w:spacing w:line="240" w:lineRule="auto"/>
                    <w:ind w:firstLine="0" w:firstLineChars="0"/>
                    <w:jc w:val="center"/>
                    <w:rPr>
                      <w:rFonts w:hint="default"/>
                      <w:color w:val="auto"/>
                      <w:lang w:val="en-US" w:eastAsia="zh-CN"/>
                    </w:rPr>
                  </w:pPr>
                  <w:r>
                    <w:rPr>
                      <w:rFonts w:hint="eastAsia" w:ascii="Times New Roman" w:hAnsi="Times New Roman" w:eastAsia="宋体" w:cs="Times New Roman"/>
                      <w:color w:val="auto"/>
                      <w:sz w:val="21"/>
                      <w:szCs w:val="21"/>
                      <w:lang w:eastAsia="zh-CN"/>
                    </w:rPr>
                    <w:t>乳化罐</w:t>
                  </w:r>
                </w:p>
              </w:tc>
              <w:tc>
                <w:tcPr>
                  <w:tcW w:w="1298" w:type="dxa"/>
                  <w:noWrap w:val="0"/>
                  <w:vAlign w:val="center"/>
                </w:tcPr>
                <w:p>
                  <w:pPr>
                    <w:widowControl/>
                    <w:jc w:val="center"/>
                    <w:rPr>
                      <w:rFonts w:hint="default" w:eastAsia="宋体"/>
                      <w:color w:val="auto"/>
                      <w:kern w:val="0"/>
                      <w:sz w:val="21"/>
                      <w:szCs w:val="21"/>
                      <w:lang w:val="en-US" w:eastAsia="zh-CN"/>
                    </w:rPr>
                  </w:pPr>
                  <w:r>
                    <w:rPr>
                      <w:rFonts w:hint="eastAsia"/>
                      <w:color w:val="auto"/>
                      <w:kern w:val="0"/>
                      <w:sz w:val="21"/>
                      <w:szCs w:val="21"/>
                      <w:lang w:val="en-US" w:eastAsia="zh-CN"/>
                    </w:rPr>
                    <w:t>5000L</w:t>
                  </w:r>
                </w:p>
              </w:tc>
              <w:tc>
                <w:tcPr>
                  <w:tcW w:w="1324" w:type="dxa"/>
                  <w:noWrap w:val="0"/>
                  <w:vAlign w:val="center"/>
                </w:tcPr>
                <w:p>
                  <w:pPr>
                    <w:widowControl/>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2个</w:t>
                  </w:r>
                </w:p>
              </w:tc>
              <w:tc>
                <w:tcPr>
                  <w:tcW w:w="2309" w:type="dxa"/>
                  <w:noWrap w:val="0"/>
                  <w:vAlign w:val="center"/>
                </w:tcPr>
                <w:p>
                  <w:pPr>
                    <w:widowControl/>
                    <w:jc w:val="center"/>
                    <w:rPr>
                      <w:rFonts w:hint="eastAsia" w:eastAsia="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4" w:type="dxa"/>
                  <w:noWrap w:val="0"/>
                  <w:vAlign w:val="center"/>
                </w:tcPr>
                <w:p>
                  <w:pPr>
                    <w:widowControl/>
                    <w:jc w:val="center"/>
                    <w:rPr>
                      <w:color w:val="auto"/>
                      <w:kern w:val="0"/>
                      <w:sz w:val="21"/>
                      <w:szCs w:val="21"/>
                    </w:rPr>
                  </w:pPr>
                  <w:r>
                    <w:rPr>
                      <w:color w:val="auto"/>
                      <w:kern w:val="0"/>
                      <w:sz w:val="21"/>
                      <w:szCs w:val="21"/>
                    </w:rPr>
                    <w:t>2</w:t>
                  </w:r>
                </w:p>
              </w:tc>
              <w:tc>
                <w:tcPr>
                  <w:tcW w:w="1984" w:type="dxa"/>
                  <w:noWrap w:val="0"/>
                  <w:vAlign w:val="center"/>
                </w:tcPr>
                <w:p>
                  <w:pPr>
                    <w:spacing w:line="240" w:lineRule="auto"/>
                    <w:ind w:firstLine="0" w:firstLineChars="0"/>
                    <w:jc w:val="center"/>
                    <w:rPr>
                      <w:rFonts w:hint="eastAsia" w:ascii="宋体" w:hAnsi="宋体" w:eastAsia="宋体" w:cs="仿宋_GB2312"/>
                      <w:bCs/>
                      <w:color w:val="auto"/>
                      <w:kern w:val="0"/>
                      <w:sz w:val="21"/>
                      <w:szCs w:val="32"/>
                      <w:lang w:eastAsia="zh-CN"/>
                    </w:rPr>
                  </w:pPr>
                  <w:r>
                    <w:rPr>
                      <w:rFonts w:hint="eastAsia" w:ascii="Times New Roman" w:hAnsi="Times New Roman" w:eastAsia="宋体" w:cs="Times New Roman"/>
                      <w:color w:val="auto"/>
                      <w:sz w:val="21"/>
                      <w:szCs w:val="21"/>
                      <w:lang w:eastAsia="zh-CN"/>
                    </w:rPr>
                    <w:t>搅拌罐</w:t>
                  </w:r>
                </w:p>
              </w:tc>
              <w:tc>
                <w:tcPr>
                  <w:tcW w:w="1298" w:type="dxa"/>
                  <w:noWrap w:val="0"/>
                  <w:vAlign w:val="center"/>
                </w:tcPr>
                <w:p>
                  <w:pPr>
                    <w:widowControl/>
                    <w:jc w:val="center"/>
                    <w:rPr>
                      <w:color w:val="auto"/>
                      <w:kern w:val="0"/>
                      <w:sz w:val="21"/>
                      <w:szCs w:val="21"/>
                    </w:rPr>
                  </w:pPr>
                  <w:r>
                    <w:rPr>
                      <w:rFonts w:hint="eastAsia"/>
                      <w:color w:val="auto"/>
                      <w:kern w:val="0"/>
                      <w:sz w:val="21"/>
                      <w:szCs w:val="21"/>
                      <w:lang w:val="en-US" w:eastAsia="zh-CN"/>
                    </w:rPr>
                    <w:t>5000L</w:t>
                  </w:r>
                </w:p>
              </w:tc>
              <w:tc>
                <w:tcPr>
                  <w:tcW w:w="1324" w:type="dxa"/>
                  <w:noWrap w:val="0"/>
                  <w:vAlign w:val="center"/>
                </w:tcPr>
                <w:p>
                  <w:pPr>
                    <w:jc w:val="center"/>
                    <w:rPr>
                      <w:rFonts w:hint="default" w:eastAsia="宋体"/>
                      <w:bCs/>
                      <w:color w:val="auto"/>
                      <w:kern w:val="0"/>
                      <w:sz w:val="21"/>
                      <w:szCs w:val="32"/>
                      <w:lang w:val="en-US" w:eastAsia="zh-CN"/>
                    </w:rPr>
                  </w:pPr>
                  <w:r>
                    <w:rPr>
                      <w:rFonts w:hint="eastAsia" w:eastAsia="宋体"/>
                      <w:bCs/>
                      <w:color w:val="auto"/>
                      <w:kern w:val="0"/>
                      <w:sz w:val="21"/>
                      <w:szCs w:val="32"/>
                      <w:lang w:val="en-US" w:eastAsia="zh-CN"/>
                    </w:rPr>
                    <w:t>4</w:t>
                  </w:r>
                  <w:r>
                    <w:rPr>
                      <w:rFonts w:hint="eastAsia" w:eastAsia="宋体"/>
                      <w:color w:val="auto"/>
                      <w:kern w:val="0"/>
                      <w:sz w:val="21"/>
                      <w:szCs w:val="21"/>
                      <w:lang w:val="en-US" w:eastAsia="zh-CN"/>
                    </w:rPr>
                    <w:t>个</w:t>
                  </w:r>
                </w:p>
              </w:tc>
              <w:tc>
                <w:tcPr>
                  <w:tcW w:w="2309" w:type="dxa"/>
                  <w:noWrap w:val="0"/>
                  <w:vAlign w:val="center"/>
                </w:tcPr>
                <w:p>
                  <w:pPr>
                    <w:jc w:val="center"/>
                    <w:rPr>
                      <w:rFonts w:hint="eastAsia" w:eastAsia="宋体"/>
                      <w:bCs/>
                      <w:color w:val="auto"/>
                      <w:kern w:val="0"/>
                      <w:sz w:val="21"/>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4" w:type="dxa"/>
                  <w:noWrap w:val="0"/>
                  <w:vAlign w:val="center"/>
                </w:tcPr>
                <w:p>
                  <w:pPr>
                    <w:widowControl/>
                    <w:jc w:val="center"/>
                    <w:rPr>
                      <w:color w:val="auto"/>
                      <w:kern w:val="0"/>
                      <w:sz w:val="21"/>
                      <w:szCs w:val="21"/>
                    </w:rPr>
                  </w:pPr>
                  <w:r>
                    <w:rPr>
                      <w:rFonts w:hint="eastAsia"/>
                      <w:color w:val="auto"/>
                      <w:kern w:val="0"/>
                      <w:sz w:val="21"/>
                      <w:szCs w:val="21"/>
                    </w:rPr>
                    <w:t>3</w:t>
                  </w:r>
                </w:p>
              </w:tc>
              <w:tc>
                <w:tcPr>
                  <w:tcW w:w="19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搅拌罐</w:t>
                  </w:r>
                </w:p>
              </w:tc>
              <w:tc>
                <w:tcPr>
                  <w:tcW w:w="1298" w:type="dxa"/>
                  <w:noWrap w:val="0"/>
                  <w:vAlign w:val="center"/>
                </w:tcPr>
                <w:p>
                  <w:pPr>
                    <w:widowControl/>
                    <w:jc w:val="center"/>
                    <w:rPr>
                      <w:color w:val="auto"/>
                      <w:kern w:val="0"/>
                      <w:sz w:val="21"/>
                      <w:szCs w:val="21"/>
                    </w:rPr>
                  </w:pPr>
                  <w:r>
                    <w:rPr>
                      <w:rFonts w:hint="eastAsia"/>
                      <w:color w:val="auto"/>
                      <w:kern w:val="0"/>
                      <w:sz w:val="21"/>
                      <w:szCs w:val="21"/>
                      <w:lang w:val="en-US" w:eastAsia="zh-CN"/>
                    </w:rPr>
                    <w:t>2000L</w:t>
                  </w:r>
                </w:p>
              </w:tc>
              <w:tc>
                <w:tcPr>
                  <w:tcW w:w="1324" w:type="dxa"/>
                  <w:noWrap w:val="0"/>
                  <w:vAlign w:val="center"/>
                </w:tcPr>
                <w:p>
                  <w:pPr>
                    <w:jc w:val="center"/>
                    <w:rPr>
                      <w:rFonts w:hint="default" w:eastAsia="宋体"/>
                      <w:bCs/>
                      <w:color w:val="auto"/>
                      <w:kern w:val="0"/>
                      <w:sz w:val="21"/>
                      <w:szCs w:val="32"/>
                      <w:lang w:val="en-US" w:eastAsia="zh-CN"/>
                    </w:rPr>
                  </w:pPr>
                  <w:r>
                    <w:rPr>
                      <w:rFonts w:hint="eastAsia" w:eastAsia="宋体"/>
                      <w:bCs/>
                      <w:color w:val="auto"/>
                      <w:kern w:val="0"/>
                      <w:sz w:val="21"/>
                      <w:szCs w:val="32"/>
                      <w:lang w:val="en-US" w:eastAsia="zh-CN"/>
                    </w:rPr>
                    <w:t>2</w:t>
                  </w:r>
                  <w:r>
                    <w:rPr>
                      <w:rFonts w:hint="eastAsia" w:eastAsia="宋体"/>
                      <w:color w:val="auto"/>
                      <w:kern w:val="0"/>
                      <w:sz w:val="21"/>
                      <w:szCs w:val="21"/>
                      <w:lang w:val="en-US" w:eastAsia="zh-CN"/>
                    </w:rPr>
                    <w:t>个</w:t>
                  </w:r>
                </w:p>
              </w:tc>
              <w:tc>
                <w:tcPr>
                  <w:tcW w:w="2309" w:type="dxa"/>
                  <w:noWrap w:val="0"/>
                  <w:vAlign w:val="center"/>
                </w:tcPr>
                <w:p>
                  <w:pPr>
                    <w:jc w:val="center"/>
                    <w:rPr>
                      <w:rFonts w:hint="default" w:eastAsia="宋体"/>
                      <w:bCs/>
                      <w:color w:val="auto"/>
                      <w:kern w:val="0"/>
                      <w:sz w:val="21"/>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4" w:type="dxa"/>
                  <w:noWrap w:val="0"/>
                  <w:vAlign w:val="center"/>
                </w:tcPr>
                <w:p>
                  <w:pPr>
                    <w:widowControl/>
                    <w:jc w:val="center"/>
                    <w:rPr>
                      <w:color w:val="auto"/>
                      <w:kern w:val="0"/>
                      <w:sz w:val="21"/>
                      <w:szCs w:val="21"/>
                    </w:rPr>
                  </w:pPr>
                  <w:r>
                    <w:rPr>
                      <w:rFonts w:hint="eastAsia"/>
                      <w:color w:val="auto"/>
                      <w:kern w:val="0"/>
                      <w:sz w:val="21"/>
                      <w:szCs w:val="21"/>
                    </w:rPr>
                    <w:t>4</w:t>
                  </w:r>
                </w:p>
              </w:tc>
              <w:tc>
                <w:tcPr>
                  <w:tcW w:w="19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搅拌罐</w:t>
                  </w:r>
                </w:p>
              </w:tc>
              <w:tc>
                <w:tcPr>
                  <w:tcW w:w="1298" w:type="dxa"/>
                  <w:noWrap w:val="0"/>
                  <w:vAlign w:val="center"/>
                </w:tcPr>
                <w:p>
                  <w:pPr>
                    <w:widowControl/>
                    <w:jc w:val="center"/>
                    <w:rPr>
                      <w:color w:val="auto"/>
                      <w:kern w:val="0"/>
                      <w:sz w:val="21"/>
                      <w:szCs w:val="21"/>
                    </w:rPr>
                  </w:pPr>
                  <w:r>
                    <w:rPr>
                      <w:rFonts w:hint="eastAsia"/>
                      <w:color w:val="auto"/>
                      <w:kern w:val="0"/>
                      <w:sz w:val="21"/>
                      <w:szCs w:val="21"/>
                      <w:lang w:val="en-US" w:eastAsia="zh-CN"/>
                    </w:rPr>
                    <w:t>500L</w:t>
                  </w:r>
                </w:p>
              </w:tc>
              <w:tc>
                <w:tcPr>
                  <w:tcW w:w="1324" w:type="dxa"/>
                  <w:noWrap w:val="0"/>
                  <w:vAlign w:val="center"/>
                </w:tcPr>
                <w:p>
                  <w:pPr>
                    <w:jc w:val="center"/>
                    <w:rPr>
                      <w:rFonts w:hint="default" w:eastAsia="宋体"/>
                      <w:bCs/>
                      <w:color w:val="auto"/>
                      <w:kern w:val="0"/>
                      <w:sz w:val="21"/>
                      <w:szCs w:val="32"/>
                      <w:lang w:val="en-US" w:eastAsia="zh-CN"/>
                    </w:rPr>
                  </w:pPr>
                  <w:r>
                    <w:rPr>
                      <w:rFonts w:hint="eastAsia" w:eastAsia="宋体"/>
                      <w:bCs/>
                      <w:color w:val="auto"/>
                      <w:kern w:val="0"/>
                      <w:sz w:val="21"/>
                      <w:szCs w:val="32"/>
                      <w:highlight w:val="none"/>
                      <w:lang w:val="en-US" w:eastAsia="zh-CN"/>
                    </w:rPr>
                    <w:t>2</w:t>
                  </w:r>
                  <w:r>
                    <w:rPr>
                      <w:rFonts w:hint="eastAsia" w:eastAsia="宋体"/>
                      <w:color w:val="auto"/>
                      <w:kern w:val="0"/>
                      <w:sz w:val="21"/>
                      <w:szCs w:val="21"/>
                      <w:lang w:val="en-US" w:eastAsia="zh-CN"/>
                    </w:rPr>
                    <w:t>个</w:t>
                  </w:r>
                </w:p>
              </w:tc>
              <w:tc>
                <w:tcPr>
                  <w:tcW w:w="2309" w:type="dxa"/>
                  <w:noWrap w:val="0"/>
                  <w:vAlign w:val="center"/>
                </w:tcPr>
                <w:p>
                  <w:pPr>
                    <w:jc w:val="center"/>
                    <w:rPr>
                      <w:rFonts w:hint="default" w:eastAsia="宋体"/>
                      <w:bCs/>
                      <w:color w:val="auto"/>
                      <w:kern w:val="0"/>
                      <w:sz w:val="21"/>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4" w:type="dxa"/>
                  <w:noWrap w:val="0"/>
                  <w:vAlign w:val="center"/>
                </w:tcPr>
                <w:p>
                  <w:pPr>
                    <w:widowControl/>
                    <w:jc w:val="center"/>
                    <w:rPr>
                      <w:color w:val="auto"/>
                      <w:kern w:val="0"/>
                      <w:sz w:val="21"/>
                      <w:szCs w:val="21"/>
                    </w:rPr>
                  </w:pPr>
                  <w:r>
                    <w:rPr>
                      <w:rFonts w:hint="eastAsia" w:eastAsia="宋体"/>
                      <w:color w:val="auto"/>
                      <w:kern w:val="0"/>
                      <w:sz w:val="21"/>
                      <w:szCs w:val="21"/>
                      <w:lang w:val="en-US" w:eastAsia="zh-CN"/>
                    </w:rPr>
                    <w:t>5</w:t>
                  </w:r>
                </w:p>
              </w:tc>
              <w:tc>
                <w:tcPr>
                  <w:tcW w:w="198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高速分散机</w:t>
                  </w:r>
                </w:p>
              </w:tc>
              <w:tc>
                <w:tcPr>
                  <w:tcW w:w="1298" w:type="dxa"/>
                  <w:noWrap w:val="0"/>
                  <w:vAlign w:val="center"/>
                </w:tcPr>
                <w:p>
                  <w:pPr>
                    <w:widowControl/>
                    <w:jc w:val="center"/>
                    <w:rPr>
                      <w:rFonts w:hint="default" w:eastAsia="宋体"/>
                      <w:color w:val="auto"/>
                      <w:kern w:val="0"/>
                      <w:sz w:val="21"/>
                      <w:szCs w:val="21"/>
                      <w:lang w:val="en-US" w:eastAsia="zh-CN" w:bidi="ar-SA"/>
                    </w:rPr>
                  </w:pPr>
                </w:p>
              </w:tc>
              <w:tc>
                <w:tcPr>
                  <w:tcW w:w="1324" w:type="dxa"/>
                  <w:noWrap w:val="0"/>
                  <w:vAlign w:val="center"/>
                </w:tcPr>
                <w:p>
                  <w:pPr>
                    <w:widowControl/>
                    <w:jc w:val="center"/>
                    <w:rPr>
                      <w:rFonts w:hint="default" w:eastAsia="宋体"/>
                      <w:color w:val="auto"/>
                      <w:kern w:val="0"/>
                      <w:sz w:val="21"/>
                      <w:szCs w:val="21"/>
                      <w:lang w:val="en-US" w:eastAsia="zh-CN" w:bidi="ar-SA"/>
                    </w:rPr>
                  </w:pPr>
                  <w:r>
                    <w:rPr>
                      <w:rFonts w:hint="eastAsia"/>
                      <w:color w:val="auto"/>
                      <w:kern w:val="0"/>
                      <w:sz w:val="21"/>
                      <w:szCs w:val="21"/>
                      <w:lang w:val="en-US" w:eastAsia="zh-CN" w:bidi="ar-SA"/>
                    </w:rPr>
                    <w:t>5</w:t>
                  </w:r>
                  <w:r>
                    <w:rPr>
                      <w:rFonts w:hint="eastAsia" w:eastAsia="宋体"/>
                      <w:color w:val="auto"/>
                      <w:kern w:val="0"/>
                      <w:sz w:val="21"/>
                      <w:szCs w:val="21"/>
                      <w:lang w:val="en-US" w:eastAsia="zh-CN" w:bidi="ar-SA"/>
                    </w:rPr>
                    <w:t>台</w:t>
                  </w:r>
                </w:p>
              </w:tc>
              <w:tc>
                <w:tcPr>
                  <w:tcW w:w="2309" w:type="dxa"/>
                  <w:noWrap w:val="0"/>
                  <w:vAlign w:val="center"/>
                </w:tcPr>
                <w:p>
                  <w:pPr>
                    <w:jc w:val="center"/>
                    <w:rPr>
                      <w:rFonts w:hint="eastAsia" w:eastAsia="宋体"/>
                      <w:bCs/>
                      <w:color w:val="auto"/>
                      <w:kern w:val="0"/>
                      <w:sz w:val="21"/>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4" w:type="dxa"/>
                  <w:noWrap w:val="0"/>
                  <w:vAlign w:val="center"/>
                </w:tcPr>
                <w:p>
                  <w:pPr>
                    <w:widowControl/>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6</w:t>
                  </w:r>
                </w:p>
              </w:tc>
              <w:tc>
                <w:tcPr>
                  <w:tcW w:w="19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水泵</w:t>
                  </w:r>
                </w:p>
              </w:tc>
              <w:tc>
                <w:tcPr>
                  <w:tcW w:w="1298" w:type="dxa"/>
                  <w:noWrap w:val="0"/>
                  <w:vAlign w:val="center"/>
                </w:tcPr>
                <w:p>
                  <w:pPr>
                    <w:widowControl/>
                    <w:jc w:val="center"/>
                    <w:rPr>
                      <w:rFonts w:hint="default" w:eastAsia="宋体"/>
                      <w:color w:val="auto"/>
                      <w:kern w:val="0"/>
                      <w:sz w:val="21"/>
                      <w:szCs w:val="21"/>
                      <w:lang w:val="en-US" w:eastAsia="zh-CN"/>
                    </w:rPr>
                  </w:pPr>
                </w:p>
              </w:tc>
              <w:tc>
                <w:tcPr>
                  <w:tcW w:w="1324" w:type="dxa"/>
                  <w:noWrap w:val="0"/>
                  <w:vAlign w:val="center"/>
                </w:tcPr>
                <w:p>
                  <w:pPr>
                    <w:widowControl/>
                    <w:jc w:val="center"/>
                    <w:rPr>
                      <w:rFonts w:hint="default" w:eastAsia="宋体"/>
                      <w:color w:val="auto"/>
                      <w:kern w:val="0"/>
                      <w:sz w:val="21"/>
                      <w:szCs w:val="21"/>
                      <w:lang w:val="en-US" w:eastAsia="zh-CN"/>
                    </w:rPr>
                  </w:pPr>
                  <w:r>
                    <w:rPr>
                      <w:rFonts w:hint="eastAsia"/>
                      <w:color w:val="auto"/>
                      <w:kern w:val="0"/>
                      <w:sz w:val="21"/>
                      <w:szCs w:val="21"/>
                      <w:lang w:val="en-US" w:eastAsia="zh-CN"/>
                    </w:rPr>
                    <w:t>9</w:t>
                  </w:r>
                  <w:r>
                    <w:rPr>
                      <w:rFonts w:hint="eastAsia" w:eastAsia="宋体"/>
                      <w:color w:val="auto"/>
                      <w:kern w:val="0"/>
                      <w:sz w:val="21"/>
                      <w:szCs w:val="21"/>
                      <w:lang w:val="en-US" w:eastAsia="zh-CN"/>
                    </w:rPr>
                    <w:t>台</w:t>
                  </w:r>
                </w:p>
              </w:tc>
              <w:tc>
                <w:tcPr>
                  <w:tcW w:w="2309" w:type="dxa"/>
                  <w:noWrap w:val="0"/>
                  <w:vAlign w:val="center"/>
                </w:tcPr>
                <w:p>
                  <w:pPr>
                    <w:widowControl/>
                    <w:jc w:val="center"/>
                    <w:rPr>
                      <w:rFonts w:hint="eastAsia" w:eastAsia="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4" w:type="dxa"/>
                  <w:noWrap w:val="0"/>
                  <w:vAlign w:val="center"/>
                </w:tcPr>
                <w:p>
                  <w:pPr>
                    <w:widowControl/>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7</w:t>
                  </w:r>
                </w:p>
              </w:tc>
              <w:tc>
                <w:tcPr>
                  <w:tcW w:w="19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空压机</w:t>
                  </w:r>
                </w:p>
              </w:tc>
              <w:tc>
                <w:tcPr>
                  <w:tcW w:w="1298" w:type="dxa"/>
                  <w:noWrap w:val="0"/>
                  <w:vAlign w:val="center"/>
                </w:tcPr>
                <w:p>
                  <w:pPr>
                    <w:widowControl/>
                    <w:jc w:val="center"/>
                    <w:rPr>
                      <w:rFonts w:hint="default" w:eastAsia="宋体"/>
                      <w:color w:val="auto"/>
                      <w:kern w:val="0"/>
                      <w:sz w:val="21"/>
                      <w:szCs w:val="21"/>
                      <w:lang w:val="en-US" w:eastAsia="zh-CN"/>
                    </w:rPr>
                  </w:pPr>
                  <w:r>
                    <w:rPr>
                      <w:rFonts w:hint="eastAsia"/>
                      <w:color w:val="auto"/>
                      <w:kern w:val="0"/>
                      <w:sz w:val="21"/>
                      <w:szCs w:val="21"/>
                      <w:lang w:val="en-US" w:eastAsia="zh-CN"/>
                    </w:rPr>
                    <w:t>1000L</w:t>
                  </w:r>
                </w:p>
              </w:tc>
              <w:tc>
                <w:tcPr>
                  <w:tcW w:w="1324" w:type="dxa"/>
                  <w:noWrap w:val="0"/>
                  <w:vAlign w:val="center"/>
                </w:tcPr>
                <w:p>
                  <w:pPr>
                    <w:widowControl/>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1台</w:t>
                  </w:r>
                </w:p>
              </w:tc>
              <w:tc>
                <w:tcPr>
                  <w:tcW w:w="2309" w:type="dxa"/>
                  <w:noWrap w:val="0"/>
                  <w:vAlign w:val="center"/>
                </w:tcPr>
                <w:p>
                  <w:pPr>
                    <w:widowControl/>
                    <w:jc w:val="center"/>
                    <w:rPr>
                      <w:rFonts w:hint="default" w:eastAsia="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4" w:type="dxa"/>
                  <w:noWrap w:val="0"/>
                  <w:vAlign w:val="center"/>
                </w:tcPr>
                <w:p>
                  <w:pPr>
                    <w:widowControl/>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8</w:t>
                  </w:r>
                </w:p>
              </w:tc>
              <w:tc>
                <w:tcPr>
                  <w:tcW w:w="198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去离子水设备</w:t>
                  </w:r>
                </w:p>
              </w:tc>
              <w:tc>
                <w:tcPr>
                  <w:tcW w:w="1298" w:type="dxa"/>
                  <w:noWrap w:val="0"/>
                  <w:vAlign w:val="center"/>
                </w:tcPr>
                <w:p>
                  <w:pPr>
                    <w:widowControl/>
                    <w:jc w:val="center"/>
                    <w:rPr>
                      <w:rFonts w:hint="eastAsia"/>
                      <w:color w:val="auto"/>
                      <w:kern w:val="0"/>
                      <w:sz w:val="21"/>
                      <w:szCs w:val="21"/>
                      <w:lang w:val="en-US" w:eastAsia="zh-CN"/>
                    </w:rPr>
                  </w:pPr>
                </w:p>
              </w:tc>
              <w:tc>
                <w:tcPr>
                  <w:tcW w:w="1324" w:type="dxa"/>
                  <w:noWrap w:val="0"/>
                  <w:vAlign w:val="center"/>
                </w:tcPr>
                <w:p>
                  <w:pPr>
                    <w:widowControl/>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1台</w:t>
                  </w:r>
                </w:p>
              </w:tc>
              <w:tc>
                <w:tcPr>
                  <w:tcW w:w="2309" w:type="dxa"/>
                  <w:noWrap w:val="0"/>
                  <w:vAlign w:val="center"/>
                </w:tcPr>
                <w:p>
                  <w:pPr>
                    <w:widowControl/>
                    <w:jc w:val="center"/>
                    <w:rPr>
                      <w:rFonts w:hint="default" w:eastAsia="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4" w:type="dxa"/>
                  <w:noWrap w:val="0"/>
                  <w:vAlign w:val="center"/>
                </w:tcPr>
                <w:p>
                  <w:pPr>
                    <w:widowControl/>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9</w:t>
                  </w:r>
                </w:p>
              </w:tc>
              <w:tc>
                <w:tcPr>
                  <w:tcW w:w="198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布袋除尘器</w:t>
                  </w:r>
                </w:p>
              </w:tc>
              <w:tc>
                <w:tcPr>
                  <w:tcW w:w="1298" w:type="dxa"/>
                  <w:noWrap w:val="0"/>
                  <w:vAlign w:val="center"/>
                </w:tcPr>
                <w:p>
                  <w:pPr>
                    <w:widowControl/>
                    <w:jc w:val="center"/>
                    <w:rPr>
                      <w:rFonts w:hint="eastAsia"/>
                      <w:color w:val="auto"/>
                      <w:kern w:val="0"/>
                      <w:sz w:val="21"/>
                      <w:szCs w:val="21"/>
                      <w:lang w:val="en-US" w:eastAsia="zh-CN"/>
                    </w:rPr>
                  </w:pPr>
                </w:p>
              </w:tc>
              <w:tc>
                <w:tcPr>
                  <w:tcW w:w="1324" w:type="dxa"/>
                  <w:noWrap w:val="0"/>
                  <w:vAlign w:val="center"/>
                </w:tcPr>
                <w:p>
                  <w:pPr>
                    <w:widowControl/>
                    <w:jc w:val="center"/>
                    <w:rPr>
                      <w:rFonts w:hint="default" w:eastAsia="宋体"/>
                      <w:color w:val="auto"/>
                      <w:kern w:val="0"/>
                      <w:sz w:val="21"/>
                      <w:szCs w:val="21"/>
                      <w:lang w:val="en-US" w:eastAsia="zh-CN"/>
                    </w:rPr>
                  </w:pPr>
                  <w:r>
                    <w:rPr>
                      <w:rFonts w:hint="eastAsia"/>
                      <w:color w:val="auto"/>
                      <w:kern w:val="0"/>
                      <w:sz w:val="21"/>
                      <w:szCs w:val="21"/>
                      <w:lang w:val="en-US" w:eastAsia="zh-CN"/>
                    </w:rPr>
                    <w:t>2</w:t>
                  </w:r>
                  <w:r>
                    <w:rPr>
                      <w:rFonts w:hint="eastAsia" w:eastAsia="宋体"/>
                      <w:color w:val="auto"/>
                      <w:kern w:val="0"/>
                      <w:sz w:val="21"/>
                      <w:szCs w:val="21"/>
                      <w:lang w:val="en-US" w:eastAsia="zh-CN"/>
                    </w:rPr>
                    <w:t>台</w:t>
                  </w:r>
                </w:p>
              </w:tc>
              <w:tc>
                <w:tcPr>
                  <w:tcW w:w="2309" w:type="dxa"/>
                  <w:noWrap w:val="0"/>
                  <w:vAlign w:val="center"/>
                </w:tcPr>
                <w:p>
                  <w:pPr>
                    <w:widowControl/>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除尘设施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4" w:type="dxa"/>
                  <w:noWrap w:val="0"/>
                  <w:vAlign w:val="center"/>
                </w:tcPr>
                <w:p>
                  <w:pPr>
                    <w:widowControl/>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10</w:t>
                  </w:r>
                </w:p>
              </w:tc>
              <w:tc>
                <w:tcPr>
                  <w:tcW w:w="198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活性炭吸附装置</w:t>
                  </w:r>
                </w:p>
              </w:tc>
              <w:tc>
                <w:tcPr>
                  <w:tcW w:w="1298" w:type="dxa"/>
                  <w:noWrap w:val="0"/>
                  <w:vAlign w:val="center"/>
                </w:tcPr>
                <w:p>
                  <w:pPr>
                    <w:widowControl/>
                    <w:jc w:val="center"/>
                    <w:rPr>
                      <w:rFonts w:hint="eastAsia"/>
                      <w:color w:val="auto"/>
                      <w:kern w:val="0"/>
                      <w:sz w:val="21"/>
                      <w:szCs w:val="21"/>
                    </w:rPr>
                  </w:pPr>
                  <w:r>
                    <w:rPr>
                      <w:rFonts w:hint="eastAsia"/>
                      <w:color w:val="auto"/>
                      <w:kern w:val="0"/>
                      <w:sz w:val="21"/>
                      <w:szCs w:val="21"/>
                    </w:rPr>
                    <w:t>--</w:t>
                  </w:r>
                </w:p>
              </w:tc>
              <w:tc>
                <w:tcPr>
                  <w:tcW w:w="1324" w:type="dxa"/>
                  <w:noWrap w:val="0"/>
                  <w:vAlign w:val="center"/>
                </w:tcPr>
                <w:p>
                  <w:pPr>
                    <w:widowControl/>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1台</w:t>
                  </w:r>
                </w:p>
              </w:tc>
              <w:tc>
                <w:tcPr>
                  <w:tcW w:w="2309" w:type="dxa"/>
                  <w:noWrap w:val="0"/>
                  <w:vAlign w:val="center"/>
                </w:tcPr>
                <w:p>
                  <w:pPr>
                    <w:widowControl/>
                    <w:jc w:val="both"/>
                    <w:rPr>
                      <w:rFonts w:hint="default" w:eastAsia="宋体"/>
                      <w:color w:val="auto"/>
                      <w:kern w:val="0"/>
                      <w:sz w:val="21"/>
                      <w:szCs w:val="21"/>
                      <w:lang w:val="en-US" w:eastAsia="zh-CN"/>
                    </w:rPr>
                  </w:pPr>
                  <w:r>
                    <w:rPr>
                      <w:rFonts w:hint="eastAsia" w:eastAsia="宋体"/>
                      <w:color w:val="auto"/>
                      <w:kern w:val="0"/>
                      <w:sz w:val="21"/>
                      <w:szCs w:val="21"/>
                      <w:lang w:val="en-US" w:eastAsia="zh-CN"/>
                    </w:rPr>
                    <w:t xml:space="preserve">  有机废气治理设施</w:t>
                  </w:r>
                </w:p>
              </w:tc>
            </w:tr>
          </w:tbl>
          <w:p>
            <w:pPr>
              <w:rPr>
                <w:color w:val="auto"/>
              </w:rPr>
            </w:pPr>
          </w:p>
          <w:p>
            <w:pPr>
              <w:adjustRightInd w:val="0"/>
              <w:snapToGrid w:val="0"/>
              <w:spacing w:line="360" w:lineRule="auto"/>
              <w:ind w:firstLine="480" w:firstLineChars="200"/>
              <w:rPr>
                <w:color w:val="auto"/>
              </w:rPr>
            </w:pPr>
            <w:r>
              <w:rPr>
                <w:rFonts w:hint="eastAsia"/>
                <w:color w:val="auto"/>
              </w:rPr>
              <w:t>项目处于筹建阶段，部分设备型号尚未确定，经查《产业结构调整指导目录（2019年本）》（2021修改），</w:t>
            </w:r>
            <w:r>
              <w:rPr>
                <w:rFonts w:hint="eastAsia"/>
                <w:color w:val="auto"/>
                <w:lang w:eastAsia="zh-CN"/>
              </w:rPr>
              <w:t>高速分散机</w:t>
            </w:r>
            <w:r>
              <w:rPr>
                <w:rFonts w:hint="eastAsia"/>
                <w:color w:val="auto"/>
              </w:rPr>
              <w:t>、</w:t>
            </w:r>
            <w:r>
              <w:rPr>
                <w:rFonts w:hint="eastAsia"/>
                <w:color w:val="auto"/>
                <w:lang w:eastAsia="zh-CN"/>
              </w:rPr>
              <w:t>水泵</w:t>
            </w:r>
            <w:r>
              <w:rPr>
                <w:rFonts w:hint="eastAsia"/>
                <w:color w:val="auto"/>
              </w:rPr>
              <w:t>、</w:t>
            </w:r>
            <w:r>
              <w:rPr>
                <w:rFonts w:hint="eastAsia"/>
                <w:color w:val="auto"/>
                <w:lang w:eastAsia="zh-CN"/>
              </w:rPr>
              <w:t>空压机、</w:t>
            </w:r>
            <w:r>
              <w:rPr>
                <w:rFonts w:hint="eastAsia"/>
                <w:color w:val="auto"/>
                <w:lang w:val="en-US" w:eastAsia="zh-CN"/>
              </w:rPr>
              <w:t>去离子水设备</w:t>
            </w:r>
            <w:r>
              <w:rPr>
                <w:rFonts w:hint="eastAsia"/>
                <w:color w:val="auto"/>
              </w:rPr>
              <w:t>等均不属于淘汰落后生产工艺装备。</w:t>
            </w:r>
          </w:p>
          <w:p>
            <w:pPr>
              <w:adjustRightInd w:val="0"/>
              <w:snapToGrid w:val="0"/>
              <w:spacing w:line="360" w:lineRule="auto"/>
              <w:ind w:firstLine="480" w:firstLineChars="200"/>
              <w:rPr>
                <w:color w:val="auto"/>
              </w:rPr>
            </w:pPr>
            <w:r>
              <w:rPr>
                <w:rFonts w:hint="eastAsia"/>
                <w:color w:val="auto"/>
              </w:rPr>
              <w:t>（二）产品方案</w:t>
            </w:r>
          </w:p>
          <w:p>
            <w:pPr>
              <w:adjustRightInd w:val="0"/>
              <w:snapToGrid w:val="0"/>
              <w:spacing w:line="360" w:lineRule="auto"/>
              <w:ind w:firstLine="200"/>
              <w:rPr>
                <w:bCs/>
                <w:color w:val="auto"/>
              </w:rPr>
            </w:pPr>
            <w:r>
              <w:rPr>
                <w:rFonts w:hint="eastAsia"/>
                <w:bCs/>
                <w:color w:val="auto"/>
              </w:rPr>
              <w:t>主要产品方案见表2-</w:t>
            </w:r>
            <w:r>
              <w:rPr>
                <w:rFonts w:hint="eastAsia"/>
                <w:bCs/>
                <w:color w:val="auto"/>
                <w:lang w:val="en-US" w:eastAsia="zh-CN"/>
              </w:rPr>
              <w:t>3</w:t>
            </w:r>
            <w:r>
              <w:rPr>
                <w:rFonts w:hint="eastAsia"/>
                <w:bCs/>
                <w:color w:val="auto"/>
              </w:rPr>
              <w:t>。</w:t>
            </w:r>
          </w:p>
          <w:p>
            <w:pPr>
              <w:pStyle w:val="58"/>
              <w:spacing w:before="24" w:after="24"/>
              <w:rPr>
                <w:rFonts w:hint="eastAsia"/>
                <w:b/>
                <w:bCs/>
                <w:color w:val="auto"/>
                <w:szCs w:val="21"/>
              </w:rPr>
            </w:pPr>
            <w:r>
              <w:rPr>
                <w:rFonts w:hint="eastAsia"/>
                <w:b/>
                <w:bCs/>
                <w:color w:val="auto"/>
                <w:szCs w:val="21"/>
              </w:rPr>
              <w:t>表2-</w:t>
            </w:r>
            <w:r>
              <w:rPr>
                <w:rFonts w:hint="eastAsia"/>
                <w:b/>
                <w:bCs/>
                <w:color w:val="auto"/>
                <w:szCs w:val="21"/>
                <w:lang w:val="en-US" w:eastAsia="zh-CN"/>
              </w:rPr>
              <w:t>3</w:t>
            </w:r>
            <w:r>
              <w:rPr>
                <w:rFonts w:hint="eastAsia"/>
                <w:b/>
                <w:bCs/>
                <w:color w:val="auto"/>
                <w:szCs w:val="21"/>
              </w:rPr>
              <w:t>产品一览表</w:t>
            </w:r>
          </w:p>
          <w:tbl>
            <w:tblPr>
              <w:tblStyle w:val="34"/>
              <w:tblW w:w="803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141"/>
              <w:gridCol w:w="1404"/>
              <w:gridCol w:w="701"/>
              <w:gridCol w:w="978"/>
              <w:gridCol w:w="106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tcBorders>
                    <w:bottom w:val="single" w:color="auto" w:sz="4" w:space="0"/>
                    <w:right w:val="single" w:color="auto" w:sz="4" w:space="0"/>
                  </w:tcBorders>
                  <w:noWrap w:val="0"/>
                  <w:vAlign w:val="center"/>
                </w:tcPr>
                <w:p>
                  <w:pPr>
                    <w:jc w:val="center"/>
                    <w:rPr>
                      <w:rFonts w:hint="eastAsia"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序号</w:t>
                  </w:r>
                </w:p>
              </w:tc>
              <w:tc>
                <w:tcPr>
                  <w:tcW w:w="2141" w:type="dxa"/>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产品名称</w:t>
                  </w:r>
                </w:p>
              </w:tc>
              <w:tc>
                <w:tcPr>
                  <w:tcW w:w="1404" w:type="dxa"/>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产品要求</w:t>
                  </w:r>
                </w:p>
              </w:tc>
              <w:tc>
                <w:tcPr>
                  <w:tcW w:w="701" w:type="dxa"/>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单位</w:t>
                  </w:r>
                </w:p>
              </w:tc>
              <w:tc>
                <w:tcPr>
                  <w:tcW w:w="978" w:type="dxa"/>
                  <w:tcBorders>
                    <w:left w:val="single" w:color="auto" w:sz="4" w:space="0"/>
                    <w:bottom w:val="single" w:color="auto" w:sz="4" w:space="0"/>
                  </w:tcBorders>
                  <w:noWrap w:val="0"/>
                  <w:vAlign w:val="center"/>
                </w:tcPr>
                <w:p>
                  <w:pPr>
                    <w:jc w:val="center"/>
                    <w:rPr>
                      <w:rFonts w:hint="eastAsia"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规模</w:t>
                  </w:r>
                </w:p>
              </w:tc>
              <w:tc>
                <w:tcPr>
                  <w:tcW w:w="1060" w:type="dxa"/>
                  <w:tcBorders>
                    <w:left w:val="single" w:color="auto" w:sz="4" w:space="0"/>
                    <w:bottom w:val="single" w:color="auto" w:sz="4" w:space="0"/>
                  </w:tcBorders>
                  <w:noWrap w:val="0"/>
                  <w:vAlign w:val="center"/>
                </w:tcPr>
                <w:p>
                  <w:pPr>
                    <w:jc w:val="center"/>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rPr>
                    <w:t>产品形</w:t>
                  </w:r>
                  <w:r>
                    <w:rPr>
                      <w:rFonts w:hint="eastAsia" w:cs="Times New Roman"/>
                      <w:b/>
                      <w:color w:val="auto"/>
                      <w:sz w:val="21"/>
                      <w:szCs w:val="21"/>
                      <w:lang w:val="en-US" w:eastAsia="zh-CN"/>
                    </w:rPr>
                    <w:t>态</w:t>
                  </w:r>
                </w:p>
              </w:tc>
              <w:tc>
                <w:tcPr>
                  <w:tcW w:w="1028" w:type="dxa"/>
                  <w:tcBorders>
                    <w:left w:val="single" w:color="auto" w:sz="4" w:space="0"/>
                    <w:bottom w:val="single" w:color="auto" w:sz="4" w:space="0"/>
                  </w:tcBorders>
                  <w:noWrap w:val="0"/>
                  <w:vAlign w:val="center"/>
                </w:tcPr>
                <w:p>
                  <w:pPr>
                    <w:jc w:val="center"/>
                    <w:rPr>
                      <w:rFonts w:hint="eastAsia" w:ascii="Times New Roman" w:hAnsi="Times New Roman" w:eastAsia="宋体" w:cs="Times New Roman"/>
                      <w:b/>
                      <w:color w:val="auto"/>
                      <w:sz w:val="21"/>
                      <w:szCs w:val="21"/>
                      <w:lang w:val="en-US" w:eastAsia="zh-CN"/>
                    </w:rPr>
                  </w:pPr>
                  <w:r>
                    <w:rPr>
                      <w:rFonts w:hint="eastAsia" w:cs="Times New Roman"/>
                      <w:b/>
                      <w:color w:val="auto"/>
                      <w:sz w:val="21"/>
                      <w:szCs w:val="21"/>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水性环氧乳液</w:t>
                  </w:r>
                </w:p>
              </w:tc>
              <w:tc>
                <w:tcPr>
                  <w:tcW w:w="1404" w:type="dxa"/>
                  <w:vMerge w:val="restar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符合《中国涂料行业管理准则》</w:t>
                  </w:r>
                </w:p>
              </w:tc>
              <w:tc>
                <w:tcPr>
                  <w:tcW w:w="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t/a</w:t>
                  </w:r>
                </w:p>
              </w:tc>
              <w:tc>
                <w:tcPr>
                  <w:tcW w:w="978" w:type="dxa"/>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000</w:t>
                  </w:r>
                </w:p>
              </w:tc>
              <w:tc>
                <w:tcPr>
                  <w:tcW w:w="1060" w:type="dxa"/>
                  <w:tcBorders>
                    <w:top w:val="single" w:color="auto" w:sz="4" w:space="0"/>
                    <w:left w:val="single" w:color="auto" w:sz="4" w:space="0"/>
                    <w:bottom w:val="single" w:color="auto" w:sz="4" w:space="0"/>
                  </w:tcBorders>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液态</w:t>
                  </w:r>
                </w:p>
              </w:tc>
              <w:tc>
                <w:tcPr>
                  <w:tcW w:w="1028" w:type="dxa"/>
                  <w:tcBorders>
                    <w:top w:val="single" w:color="auto" w:sz="4" w:space="0"/>
                    <w:left w:val="single" w:color="auto" w:sz="4" w:space="0"/>
                    <w:bottom w:val="single" w:color="auto" w:sz="4" w:space="0"/>
                  </w:tcBorders>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水性防火隔热材料</w:t>
                  </w:r>
                </w:p>
              </w:tc>
              <w:tc>
                <w:tcPr>
                  <w:tcW w:w="1404" w:type="dxa"/>
                  <w:vMerge w:val="continue"/>
                  <w:tcBorders>
                    <w:left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t/a</w:t>
                  </w:r>
                </w:p>
              </w:tc>
              <w:tc>
                <w:tcPr>
                  <w:tcW w:w="978" w:type="dxa"/>
                  <w:tcBorders>
                    <w:top w:val="single" w:color="auto" w:sz="4" w:space="0"/>
                    <w:left w:val="single" w:color="auto" w:sz="4" w:space="0"/>
                    <w:bottom w:val="single" w:color="auto" w:sz="4" w:space="0"/>
                  </w:tcBorders>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val="en-US" w:eastAsia="zh-CN"/>
                    </w:rPr>
                    <w:t>00</w:t>
                  </w:r>
                </w:p>
              </w:tc>
              <w:tc>
                <w:tcPr>
                  <w:tcW w:w="1060" w:type="dxa"/>
                  <w:tcBorders>
                    <w:top w:val="single" w:color="auto" w:sz="4" w:space="0"/>
                    <w:left w:val="single" w:color="auto" w:sz="4" w:space="0"/>
                    <w:bottom w:val="single" w:color="auto" w:sz="4" w:space="0"/>
                  </w:tcBorders>
                  <w:noWrap w:val="0"/>
                  <w:vAlign w:val="center"/>
                </w:tcPr>
                <w:p>
                  <w:pPr>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液态</w:t>
                  </w:r>
                </w:p>
              </w:tc>
              <w:tc>
                <w:tcPr>
                  <w:tcW w:w="1028" w:type="dxa"/>
                  <w:tcBorders>
                    <w:top w:val="single" w:color="auto" w:sz="4" w:space="0"/>
                    <w:left w:val="single" w:color="auto" w:sz="4" w:space="0"/>
                    <w:bottom w:val="single" w:color="auto" w:sz="4" w:space="0"/>
                  </w:tcBorders>
                  <w:noWrap w:val="0"/>
                  <w:vAlign w:val="center"/>
                </w:tcPr>
                <w:p>
                  <w:pPr>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5" w:type="dxa"/>
                  <w:tcBorders>
                    <w:top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2141" w:type="dxa"/>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隔热砂浆</w:t>
                  </w:r>
                </w:p>
              </w:tc>
              <w:tc>
                <w:tcPr>
                  <w:tcW w:w="1404" w:type="dxa"/>
                  <w:vMerge w:val="continue"/>
                  <w:tcBorders>
                    <w:left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p>
              </w:tc>
              <w:tc>
                <w:tcPr>
                  <w:tcW w:w="701" w:type="dxa"/>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t/a</w:t>
                  </w:r>
                </w:p>
              </w:tc>
              <w:tc>
                <w:tcPr>
                  <w:tcW w:w="978" w:type="dxa"/>
                  <w:tcBorders>
                    <w:top w:val="single" w:color="auto" w:sz="4" w:space="0"/>
                    <w:lef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2000</w:t>
                  </w:r>
                </w:p>
              </w:tc>
              <w:tc>
                <w:tcPr>
                  <w:tcW w:w="1060" w:type="dxa"/>
                  <w:tcBorders>
                    <w:top w:val="single" w:color="auto" w:sz="4" w:space="0"/>
                    <w:lef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固态</w:t>
                  </w:r>
                </w:p>
              </w:tc>
              <w:tc>
                <w:tcPr>
                  <w:tcW w:w="1028" w:type="dxa"/>
                  <w:tcBorders>
                    <w:top w:val="single" w:color="auto" w:sz="4" w:space="0"/>
                    <w:lef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涂料配套腻子</w:t>
                  </w:r>
                </w:p>
              </w:tc>
            </w:tr>
          </w:tbl>
          <w:p>
            <w:pPr>
              <w:pStyle w:val="58"/>
              <w:adjustRightInd w:val="0"/>
              <w:snapToGrid w:val="0"/>
              <w:rPr>
                <w:rFonts w:hint="eastAsia"/>
                <w:b/>
                <w:bCs/>
                <w:color w:val="auto"/>
                <w:szCs w:val="21"/>
              </w:rPr>
            </w:pPr>
          </w:p>
          <w:p>
            <w:pPr>
              <w:adjustRightInd w:val="0"/>
              <w:snapToGrid w:val="0"/>
              <w:spacing w:line="360" w:lineRule="auto"/>
              <w:ind w:firstLine="480" w:firstLineChars="200"/>
              <w:rPr>
                <w:color w:val="auto"/>
              </w:rPr>
            </w:pPr>
            <w:r>
              <w:rPr>
                <w:rFonts w:hint="eastAsia"/>
                <w:color w:val="auto"/>
              </w:rPr>
              <w:t>（三）主要原辅材料</w:t>
            </w:r>
          </w:p>
          <w:p>
            <w:pPr>
              <w:widowControl/>
              <w:adjustRightInd w:val="0"/>
              <w:snapToGrid w:val="0"/>
              <w:spacing w:line="360" w:lineRule="auto"/>
              <w:ind w:firstLine="480" w:firstLineChars="200"/>
              <w:rPr>
                <w:color w:val="auto"/>
              </w:rPr>
            </w:pPr>
            <w:r>
              <w:rPr>
                <w:rFonts w:hint="eastAsia"/>
                <w:color w:val="auto"/>
              </w:rPr>
              <w:t>本项目主要原辅材料消耗情况见表2-</w:t>
            </w:r>
            <w:r>
              <w:rPr>
                <w:rFonts w:hint="eastAsia"/>
                <w:color w:val="auto"/>
                <w:lang w:val="en-US" w:eastAsia="zh-CN"/>
              </w:rPr>
              <w:t>4</w:t>
            </w:r>
            <w:r>
              <w:rPr>
                <w:rFonts w:hint="eastAsia"/>
                <w:color w:val="auto"/>
              </w:rPr>
              <w:t>。</w:t>
            </w:r>
          </w:p>
          <w:p>
            <w:pPr>
              <w:pStyle w:val="58"/>
              <w:spacing w:before="24" w:after="24"/>
              <w:rPr>
                <w:rFonts w:hint="eastAsia" w:ascii="Times New Roman" w:hAnsi="Times New Roman" w:eastAsia="宋体" w:cs="Times New Roman"/>
                <w:b/>
                <w:bCs/>
                <w:color w:val="auto"/>
                <w:szCs w:val="21"/>
              </w:rPr>
            </w:pPr>
          </w:p>
          <w:p>
            <w:pPr>
              <w:pStyle w:val="58"/>
              <w:spacing w:before="24" w:after="24"/>
              <w:rPr>
                <w:rFonts w:hint="eastAsia" w:ascii="Times New Roman" w:hAnsi="Times New Roman" w:eastAsia="宋体" w:cs="Times New Roman"/>
                <w:b/>
                <w:bCs/>
                <w:color w:val="auto"/>
                <w:szCs w:val="21"/>
              </w:rPr>
            </w:pPr>
          </w:p>
          <w:p>
            <w:pPr>
              <w:pStyle w:val="58"/>
              <w:spacing w:before="24" w:after="24"/>
              <w:rPr>
                <w:rFonts w:hint="eastAsia" w:ascii="Times New Roman" w:hAnsi="Times New Roman" w:eastAsia="宋体" w:cs="Times New Roman"/>
                <w:b/>
                <w:bCs/>
                <w:color w:val="auto"/>
                <w:szCs w:val="21"/>
              </w:rPr>
            </w:pPr>
          </w:p>
          <w:p>
            <w:pPr>
              <w:pStyle w:val="58"/>
              <w:spacing w:before="24" w:after="24"/>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表2-</w:t>
            </w:r>
            <w:r>
              <w:rPr>
                <w:rFonts w:hint="eastAsia" w:ascii="Times New Roman" w:hAnsi="Times New Roman" w:eastAsia="宋体" w:cs="Times New Roman"/>
                <w:b/>
                <w:bCs/>
                <w:color w:val="auto"/>
                <w:szCs w:val="21"/>
                <w:lang w:val="en-US" w:eastAsia="zh-CN"/>
              </w:rPr>
              <w:t>4</w:t>
            </w:r>
            <w:r>
              <w:rPr>
                <w:rFonts w:hint="eastAsia" w:ascii="Times New Roman" w:hAnsi="Times New Roman" w:eastAsia="宋体" w:cs="Times New Roman"/>
                <w:b/>
                <w:bCs/>
                <w:color w:val="auto"/>
                <w:szCs w:val="21"/>
              </w:rPr>
              <w:t>主要原辅材料消耗及能源消耗情况一览表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6"/>
              <w:gridCol w:w="2172"/>
              <w:gridCol w:w="891"/>
              <w:gridCol w:w="1082"/>
              <w:gridCol w:w="833"/>
              <w:gridCol w:w="24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6" w:type="dxa"/>
                  <w:noWrap w:val="0"/>
                  <w:vAlign w:val="center"/>
                </w:tcPr>
                <w:p>
                  <w:pPr>
                    <w:jc w:val="center"/>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序号</w:t>
                  </w:r>
                </w:p>
              </w:tc>
              <w:tc>
                <w:tcPr>
                  <w:tcW w:w="2172" w:type="dxa"/>
                  <w:noWrap w:val="0"/>
                  <w:vAlign w:val="center"/>
                </w:tcPr>
                <w:p>
                  <w:pPr>
                    <w:jc w:val="center"/>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名称</w:t>
                  </w:r>
                </w:p>
              </w:tc>
              <w:tc>
                <w:tcPr>
                  <w:tcW w:w="891" w:type="dxa"/>
                  <w:noWrap w:val="0"/>
                  <w:vAlign w:val="center"/>
                </w:tcPr>
                <w:p>
                  <w:pPr>
                    <w:jc w:val="center"/>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单位</w:t>
                  </w:r>
                </w:p>
              </w:tc>
              <w:tc>
                <w:tcPr>
                  <w:tcW w:w="1082" w:type="dxa"/>
                  <w:tcBorders>
                    <w:right w:val="single" w:color="auto" w:sz="4" w:space="0"/>
                  </w:tcBorders>
                  <w:noWrap w:val="0"/>
                  <w:vAlign w:val="center"/>
                </w:tcPr>
                <w:p>
                  <w:pPr>
                    <w:jc w:val="center"/>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年用量</w:t>
                  </w:r>
                </w:p>
              </w:tc>
              <w:tc>
                <w:tcPr>
                  <w:tcW w:w="833" w:type="dxa"/>
                  <w:tcBorders>
                    <w:left w:val="single" w:color="auto" w:sz="4" w:space="0"/>
                  </w:tcBorders>
                  <w:noWrap w:val="0"/>
                  <w:vAlign w:val="center"/>
                </w:tcPr>
                <w:p>
                  <w:pPr>
                    <w:jc w:val="center"/>
                    <w:rPr>
                      <w:rFonts w:hint="default" w:ascii="Times New Roman" w:hAnsi="Times New Roman" w:eastAsia="宋体" w:cs="Times New Roman"/>
                      <w:b/>
                      <w:color w:val="auto"/>
                      <w:sz w:val="21"/>
                      <w:szCs w:val="21"/>
                      <w:lang w:val="en-US" w:eastAsia="zh-CN"/>
                    </w:rPr>
                  </w:pPr>
                  <w:r>
                    <w:rPr>
                      <w:rFonts w:hint="eastAsia" w:cs="Times New Roman"/>
                      <w:b/>
                      <w:color w:val="auto"/>
                      <w:sz w:val="21"/>
                      <w:szCs w:val="21"/>
                      <w:lang w:val="en-US" w:eastAsia="zh-CN"/>
                    </w:rPr>
                    <w:t>形态</w:t>
                  </w:r>
                </w:p>
              </w:tc>
              <w:tc>
                <w:tcPr>
                  <w:tcW w:w="2435" w:type="dxa"/>
                  <w:noWrap w:val="0"/>
                  <w:vAlign w:val="center"/>
                </w:tcPr>
                <w:p>
                  <w:pPr>
                    <w:jc w:val="center"/>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6"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2172"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环氧树脂</w:t>
                  </w:r>
                </w:p>
              </w:tc>
              <w:tc>
                <w:tcPr>
                  <w:tcW w:w="891"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吨/年</w:t>
                  </w:r>
                </w:p>
              </w:tc>
              <w:tc>
                <w:tcPr>
                  <w:tcW w:w="1082" w:type="dxa"/>
                  <w:tcBorders>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500</w:t>
                  </w:r>
                </w:p>
              </w:tc>
              <w:tc>
                <w:tcPr>
                  <w:tcW w:w="833" w:type="dxa"/>
                  <w:tcBorders>
                    <w:lef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固态</w:t>
                  </w:r>
                </w:p>
              </w:tc>
              <w:tc>
                <w:tcPr>
                  <w:tcW w:w="243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水性环氧乳液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2172"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乳化剂</w:t>
                  </w:r>
                </w:p>
              </w:tc>
              <w:tc>
                <w:tcPr>
                  <w:tcW w:w="891"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吨/年</w:t>
                  </w:r>
                </w:p>
              </w:tc>
              <w:tc>
                <w:tcPr>
                  <w:tcW w:w="1082" w:type="dxa"/>
                  <w:tcBorders>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120</w:t>
                  </w:r>
                </w:p>
              </w:tc>
              <w:tc>
                <w:tcPr>
                  <w:tcW w:w="833" w:type="dxa"/>
                  <w:tcBorders>
                    <w:lef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液态</w:t>
                  </w:r>
                </w:p>
              </w:tc>
              <w:tc>
                <w:tcPr>
                  <w:tcW w:w="243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水性环氧乳液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2172"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水</w:t>
                  </w:r>
                </w:p>
              </w:tc>
              <w:tc>
                <w:tcPr>
                  <w:tcW w:w="891"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吨/年</w:t>
                  </w:r>
                </w:p>
              </w:tc>
              <w:tc>
                <w:tcPr>
                  <w:tcW w:w="1082" w:type="dxa"/>
                  <w:tcBorders>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611</w:t>
                  </w:r>
                </w:p>
              </w:tc>
              <w:tc>
                <w:tcPr>
                  <w:tcW w:w="833" w:type="dxa"/>
                  <w:tcBorders>
                    <w:left w:val="single" w:color="auto" w:sz="4" w:space="0"/>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液态</w:t>
                  </w:r>
                </w:p>
              </w:tc>
              <w:tc>
                <w:tcPr>
                  <w:tcW w:w="243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水性环氧乳液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4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2172"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水性分散剂</w:t>
                  </w:r>
                </w:p>
              </w:tc>
              <w:tc>
                <w:tcPr>
                  <w:tcW w:w="891"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吨/年</w:t>
                  </w:r>
                </w:p>
              </w:tc>
              <w:tc>
                <w:tcPr>
                  <w:tcW w:w="1082" w:type="dxa"/>
                  <w:tcBorders>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833" w:type="dxa"/>
                  <w:tcBorders>
                    <w:left w:val="single" w:color="auto" w:sz="4" w:space="0"/>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液态</w:t>
                  </w:r>
                </w:p>
              </w:tc>
              <w:tc>
                <w:tcPr>
                  <w:tcW w:w="243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水性防火隔热材料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6"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21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水性润湿剂分散</w:t>
                  </w:r>
                </w:p>
              </w:tc>
              <w:tc>
                <w:tcPr>
                  <w:tcW w:w="891"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吨/年</w:t>
                  </w:r>
                </w:p>
              </w:tc>
              <w:tc>
                <w:tcPr>
                  <w:tcW w:w="1082" w:type="dxa"/>
                  <w:tcBorders>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833" w:type="dxa"/>
                  <w:tcBorders>
                    <w:left w:val="single" w:color="auto" w:sz="4" w:space="0"/>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液态</w:t>
                  </w:r>
                </w:p>
              </w:tc>
              <w:tc>
                <w:tcPr>
                  <w:tcW w:w="243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水性防火隔热材料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46"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21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硫酸钡粉</w:t>
                  </w:r>
                </w:p>
              </w:tc>
              <w:tc>
                <w:tcPr>
                  <w:tcW w:w="891"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吨/年</w:t>
                  </w:r>
                </w:p>
              </w:tc>
              <w:tc>
                <w:tcPr>
                  <w:tcW w:w="1082" w:type="dxa"/>
                  <w:tcBorders>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120</w:t>
                  </w:r>
                </w:p>
              </w:tc>
              <w:tc>
                <w:tcPr>
                  <w:tcW w:w="833" w:type="dxa"/>
                  <w:tcBorders>
                    <w:left w:val="single" w:color="auto" w:sz="4" w:space="0"/>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固态</w:t>
                  </w:r>
                </w:p>
              </w:tc>
              <w:tc>
                <w:tcPr>
                  <w:tcW w:w="243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水性防火隔热材料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46"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2172"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水性纳米石墨烯浆</w:t>
                  </w:r>
                </w:p>
              </w:tc>
              <w:tc>
                <w:tcPr>
                  <w:tcW w:w="891"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吨/年</w:t>
                  </w:r>
                </w:p>
              </w:tc>
              <w:tc>
                <w:tcPr>
                  <w:tcW w:w="1082" w:type="dxa"/>
                  <w:tcBorders>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c>
                <w:tcPr>
                  <w:tcW w:w="833" w:type="dxa"/>
                  <w:tcBorders>
                    <w:left w:val="single" w:color="auto" w:sz="4" w:space="0"/>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液态</w:t>
                  </w:r>
                </w:p>
              </w:tc>
              <w:tc>
                <w:tcPr>
                  <w:tcW w:w="243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水性防火隔热材料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4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21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水性丙烯酸乳液</w:t>
                  </w:r>
                </w:p>
              </w:tc>
              <w:tc>
                <w:tcPr>
                  <w:tcW w:w="891"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吨/年</w:t>
                  </w:r>
                </w:p>
              </w:tc>
              <w:tc>
                <w:tcPr>
                  <w:tcW w:w="1082" w:type="dxa"/>
                  <w:tcBorders>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833" w:type="dxa"/>
                  <w:tcBorders>
                    <w:lef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液态</w:t>
                  </w:r>
                </w:p>
              </w:tc>
              <w:tc>
                <w:tcPr>
                  <w:tcW w:w="243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水性防火隔热材料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4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w:t>
                  </w:r>
                </w:p>
              </w:tc>
              <w:tc>
                <w:tcPr>
                  <w:tcW w:w="2172"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硅溶胶</w:t>
                  </w:r>
                </w:p>
              </w:tc>
              <w:tc>
                <w:tcPr>
                  <w:tcW w:w="891"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吨/年</w:t>
                  </w:r>
                </w:p>
              </w:tc>
              <w:tc>
                <w:tcPr>
                  <w:tcW w:w="1082" w:type="dxa"/>
                  <w:tcBorders>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w:t>
                  </w:r>
                </w:p>
              </w:tc>
              <w:tc>
                <w:tcPr>
                  <w:tcW w:w="833" w:type="dxa"/>
                  <w:tcBorders>
                    <w:left w:val="single" w:color="auto" w:sz="4" w:space="0"/>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液态</w:t>
                  </w:r>
                </w:p>
              </w:tc>
              <w:tc>
                <w:tcPr>
                  <w:tcW w:w="243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水性防火隔热材料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46"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2172"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水</w:t>
                  </w:r>
                </w:p>
              </w:tc>
              <w:tc>
                <w:tcPr>
                  <w:tcW w:w="891" w:type="dxa"/>
                  <w:noWrap w:val="0"/>
                  <w:vAlign w:val="center"/>
                </w:tcPr>
                <w:p>
                  <w:pPr>
                    <w:jc w:val="center"/>
                    <w:rPr>
                      <w:rFonts w:hint="eastAsia" w:ascii="Times New Roman" w:hAnsi="Times New Roman" w:eastAsia="宋体" w:cs="Times New Roman"/>
                      <w:color w:val="auto"/>
                      <w:sz w:val="21"/>
                      <w:szCs w:val="21"/>
                      <w:lang w:val="en-US" w:eastAsia="zh-CN"/>
                    </w:rPr>
                  </w:pPr>
                </w:p>
              </w:tc>
              <w:tc>
                <w:tcPr>
                  <w:tcW w:w="1082" w:type="dxa"/>
                  <w:tcBorders>
                    <w:right w:val="single" w:color="auto" w:sz="4" w:space="0"/>
                  </w:tcBorders>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44.5</w:t>
                  </w:r>
                </w:p>
              </w:tc>
              <w:tc>
                <w:tcPr>
                  <w:tcW w:w="833" w:type="dxa"/>
                  <w:tcBorders>
                    <w:left w:val="single" w:color="auto" w:sz="4" w:space="0"/>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液态</w:t>
                  </w:r>
                </w:p>
              </w:tc>
              <w:tc>
                <w:tcPr>
                  <w:tcW w:w="243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水性防火隔热材料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4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2172"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石英砂</w:t>
                  </w:r>
                </w:p>
              </w:tc>
              <w:tc>
                <w:tcPr>
                  <w:tcW w:w="891"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吨/年</w:t>
                  </w:r>
                </w:p>
              </w:tc>
              <w:tc>
                <w:tcPr>
                  <w:tcW w:w="1082" w:type="dxa"/>
                  <w:tcBorders>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1000</w:t>
                  </w:r>
                </w:p>
              </w:tc>
              <w:tc>
                <w:tcPr>
                  <w:tcW w:w="833" w:type="dxa"/>
                  <w:tcBorders>
                    <w:left w:val="single" w:color="auto" w:sz="4" w:space="0"/>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固态</w:t>
                  </w:r>
                </w:p>
              </w:tc>
              <w:tc>
                <w:tcPr>
                  <w:tcW w:w="243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隔热砂浆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4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2172"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重钙粉</w:t>
                  </w:r>
                </w:p>
              </w:tc>
              <w:tc>
                <w:tcPr>
                  <w:tcW w:w="891"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吨/年</w:t>
                  </w:r>
                </w:p>
              </w:tc>
              <w:tc>
                <w:tcPr>
                  <w:tcW w:w="1082" w:type="dxa"/>
                  <w:tcBorders>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200</w:t>
                  </w:r>
                </w:p>
              </w:tc>
              <w:tc>
                <w:tcPr>
                  <w:tcW w:w="833" w:type="dxa"/>
                  <w:tcBorders>
                    <w:left w:val="single" w:color="auto" w:sz="4" w:space="0"/>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固态</w:t>
                  </w:r>
                </w:p>
              </w:tc>
              <w:tc>
                <w:tcPr>
                  <w:tcW w:w="243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隔热砂浆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4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w:t>
                  </w:r>
                </w:p>
              </w:tc>
              <w:tc>
                <w:tcPr>
                  <w:tcW w:w="2172"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水泥</w:t>
                  </w:r>
                </w:p>
              </w:tc>
              <w:tc>
                <w:tcPr>
                  <w:tcW w:w="891"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吨/年</w:t>
                  </w:r>
                </w:p>
              </w:tc>
              <w:tc>
                <w:tcPr>
                  <w:tcW w:w="1082" w:type="dxa"/>
                  <w:tcBorders>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800</w:t>
                  </w:r>
                </w:p>
              </w:tc>
              <w:tc>
                <w:tcPr>
                  <w:tcW w:w="833" w:type="dxa"/>
                  <w:tcBorders>
                    <w:left w:val="single" w:color="auto" w:sz="4" w:space="0"/>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固态</w:t>
                  </w:r>
                </w:p>
              </w:tc>
              <w:tc>
                <w:tcPr>
                  <w:tcW w:w="243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隔热砂浆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46" w:type="dxa"/>
                  <w:noWrap w:val="0"/>
                  <w:vAlign w:val="center"/>
                </w:tcPr>
                <w:p>
                  <w:pPr>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14</w:t>
                  </w:r>
                </w:p>
              </w:tc>
              <w:tc>
                <w:tcPr>
                  <w:tcW w:w="2172" w:type="dxa"/>
                  <w:noWrap w:val="0"/>
                  <w:vAlign w:val="center"/>
                </w:tcPr>
                <w:p>
                  <w:pPr>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反渗透膜</w:t>
                  </w:r>
                </w:p>
              </w:tc>
              <w:tc>
                <w:tcPr>
                  <w:tcW w:w="891" w:type="dxa"/>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吨/年</w:t>
                  </w:r>
                </w:p>
              </w:tc>
              <w:tc>
                <w:tcPr>
                  <w:tcW w:w="1082" w:type="dxa"/>
                  <w:tcBorders>
                    <w:right w:val="single" w:color="auto" w:sz="4" w:space="0"/>
                  </w:tcBorders>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0.03</w:t>
                  </w:r>
                </w:p>
              </w:tc>
              <w:tc>
                <w:tcPr>
                  <w:tcW w:w="833" w:type="dxa"/>
                  <w:tcBorders>
                    <w:left w:val="single" w:color="auto" w:sz="4" w:space="0"/>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固态</w:t>
                  </w:r>
                </w:p>
              </w:tc>
              <w:tc>
                <w:tcPr>
                  <w:tcW w:w="2435" w:type="dxa"/>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去离子水生产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46" w:type="dxa"/>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c>
                <w:tcPr>
                  <w:tcW w:w="2172"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活性炭</w:t>
                  </w:r>
                </w:p>
              </w:tc>
              <w:tc>
                <w:tcPr>
                  <w:tcW w:w="891" w:type="dxa"/>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吨/年</w:t>
                  </w:r>
                </w:p>
              </w:tc>
              <w:tc>
                <w:tcPr>
                  <w:tcW w:w="1082" w:type="dxa"/>
                  <w:tcBorders>
                    <w:right w:val="single" w:color="auto" w:sz="4" w:space="0"/>
                  </w:tcBorders>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10.5</w:t>
                  </w:r>
                </w:p>
              </w:tc>
              <w:tc>
                <w:tcPr>
                  <w:tcW w:w="833" w:type="dxa"/>
                  <w:tcBorders>
                    <w:left w:val="single" w:color="auto" w:sz="4" w:space="0"/>
                  </w:tcBorders>
                  <w:noWrap w:val="0"/>
                  <w:vAlign w:val="center"/>
                </w:tcPr>
                <w:p>
                  <w:pPr>
                    <w:jc w:val="center"/>
                    <w:rPr>
                      <w:rFonts w:hint="eastAsia" w:cs="Times New Roman"/>
                      <w:color w:val="auto"/>
                      <w:sz w:val="21"/>
                      <w:szCs w:val="21"/>
                      <w:highlight w:val="none"/>
                      <w:lang w:val="en-US" w:eastAsia="zh-CN"/>
                    </w:rPr>
                  </w:pPr>
                  <w:r>
                    <w:rPr>
                      <w:rFonts w:hint="eastAsia" w:cs="Times New Roman"/>
                      <w:color w:val="auto"/>
                      <w:sz w:val="21"/>
                      <w:szCs w:val="21"/>
                      <w:lang w:val="en-US" w:eastAsia="zh-CN"/>
                    </w:rPr>
                    <w:t>固态</w:t>
                  </w:r>
                </w:p>
              </w:tc>
              <w:tc>
                <w:tcPr>
                  <w:tcW w:w="2435"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废气处理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4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w:t>
                  </w:r>
                </w:p>
              </w:tc>
              <w:tc>
                <w:tcPr>
                  <w:tcW w:w="2172"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w:t>
                  </w:r>
                </w:p>
              </w:tc>
              <w:tc>
                <w:tcPr>
                  <w:tcW w:w="891"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吨/年</w:t>
                  </w:r>
                </w:p>
              </w:tc>
              <w:tc>
                <w:tcPr>
                  <w:tcW w:w="1082" w:type="dxa"/>
                  <w:tcBorders>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760</w:t>
                  </w:r>
                </w:p>
              </w:tc>
              <w:tc>
                <w:tcPr>
                  <w:tcW w:w="833" w:type="dxa"/>
                  <w:tcBorders>
                    <w:left w:val="single" w:color="auto" w:sz="4" w:space="0"/>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液态</w:t>
                  </w:r>
                </w:p>
              </w:tc>
              <w:tc>
                <w:tcPr>
                  <w:tcW w:w="2435"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生活用水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46"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w:t>
                  </w:r>
                </w:p>
              </w:tc>
              <w:tc>
                <w:tcPr>
                  <w:tcW w:w="2172"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电</w:t>
                  </w:r>
                </w:p>
              </w:tc>
              <w:tc>
                <w:tcPr>
                  <w:tcW w:w="891"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万千瓦时/年</w:t>
                  </w:r>
                </w:p>
              </w:tc>
              <w:tc>
                <w:tcPr>
                  <w:tcW w:w="1082" w:type="dxa"/>
                  <w:tcBorders>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833" w:type="dxa"/>
                  <w:tcBorders>
                    <w:lef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2435"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电网</w:t>
                  </w:r>
                </w:p>
              </w:tc>
            </w:tr>
          </w:tbl>
          <w:p>
            <w:pPr>
              <w:widowControl/>
              <w:adjustRightInd w:val="0"/>
              <w:snapToGrid w:val="0"/>
              <w:spacing w:line="360" w:lineRule="auto"/>
              <w:ind w:firstLine="480" w:firstLineChars="200"/>
              <w:rPr>
                <w:rFonts w:hint="eastAsia"/>
                <w:color w:val="auto"/>
              </w:rPr>
            </w:pPr>
          </w:p>
          <w:p>
            <w:pPr>
              <w:widowControl/>
              <w:adjustRightInd w:val="0"/>
              <w:snapToGrid w:val="0"/>
              <w:spacing w:line="360" w:lineRule="auto"/>
              <w:ind w:firstLine="480" w:firstLineChars="200"/>
              <w:rPr>
                <w:color w:val="auto"/>
              </w:rPr>
            </w:pPr>
            <w:r>
              <w:rPr>
                <w:rFonts w:hint="eastAsia"/>
                <w:color w:val="auto"/>
              </w:rPr>
              <w:t>部分原辅材料理化性质</w:t>
            </w:r>
          </w:p>
          <w:p>
            <w:pPr>
              <w:adjustRightInd w:val="0"/>
              <w:snapToGrid w:val="0"/>
              <w:jc w:val="center"/>
              <w:rPr>
                <w:b/>
                <w:bCs/>
                <w:color w:val="auto"/>
              </w:rPr>
            </w:pPr>
            <w:r>
              <w:rPr>
                <w:rFonts w:hint="eastAsia"/>
                <w:b/>
                <w:bCs/>
                <w:color w:val="auto"/>
              </w:rPr>
              <w:t>表2-</w:t>
            </w:r>
            <w:r>
              <w:rPr>
                <w:rFonts w:hint="eastAsia"/>
                <w:b/>
                <w:bCs/>
                <w:color w:val="auto"/>
                <w:lang w:val="en-US" w:eastAsia="zh-CN"/>
              </w:rPr>
              <w:t>5</w:t>
            </w:r>
            <w:r>
              <w:rPr>
                <w:rFonts w:hint="eastAsia"/>
                <w:b/>
                <w:bCs/>
                <w:color w:val="auto"/>
              </w:rPr>
              <w:t>部分原辅材料理化性质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974"/>
              <w:gridCol w:w="60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tcBorders>
                    <w:tl2br w:val="nil"/>
                    <w:tr2bl w:val="nil"/>
                  </w:tcBorders>
                  <w:vAlign w:val="center"/>
                </w:tcPr>
                <w:p>
                  <w:pPr>
                    <w:spacing w:line="360" w:lineRule="auto"/>
                    <w:ind w:left="-9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序号</w:t>
                  </w:r>
                </w:p>
              </w:tc>
              <w:tc>
                <w:tcPr>
                  <w:tcW w:w="974" w:type="dxa"/>
                  <w:tcBorders>
                    <w:tl2br w:val="nil"/>
                    <w:tr2bl w:val="nil"/>
                  </w:tcBorders>
                  <w:vAlign w:val="center"/>
                </w:tcPr>
                <w:p>
                  <w:pPr>
                    <w:spacing w:line="360" w:lineRule="auto"/>
                    <w:ind w:left="-9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原辅材料名称</w:t>
                  </w:r>
                </w:p>
              </w:tc>
              <w:tc>
                <w:tcPr>
                  <w:tcW w:w="6076" w:type="dxa"/>
                  <w:tcBorders>
                    <w:tl2br w:val="nil"/>
                    <w:tr2bl w:val="nil"/>
                  </w:tcBorders>
                  <w:vAlign w:val="center"/>
                </w:tcPr>
                <w:p>
                  <w:pPr>
                    <w:spacing w:line="360" w:lineRule="auto"/>
                    <w:ind w:left="-9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理化特性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61" w:type="dxa"/>
                  <w:tcBorders>
                    <w:tl2br w:val="nil"/>
                    <w:tr2bl w:val="nil"/>
                  </w:tcBorders>
                  <w:vAlign w:val="center"/>
                </w:tcPr>
                <w:p>
                  <w:pPr>
                    <w:spacing w:line="360" w:lineRule="auto"/>
                    <w:ind w:left="-90"/>
                    <w:jc w:val="center"/>
                    <w:rPr>
                      <w:color w:val="auto"/>
                      <w:spacing w:val="2"/>
                      <w:kern w:val="0"/>
                      <w:sz w:val="21"/>
                      <w:szCs w:val="21"/>
                    </w:rPr>
                  </w:pPr>
                </w:p>
                <w:p>
                  <w:pPr>
                    <w:spacing w:line="360" w:lineRule="auto"/>
                    <w:ind w:left="-90"/>
                    <w:jc w:val="center"/>
                    <w:rPr>
                      <w:color w:val="auto"/>
                      <w:spacing w:val="2"/>
                      <w:kern w:val="0"/>
                      <w:sz w:val="21"/>
                      <w:szCs w:val="21"/>
                    </w:rPr>
                  </w:pPr>
                  <w:r>
                    <w:rPr>
                      <w:rFonts w:hint="eastAsia"/>
                      <w:color w:val="auto"/>
                      <w:spacing w:val="2"/>
                      <w:kern w:val="0"/>
                      <w:sz w:val="21"/>
                      <w:szCs w:val="21"/>
                    </w:rPr>
                    <w:t>1</w:t>
                  </w:r>
                </w:p>
                <w:p>
                  <w:pPr>
                    <w:spacing w:line="360" w:lineRule="auto"/>
                    <w:ind w:left="-90"/>
                    <w:jc w:val="center"/>
                    <w:rPr>
                      <w:color w:val="auto"/>
                      <w:spacing w:val="2"/>
                      <w:kern w:val="0"/>
                      <w:sz w:val="21"/>
                      <w:szCs w:val="21"/>
                    </w:rPr>
                  </w:pPr>
                </w:p>
              </w:tc>
              <w:tc>
                <w:tcPr>
                  <w:tcW w:w="974" w:type="dxa"/>
                  <w:tcBorders>
                    <w:tl2br w:val="nil"/>
                    <w:tr2bl w:val="nil"/>
                  </w:tcBorders>
                  <w:vAlign w:val="center"/>
                </w:tcPr>
                <w:p>
                  <w:pPr>
                    <w:spacing w:line="360" w:lineRule="auto"/>
                    <w:jc w:val="center"/>
                    <w:rPr>
                      <w:color w:val="auto"/>
                      <w:sz w:val="21"/>
                      <w:szCs w:val="21"/>
                    </w:rPr>
                  </w:pPr>
                  <w:r>
                    <w:rPr>
                      <w:rFonts w:hint="eastAsia"/>
                      <w:color w:val="auto"/>
                      <w:sz w:val="21"/>
                      <w:szCs w:val="21"/>
                    </w:rPr>
                    <w:t>环氧树脂</w:t>
                  </w:r>
                </w:p>
              </w:tc>
              <w:tc>
                <w:tcPr>
                  <w:tcW w:w="6076" w:type="dxa"/>
                  <w:tcBorders>
                    <w:tl2br w:val="nil"/>
                    <w:tr2bl w:val="nil"/>
                  </w:tcBorders>
                  <w:vAlign w:val="center"/>
                </w:tcPr>
                <w:p>
                  <w:pPr>
                    <w:pStyle w:val="33"/>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color w:val="auto"/>
                      <w:sz w:val="21"/>
                      <w:szCs w:val="21"/>
                    </w:rPr>
                  </w:pPr>
                  <w:r>
                    <w:rPr>
                      <w:rFonts w:hint="eastAsia"/>
                      <w:color w:val="auto"/>
                      <w:sz w:val="21"/>
                      <w:szCs w:val="21"/>
                    </w:rPr>
                    <w:t>环氧树脂是一种高分子聚合物，分子式为(C11H12O3)n，是指分子中含有两个以上环氧基团的一类聚合物的总称。它是环氧氯丙烷与双酚A或多元醇的缩聚产物。由于环氧基的化学活性，可用多种含有活泼氢的化合物使其开环，固化交联生成网状结构，因此它是一种热固性树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tcBorders>
                    <w:tl2br w:val="nil"/>
                    <w:tr2bl w:val="nil"/>
                  </w:tcBorders>
                  <w:vAlign w:val="center"/>
                </w:tcPr>
                <w:p>
                  <w:pPr>
                    <w:spacing w:line="360" w:lineRule="auto"/>
                    <w:ind w:left="-90"/>
                    <w:jc w:val="center"/>
                    <w:rPr>
                      <w:rFonts w:hint="eastAsia" w:eastAsia="宋体"/>
                      <w:color w:val="auto"/>
                      <w:spacing w:val="2"/>
                      <w:kern w:val="0"/>
                      <w:sz w:val="21"/>
                      <w:szCs w:val="21"/>
                      <w:lang w:val="en-US" w:eastAsia="zh-CN"/>
                    </w:rPr>
                  </w:pPr>
                  <w:r>
                    <w:rPr>
                      <w:rFonts w:hint="eastAsia"/>
                      <w:color w:val="auto"/>
                      <w:spacing w:val="2"/>
                      <w:kern w:val="0"/>
                      <w:sz w:val="21"/>
                      <w:szCs w:val="21"/>
                      <w:lang w:val="en-US" w:eastAsia="zh-CN"/>
                    </w:rPr>
                    <w:t>2</w:t>
                  </w:r>
                </w:p>
              </w:tc>
              <w:tc>
                <w:tcPr>
                  <w:tcW w:w="974" w:type="dxa"/>
                  <w:tcBorders>
                    <w:tl2br w:val="nil"/>
                    <w:tr2bl w:val="nil"/>
                  </w:tcBorders>
                  <w:vAlign w:val="center"/>
                </w:tcPr>
                <w:p>
                  <w:pPr>
                    <w:spacing w:line="360" w:lineRule="auto"/>
                    <w:jc w:val="center"/>
                    <w:rPr>
                      <w:rFonts w:hint="eastAsia"/>
                      <w:color w:val="auto"/>
                      <w:kern w:val="0"/>
                      <w:sz w:val="21"/>
                      <w:szCs w:val="21"/>
                    </w:rPr>
                  </w:pPr>
                  <w:r>
                    <w:rPr>
                      <w:rFonts w:hint="eastAsia"/>
                      <w:color w:val="auto"/>
                      <w:sz w:val="21"/>
                      <w:szCs w:val="21"/>
                    </w:rPr>
                    <w:t>乳化剂</w:t>
                  </w:r>
                </w:p>
              </w:tc>
              <w:tc>
                <w:tcPr>
                  <w:tcW w:w="6076" w:type="dxa"/>
                  <w:tcBorders>
                    <w:tl2br w:val="nil"/>
                    <w:tr2bl w:val="nil"/>
                  </w:tcBorders>
                  <w:vAlign w:val="center"/>
                </w:tcPr>
                <w:p>
                  <w:pPr>
                    <w:pStyle w:val="3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sz w:val="21"/>
                      <w:szCs w:val="21"/>
                    </w:rPr>
                  </w:pPr>
                  <w:r>
                    <w:rPr>
                      <w:rFonts w:hint="eastAsia"/>
                      <w:color w:val="auto"/>
                      <w:sz w:val="21"/>
                      <w:szCs w:val="21"/>
                    </w:rPr>
                    <w:t>乳化剂：具体结构为聚乙二醇型多元醇同环氧树脂的加成物。利用其部分相识结构，达到高效降低界面张力和减少形成乳状液所需要的能量，从而提高乳状液的能量，使树脂在较低物理搅拌速度下稳定成乳。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tcBorders>
                    <w:tl2br w:val="nil"/>
                    <w:tr2bl w:val="nil"/>
                  </w:tcBorders>
                  <w:vAlign w:val="center"/>
                </w:tcPr>
                <w:p>
                  <w:pPr>
                    <w:spacing w:line="360" w:lineRule="auto"/>
                    <w:ind w:left="-90"/>
                    <w:jc w:val="center"/>
                    <w:rPr>
                      <w:rFonts w:hint="eastAsia" w:eastAsia="宋体"/>
                      <w:color w:val="auto"/>
                      <w:spacing w:val="2"/>
                      <w:kern w:val="0"/>
                      <w:sz w:val="21"/>
                      <w:szCs w:val="21"/>
                      <w:lang w:eastAsia="zh-CN"/>
                    </w:rPr>
                  </w:pPr>
                  <w:r>
                    <w:rPr>
                      <w:rFonts w:hint="eastAsia"/>
                      <w:color w:val="auto"/>
                      <w:spacing w:val="2"/>
                      <w:kern w:val="0"/>
                      <w:sz w:val="21"/>
                      <w:szCs w:val="21"/>
                      <w:lang w:val="en-US" w:eastAsia="zh-CN"/>
                    </w:rPr>
                    <w:t>3</w:t>
                  </w:r>
                </w:p>
              </w:tc>
              <w:tc>
                <w:tcPr>
                  <w:tcW w:w="974" w:type="dxa"/>
                  <w:tcBorders>
                    <w:tl2br w:val="nil"/>
                    <w:tr2bl w:val="nil"/>
                  </w:tcBorders>
                  <w:vAlign w:val="center"/>
                </w:tcPr>
                <w:p>
                  <w:pPr>
                    <w:spacing w:line="360" w:lineRule="auto"/>
                    <w:jc w:val="center"/>
                    <w:rPr>
                      <w:color w:val="auto"/>
                      <w:kern w:val="0"/>
                      <w:sz w:val="21"/>
                      <w:szCs w:val="21"/>
                    </w:rPr>
                  </w:pPr>
                  <w:r>
                    <w:rPr>
                      <w:rFonts w:hint="eastAsia"/>
                      <w:color w:val="auto"/>
                      <w:kern w:val="0"/>
                      <w:sz w:val="21"/>
                      <w:szCs w:val="21"/>
                    </w:rPr>
                    <w:t>水性丙烯酸乳液</w:t>
                  </w:r>
                </w:p>
              </w:tc>
              <w:tc>
                <w:tcPr>
                  <w:tcW w:w="6076" w:type="dxa"/>
                  <w:tcBorders>
                    <w:tl2br w:val="nil"/>
                    <w:tr2bl w:val="nil"/>
                  </w:tcBorders>
                  <w:vAlign w:val="center"/>
                </w:tcPr>
                <w:p>
                  <w:pPr>
                    <w:pStyle w:val="3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color w:val="auto"/>
                      <w:sz w:val="21"/>
                      <w:szCs w:val="21"/>
                    </w:rPr>
                  </w:pPr>
                  <w:r>
                    <w:rPr>
                      <w:rFonts w:hint="eastAsia"/>
                      <w:color w:val="auto"/>
                      <w:sz w:val="21"/>
                      <w:szCs w:val="21"/>
                    </w:rPr>
                    <w:t>水性丙烯酸树脂CAS：9003-01-4、EINECS：202-415-4、分子式：(C3H4O2)n、分子量：72.06、密度：1.07 (30% aq.)，2.17 (Solid)、沸点：126°C。与传统的溶剂型涂料相比，水性涂料具有价格低、使用安全，节省资源和能源，挥发性有机物较少等优点，因而已成为当前发展涂料工业的主要方向。水性丙烯酸烯树脂涂料是水性涂料中发展最快、品种最多的无污染型涂料。水性丙烯酸树脂包括丙烯酸树脂乳液、丙烯酸树脂水分散体（亦称水可稀释丙烯酸）及丙烯酸树脂水溶液。乳液主要是由油性烯类单体乳化在水中在水性自由基引发剂引发下合成的，而树脂水分散体则是通过自由基溶液聚合或逐步溶液聚合等不同的工艺合成的。从粒子粒径看：乳液粒径&gt;树脂水分散体粒径&gt;水溶液粒径。从应用看以前两者最为重要。丙烯酸乳液主要用于乳胶漆的基料，在建筑涂料市场占有重要的应用，目前其应用还在不断扩大；近年来丙烯酸树脂水分散体的开发、应用日益引起人们的重视，在工业涂料、民用涂料领域的应用不断拓展。根据单体组成通常分为纯丙乳液、苯丙乳液、醋丙乳液、硅丙乳液、叔醋（叔碳酸酯-醋酸乙烯酯）乳液、叔丙（叔碳酸酯-丙烯酸酯）乳液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tcBorders>
                    <w:tl2br w:val="nil"/>
                    <w:tr2bl w:val="nil"/>
                  </w:tcBorders>
                  <w:vAlign w:val="center"/>
                </w:tcPr>
                <w:p>
                  <w:pPr>
                    <w:spacing w:line="360" w:lineRule="auto"/>
                    <w:ind w:left="-90"/>
                    <w:jc w:val="center"/>
                    <w:rPr>
                      <w:rFonts w:hint="eastAsia" w:eastAsia="宋体"/>
                      <w:color w:val="auto"/>
                      <w:spacing w:val="2"/>
                      <w:kern w:val="0"/>
                      <w:sz w:val="21"/>
                      <w:szCs w:val="21"/>
                      <w:lang w:val="en-US" w:eastAsia="zh-CN"/>
                    </w:rPr>
                  </w:pPr>
                  <w:bookmarkStart w:id="7" w:name="_Toc71631400"/>
                  <w:r>
                    <w:rPr>
                      <w:rFonts w:hint="eastAsia"/>
                      <w:color w:val="auto"/>
                      <w:spacing w:val="2"/>
                      <w:kern w:val="0"/>
                      <w:sz w:val="21"/>
                      <w:szCs w:val="21"/>
                      <w:lang w:val="en-US" w:eastAsia="zh-CN"/>
                    </w:rPr>
                    <w:t>4</w:t>
                  </w:r>
                </w:p>
              </w:tc>
              <w:tc>
                <w:tcPr>
                  <w:tcW w:w="974" w:type="dxa"/>
                  <w:tcBorders>
                    <w:tl2br w:val="nil"/>
                    <w:tr2bl w:val="nil"/>
                  </w:tcBorders>
                  <w:vAlign w:val="center"/>
                </w:tcPr>
                <w:p>
                  <w:pPr>
                    <w:spacing w:line="360" w:lineRule="auto"/>
                    <w:jc w:val="center"/>
                    <w:rPr>
                      <w:rFonts w:hint="eastAsia" w:eastAsia="宋体"/>
                      <w:color w:val="auto"/>
                      <w:kern w:val="0"/>
                      <w:sz w:val="21"/>
                      <w:szCs w:val="21"/>
                      <w:lang w:val="en-US" w:eastAsia="zh-CN"/>
                    </w:rPr>
                  </w:pPr>
                  <w:r>
                    <w:rPr>
                      <w:rFonts w:hint="eastAsia"/>
                      <w:color w:val="auto"/>
                      <w:kern w:val="0"/>
                      <w:sz w:val="21"/>
                      <w:szCs w:val="21"/>
                      <w:lang w:val="en-US" w:eastAsia="zh-CN"/>
                    </w:rPr>
                    <w:t>水性分散剂</w:t>
                  </w:r>
                </w:p>
              </w:tc>
              <w:tc>
                <w:tcPr>
                  <w:tcW w:w="6076" w:type="dxa"/>
                  <w:tcBorders>
                    <w:tl2br w:val="nil"/>
                    <w:tr2bl w:val="nil"/>
                  </w:tcBorders>
                  <w:vAlign w:val="center"/>
                </w:tcPr>
                <w:p>
                  <w:pPr>
                    <w:pStyle w:val="3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sz w:val="21"/>
                      <w:szCs w:val="21"/>
                    </w:rPr>
                  </w:pPr>
                  <w:r>
                    <w:rPr>
                      <w:rFonts w:hint="eastAsia"/>
                      <w:color w:val="auto"/>
                      <w:sz w:val="21"/>
                      <w:szCs w:val="21"/>
                      <w:lang w:eastAsia="zh-CN"/>
                    </w:rPr>
                    <w:t>主要成分为</w:t>
                  </w:r>
                  <w:r>
                    <w:rPr>
                      <w:rFonts w:hint="eastAsia"/>
                      <w:color w:val="auto"/>
                      <w:sz w:val="21"/>
                      <w:szCs w:val="21"/>
                    </w:rPr>
                    <w:t>硫酸酯盐(R-O-SO3Na),降低水的表面张力，很快的润湿填料粒子，再通过分散使钡粉、石墨烯浆粒子形成一个半絮凝状(或叫做可控絮凝)的分散体。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tcBorders>
                    <w:tl2br w:val="nil"/>
                    <w:tr2bl w:val="nil"/>
                  </w:tcBorders>
                  <w:vAlign w:val="center"/>
                </w:tcPr>
                <w:p>
                  <w:pPr>
                    <w:spacing w:line="360" w:lineRule="auto"/>
                    <w:ind w:left="-90"/>
                    <w:jc w:val="center"/>
                    <w:rPr>
                      <w:rFonts w:hint="default"/>
                      <w:color w:val="auto"/>
                      <w:spacing w:val="2"/>
                      <w:kern w:val="0"/>
                      <w:sz w:val="21"/>
                      <w:szCs w:val="21"/>
                      <w:lang w:val="en-US" w:eastAsia="zh-CN"/>
                    </w:rPr>
                  </w:pPr>
                  <w:r>
                    <w:rPr>
                      <w:rFonts w:hint="eastAsia"/>
                      <w:color w:val="auto"/>
                      <w:spacing w:val="2"/>
                      <w:kern w:val="0"/>
                      <w:sz w:val="21"/>
                      <w:szCs w:val="21"/>
                      <w:lang w:val="en-US" w:eastAsia="zh-CN"/>
                    </w:rPr>
                    <w:t>5</w:t>
                  </w:r>
                </w:p>
              </w:tc>
              <w:tc>
                <w:tcPr>
                  <w:tcW w:w="974" w:type="dxa"/>
                  <w:tcBorders>
                    <w:tl2br w:val="nil"/>
                    <w:tr2bl w:val="nil"/>
                  </w:tcBorders>
                  <w:vAlign w:val="center"/>
                </w:tcPr>
                <w:p>
                  <w:pPr>
                    <w:spacing w:line="360" w:lineRule="auto"/>
                    <w:jc w:val="center"/>
                    <w:rPr>
                      <w:rFonts w:hint="default"/>
                      <w:color w:val="auto"/>
                      <w:kern w:val="0"/>
                      <w:sz w:val="21"/>
                      <w:szCs w:val="21"/>
                      <w:lang w:val="en-US" w:eastAsia="zh-CN"/>
                    </w:rPr>
                  </w:pPr>
                  <w:r>
                    <w:rPr>
                      <w:rFonts w:hint="eastAsia"/>
                      <w:color w:val="auto"/>
                      <w:kern w:val="0"/>
                      <w:sz w:val="21"/>
                      <w:szCs w:val="21"/>
                      <w:lang w:val="en-US" w:eastAsia="zh-CN"/>
                    </w:rPr>
                    <w:t>水性润湿剂分散</w:t>
                  </w:r>
                </w:p>
              </w:tc>
              <w:tc>
                <w:tcPr>
                  <w:tcW w:w="6076" w:type="dxa"/>
                  <w:tcBorders>
                    <w:tl2br w:val="nil"/>
                    <w:tr2bl w:val="nil"/>
                  </w:tcBorders>
                  <w:vAlign w:val="center"/>
                </w:tcPr>
                <w:p>
                  <w:pPr>
                    <w:pStyle w:val="33"/>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color w:val="auto"/>
                      <w:sz w:val="21"/>
                      <w:szCs w:val="21"/>
                    </w:rPr>
                  </w:pPr>
                  <w:r>
                    <w:rPr>
                      <w:rFonts w:hint="eastAsia"/>
                      <w:color w:val="auto"/>
                      <w:sz w:val="21"/>
                      <w:szCs w:val="21"/>
                      <w:lang w:eastAsia="zh-CN"/>
                    </w:rPr>
                    <w:t>主要成分为</w:t>
                  </w:r>
                  <w:r>
                    <w:rPr>
                      <w:rFonts w:hint="eastAsia" w:ascii="Times New Roman" w:hAnsi="Times New Roman" w:eastAsia="宋体" w:cs="Times New Roman"/>
                      <w:color w:val="auto"/>
                      <w:sz w:val="21"/>
                      <w:szCs w:val="21"/>
                      <w:lang w:val="en-US" w:eastAsia="zh-CN"/>
                    </w:rPr>
                    <w:t>脂肪酸环氧乙烷的加成物C17H33COO(CH2 CH2O)nH，作用是降低表面张力和提高润湿性，防止发花。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tcBorders>
                    <w:tl2br w:val="nil"/>
                    <w:tr2bl w:val="nil"/>
                  </w:tcBorders>
                  <w:vAlign w:val="center"/>
                </w:tcPr>
                <w:p>
                  <w:pPr>
                    <w:spacing w:line="360" w:lineRule="auto"/>
                    <w:ind w:left="-90"/>
                    <w:jc w:val="center"/>
                    <w:rPr>
                      <w:rFonts w:hint="default"/>
                      <w:color w:val="auto"/>
                      <w:spacing w:val="2"/>
                      <w:kern w:val="0"/>
                      <w:sz w:val="21"/>
                      <w:szCs w:val="21"/>
                      <w:lang w:val="en-US" w:eastAsia="zh-CN"/>
                    </w:rPr>
                  </w:pPr>
                  <w:r>
                    <w:rPr>
                      <w:rFonts w:hint="eastAsia"/>
                      <w:color w:val="auto"/>
                      <w:spacing w:val="2"/>
                      <w:kern w:val="0"/>
                      <w:sz w:val="21"/>
                      <w:szCs w:val="21"/>
                      <w:lang w:val="en-US" w:eastAsia="zh-CN"/>
                    </w:rPr>
                    <w:t>6</w:t>
                  </w:r>
                </w:p>
              </w:tc>
              <w:tc>
                <w:tcPr>
                  <w:tcW w:w="974" w:type="dxa"/>
                  <w:tcBorders>
                    <w:tl2br w:val="nil"/>
                    <w:tr2bl w:val="nil"/>
                  </w:tcBorders>
                  <w:vAlign w:val="center"/>
                </w:tcPr>
                <w:p>
                  <w:pPr>
                    <w:spacing w:line="360" w:lineRule="auto"/>
                    <w:jc w:val="center"/>
                    <w:rPr>
                      <w:rFonts w:hint="eastAsia"/>
                      <w:color w:val="auto"/>
                      <w:kern w:val="0"/>
                      <w:sz w:val="21"/>
                      <w:szCs w:val="21"/>
                      <w:lang w:val="en-US" w:eastAsia="zh-CN"/>
                    </w:rPr>
                  </w:pPr>
                  <w:r>
                    <w:rPr>
                      <w:rFonts w:hint="eastAsia" w:ascii="Times New Roman" w:hAnsi="Times New Roman" w:eastAsia="宋体" w:cs="Times New Roman"/>
                      <w:color w:val="auto"/>
                      <w:sz w:val="21"/>
                      <w:szCs w:val="21"/>
                      <w:lang w:val="en-US" w:eastAsia="zh-CN"/>
                    </w:rPr>
                    <w:t>硅溶胶</w:t>
                  </w:r>
                </w:p>
              </w:tc>
              <w:tc>
                <w:tcPr>
                  <w:tcW w:w="6076" w:type="dxa"/>
                  <w:tcBorders>
                    <w:tl2br w:val="nil"/>
                    <w:tr2bl w:val="nil"/>
                  </w:tcBorders>
                  <w:vAlign w:val="center"/>
                </w:tcPr>
                <w:p>
                  <w:pPr>
                    <w:pStyle w:val="33"/>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硅溶胶是一种良好的无机黏结剂，在精密铸造行业，用于高温焙烧时壳型强度高、铸件精度高、光洁度好，变形性小，工作安全，用作耐火材料及其他材料的胶黏剂。是防止某些制品氧化的包覆材料。作为涂料的配合材料（内外墙水性涂料）以提高结合性、坚牢性、耐磨损性、耐污染性。作为合成纤维的处理剂，以改进纤维的摩擦系数。作为毛纺工业经纱上浆剂，可提高可纺性、手感性、减少飞毛和断头，可提高产量。用于造纸工业提高纸张平滑性及纸张强度。还用作电子材料精加工的主要采用离子交换法生产硅溶胶。将稀释的水玻璃过滤除杂质后经阳离子交换，阴离子交换，调节pH值，经蒸发或超滤浓缩得硅溶胶。</w:t>
                  </w:r>
                </w:p>
              </w:tc>
            </w:tr>
          </w:tbl>
          <w:p>
            <w:pPr>
              <w:pStyle w:val="3"/>
              <w:rPr>
                <w:color w:val="auto"/>
                <w:sz w:val="24"/>
                <w:szCs w:val="24"/>
              </w:rPr>
            </w:pPr>
            <w:r>
              <w:rPr>
                <w:color w:val="auto"/>
                <w:sz w:val="24"/>
                <w:szCs w:val="24"/>
              </w:rPr>
              <w:t>2.</w:t>
            </w:r>
            <w:r>
              <w:rPr>
                <w:rFonts w:hint="eastAsia"/>
                <w:color w:val="auto"/>
                <w:sz w:val="24"/>
                <w:szCs w:val="24"/>
              </w:rPr>
              <w:t>5</w:t>
            </w:r>
            <w:r>
              <w:rPr>
                <w:color w:val="auto"/>
                <w:sz w:val="24"/>
                <w:szCs w:val="24"/>
              </w:rPr>
              <w:t>公用工程</w:t>
            </w:r>
            <w:bookmarkEnd w:id="7"/>
          </w:p>
          <w:p>
            <w:pPr>
              <w:spacing w:line="360" w:lineRule="auto"/>
              <w:ind w:firstLine="480" w:firstLineChars="200"/>
              <w:rPr>
                <w:b/>
                <w:bCs/>
                <w:color w:val="auto"/>
              </w:rPr>
            </w:pPr>
            <w:r>
              <w:rPr>
                <w:color w:val="auto"/>
              </w:rPr>
              <w:t>2.</w:t>
            </w:r>
            <w:r>
              <w:rPr>
                <w:rFonts w:hint="eastAsia"/>
                <w:color w:val="auto"/>
              </w:rPr>
              <w:t>5</w:t>
            </w:r>
            <w:r>
              <w:rPr>
                <w:color w:val="auto"/>
              </w:rPr>
              <w:t>.1给排水</w:t>
            </w:r>
          </w:p>
          <w:p>
            <w:pPr>
              <w:spacing w:line="360" w:lineRule="auto"/>
              <w:ind w:firstLine="480" w:firstLineChars="200"/>
              <w:rPr>
                <w:color w:val="auto"/>
              </w:rPr>
            </w:pPr>
            <w:r>
              <w:rPr>
                <w:color w:val="auto"/>
              </w:rPr>
              <w:t>（1）给水</w:t>
            </w:r>
          </w:p>
          <w:p>
            <w:pPr>
              <w:spacing w:line="360" w:lineRule="auto"/>
              <w:ind w:firstLine="480" w:firstLineChars="200"/>
              <w:rPr>
                <w:color w:val="auto"/>
              </w:rPr>
            </w:pPr>
            <w:r>
              <w:rPr>
                <w:color w:val="auto"/>
              </w:rPr>
              <w:t>本项目供水水源来自于</w:t>
            </w:r>
            <w:r>
              <w:rPr>
                <w:rFonts w:hint="eastAsia"/>
                <w:color w:val="auto"/>
              </w:rPr>
              <w:t>园区</w:t>
            </w:r>
            <w:r>
              <w:rPr>
                <w:color w:val="auto"/>
              </w:rPr>
              <w:t>的自来水供水管网，能满足本项目正常生产、生活需要。</w:t>
            </w:r>
          </w:p>
          <w:p>
            <w:pPr>
              <w:spacing w:line="360" w:lineRule="auto"/>
              <w:ind w:firstLine="480" w:firstLineChars="200"/>
              <w:rPr>
                <w:color w:val="auto"/>
              </w:rPr>
            </w:pPr>
            <w:r>
              <w:rPr>
                <w:color w:val="auto"/>
              </w:rPr>
              <w:t>（2）用水</w:t>
            </w:r>
          </w:p>
          <w:p>
            <w:pPr>
              <w:spacing w:line="360" w:lineRule="auto"/>
              <w:ind w:firstLine="480" w:firstLineChars="200"/>
              <w:rPr>
                <w:rFonts w:hint="default" w:eastAsia="宋体"/>
                <w:color w:val="auto"/>
                <w:lang w:val="en-US" w:eastAsia="zh-CN"/>
              </w:rPr>
            </w:pPr>
            <w:r>
              <w:rPr>
                <w:color w:val="auto"/>
              </w:rPr>
              <w:t>生活用水：本</w:t>
            </w:r>
            <w:r>
              <w:rPr>
                <w:rFonts w:hint="eastAsia"/>
                <w:color w:val="auto"/>
              </w:rPr>
              <w:t>项目</w:t>
            </w:r>
            <w:r>
              <w:rPr>
                <w:color w:val="auto"/>
              </w:rPr>
              <w:t>职工人数为</w:t>
            </w:r>
            <w:r>
              <w:rPr>
                <w:rFonts w:hint="eastAsia"/>
                <w:color w:val="auto"/>
                <w:lang w:val="en-US" w:eastAsia="zh-CN"/>
              </w:rPr>
              <w:t>20人</w:t>
            </w:r>
            <w:r>
              <w:rPr>
                <w:color w:val="auto"/>
              </w:rPr>
              <w:t>，</w:t>
            </w:r>
            <w:r>
              <w:rPr>
                <w:rFonts w:hint="eastAsia"/>
                <w:color w:val="auto"/>
                <w:lang w:eastAsia="zh-CN"/>
              </w:rPr>
              <w:t>不在厂区住宿</w:t>
            </w:r>
            <w:r>
              <w:rPr>
                <w:rFonts w:hint="eastAsia"/>
                <w:color w:val="auto"/>
              </w:rPr>
              <w:t>。</w:t>
            </w:r>
            <w:r>
              <w:rPr>
                <w:rFonts w:hint="eastAsia"/>
                <w:color w:val="auto"/>
                <w:lang w:val="en-US" w:eastAsia="zh-CN"/>
              </w:rPr>
              <w:t>非住宿人员</w:t>
            </w:r>
            <w:r>
              <w:rPr>
                <w:rFonts w:hint="eastAsia"/>
                <w:color w:val="auto"/>
              </w:rPr>
              <w:t>参照</w:t>
            </w:r>
            <w:r>
              <w:rPr>
                <w:color w:val="auto"/>
              </w:rPr>
              <w:t>《湖南省</w:t>
            </w:r>
            <w:r>
              <w:rPr>
                <w:rFonts w:hint="eastAsia"/>
                <w:color w:val="auto"/>
              </w:rPr>
              <w:t>地方标准</w:t>
            </w:r>
            <w:r>
              <w:rPr>
                <w:color w:val="auto"/>
              </w:rPr>
              <w:t>用水定额》（</w:t>
            </w:r>
            <w:r>
              <w:rPr>
                <w:rFonts w:hint="eastAsia"/>
                <w:color w:val="auto"/>
              </w:rPr>
              <w:t>DB43/T388-2020</w:t>
            </w:r>
            <w:r>
              <w:rPr>
                <w:color w:val="auto"/>
              </w:rPr>
              <w:t>）表31公共事业及公共建筑用水定额</w:t>
            </w:r>
            <w:r>
              <w:rPr>
                <w:rFonts w:hint="eastAsia"/>
                <w:color w:val="auto"/>
              </w:rPr>
              <w:t>中“国家行政机构—办公楼”标准中的通用值（办公楼用水包括办公室、食堂、浴室、锅炉、空调、集体宿舍和绿化等），为38m</w:t>
            </w:r>
            <w:r>
              <w:rPr>
                <w:rFonts w:hint="eastAsia"/>
                <w:color w:val="auto"/>
                <w:vertAlign w:val="superscript"/>
              </w:rPr>
              <w:t>3</w:t>
            </w:r>
            <w:r>
              <w:rPr>
                <w:rFonts w:hint="eastAsia"/>
                <w:color w:val="auto"/>
              </w:rPr>
              <w:t>/人•a</w:t>
            </w:r>
            <w:r>
              <w:rPr>
                <w:rFonts w:hint="eastAsia"/>
                <w:color w:val="auto"/>
                <w:lang w:eastAsia="zh-CN"/>
              </w:rPr>
              <w:t>，</w:t>
            </w:r>
            <w:r>
              <w:rPr>
                <w:rFonts w:hint="eastAsia"/>
                <w:color w:val="auto"/>
                <w:lang w:val="en-US" w:eastAsia="zh-CN"/>
              </w:rPr>
              <w:t>全年按300天计，</w:t>
            </w:r>
            <w:r>
              <w:rPr>
                <w:rFonts w:hint="eastAsia"/>
                <w:color w:val="auto"/>
              </w:rPr>
              <w:t>则项目生活用水量为</w:t>
            </w:r>
            <w:r>
              <w:rPr>
                <w:rFonts w:hint="eastAsia"/>
                <w:color w:val="auto"/>
                <w:lang w:eastAsia="zh-CN"/>
              </w:rPr>
              <w:t>760m</w:t>
            </w:r>
            <w:r>
              <w:rPr>
                <w:rFonts w:hint="eastAsia"/>
                <w:color w:val="auto"/>
                <w:vertAlign w:val="superscript"/>
              </w:rPr>
              <w:t>3</w:t>
            </w:r>
            <w:r>
              <w:rPr>
                <w:rFonts w:hint="eastAsia"/>
                <w:color w:val="auto"/>
              </w:rPr>
              <w:t>/a。</w:t>
            </w:r>
          </w:p>
          <w:p>
            <w:pPr>
              <w:spacing w:line="360" w:lineRule="auto"/>
              <w:ind w:firstLine="480" w:firstLineChars="200"/>
              <w:rPr>
                <w:rFonts w:hint="eastAsia" w:eastAsia="宋体"/>
                <w:color w:val="auto"/>
                <w:lang w:val="en-US" w:eastAsia="zh-CN"/>
              </w:rPr>
            </w:pPr>
            <w:r>
              <w:rPr>
                <w:rFonts w:hint="eastAsia"/>
                <w:color w:val="auto"/>
              </w:rPr>
              <w:t>项目生产用水主要为</w:t>
            </w:r>
            <w:r>
              <w:rPr>
                <w:rFonts w:hint="eastAsia"/>
                <w:color w:val="auto"/>
                <w:lang w:val="en-US" w:eastAsia="zh-CN"/>
              </w:rPr>
              <w:t>产品用水，产品用水使用</w:t>
            </w:r>
            <w:r>
              <w:rPr>
                <w:rFonts w:hint="eastAsia"/>
                <w:color w:val="auto"/>
                <w:lang w:eastAsia="zh-CN"/>
              </w:rPr>
              <w:t>去离子水。</w:t>
            </w:r>
          </w:p>
          <w:p>
            <w:pPr>
              <w:spacing w:line="360" w:lineRule="auto"/>
              <w:ind w:firstLine="480" w:firstLineChars="200"/>
              <w:rPr>
                <w:rFonts w:hint="default"/>
                <w:color w:val="auto"/>
                <w:highlight w:val="none"/>
                <w:lang w:val="en-US" w:eastAsia="zh-CN"/>
              </w:rPr>
            </w:pPr>
            <w:r>
              <w:rPr>
                <w:rFonts w:hint="eastAsia"/>
                <w:color w:val="auto"/>
                <w:lang w:val="en-US" w:eastAsia="zh-CN"/>
              </w:rPr>
              <w:t>本项目产品水性隔热防火材料需要用水，用水量为35</w:t>
            </w:r>
            <w:r>
              <w:rPr>
                <w:rFonts w:hint="eastAsia"/>
                <w:color w:val="auto"/>
                <w:lang w:eastAsia="zh-CN"/>
              </w:rPr>
              <w:t>m</w:t>
            </w:r>
            <w:r>
              <w:rPr>
                <w:rFonts w:hint="eastAsia"/>
                <w:color w:val="auto"/>
                <w:vertAlign w:val="superscript"/>
              </w:rPr>
              <w:t>3</w:t>
            </w:r>
            <w:r>
              <w:rPr>
                <w:rFonts w:hint="eastAsia"/>
                <w:color w:val="auto"/>
              </w:rPr>
              <w:t>/a。</w:t>
            </w:r>
            <w:r>
              <w:rPr>
                <w:rFonts w:hint="eastAsia"/>
                <w:color w:val="auto"/>
                <w:highlight w:val="none"/>
                <w:lang w:val="en-US" w:eastAsia="zh-CN"/>
              </w:rPr>
              <w:t>参考《排放源统计调查产排污核算方法和系数手册4630、4690海水淡化处理、其他水的处理利用与分配行业系数手册》</w:t>
            </w:r>
            <w:r>
              <w:rPr>
                <w:rFonts w:hint="eastAsia"/>
                <w:color w:val="auto"/>
                <w:highlight w:val="none"/>
              </w:rPr>
              <w:t>，</w:t>
            </w:r>
            <w:r>
              <w:rPr>
                <w:rFonts w:hint="eastAsia"/>
                <w:color w:val="auto"/>
                <w:highlight w:val="none"/>
                <w:lang w:val="en-US" w:eastAsia="zh-CN"/>
              </w:rPr>
              <w:t>废水产生量为0.271</w:t>
            </w:r>
            <w:r>
              <w:rPr>
                <w:rFonts w:hint="eastAsia"/>
                <w:color w:val="auto"/>
                <w:highlight w:val="none"/>
              </w:rPr>
              <w:t>m</w:t>
            </w:r>
            <w:r>
              <w:rPr>
                <w:rFonts w:hint="eastAsia"/>
                <w:color w:val="auto"/>
                <w:highlight w:val="none"/>
                <w:vertAlign w:val="superscript"/>
              </w:rPr>
              <w:t>3</w:t>
            </w:r>
            <w:r>
              <w:rPr>
                <w:rFonts w:hint="eastAsia"/>
                <w:color w:val="auto"/>
                <w:highlight w:val="none"/>
              </w:rPr>
              <w:t>/</w:t>
            </w:r>
            <w:r>
              <w:rPr>
                <w:rFonts w:hint="eastAsia"/>
                <w:color w:val="auto"/>
                <w:highlight w:val="none"/>
                <w:lang w:val="en-US" w:eastAsia="zh-CN"/>
              </w:rPr>
              <w:t>吨产品</w:t>
            </w:r>
            <w:r>
              <w:rPr>
                <w:rFonts w:hint="eastAsia"/>
                <w:color w:val="auto"/>
                <w:highlight w:val="none"/>
                <w:lang w:eastAsia="zh-CN"/>
              </w:rPr>
              <w:t>，</w:t>
            </w:r>
            <w:r>
              <w:rPr>
                <w:rFonts w:hint="eastAsia"/>
                <w:color w:val="auto"/>
                <w:highlight w:val="none"/>
                <w:lang w:val="en-US" w:eastAsia="zh-CN"/>
              </w:rPr>
              <w:t>则去离子水生产过程新鲜</w:t>
            </w:r>
            <w:r>
              <w:rPr>
                <w:rFonts w:hint="eastAsia"/>
                <w:color w:val="auto"/>
                <w:highlight w:val="none"/>
              </w:rPr>
              <w:t>水量约为</w:t>
            </w:r>
            <w:r>
              <w:rPr>
                <w:rFonts w:hint="eastAsia"/>
                <w:color w:val="auto"/>
                <w:highlight w:val="none"/>
                <w:lang w:val="en-US" w:eastAsia="zh-CN"/>
              </w:rPr>
              <w:t>44.5</w:t>
            </w:r>
            <w:r>
              <w:rPr>
                <w:rFonts w:hint="eastAsia"/>
                <w:color w:val="auto"/>
                <w:highlight w:val="none"/>
              </w:rPr>
              <w:t>m</w:t>
            </w:r>
            <w:r>
              <w:rPr>
                <w:rFonts w:hint="eastAsia"/>
                <w:color w:val="auto"/>
                <w:highlight w:val="none"/>
                <w:vertAlign w:val="superscript"/>
              </w:rPr>
              <w:t>3</w:t>
            </w:r>
            <w:r>
              <w:rPr>
                <w:rFonts w:hint="eastAsia"/>
                <w:color w:val="auto"/>
                <w:highlight w:val="none"/>
              </w:rPr>
              <w:t>/</w:t>
            </w:r>
            <w:r>
              <w:rPr>
                <w:rFonts w:hint="eastAsia"/>
                <w:color w:val="auto"/>
                <w:highlight w:val="none"/>
                <w:lang w:val="en-US" w:eastAsia="zh-CN"/>
              </w:rPr>
              <w:t>a。</w:t>
            </w:r>
          </w:p>
          <w:p>
            <w:pPr>
              <w:spacing w:line="360" w:lineRule="auto"/>
              <w:ind w:firstLine="480" w:firstLineChars="200"/>
              <w:rPr>
                <w:rFonts w:hint="eastAsia"/>
                <w:color w:val="auto"/>
                <w:highlight w:val="none"/>
              </w:rPr>
            </w:pPr>
            <w:r>
              <w:rPr>
                <w:rFonts w:hint="eastAsia"/>
                <w:color w:val="auto"/>
                <w:highlight w:val="none"/>
                <w:lang w:val="en-US" w:eastAsia="zh-CN"/>
              </w:rPr>
              <w:t>本项目水性环氧乳液生产过程中需要使用去离子水，水性环氧乳液生产用水量为480t/a，参考《排放源统计调查产排污核算方法和系数手册4630、4690海水淡化处理、其他水的处理利用与分配行业系数手册》</w:t>
            </w:r>
            <w:r>
              <w:rPr>
                <w:rFonts w:hint="eastAsia"/>
                <w:color w:val="auto"/>
                <w:highlight w:val="none"/>
              </w:rPr>
              <w:t>，</w:t>
            </w:r>
            <w:r>
              <w:rPr>
                <w:rFonts w:hint="eastAsia"/>
                <w:color w:val="auto"/>
                <w:highlight w:val="none"/>
                <w:lang w:val="en-US" w:eastAsia="zh-CN"/>
              </w:rPr>
              <w:t>废水产生量为0.271</w:t>
            </w:r>
            <w:r>
              <w:rPr>
                <w:rFonts w:hint="eastAsia"/>
                <w:color w:val="auto"/>
                <w:highlight w:val="none"/>
              </w:rPr>
              <w:t>m</w:t>
            </w:r>
            <w:r>
              <w:rPr>
                <w:rFonts w:hint="eastAsia"/>
                <w:color w:val="auto"/>
                <w:highlight w:val="none"/>
                <w:vertAlign w:val="superscript"/>
              </w:rPr>
              <w:t>3</w:t>
            </w:r>
            <w:r>
              <w:rPr>
                <w:rFonts w:hint="eastAsia"/>
                <w:color w:val="auto"/>
                <w:highlight w:val="none"/>
              </w:rPr>
              <w:t>/</w:t>
            </w:r>
            <w:r>
              <w:rPr>
                <w:rFonts w:hint="eastAsia"/>
                <w:color w:val="auto"/>
                <w:highlight w:val="none"/>
                <w:lang w:val="en-US" w:eastAsia="zh-CN"/>
              </w:rPr>
              <w:t>吨产品</w:t>
            </w:r>
            <w:r>
              <w:rPr>
                <w:rFonts w:hint="eastAsia"/>
                <w:color w:val="auto"/>
                <w:highlight w:val="none"/>
                <w:lang w:eastAsia="zh-CN"/>
              </w:rPr>
              <w:t>，</w:t>
            </w:r>
            <w:r>
              <w:rPr>
                <w:rFonts w:hint="eastAsia"/>
                <w:color w:val="auto"/>
                <w:highlight w:val="none"/>
                <w:lang w:val="en-US" w:eastAsia="zh-CN"/>
              </w:rPr>
              <w:t>则去离子水生产过程新鲜</w:t>
            </w:r>
            <w:r>
              <w:rPr>
                <w:rFonts w:hint="eastAsia"/>
                <w:color w:val="auto"/>
                <w:highlight w:val="none"/>
              </w:rPr>
              <w:t>水量约为</w:t>
            </w:r>
            <w:r>
              <w:rPr>
                <w:rFonts w:hint="eastAsia"/>
                <w:color w:val="auto"/>
                <w:highlight w:val="none"/>
                <w:lang w:val="en-US" w:eastAsia="zh-CN"/>
              </w:rPr>
              <w:t>610m</w:t>
            </w:r>
            <w:r>
              <w:rPr>
                <w:rFonts w:hint="eastAsia"/>
                <w:color w:val="auto"/>
                <w:highlight w:val="none"/>
                <w:vertAlign w:val="superscript"/>
              </w:rPr>
              <w:t>3</w:t>
            </w:r>
            <w:r>
              <w:rPr>
                <w:rFonts w:hint="eastAsia"/>
                <w:color w:val="auto"/>
                <w:highlight w:val="none"/>
              </w:rPr>
              <w:t>/</w:t>
            </w:r>
            <w:r>
              <w:rPr>
                <w:rFonts w:hint="eastAsia"/>
                <w:color w:val="auto"/>
                <w:highlight w:val="none"/>
                <w:lang w:val="en-US" w:eastAsia="zh-CN"/>
              </w:rPr>
              <w:t>a</w:t>
            </w:r>
            <w:r>
              <w:rPr>
                <w:rFonts w:hint="eastAsia"/>
                <w:color w:val="auto"/>
                <w:highlight w:val="none"/>
              </w:rPr>
              <w:t>。</w:t>
            </w:r>
          </w:p>
          <w:p>
            <w:pPr>
              <w:pStyle w:val="2"/>
              <w:rPr>
                <w:color w:val="auto"/>
              </w:rPr>
            </w:pPr>
            <w:r>
              <w:rPr>
                <w:rFonts w:hint="eastAsia"/>
                <w:color w:val="auto"/>
                <w:lang w:val="en-US" w:eastAsia="zh-CN"/>
              </w:rPr>
              <w:t xml:space="preserve">    </w:t>
            </w:r>
            <w:r>
              <w:rPr>
                <w:color w:val="auto"/>
              </w:rPr>
              <w:t>（3）排水</w:t>
            </w:r>
          </w:p>
          <w:p>
            <w:pPr>
              <w:spacing w:line="360" w:lineRule="auto"/>
              <w:ind w:firstLine="480" w:firstLineChars="200"/>
              <w:rPr>
                <w:color w:val="auto"/>
              </w:rPr>
            </w:pPr>
            <w:r>
              <w:rPr>
                <w:rFonts w:hint="eastAsia"/>
                <w:color w:val="auto"/>
              </w:rPr>
              <w:t>项目实行雨污分流，初期雨水经雨水收集池沉淀处理后外排</w:t>
            </w:r>
          </w:p>
          <w:p>
            <w:pPr>
              <w:spacing w:line="360" w:lineRule="auto"/>
              <w:ind w:firstLine="480" w:firstLineChars="200"/>
              <w:rPr>
                <w:rFonts w:hint="default"/>
                <w:color w:val="auto"/>
                <w:lang w:val="en-US" w:eastAsia="zh-CN"/>
              </w:rPr>
            </w:pPr>
            <w:r>
              <w:rPr>
                <w:rFonts w:hint="eastAsia"/>
                <w:color w:val="auto"/>
                <w:lang w:val="en-US" w:eastAsia="zh-CN"/>
              </w:rPr>
              <w:t>去离子水生产过程中产生的废水中污染物主要为硬度，本项目租用邵东东创鞋底厂的现有厂房，位于邵东东创鞋底厂厂区范围内。少量去离子水生产废水用于邵东东创鞋底厂厂区绿化，综合利用。</w:t>
            </w:r>
          </w:p>
          <w:p>
            <w:pPr>
              <w:spacing w:line="360" w:lineRule="auto"/>
              <w:ind w:firstLine="480" w:firstLineChars="200"/>
              <w:rPr>
                <w:color w:val="auto"/>
              </w:rPr>
            </w:pPr>
            <w:r>
              <w:rPr>
                <w:color w:val="auto"/>
              </w:rPr>
              <w:t>生活污水</w:t>
            </w:r>
            <w:r>
              <w:rPr>
                <w:rFonts w:hint="eastAsia"/>
                <w:color w:val="auto"/>
              </w:rPr>
              <w:t>经化粪池、隔油池处理后排入园区污水管网，进入</w:t>
            </w:r>
            <w:r>
              <w:rPr>
                <w:rFonts w:hint="eastAsia"/>
                <w:color w:val="auto"/>
                <w:lang w:eastAsia="zh-CN"/>
              </w:rPr>
              <w:t>邵东市美桥城市污水处理厂</w:t>
            </w:r>
            <w:r>
              <w:rPr>
                <w:rFonts w:hint="eastAsia"/>
                <w:color w:val="auto"/>
              </w:rPr>
              <w:t>进一步处理</w:t>
            </w:r>
            <w:r>
              <w:rPr>
                <w:color w:val="auto"/>
              </w:rPr>
              <w:t>。</w:t>
            </w:r>
          </w:p>
          <w:p>
            <w:pPr>
              <w:pStyle w:val="41"/>
              <w:rPr>
                <w:rFonts w:hint="default" w:eastAsia="宋体"/>
                <w:color w:val="auto"/>
                <w:lang w:val="en-US" w:eastAsia="zh-CN"/>
              </w:rPr>
            </w:pPr>
            <w:r>
              <w:rPr>
                <w:rFonts w:hint="eastAsia"/>
                <w:color w:val="auto"/>
                <w:lang w:val="en-US" w:eastAsia="zh-CN"/>
              </w:rPr>
              <w:t xml:space="preserve">    </w:t>
            </w:r>
          </w:p>
          <w:p>
            <w:pPr>
              <w:pStyle w:val="41"/>
              <w:rPr>
                <w:color w:val="auto"/>
              </w:rPr>
            </w:pPr>
          </w:p>
          <w:p>
            <w:pPr>
              <w:pStyle w:val="41"/>
              <w:rPr>
                <w:color w:val="auto"/>
              </w:rPr>
            </w:pPr>
          </w:p>
          <w:p>
            <w:pPr>
              <w:pStyle w:val="41"/>
              <w:rPr>
                <w:color w:val="auto"/>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47625</wp:posOffset>
                      </wp:positionV>
                      <wp:extent cx="804545" cy="363855"/>
                      <wp:effectExtent l="0" t="0" r="0" b="0"/>
                      <wp:wrapNone/>
                      <wp:docPr id="49" name="文本框 1056"/>
                      <wp:cNvGraphicFramePr/>
                      <a:graphic xmlns:a="http://schemas.openxmlformats.org/drawingml/2006/main">
                        <a:graphicData uri="http://schemas.microsoft.com/office/word/2010/wordprocessingShape">
                          <wps:wsp>
                            <wps:cNvSpPr txBox="1">
                              <a:spLocks noChangeArrowheads="1"/>
                            </wps:cNvSpPr>
                            <wps:spPr bwMode="auto">
                              <a:xfrm>
                                <a:off x="0" y="0"/>
                                <a:ext cx="804545" cy="363855"/>
                              </a:xfrm>
                              <a:prstGeom prst="rect">
                                <a:avLst/>
                              </a:prstGeom>
                              <a:noFill/>
                              <a:ln>
                                <a:noFill/>
                              </a:ln>
                            </wps:spPr>
                            <wps:txbx>
                              <w:txbxContent>
                                <w:p>
                                  <w:pPr>
                                    <w:rPr>
                                      <w:rFonts w:hint="default" w:eastAsia="宋体"/>
                                      <w:lang w:val="en-US" w:eastAsia="zh-CN"/>
                                    </w:rPr>
                                  </w:pPr>
                                  <w:r>
                                    <w:rPr>
                                      <w:rFonts w:hint="eastAsia"/>
                                      <w:lang w:val="en-US" w:eastAsia="zh-CN"/>
                                    </w:rPr>
                                    <w:t>损耗152</w:t>
                                  </w:r>
                                </w:p>
                              </w:txbxContent>
                            </wps:txbx>
                            <wps:bodyPr rot="0" vert="horz" wrap="square" lIns="91440" tIns="45720" rIns="91440" bIns="45720" anchor="t" anchorCtr="0" upright="1">
                              <a:noAutofit/>
                            </wps:bodyPr>
                          </wps:wsp>
                        </a:graphicData>
                      </a:graphic>
                    </wp:anchor>
                  </w:drawing>
                </mc:Choice>
                <mc:Fallback>
                  <w:pict>
                    <v:shape id="文本框 1056" o:spid="_x0000_s1026" o:spt="202" type="#_x0000_t202" style="position:absolute;left:0pt;margin-left:119.25pt;margin-top:3.75pt;height:28.65pt;width:63.35pt;z-index:251660288;mso-width-relative:page;mso-height-relative:page;" filled="f" stroked="f" coordsize="21600,21600" o:gfxdata="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pSVtjXAAAACAEA&#10;AA8AAAAAAAAAAQAgAAAAIgAAAGRycy9kb3ducmV2LnhtbFBLAQIUABQAAAAIAIdO4kB3R0lgGwIA&#10;ABgEAAAOAAAAAAAAAAEAIAAAACYBAABkcnMvZTJvRG9jLnhtbFBLBQYAAAAABgAGAFkBAACzBQAA&#10;AAA=&#10;">
                      <v:fill on="f" focussize="0,0"/>
                      <v:stroke on="f"/>
                      <v:imagedata o:title=""/>
                      <o:lock v:ext="edit" aspectratio="f"/>
                      <v:textbox>
                        <w:txbxContent>
                          <w:p>
                            <w:pPr>
                              <w:rPr>
                                <w:rFonts w:hint="default" w:eastAsia="宋体"/>
                                <w:lang w:val="en-US" w:eastAsia="zh-CN"/>
                              </w:rPr>
                            </w:pPr>
                            <w:r>
                              <w:rPr>
                                <w:rFonts w:hint="eastAsia"/>
                                <w:lang w:val="en-US" w:eastAsia="zh-CN"/>
                              </w:rPr>
                              <w:t>损耗152</w:t>
                            </w:r>
                          </w:p>
                        </w:txbxContent>
                      </v:textbox>
                    </v:shape>
                  </w:pict>
                </mc:Fallback>
              </mc:AlternateContent>
            </w:r>
          </w:p>
          <w:p>
            <w:pPr>
              <w:pStyle w:val="41"/>
              <w:rPr>
                <w:color w:val="auto"/>
              </w:rPr>
            </w:pPr>
            <w:r>
              <w:rPr>
                <w:color w:val="auto"/>
                <w:sz w:val="24"/>
              </w:rPr>
              <mc:AlternateContent>
                <mc:Choice Requires="wps">
                  <w:drawing>
                    <wp:anchor distT="0" distB="0" distL="114300" distR="114300" simplePos="0" relativeHeight="251742208" behindDoc="0" locked="0" layoutInCell="1" allowOverlap="1">
                      <wp:simplePos x="0" y="0"/>
                      <wp:positionH relativeFrom="column">
                        <wp:posOffset>1329690</wp:posOffset>
                      </wp:positionH>
                      <wp:positionV relativeFrom="paragraph">
                        <wp:posOffset>180340</wp:posOffset>
                      </wp:positionV>
                      <wp:extent cx="325755" cy="257810"/>
                      <wp:effectExtent l="3175" t="0" r="13970" b="8890"/>
                      <wp:wrapNone/>
                      <wp:docPr id="166" name="自选图形 1055"/>
                      <wp:cNvGraphicFramePr/>
                      <a:graphic xmlns:a="http://schemas.openxmlformats.org/drawingml/2006/main">
                        <a:graphicData uri="http://schemas.microsoft.com/office/word/2010/wordprocessingShape">
                          <wps:wsp>
                            <wps:cNvCnPr>
                              <a:cxnSpLocks noChangeShapeType="1"/>
                            </wps:cNvCnPr>
                            <wps:spPr bwMode="auto">
                              <a:xfrm flipV="1">
                                <a:off x="0" y="0"/>
                                <a:ext cx="325755" cy="257810"/>
                              </a:xfrm>
                              <a:prstGeom prst="straightConnector1">
                                <a:avLst/>
                              </a:prstGeom>
                              <a:noFill/>
                              <a:ln w="6350">
                                <a:solidFill>
                                  <a:srgbClr val="000000"/>
                                </a:solidFill>
                                <a:prstDash val="dash"/>
                                <a:round/>
                                <a:tailEnd type="triangle" w="sm" len="med"/>
                              </a:ln>
                            </wps:spPr>
                            <wps:bodyPr/>
                          </wps:wsp>
                        </a:graphicData>
                      </a:graphic>
                    </wp:anchor>
                  </w:drawing>
                </mc:Choice>
                <mc:Fallback>
                  <w:pict>
                    <v:shape id="自选图形 1055" o:spid="_x0000_s1026" o:spt="32" type="#_x0000_t32" style="position:absolute;left:0pt;flip:y;margin-left:104.7pt;margin-top:14.2pt;height:20.3pt;width:25.65pt;z-index:251742208;mso-width-relative:page;mso-height-relative:page;" filled="f" stroked="t" coordsize="21600,21600" o:gfxdata="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53+DdcAAAAJ&#10;AQAADwAAAAAAAAABACAAAAAiAAAAZHJzL2Rvd25yZXYueG1sUEsBAhQAFAAAAAgAh07iQIzTjvod&#10;AgAADQQAAA4AAAAAAAAAAQAgAAAAJgEAAGRycy9lMm9Eb2MueG1sUEsFBgAAAAAGAAYAWQEAALUF&#10;AAAAAA==&#10;">
                      <v:fill on="f" focussize="0,0"/>
                      <v:stroke weight="0.5pt" color="#000000" joinstyle="round" dashstyle="dash" endarrow="block" endarrowwidth="narrow"/>
                      <v:imagedata o:title=""/>
                      <o:lock v:ext="edit" aspectratio="f"/>
                    </v:shape>
                  </w:pict>
                </mc:Fallback>
              </mc:AlternateContent>
            </w:r>
          </w:p>
          <w:p>
            <w:pPr>
              <w:pStyle w:val="10"/>
              <w:spacing w:line="360" w:lineRule="auto"/>
              <w:ind w:firstLine="0"/>
              <w:rPr>
                <w:color w:val="auto"/>
                <w:sz w:val="24"/>
              </w:rPr>
            </w:pPr>
            <w:r>
              <w:rPr>
                <w:color w:val="auto"/>
                <w:sz w:val="24"/>
              </w:rPr>
              <mc:AlternateContent>
                <mc:Choice Requires="wps">
                  <w:drawing>
                    <wp:anchor distT="0" distB="0" distL="114300" distR="114300" simplePos="0" relativeHeight="251743232" behindDoc="0" locked="0" layoutInCell="1" allowOverlap="1">
                      <wp:simplePos x="0" y="0"/>
                      <wp:positionH relativeFrom="column">
                        <wp:posOffset>4342130</wp:posOffset>
                      </wp:positionH>
                      <wp:positionV relativeFrom="paragraph">
                        <wp:posOffset>78105</wp:posOffset>
                      </wp:positionV>
                      <wp:extent cx="608965" cy="292735"/>
                      <wp:effectExtent l="0" t="0" r="0" b="0"/>
                      <wp:wrapNone/>
                      <wp:docPr id="167" name="文本框 1058"/>
                      <wp:cNvGraphicFramePr/>
                      <a:graphic xmlns:a="http://schemas.openxmlformats.org/drawingml/2006/main">
                        <a:graphicData uri="http://schemas.microsoft.com/office/word/2010/wordprocessingShape">
                          <wps:wsp>
                            <wps:cNvSpPr txBox="1">
                              <a:spLocks noChangeArrowheads="1"/>
                            </wps:cNvSpPr>
                            <wps:spPr bwMode="auto">
                              <a:xfrm>
                                <a:off x="0" y="0"/>
                                <a:ext cx="608965" cy="292735"/>
                              </a:xfrm>
                              <a:prstGeom prst="rect">
                                <a:avLst/>
                              </a:prstGeom>
                              <a:noFill/>
                              <a:ln>
                                <a:noFill/>
                              </a:ln>
                            </wps:spPr>
                            <wps:txbx>
                              <w:txbxContent>
                                <w:p>
                                  <w:pPr>
                                    <w:rPr>
                                      <w:rFonts w:hint="default" w:eastAsia="宋体"/>
                                      <w:lang w:val="en-US" w:eastAsia="zh-CN"/>
                                    </w:rPr>
                                  </w:pPr>
                                  <w:r>
                                    <w:rPr>
                                      <w:rFonts w:hint="eastAsia"/>
                                      <w:lang w:val="en-US" w:eastAsia="zh-CN"/>
                                    </w:rPr>
                                    <w:t>608</w:t>
                                  </w:r>
                                </w:p>
                              </w:txbxContent>
                            </wps:txbx>
                            <wps:bodyPr rot="0" vert="horz" wrap="square" lIns="91440" tIns="45720" rIns="91440" bIns="45720" anchor="t" anchorCtr="0" upright="1">
                              <a:noAutofit/>
                            </wps:bodyPr>
                          </wps:wsp>
                        </a:graphicData>
                      </a:graphic>
                    </wp:anchor>
                  </w:drawing>
                </mc:Choice>
                <mc:Fallback>
                  <w:pict>
                    <v:shape id="文本框 1058" o:spid="_x0000_s1026" o:spt="202" type="#_x0000_t202" style="position:absolute;left:0pt;margin-left:341.9pt;margin-top:6.15pt;height:23.05pt;width:47.95pt;z-index:251743232;mso-width-relative:page;mso-height-relative:page;" filled="f" stroked="f" coordsize="21600,21600" o:gfxdata="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Zys+i1wAAAAkB&#10;AAAPAAAAAAAAAAEAIAAAACIAAABkcnMvZG93bnJldi54bWxQSwECFAAUAAAACACHTuJAkKmTQRwC&#10;AAAZBAAADgAAAAAAAAABACAAAAAmAQAAZHJzL2Uyb0RvYy54bWxQSwUGAAAAAAYABgBZAQAAtAUA&#10;AAAA&#10;">
                      <v:fill on="f" focussize="0,0"/>
                      <v:stroke on="f"/>
                      <v:imagedata o:title=""/>
                      <o:lock v:ext="edit" aspectratio="f"/>
                      <v:textbox>
                        <w:txbxContent>
                          <w:p>
                            <w:pPr>
                              <w:rPr>
                                <w:rFonts w:hint="default" w:eastAsia="宋体"/>
                                <w:lang w:val="en-US" w:eastAsia="zh-CN"/>
                              </w:rPr>
                            </w:pPr>
                            <w:r>
                              <w:rPr>
                                <w:rFonts w:hint="eastAsia"/>
                                <w:lang w:val="en-US" w:eastAsia="zh-CN"/>
                              </w:rPr>
                              <w:t>608</w:t>
                            </w:r>
                          </w:p>
                        </w:txbxContent>
                      </v:textbox>
                    </v:shape>
                  </w:pict>
                </mc:Fallback>
              </mc:AlternateContent>
            </w: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1910080</wp:posOffset>
                      </wp:positionH>
                      <wp:positionV relativeFrom="paragraph">
                        <wp:posOffset>107950</wp:posOffset>
                      </wp:positionV>
                      <wp:extent cx="575310" cy="266065"/>
                      <wp:effectExtent l="0" t="0" r="0" b="635"/>
                      <wp:wrapNone/>
                      <wp:docPr id="48" name="文本框 1054"/>
                      <wp:cNvGraphicFramePr/>
                      <a:graphic xmlns:a="http://schemas.openxmlformats.org/drawingml/2006/main">
                        <a:graphicData uri="http://schemas.microsoft.com/office/word/2010/wordprocessingShape">
                          <wps:wsp>
                            <wps:cNvSpPr txBox="1">
                              <a:spLocks noChangeArrowheads="1"/>
                            </wps:cNvSpPr>
                            <wps:spPr bwMode="auto">
                              <a:xfrm>
                                <a:off x="0" y="0"/>
                                <a:ext cx="575310" cy="266065"/>
                              </a:xfrm>
                              <a:prstGeom prst="rect">
                                <a:avLst/>
                              </a:prstGeom>
                              <a:noFill/>
                              <a:ln>
                                <a:noFill/>
                              </a:ln>
                            </wps:spPr>
                            <wps:txbx>
                              <w:txbxContent>
                                <w:p>
                                  <w:pPr>
                                    <w:rPr>
                                      <w:rFonts w:hint="eastAsia" w:eastAsia="宋体"/>
                                      <w:lang w:eastAsia="zh-CN"/>
                                    </w:rPr>
                                  </w:pPr>
                                  <w:r>
                                    <w:rPr>
                                      <w:rFonts w:hint="eastAsia"/>
                                      <w:lang w:eastAsia="zh-CN"/>
                                    </w:rPr>
                                    <w:t>608</w:t>
                                  </w:r>
                                </w:p>
                              </w:txbxContent>
                            </wps:txbx>
                            <wps:bodyPr rot="0" vert="horz" wrap="square" lIns="91440" tIns="45720" rIns="91440" bIns="45720" anchor="t" anchorCtr="0" upright="1">
                              <a:noAutofit/>
                            </wps:bodyPr>
                          </wps:wsp>
                        </a:graphicData>
                      </a:graphic>
                    </wp:anchor>
                  </w:drawing>
                </mc:Choice>
                <mc:Fallback>
                  <w:pict>
                    <v:shape id="文本框 1054" o:spid="_x0000_s1026" o:spt="202" type="#_x0000_t202" style="position:absolute;left:0pt;margin-left:150.4pt;margin-top:8.5pt;height:20.95pt;width:45.3pt;z-index:251661312;mso-width-relative:page;mso-height-relative:page;" filled="f" stroked="f" coordsize="21600,21600" o:gfxdata="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eyKw/WAAAACQEAAA8A&#10;AAAAAAAAAQAgAAAAIgAAAGRycy9kb3ducmV2LnhtbFBLAQIUABQAAAAIAIdO4kA330koGQIAABgE&#10;AAAOAAAAAAAAAAEAIAAAACUBAABkcnMvZTJvRG9jLnhtbFBLBQYAAAAABgAGAFkBAACwBQAAAAA=&#10;">
                      <v:fill on="f" focussize="0,0"/>
                      <v:stroke on="f"/>
                      <v:imagedata o:title=""/>
                      <o:lock v:ext="edit" aspectratio="f"/>
                      <v:textbox>
                        <w:txbxContent>
                          <w:p>
                            <w:pPr>
                              <w:rPr>
                                <w:rFonts w:hint="eastAsia" w:eastAsia="宋体"/>
                                <w:lang w:eastAsia="zh-CN"/>
                              </w:rPr>
                            </w:pPr>
                            <w:r>
                              <w:rPr>
                                <w:rFonts w:hint="eastAsia"/>
                                <w:lang w:eastAsia="zh-CN"/>
                              </w:rPr>
                              <w:t>608</w:t>
                            </w:r>
                          </w:p>
                        </w:txbxContent>
                      </v:textbox>
                    </v:shape>
                  </w:pict>
                </mc:Fallback>
              </mc:AlternateContent>
            </w:r>
            <w:r>
              <w:rPr>
                <w:color w:val="auto"/>
                <w:sz w:val="24"/>
              </w:rPr>
              <mc:AlternateContent>
                <mc:Choice Requires="wps">
                  <w:drawing>
                    <wp:anchor distT="0" distB="0" distL="114300" distR="114300" simplePos="0" relativeHeight="251662336" behindDoc="0" locked="0" layoutInCell="1" allowOverlap="1">
                      <wp:simplePos x="0" y="0"/>
                      <wp:positionH relativeFrom="column">
                        <wp:posOffset>514985</wp:posOffset>
                      </wp:positionH>
                      <wp:positionV relativeFrom="paragraph">
                        <wp:posOffset>151130</wp:posOffset>
                      </wp:positionV>
                      <wp:extent cx="610870" cy="266065"/>
                      <wp:effectExtent l="0" t="0" r="0" b="0"/>
                      <wp:wrapNone/>
                      <wp:docPr id="47" name="Text Box 6"/>
                      <wp:cNvGraphicFramePr/>
                      <a:graphic xmlns:a="http://schemas.openxmlformats.org/drawingml/2006/main">
                        <a:graphicData uri="http://schemas.microsoft.com/office/word/2010/wordprocessingShape">
                          <wps:wsp>
                            <wps:cNvSpPr txBox="1">
                              <a:spLocks noChangeArrowheads="1"/>
                            </wps:cNvSpPr>
                            <wps:spPr bwMode="auto">
                              <a:xfrm>
                                <a:off x="0" y="0"/>
                                <a:ext cx="610870" cy="266065"/>
                              </a:xfrm>
                              <a:prstGeom prst="rect">
                                <a:avLst/>
                              </a:prstGeom>
                              <a:noFill/>
                              <a:ln>
                                <a:noFill/>
                              </a:ln>
                            </wps:spPr>
                            <wps:txbx>
                              <w:txbxContent>
                                <w:p>
                                  <w:pPr>
                                    <w:rPr>
                                      <w:rFonts w:hint="default" w:eastAsia="宋体"/>
                                      <w:lang w:val="en-US" w:eastAsia="zh-CN"/>
                                    </w:rPr>
                                  </w:pPr>
                                  <w:r>
                                    <w:rPr>
                                      <w:rFonts w:hint="eastAsia"/>
                                      <w:lang w:val="en-US" w:eastAsia="zh-CN"/>
                                    </w:rPr>
                                    <w:t>760</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40.55pt;margin-top:11.9pt;height:20.95pt;width:48.1pt;z-index:251662336;mso-width-relative:page;mso-height-relative:page;" filled="f" stroked="f" coordsize="21600,21600" o:gfxdata="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AqlWzWAAAACAEAAA8AAAAAAAAAAQAgAAAAIgAAAGRy&#10;cy9kb3ducmV2LnhtbFBLAQIUABQAAAAIAIdO4kDF3VEpBwIAABQEAAAOAAAAAAAAAAEAIAAAACUB&#10;AABkcnMvZTJvRG9jLnhtbFBLBQYAAAAABgAGAFkBAACeBQAAAAA=&#10;">
                      <v:fill on="f" focussize="0,0"/>
                      <v:stroke on="f"/>
                      <v:imagedata o:title=""/>
                      <o:lock v:ext="edit" aspectratio="f"/>
                      <v:textbox>
                        <w:txbxContent>
                          <w:p>
                            <w:pPr>
                              <w:rPr>
                                <w:rFonts w:hint="default" w:eastAsia="宋体"/>
                                <w:lang w:val="en-US" w:eastAsia="zh-CN"/>
                              </w:rPr>
                            </w:pPr>
                            <w:r>
                              <w:rPr>
                                <w:rFonts w:hint="eastAsia"/>
                                <w:lang w:val="en-US" w:eastAsia="zh-CN"/>
                              </w:rPr>
                              <w:t>760</w:t>
                            </w:r>
                          </w:p>
                        </w:txbxContent>
                      </v:textbox>
                    </v:shape>
                  </w:pict>
                </mc:Fallback>
              </mc:AlternateContent>
            </w: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3589020</wp:posOffset>
                      </wp:positionH>
                      <wp:positionV relativeFrom="paragraph">
                        <wp:posOffset>233680</wp:posOffset>
                      </wp:positionV>
                      <wp:extent cx="652780" cy="449580"/>
                      <wp:effectExtent l="11430" t="12700" r="12065" b="13970"/>
                      <wp:wrapNone/>
                      <wp:docPr id="45" name="Text Box 12"/>
                      <wp:cNvGraphicFramePr/>
                      <a:graphic xmlns:a="http://schemas.openxmlformats.org/drawingml/2006/main">
                        <a:graphicData uri="http://schemas.microsoft.com/office/word/2010/wordprocessingShape">
                          <wps:wsp>
                            <wps:cNvSpPr txBox="1">
                              <a:spLocks noChangeArrowheads="1"/>
                            </wps:cNvSpPr>
                            <wps:spPr bwMode="auto">
                              <a:xfrm>
                                <a:off x="0" y="0"/>
                                <a:ext cx="652780" cy="449580"/>
                              </a:xfrm>
                              <a:prstGeom prst="rect">
                                <a:avLst/>
                              </a:prstGeom>
                              <a:noFill/>
                              <a:ln w="6350">
                                <a:solidFill>
                                  <a:srgbClr val="000000"/>
                                </a:solidFill>
                                <a:miter lim="800000"/>
                              </a:ln>
                            </wps:spPr>
                            <wps:txbx>
                              <w:txbxContent>
                                <w:p>
                                  <w:pPr>
                                    <w:jc w:val="center"/>
                                    <w:rPr>
                                      <w:rFonts w:ascii="宋体" w:hAnsi="宋体"/>
                                    </w:rPr>
                                  </w:pPr>
                                  <w:r>
                                    <w:rPr>
                                      <w:rFonts w:hint="eastAsia" w:ascii="宋体" w:hAnsi="宋体"/>
                                    </w:rPr>
                                    <w:t>污水处理厂</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282.6pt;margin-top:18.4pt;height:35.4pt;width:51.4pt;z-index:251664384;mso-width-relative:page;mso-height-relative:page;" filled="f" stroked="t" coordsize="21600,21600" o:gfxdata="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N6eio2QAAAAoBAAAPAAAAAAAAAAEAIAAAACIAAABkcnMvZG93bnJldi54bWxQSwEC&#10;FAAUAAAACACHTuJAg3sxiSwCAABeBAAADgAAAAAAAAABACAAAAAoAQAAZHJzL2Uyb0RvYy54bWxQ&#10;SwUGAAAAAAYABgBZAQAAxgUAAAAA&#10;">
                      <v:fill on="f" focussize="0,0"/>
                      <v:stroke weight="0.5pt" color="#000000" miterlimit="8" joinstyle="miter"/>
                      <v:imagedata o:title=""/>
                      <o:lock v:ext="edit" aspectratio="f"/>
                      <v:textbox>
                        <w:txbxContent>
                          <w:p>
                            <w:pPr>
                              <w:jc w:val="center"/>
                              <w:rPr>
                                <w:rFonts w:ascii="宋体" w:hAnsi="宋体"/>
                              </w:rPr>
                            </w:pPr>
                            <w:r>
                              <w:rPr>
                                <w:rFonts w:hint="eastAsia" w:ascii="宋体" w:hAnsi="宋体"/>
                              </w:rPr>
                              <w:t>污水处理厂</w:t>
                            </w:r>
                          </w:p>
                        </w:txbxContent>
                      </v:textbox>
                    </v:shape>
                  </w:pict>
                </mc:Fallback>
              </mc:AlternateContent>
            </w: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3182620</wp:posOffset>
                      </wp:positionH>
                      <wp:positionV relativeFrom="paragraph">
                        <wp:posOffset>67310</wp:posOffset>
                      </wp:positionV>
                      <wp:extent cx="608965" cy="292735"/>
                      <wp:effectExtent l="0" t="0" r="0" b="0"/>
                      <wp:wrapNone/>
                      <wp:docPr id="44" name="文本框 1058"/>
                      <wp:cNvGraphicFramePr/>
                      <a:graphic xmlns:a="http://schemas.openxmlformats.org/drawingml/2006/main">
                        <a:graphicData uri="http://schemas.microsoft.com/office/word/2010/wordprocessingShape">
                          <wps:wsp>
                            <wps:cNvSpPr txBox="1">
                              <a:spLocks noChangeArrowheads="1"/>
                            </wps:cNvSpPr>
                            <wps:spPr bwMode="auto">
                              <a:xfrm>
                                <a:off x="0" y="0"/>
                                <a:ext cx="608965" cy="292735"/>
                              </a:xfrm>
                              <a:prstGeom prst="rect">
                                <a:avLst/>
                              </a:prstGeom>
                              <a:noFill/>
                              <a:ln>
                                <a:noFill/>
                              </a:ln>
                            </wps:spPr>
                            <wps:txbx>
                              <w:txbxContent>
                                <w:p>
                                  <w:pPr>
                                    <w:rPr>
                                      <w:rFonts w:hint="default" w:eastAsia="宋体"/>
                                      <w:lang w:val="en-US" w:eastAsia="zh-CN"/>
                                    </w:rPr>
                                  </w:pPr>
                                  <w:r>
                                    <w:rPr>
                                      <w:rFonts w:hint="eastAsia"/>
                                      <w:lang w:val="en-US" w:eastAsia="zh-CN"/>
                                    </w:rPr>
                                    <w:t>608</w:t>
                                  </w:r>
                                </w:p>
                              </w:txbxContent>
                            </wps:txbx>
                            <wps:bodyPr rot="0" vert="horz" wrap="square" lIns="91440" tIns="45720" rIns="91440" bIns="45720" anchor="t" anchorCtr="0" upright="1">
                              <a:noAutofit/>
                            </wps:bodyPr>
                          </wps:wsp>
                        </a:graphicData>
                      </a:graphic>
                    </wp:anchor>
                  </w:drawing>
                </mc:Choice>
                <mc:Fallback>
                  <w:pict>
                    <v:shape id="文本框 1058" o:spid="_x0000_s1026" o:spt="202" type="#_x0000_t202" style="position:absolute;left:0pt;margin-left:250.6pt;margin-top:5.3pt;height:23.05pt;width:47.95pt;z-index:251665408;mso-width-relative:page;mso-height-relative:page;" filled="f" stroked="f" coordsize="21600,21600" o:gfxdata="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eX+LdYAAAAJAQAA&#10;DwAAAAAAAAABACAAAAAiAAAAZHJzL2Rvd25yZXYueG1sUEsBAhQAFAAAAAgAh07iQPjfTeMbAgAA&#10;GAQAAA4AAAAAAAAAAQAgAAAAJQEAAGRycy9lMm9Eb2MueG1sUEsFBgAAAAAGAAYAWQEAALIFAAAA&#10;AA==&#10;">
                      <v:fill on="f" focussize="0,0"/>
                      <v:stroke on="f"/>
                      <v:imagedata o:title=""/>
                      <o:lock v:ext="edit" aspectratio="f"/>
                      <v:textbox>
                        <w:txbxContent>
                          <w:p>
                            <w:pPr>
                              <w:rPr>
                                <w:rFonts w:hint="default" w:eastAsia="宋体"/>
                                <w:lang w:val="en-US" w:eastAsia="zh-CN"/>
                              </w:rPr>
                            </w:pPr>
                            <w:r>
                              <w:rPr>
                                <w:rFonts w:hint="eastAsia"/>
                                <w:lang w:val="en-US" w:eastAsia="zh-CN"/>
                              </w:rPr>
                              <w:t>608</w:t>
                            </w:r>
                          </w:p>
                        </w:txbxContent>
                      </v:textbox>
                    </v:shape>
                  </w:pict>
                </mc:Fallback>
              </mc:AlternateContent>
            </w: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2353310</wp:posOffset>
                      </wp:positionH>
                      <wp:positionV relativeFrom="paragraph">
                        <wp:posOffset>237490</wp:posOffset>
                      </wp:positionV>
                      <wp:extent cx="723900" cy="342900"/>
                      <wp:effectExtent l="13970" t="6985" r="5080" b="12065"/>
                      <wp:wrapNone/>
                      <wp:docPr id="43" name="文本框 1053"/>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w="6350">
                                <a:solidFill>
                                  <a:srgbClr val="000000"/>
                                </a:solidFill>
                                <a:miter lim="800000"/>
                              </a:ln>
                            </wps:spPr>
                            <wps:txbx>
                              <w:txbxContent>
                                <w:p>
                                  <w:pPr>
                                    <w:rPr>
                                      <w:rFonts w:ascii="宋体" w:hAnsi="宋体"/>
                                    </w:rPr>
                                  </w:pPr>
                                  <w:r>
                                    <w:rPr>
                                      <w:rFonts w:hint="eastAsia" w:ascii="宋体" w:hAnsi="宋体"/>
                                    </w:rPr>
                                    <w:t>化粪池</w:t>
                                  </w:r>
                                </w:p>
                              </w:txbxContent>
                            </wps:txbx>
                            <wps:bodyPr rot="0" vert="horz" wrap="square" lIns="91440" tIns="45720" rIns="91440" bIns="45720" anchor="t" anchorCtr="0" upright="1">
                              <a:noAutofit/>
                            </wps:bodyPr>
                          </wps:wsp>
                        </a:graphicData>
                      </a:graphic>
                    </wp:anchor>
                  </w:drawing>
                </mc:Choice>
                <mc:Fallback>
                  <w:pict>
                    <v:shape id="文本框 1053" o:spid="_x0000_s1026" o:spt="202" type="#_x0000_t202" style="position:absolute;left:0pt;margin-left:185.3pt;margin-top:18.7pt;height:27pt;width:57pt;z-index:251666432;mso-width-relative:page;mso-height-relative:page;" filled="f" stroked="t" coordsize="21600,21600" o:gfxdata="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sNMonZAAAACQEAAA8AAAAAAAAAAQAgAAAAIgAAAGRy&#10;cy9kb3ducmV2LnhtbFBLAQIUABQAAAAIAIdO4kBAyCXEPQIAAGEEAAAOAAAAAAAAAAEAIAAAACgB&#10;AABkcnMvZTJvRG9jLnhtbFBLBQYAAAAABgAGAFkBAADXBQAAAAA=&#10;">
                      <v:fill on="f" focussize="0,0"/>
                      <v:stroke weight="0.5pt" color="#000000" miterlimit="8" joinstyle="miter"/>
                      <v:imagedata o:title=""/>
                      <o:lock v:ext="edit" aspectratio="f"/>
                      <v:textbox>
                        <w:txbxContent>
                          <w:p>
                            <w:pPr>
                              <w:rPr>
                                <w:rFonts w:ascii="宋体" w:hAnsi="宋体"/>
                              </w:rPr>
                            </w:pPr>
                            <w:r>
                              <w:rPr>
                                <w:rFonts w:hint="eastAsia" w:ascii="宋体" w:hAnsi="宋体"/>
                              </w:rPr>
                              <w:t>化粪池</w:t>
                            </w:r>
                          </w:p>
                        </w:txbxContent>
                      </v:textbox>
                    </v:shape>
                  </w:pict>
                </mc:Fallback>
              </mc:AlternateContent>
            </w:r>
          </w:p>
          <w:p>
            <w:pPr>
              <w:pStyle w:val="10"/>
              <w:spacing w:line="360" w:lineRule="auto"/>
              <w:rPr>
                <w:color w:val="auto"/>
                <w:sz w:val="24"/>
              </w:rPr>
            </w:pPr>
            <w:r>
              <w:rPr>
                <w:color w:val="auto"/>
                <w:sz w:val="24"/>
              </w:rPr>
              <mc:AlternateContent>
                <mc:Choice Requires="wps">
                  <w:drawing>
                    <wp:anchor distT="0" distB="0" distL="114300" distR="114300" simplePos="0" relativeHeight="251676672" behindDoc="0" locked="0" layoutInCell="1" allowOverlap="1">
                      <wp:simplePos x="0" y="0"/>
                      <wp:positionH relativeFrom="column">
                        <wp:posOffset>567690</wp:posOffset>
                      </wp:positionH>
                      <wp:positionV relativeFrom="paragraph">
                        <wp:posOffset>172720</wp:posOffset>
                      </wp:positionV>
                      <wp:extent cx="12065" cy="1552575"/>
                      <wp:effectExtent l="4445" t="0" r="21590" b="9525"/>
                      <wp:wrapNone/>
                      <wp:docPr id="61" name="直接连接符 61"/>
                      <wp:cNvGraphicFramePr/>
                      <a:graphic xmlns:a="http://schemas.openxmlformats.org/drawingml/2006/main">
                        <a:graphicData uri="http://schemas.microsoft.com/office/word/2010/wordprocessingShape">
                          <wps:wsp>
                            <wps:cNvCnPr/>
                            <wps:spPr>
                              <a:xfrm flipH="1">
                                <a:off x="2007235" y="2722880"/>
                                <a:ext cx="12065" cy="1552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4.7pt;margin-top:13.6pt;height:122.25pt;width:0.95pt;z-index:251676672;mso-width-relative:page;mso-height-relative:page;" filled="f" stroked="t" coordsize="21600,21600" o:gfxdata="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OfTK1gAAAAgBAAAPAAAAAAAAAAEAIAAAACIAAABkcnMvZG93bnJldi54&#10;bWxQSwECFAAUAAAACACHTuJA1E8SUPwBAADNAwAADgAAAAAAAAABACAAAAAlAQAAZHJzL2Uyb0Rv&#10;Yy54bWxQSwUGAAAAAAYABgBZAQAAkwUAAAAA&#10;">
                      <v:fill on="f" focussize="0,0"/>
                      <v:stroke weight="0.5pt" color="#000000 [3213]" miterlimit="8" joinstyle="miter"/>
                      <v:imagedata o:title=""/>
                      <o:lock v:ext="edit" aspectratio="f"/>
                    </v:line>
                  </w:pict>
                </mc:Fallback>
              </mc:AlternateContent>
            </w:r>
            <w:r>
              <w:rPr>
                <w:color w:val="auto"/>
                <w:sz w:val="24"/>
              </w:rPr>
              <mc:AlternateContent>
                <mc:Choice Requires="wps">
                  <w:drawing>
                    <wp:anchor distT="0" distB="0" distL="114300" distR="114300" simplePos="0" relativeHeight="251714560" behindDoc="0" locked="0" layoutInCell="1" allowOverlap="1">
                      <wp:simplePos x="0" y="0"/>
                      <wp:positionH relativeFrom="column">
                        <wp:posOffset>4425950</wp:posOffset>
                      </wp:positionH>
                      <wp:positionV relativeFrom="paragraph">
                        <wp:posOffset>244475</wp:posOffset>
                      </wp:positionV>
                      <wp:extent cx="723900" cy="342900"/>
                      <wp:effectExtent l="0" t="0" r="0" b="0"/>
                      <wp:wrapNone/>
                      <wp:docPr id="4" name="文本框 1053"/>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w="6350">
                                <a:noFill/>
                                <a:miter lim="800000"/>
                              </a:ln>
                            </wps:spPr>
                            <wps:txbx>
                              <w:txbxContent>
                                <w:p>
                                  <w:pPr>
                                    <w:rPr>
                                      <w:rFonts w:hint="eastAsia" w:ascii="宋体" w:hAnsi="宋体" w:eastAsia="宋体"/>
                                      <w:lang w:val="en-US" w:eastAsia="zh-CN"/>
                                    </w:rPr>
                                  </w:pPr>
                                  <w:r>
                                    <w:rPr>
                                      <w:rFonts w:hint="eastAsia" w:ascii="宋体" w:hAnsi="宋体"/>
                                      <w:lang w:val="en-US" w:eastAsia="zh-CN"/>
                                    </w:rPr>
                                    <w:t>邵水</w:t>
                                  </w:r>
                                </w:p>
                              </w:txbxContent>
                            </wps:txbx>
                            <wps:bodyPr rot="0" vert="horz" wrap="square" lIns="91440" tIns="45720" rIns="91440" bIns="45720" anchor="t" anchorCtr="0" upright="1">
                              <a:noAutofit/>
                            </wps:bodyPr>
                          </wps:wsp>
                        </a:graphicData>
                      </a:graphic>
                    </wp:anchor>
                  </w:drawing>
                </mc:Choice>
                <mc:Fallback>
                  <w:pict>
                    <v:shape id="文本框 1053" o:spid="_x0000_s1026" o:spt="202" type="#_x0000_t202" style="position:absolute;left:0pt;margin-left:348.5pt;margin-top:19.25pt;height:27pt;width:57pt;z-index:251714560;mso-width-relative:page;mso-height-relative:page;" filled="f" stroked="f" coordsize="21600,21600" o:gfxdata="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eLqJfbAAAACQEAAA8AAAAAAAAAAQAgAAAAIgAAAGRycy9kb3ducmV2LnhtbFBLAQIU&#10;ABQAAAAIAIdO4kBUUGRyKQIAADcEAAAOAAAAAAAAAAEAIAAAACoBAABkcnMvZTJvRG9jLnhtbFBL&#10;BQYAAAAABgAGAFkBAADFBQAAAAA=&#10;">
                      <v:fill on="f" focussize="0,0"/>
                      <v:stroke on="f" weight="0.5pt" miterlimit="8" joinstyle="miter"/>
                      <v:imagedata o:title=""/>
                      <o:lock v:ext="edit" aspectratio="f"/>
                      <v:textbox>
                        <w:txbxContent>
                          <w:p>
                            <w:pPr>
                              <w:rPr>
                                <w:rFonts w:hint="eastAsia" w:ascii="宋体" w:hAnsi="宋体" w:eastAsia="宋体"/>
                                <w:lang w:val="en-US" w:eastAsia="zh-CN"/>
                              </w:rPr>
                            </w:pPr>
                            <w:r>
                              <w:rPr>
                                <w:rFonts w:hint="eastAsia" w:ascii="宋体" w:hAnsi="宋体"/>
                                <w:lang w:val="en-US" w:eastAsia="zh-CN"/>
                              </w:rPr>
                              <w:t>邵水</w:t>
                            </w:r>
                          </w:p>
                        </w:txbxContent>
                      </v:textbox>
                    </v:shape>
                  </w:pict>
                </mc:Fallback>
              </mc:AlternateContent>
            </w:r>
            <w:r>
              <w:rPr>
                <w:color w:val="auto"/>
                <w:sz w:val="24"/>
              </w:rPr>
              <mc:AlternateContent>
                <mc:Choice Requires="wps">
                  <w:drawing>
                    <wp:anchor distT="0" distB="0" distL="114300" distR="114300" simplePos="0" relativeHeight="251668480" behindDoc="0" locked="0" layoutInCell="1" allowOverlap="1">
                      <wp:simplePos x="0" y="0"/>
                      <wp:positionH relativeFrom="column">
                        <wp:posOffset>587375</wp:posOffset>
                      </wp:positionH>
                      <wp:positionV relativeFrom="paragraph">
                        <wp:posOffset>182245</wp:posOffset>
                      </wp:positionV>
                      <wp:extent cx="514350" cy="0"/>
                      <wp:effectExtent l="10160" t="43180" r="18415" b="42545"/>
                      <wp:wrapNone/>
                      <wp:docPr id="36" name="AutoShape 4"/>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6350">
                                <a:solidFill>
                                  <a:srgbClr val="000000"/>
                                </a:solidFill>
                                <a:round/>
                                <a:tailEnd type="triangle" w="sm" len="med"/>
                              </a:ln>
                            </wps:spPr>
                            <wps:bodyPr/>
                          </wps:wsp>
                        </a:graphicData>
                      </a:graphic>
                    </wp:anchor>
                  </w:drawing>
                </mc:Choice>
                <mc:Fallback>
                  <w:pict>
                    <v:shape id="AutoShape 4" o:spid="_x0000_s1026" o:spt="32" type="#_x0000_t32" style="position:absolute;left:0pt;margin-left:46.25pt;margin-top:14.35pt;height:0pt;width:40.5pt;z-index:251668480;mso-width-relative:page;mso-height-relative:page;" filled="f" stroked="t" coordsize="21600,21600" o:gfxdata="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JE94DV&#10;AAAACAEAAA8AAAAAAAAAAQAgAAAAIgAAAGRycy9kb3ducmV2LnhtbFBLAQIUABQAAAAIAIdO4kBi&#10;vQyn6gEAAN8DAAAOAAAAAAAAAAEAIAAAACQBAABkcnMvZTJvRG9jLnhtbFBLBQYAAAAABgAGAFkB&#10;AACABQAAAAA=&#10;">
                      <v:fill on="f" focussize="0,0"/>
                      <v:stroke weight="0.5pt" color="#000000" joinstyle="round" endarrow="block" endarrowwidth="narrow"/>
                      <v:imagedata o:title=""/>
                      <o:lock v:ext="edit" aspectratio="f"/>
                    </v:shape>
                  </w:pict>
                </mc:Fallback>
              </mc:AlternateContent>
            </w:r>
            <w:r>
              <w:rPr>
                <w:color w:val="auto"/>
                <w:sz w:val="24"/>
              </w:rPr>
              <mc:AlternateContent>
                <mc:Choice Requires="wps">
                  <w:drawing>
                    <wp:anchor distT="0" distB="0" distL="114300" distR="114300" simplePos="0" relativeHeight="251669504" behindDoc="0" locked="0" layoutInCell="1" allowOverlap="1">
                      <wp:simplePos x="0" y="0"/>
                      <wp:positionH relativeFrom="column">
                        <wp:posOffset>1091565</wp:posOffset>
                      </wp:positionH>
                      <wp:positionV relativeFrom="paragraph">
                        <wp:posOffset>22225</wp:posOffset>
                      </wp:positionV>
                      <wp:extent cx="800100" cy="342900"/>
                      <wp:effectExtent l="4445" t="4445" r="14605" b="14605"/>
                      <wp:wrapNone/>
                      <wp:docPr id="35" name="Text Box 3"/>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6350">
                                <a:solidFill>
                                  <a:srgbClr val="000000"/>
                                </a:solidFill>
                                <a:miter lim="800000"/>
                              </a:ln>
                            </wps:spPr>
                            <wps:txbx>
                              <w:txbxContent>
                                <w:p>
                                  <w:pPr>
                                    <w:rPr>
                                      <w:rFonts w:ascii="宋体" w:hAnsi="宋体"/>
                                    </w:rPr>
                                  </w:pPr>
                                  <w:r>
                                    <w:rPr>
                                      <w:rFonts w:hint="eastAsia" w:ascii="宋体" w:hAnsi="宋体"/>
                                    </w:rPr>
                                    <w:t>生活用水</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85.95pt;margin-top:1.75pt;height:27pt;width:63pt;z-index:251669504;mso-width-relative:page;mso-height-relative:page;" filled="f" stroked="t" coordsize="21600,21600" o:gfxdata="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5hHxZ1wAAAAgBAAAPAAAAAAAAAAEAIAAAACIAAABkcnMvZG93bnJldi54bWxQSwECFAAU&#10;AAAACACHTuJAybz1hysCAABdBAAADgAAAAAAAAABACAAAAAmAQAAZHJzL2Uyb0RvYy54bWxQSwUG&#10;AAAAAAYABgBZAQAAwwUAAAAA&#10;">
                      <v:fill on="f" focussize="0,0"/>
                      <v:stroke weight="0.5pt" color="#000000" miterlimit="8" joinstyle="miter"/>
                      <v:imagedata o:title=""/>
                      <o:lock v:ext="edit" aspectratio="f"/>
                      <v:textbox>
                        <w:txbxContent>
                          <w:p>
                            <w:pPr>
                              <w:rPr>
                                <w:rFonts w:ascii="宋体" w:hAnsi="宋体"/>
                              </w:rPr>
                            </w:pPr>
                            <w:r>
                              <w:rPr>
                                <w:rFonts w:hint="eastAsia" w:ascii="宋体" w:hAnsi="宋体"/>
                              </w:rPr>
                              <w:t>生活用水</w:t>
                            </w:r>
                          </w:p>
                        </w:txbxContent>
                      </v:textbox>
                    </v:shape>
                  </w:pict>
                </mc:Fallback>
              </mc:AlternateContent>
            </w:r>
            <w:r>
              <w:rPr>
                <w:color w:val="auto"/>
                <w:sz w:val="24"/>
              </w:rPr>
              <mc:AlternateContent>
                <mc:Choice Requires="wps">
                  <w:drawing>
                    <wp:anchor distT="0" distB="0" distL="114300" distR="114300" simplePos="0" relativeHeight="251670528" behindDoc="0" locked="0" layoutInCell="1" allowOverlap="1">
                      <wp:simplePos x="0" y="0"/>
                      <wp:positionH relativeFrom="column">
                        <wp:posOffset>4254500</wp:posOffset>
                      </wp:positionH>
                      <wp:positionV relativeFrom="paragraph">
                        <wp:posOffset>122555</wp:posOffset>
                      </wp:positionV>
                      <wp:extent cx="514350" cy="0"/>
                      <wp:effectExtent l="10160" t="40640" r="18415" b="45085"/>
                      <wp:wrapNone/>
                      <wp:docPr id="34" name="AutoShape 2"/>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6350">
                                <a:solidFill>
                                  <a:srgbClr val="000000"/>
                                </a:solidFill>
                                <a:round/>
                                <a:tailEnd type="triangle" w="sm" len="med"/>
                              </a:ln>
                            </wps:spPr>
                            <wps:bodyPr/>
                          </wps:wsp>
                        </a:graphicData>
                      </a:graphic>
                    </wp:anchor>
                  </w:drawing>
                </mc:Choice>
                <mc:Fallback>
                  <w:pict>
                    <v:shape id="AutoShape 2" o:spid="_x0000_s1026" o:spt="32" type="#_x0000_t32" style="position:absolute;left:0pt;margin-left:335pt;margin-top:9.65pt;height:0pt;width:40.5pt;z-index:251670528;mso-width-relative:page;mso-height-relative:page;" filled="f" stroked="t" coordsize="21600,21600" o:gfxdata="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85t/V&#10;AAAACQEAAA8AAAAAAAAAAQAgAAAAIgAAAGRycy9kb3ducmV2LnhtbFBLAQIUABQAAAAIAIdO4kAe&#10;fxH16gEAAN8DAAAOAAAAAAAAAAEAIAAAACQBAABkcnMvZTJvRG9jLnhtbFBLBQYAAAAABgAGAFkB&#10;AACABQAAAAA=&#10;">
                      <v:fill on="f" focussize="0,0"/>
                      <v:stroke weight="0.5pt" color="#000000" joinstyle="round" endarrow="block" endarrowwidth="narrow"/>
                      <v:imagedata o:title=""/>
                      <o:lock v:ext="edit" aspectratio="f"/>
                    </v:shape>
                  </w:pict>
                </mc:Fallback>
              </mc:AlternateContent>
            </w:r>
            <w:r>
              <w:rPr>
                <w:color w:val="auto"/>
                <w:sz w:val="24"/>
              </w:rPr>
              <mc:AlternateContent>
                <mc:Choice Requires="wps">
                  <w:drawing>
                    <wp:anchor distT="0" distB="0" distL="114300" distR="114300" simplePos="0" relativeHeight="251671552" behindDoc="0" locked="0" layoutInCell="1" allowOverlap="1">
                      <wp:simplePos x="0" y="0"/>
                      <wp:positionH relativeFrom="column">
                        <wp:posOffset>3072765</wp:posOffset>
                      </wp:positionH>
                      <wp:positionV relativeFrom="paragraph">
                        <wp:posOffset>137160</wp:posOffset>
                      </wp:positionV>
                      <wp:extent cx="514350" cy="0"/>
                      <wp:effectExtent l="9525" t="45720" r="19050" b="40005"/>
                      <wp:wrapNone/>
                      <wp:docPr id="33" name="自选图形 1057"/>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6350">
                                <a:solidFill>
                                  <a:srgbClr val="000000"/>
                                </a:solidFill>
                                <a:round/>
                                <a:tailEnd type="triangle" w="sm" len="med"/>
                              </a:ln>
                            </wps:spPr>
                            <wps:bodyPr/>
                          </wps:wsp>
                        </a:graphicData>
                      </a:graphic>
                    </wp:anchor>
                  </w:drawing>
                </mc:Choice>
                <mc:Fallback>
                  <w:pict>
                    <v:shape id="自选图形 1057" o:spid="_x0000_s1026" o:spt="32" type="#_x0000_t32" style="position:absolute;left:0pt;margin-left:241.95pt;margin-top:10.8pt;height:0pt;width:40.5pt;z-index:251671552;mso-width-relative:page;mso-height-relative:page;" filled="f" stroked="t" coordsize="21600,21600" o:gfxdata="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Ss4OzWAAAACQEAAA8AAAAAAAAAAQAgAAAAIgAAAGRycy9k&#10;b3ducmV2LnhtbFBLAQIUABQAAAAIAIdO4kBrS0IpBAIAAOUDAAAOAAAAAAAAAAEAIAAAACUBAABk&#10;cnMvZTJvRG9jLnhtbFBLBQYAAAAABgAGAFkBAACbBQAAAAA=&#10;">
                      <v:fill on="f" focussize="0,0"/>
                      <v:stroke weight="0.5pt" color="#000000" joinstyle="round" endarrow="block" endarrowwidth="narrow"/>
                      <v:imagedata o:title=""/>
                      <o:lock v:ext="edit" aspectratio="f"/>
                    </v:shape>
                  </w:pict>
                </mc:Fallback>
              </mc:AlternateContent>
            </w:r>
            <w:r>
              <w:rPr>
                <w:color w:val="auto"/>
                <w:sz w:val="24"/>
              </w:rPr>
              <mc:AlternateContent>
                <mc:Choice Requires="wps">
                  <w:drawing>
                    <wp:anchor distT="0" distB="0" distL="114300" distR="114300" simplePos="0" relativeHeight="251672576" behindDoc="0" locked="0" layoutInCell="1" allowOverlap="1">
                      <wp:simplePos x="0" y="0"/>
                      <wp:positionH relativeFrom="column">
                        <wp:posOffset>1910715</wp:posOffset>
                      </wp:positionH>
                      <wp:positionV relativeFrom="paragraph">
                        <wp:posOffset>158115</wp:posOffset>
                      </wp:positionV>
                      <wp:extent cx="441325" cy="14605"/>
                      <wp:effectExtent l="0" t="22860" r="15875" b="19685"/>
                      <wp:wrapNone/>
                      <wp:docPr id="32" name="自选图形 1052"/>
                      <wp:cNvGraphicFramePr/>
                      <a:graphic xmlns:a="http://schemas.openxmlformats.org/drawingml/2006/main">
                        <a:graphicData uri="http://schemas.microsoft.com/office/word/2010/wordprocessingShape">
                          <wps:wsp>
                            <wps:cNvCnPr>
                              <a:cxnSpLocks noChangeShapeType="1"/>
                            </wps:cNvCnPr>
                            <wps:spPr bwMode="auto">
                              <a:xfrm flipV="1">
                                <a:off x="0" y="0"/>
                                <a:ext cx="441325" cy="14605"/>
                              </a:xfrm>
                              <a:prstGeom prst="straightConnector1">
                                <a:avLst/>
                              </a:prstGeom>
                              <a:noFill/>
                              <a:ln w="6350">
                                <a:solidFill>
                                  <a:srgbClr val="000000"/>
                                </a:solidFill>
                                <a:round/>
                                <a:tailEnd type="triangle" w="sm" len="med"/>
                              </a:ln>
                            </wps:spPr>
                            <wps:bodyPr/>
                          </wps:wsp>
                        </a:graphicData>
                      </a:graphic>
                    </wp:anchor>
                  </w:drawing>
                </mc:Choice>
                <mc:Fallback>
                  <w:pict>
                    <v:shape id="自选图形 1052" o:spid="_x0000_s1026" o:spt="32" type="#_x0000_t32" style="position:absolute;left:0pt;flip:y;margin-left:150.45pt;margin-top:12.45pt;height:1.15pt;width:34.75pt;z-index:251672576;mso-width-relative:page;mso-height-relative:page;" filled="f" stroked="t" coordsize="21600,21600" o:gfxdata="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DQPjvYAAAACQEAAA8AAAAAAAAA&#10;AQAgAAAAIgAAAGRycy9kb3ducmV2LnhtbFBLAQIUABQAAAAIAIdO4kBI7MgKEQIAAPMDAAAOAAAA&#10;AAAAAAEAIAAAACcBAABkcnMvZTJvRG9jLnhtbFBLBQYAAAAABgAGAFkBAACqBQAAAAA=&#10;">
                      <v:fill on="f" focussize="0,0"/>
                      <v:stroke weight="0.5pt" color="#000000" joinstyle="round" endarrow="block" endarrowwidth="narrow"/>
                      <v:imagedata o:title=""/>
                      <o:lock v:ext="edit" aspectratio="f"/>
                    </v:shape>
                  </w:pict>
                </mc:Fallback>
              </mc:AlternateContent>
            </w:r>
          </w:p>
          <w:p>
            <w:pPr>
              <w:pStyle w:val="10"/>
              <w:spacing w:line="360" w:lineRule="auto"/>
              <w:rPr>
                <w:color w:val="auto"/>
                <w:sz w:val="24"/>
              </w:rPr>
            </w:pPr>
            <w:r>
              <w:rPr>
                <w:color w:val="auto"/>
                <w:sz w:val="24"/>
              </w:rPr>
              <mc:AlternateContent>
                <mc:Choice Requires="wps">
                  <w:drawing>
                    <wp:anchor distT="0" distB="0" distL="114300" distR="114300" simplePos="0" relativeHeight="251667456" behindDoc="0" locked="0" layoutInCell="1" allowOverlap="1">
                      <wp:simplePos x="0" y="0"/>
                      <wp:positionH relativeFrom="column">
                        <wp:posOffset>-40640</wp:posOffset>
                      </wp:positionH>
                      <wp:positionV relativeFrom="paragraph">
                        <wp:posOffset>236220</wp:posOffset>
                      </wp:positionV>
                      <wp:extent cx="695325" cy="323850"/>
                      <wp:effectExtent l="0" t="0" r="0" b="0"/>
                      <wp:wrapNone/>
                      <wp:docPr id="42"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695325" cy="323850"/>
                              </a:xfrm>
                              <a:prstGeom prst="rect">
                                <a:avLst/>
                              </a:prstGeom>
                              <a:noFill/>
                              <a:ln>
                                <a:noFill/>
                              </a:ln>
                            </wps:spPr>
                            <wps:txbx>
                              <w:txbxContent>
                                <w:p>
                                  <w:pPr>
                                    <w:rPr>
                                      <w:rFonts w:ascii="宋体" w:hAnsi="宋体"/>
                                    </w:rPr>
                                  </w:pPr>
                                  <w:r>
                                    <w:rPr>
                                      <w:rFonts w:hint="eastAsia" w:ascii="宋体" w:hAnsi="宋体"/>
                                    </w:rPr>
                                    <w:t>新鲜水</w:t>
                                  </w:r>
                                </w:p>
                              </w:txbxContent>
                            </wps:txbx>
                            <wps:bodyPr rot="0" vert="horz" wrap="square" lIns="91440" tIns="45720" rIns="91440" bIns="45720" anchor="t" anchorCtr="0" upright="1">
                              <a:noAutofit/>
                            </wps:bodyPr>
                          </wps:wsp>
                        </a:graphicData>
                      </a:graphic>
                    </wp:anchor>
                  </w:drawing>
                </mc:Choice>
                <mc:Fallback>
                  <w:pict>
                    <v:shape id="文本框 1030" o:spid="_x0000_s1026" o:spt="202" type="#_x0000_t202" style="position:absolute;left:0pt;margin-left:-3.2pt;margin-top:18.6pt;height:25.5pt;width:54.75pt;z-index:251667456;mso-width-relative:page;mso-height-relative:page;" filled="f" stroked="f" coordsize="21600,21600" o:gfxdata="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KMiOjWAAAACAEA&#10;AA8AAAAAAAAAAQAgAAAAIgAAAGRycy9kb3ducmV2LnhtbFBLAQIUABQAAAAIAIdO4kDBVHOuHAIA&#10;ABgEAAAOAAAAAAAAAAEAIAAAACUBAABkcnMvZTJvRG9jLnhtbFBLBQYAAAAABgAGAFkBAACzBQAA&#10;AAA=&#10;">
                      <v:fill on="f" focussize="0,0"/>
                      <v:stroke on="f"/>
                      <v:imagedata o:title=""/>
                      <o:lock v:ext="edit" aspectratio="f"/>
                      <v:textbox>
                        <w:txbxContent>
                          <w:p>
                            <w:pPr>
                              <w:rPr>
                                <w:rFonts w:ascii="宋体" w:hAnsi="宋体"/>
                              </w:rPr>
                            </w:pPr>
                            <w:r>
                              <w:rPr>
                                <w:rFonts w:hint="eastAsia" w:ascii="宋体" w:hAnsi="宋体"/>
                              </w:rPr>
                              <w:t>新鲜水</w:t>
                            </w:r>
                          </w:p>
                        </w:txbxContent>
                      </v:textbox>
                    </v:shape>
                  </w:pict>
                </mc:Fallback>
              </mc:AlternateContent>
            </w:r>
          </w:p>
          <w:p>
            <w:pPr>
              <w:pStyle w:val="10"/>
              <w:spacing w:line="360" w:lineRule="auto"/>
              <w:rPr>
                <w:color w:val="auto"/>
                <w:sz w:val="24"/>
              </w:rPr>
            </w:pPr>
          </w:p>
          <w:p>
            <w:pPr>
              <w:spacing w:line="360" w:lineRule="auto"/>
              <w:jc w:val="center"/>
              <w:rPr>
                <w:b/>
                <w:bCs/>
                <w:color w:val="auto"/>
              </w:rPr>
            </w:pPr>
            <w:r>
              <w:rPr>
                <w:color w:val="auto"/>
                <w:sz w:val="24"/>
              </w:rPr>
              <mc:AlternateContent>
                <mc:Choice Requires="wps">
                  <w:drawing>
                    <wp:anchor distT="0" distB="0" distL="114300" distR="114300" simplePos="0" relativeHeight="251680768" behindDoc="0" locked="0" layoutInCell="1" allowOverlap="1">
                      <wp:simplePos x="0" y="0"/>
                      <wp:positionH relativeFrom="column">
                        <wp:posOffset>1635125</wp:posOffset>
                      </wp:positionH>
                      <wp:positionV relativeFrom="paragraph">
                        <wp:posOffset>237490</wp:posOffset>
                      </wp:positionV>
                      <wp:extent cx="1313180" cy="266065"/>
                      <wp:effectExtent l="0" t="0" r="0" b="0"/>
                      <wp:wrapNone/>
                      <wp:docPr id="67" name="Text Box 6"/>
                      <wp:cNvGraphicFramePr/>
                      <a:graphic xmlns:a="http://schemas.openxmlformats.org/drawingml/2006/main">
                        <a:graphicData uri="http://schemas.microsoft.com/office/word/2010/wordprocessingShape">
                          <wps:wsp>
                            <wps:cNvSpPr txBox="1">
                              <a:spLocks noChangeArrowheads="1"/>
                            </wps:cNvSpPr>
                            <wps:spPr bwMode="auto">
                              <a:xfrm>
                                <a:off x="0" y="0"/>
                                <a:ext cx="1313180" cy="266065"/>
                              </a:xfrm>
                              <a:prstGeom prst="rect">
                                <a:avLst/>
                              </a:prstGeom>
                              <a:noFill/>
                              <a:ln>
                                <a:noFill/>
                              </a:ln>
                            </wps:spPr>
                            <wps:txbx>
                              <w:txbxContent>
                                <w:p>
                                  <w:pPr>
                                    <w:rPr>
                                      <w:rFonts w:hint="default" w:eastAsia="宋体"/>
                                      <w:lang w:val="en-US" w:eastAsia="zh-CN"/>
                                    </w:rPr>
                                  </w:pPr>
                                  <w:r>
                                    <w:rPr>
                                      <w:rFonts w:hint="eastAsia"/>
                                      <w:lang w:val="en-US" w:eastAsia="zh-CN"/>
                                    </w:rPr>
                                    <w:t>用于绿化139.5</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128.75pt;margin-top:18.7pt;height:20.95pt;width:103.4pt;z-index:251680768;mso-width-relative:page;mso-height-relative:page;" filled="f" stroked="f" coordsize="21600,21600" o:gfxdata="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Ld3R1wAAAAkBAAAPAAAAAAAAAAEAIAAAACIAAABk&#10;cnMvZG93bnJldi54bWxQSwECFAAUAAAACACHTuJAX+boiwcCAAAVBAAADgAAAAAAAAABACAAAAAm&#10;AQAAZHJzL2Uyb0RvYy54bWxQSwUGAAAAAAYABgBZAQAAnwUAAAAA&#10;">
                      <v:fill on="f" focussize="0,0"/>
                      <v:stroke on="f"/>
                      <v:imagedata o:title=""/>
                      <o:lock v:ext="edit" aspectratio="f"/>
                      <v:textbox>
                        <w:txbxContent>
                          <w:p>
                            <w:pPr>
                              <w:rPr>
                                <w:rFonts w:hint="default" w:eastAsia="宋体"/>
                                <w:lang w:val="en-US" w:eastAsia="zh-CN"/>
                              </w:rPr>
                            </w:pPr>
                            <w:r>
                              <w:rPr>
                                <w:rFonts w:hint="eastAsia"/>
                                <w:lang w:val="en-US" w:eastAsia="zh-CN"/>
                              </w:rPr>
                              <w:t>用于绿化139.5</w:t>
                            </w:r>
                          </w:p>
                        </w:txbxContent>
                      </v:textbox>
                    </v:shape>
                  </w:pict>
                </mc:Fallback>
              </mc:AlternateContent>
            </w:r>
            <w:r>
              <w:rPr>
                <w:color w:val="auto"/>
                <w:sz w:val="24"/>
              </w:rPr>
              <mc:AlternateContent>
                <mc:Choice Requires="wps">
                  <w:drawing>
                    <wp:anchor distT="0" distB="0" distL="114300" distR="114300" simplePos="0" relativeHeight="251677696" behindDoc="0" locked="0" layoutInCell="1" allowOverlap="1">
                      <wp:simplePos x="0" y="0"/>
                      <wp:positionH relativeFrom="column">
                        <wp:posOffset>47625</wp:posOffset>
                      </wp:positionH>
                      <wp:positionV relativeFrom="paragraph">
                        <wp:posOffset>139065</wp:posOffset>
                      </wp:positionV>
                      <wp:extent cx="514350" cy="0"/>
                      <wp:effectExtent l="0" t="25400" r="0" b="31750"/>
                      <wp:wrapNone/>
                      <wp:docPr id="62" name="AutoShape 4"/>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6350">
                                <a:solidFill>
                                  <a:srgbClr val="000000"/>
                                </a:solidFill>
                                <a:round/>
                                <a:tailEnd type="triangle" w="sm" len="med"/>
                              </a:ln>
                            </wps:spPr>
                            <wps:bodyPr/>
                          </wps:wsp>
                        </a:graphicData>
                      </a:graphic>
                    </wp:anchor>
                  </w:drawing>
                </mc:Choice>
                <mc:Fallback>
                  <w:pict>
                    <v:shape id="AutoShape 4" o:spid="_x0000_s1026" o:spt="32" type="#_x0000_t32" style="position:absolute;left:0pt;margin-left:3.75pt;margin-top:10.95pt;height:0pt;width:40.5pt;z-index:251677696;mso-width-relative:page;mso-height-relative:page;" filled="f" stroked="t" coordsize="21600,21600" o:gfxdata="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QKQP9IAAAAG&#10;AQAADwAAAAAAAAABACAAAAAiAAAAZHJzL2Rvd25yZXYueG1sUEsBAhQAFAAAAAgAh07iQIFrReHp&#10;AQAA3wMAAA4AAAAAAAAAAQAgAAAAIQEAAGRycy9lMm9Eb2MueG1sUEsFBgAAAAAGAAYAWQEAAHwF&#10;AAAAAA==&#10;">
                      <v:fill on="f" focussize="0,0"/>
                      <v:stroke weight="0.5pt" color="#000000" joinstyle="round" endarrow="block" endarrowwidth="narrow"/>
                      <v:imagedata o:title=""/>
                      <o:lock v:ext="edit" aspectratio="f"/>
                    </v:shape>
                  </w:pict>
                </mc:Fallback>
              </mc:AlternateContent>
            </w:r>
          </w:p>
          <w:p>
            <w:pPr>
              <w:spacing w:line="360" w:lineRule="auto"/>
              <w:jc w:val="center"/>
              <w:rPr>
                <w:b/>
                <w:bCs/>
                <w:color w:val="auto"/>
              </w:rPr>
            </w:pPr>
            <w:r>
              <w:rPr>
                <w:color w:val="auto"/>
                <w:sz w:val="24"/>
              </w:rPr>
              <mc:AlternateContent>
                <mc:Choice Requires="wps">
                  <w:drawing>
                    <wp:anchor distT="0" distB="0" distL="114300" distR="114300" simplePos="0" relativeHeight="251675648" behindDoc="0" locked="0" layoutInCell="1" allowOverlap="1">
                      <wp:simplePos x="0" y="0"/>
                      <wp:positionH relativeFrom="column">
                        <wp:posOffset>-10795</wp:posOffset>
                      </wp:positionH>
                      <wp:positionV relativeFrom="paragraph">
                        <wp:posOffset>57785</wp:posOffset>
                      </wp:positionV>
                      <wp:extent cx="680085" cy="266065"/>
                      <wp:effectExtent l="0" t="0" r="0" b="0"/>
                      <wp:wrapNone/>
                      <wp:docPr id="63" name="Text Box 6"/>
                      <wp:cNvGraphicFramePr/>
                      <a:graphic xmlns:a="http://schemas.openxmlformats.org/drawingml/2006/main">
                        <a:graphicData uri="http://schemas.microsoft.com/office/word/2010/wordprocessingShape">
                          <wps:wsp>
                            <wps:cNvSpPr txBox="1">
                              <a:spLocks noChangeArrowheads="1"/>
                            </wps:cNvSpPr>
                            <wps:spPr bwMode="auto">
                              <a:xfrm>
                                <a:off x="0" y="0"/>
                                <a:ext cx="680085" cy="266065"/>
                              </a:xfrm>
                              <a:prstGeom prst="rect">
                                <a:avLst/>
                              </a:prstGeom>
                              <a:noFill/>
                              <a:ln>
                                <a:noFill/>
                              </a:ln>
                            </wps:spPr>
                            <wps:txbx>
                              <w:txbxContent>
                                <w:p>
                                  <w:pPr>
                                    <w:rPr>
                                      <w:rFonts w:hint="default" w:eastAsia="宋体"/>
                                      <w:lang w:val="en-US" w:eastAsia="zh-CN"/>
                                    </w:rPr>
                                  </w:pPr>
                                  <w:r>
                                    <w:rPr>
                                      <w:rFonts w:hint="eastAsia"/>
                                      <w:lang w:val="en-US" w:eastAsia="zh-CN"/>
                                    </w:rPr>
                                    <w:t>1414.5</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0.85pt;margin-top:4.55pt;height:20.95pt;width:53.55pt;z-index:251675648;mso-width-relative:page;mso-height-relative:page;" filled="f" stroked="f" coordsize="21600,21600" o:gfxdata="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P6ckNQAAAAHAQAADwAAAAAAAAABACAAAAAiAAAAZHJz&#10;L2Rvd25yZXYueG1sUEsBAhQAFAAAAAgAh07iQPTzXggIAgAAFAQAAA4AAAAAAAAAAQAgAAAAIwEA&#10;AGRycy9lMm9Eb2MueG1sUEsFBgAAAAAGAAYAWQEAAJ0FAAAAAA==&#10;">
                      <v:fill on="f" focussize="0,0"/>
                      <v:stroke on="f"/>
                      <v:imagedata o:title=""/>
                      <o:lock v:ext="edit" aspectratio="f"/>
                      <v:textbox>
                        <w:txbxContent>
                          <w:p>
                            <w:pPr>
                              <w:rPr>
                                <w:rFonts w:hint="default" w:eastAsia="宋体"/>
                                <w:lang w:val="en-US" w:eastAsia="zh-CN"/>
                              </w:rPr>
                            </w:pPr>
                            <w:r>
                              <w:rPr>
                                <w:rFonts w:hint="eastAsia"/>
                                <w:lang w:val="en-US" w:eastAsia="zh-CN"/>
                              </w:rPr>
                              <w:t>1414.5</w:t>
                            </w:r>
                          </w:p>
                        </w:txbxContent>
                      </v:textbox>
                    </v:shape>
                  </w:pict>
                </mc:Fallback>
              </mc:AlternateContent>
            </w:r>
            <w:r>
              <w:rPr>
                <w:color w:val="auto"/>
                <w:sz w:val="24"/>
              </w:rPr>
              <mc:AlternateContent>
                <mc:Choice Requires="wps">
                  <w:drawing>
                    <wp:anchor distT="0" distB="0" distL="114300" distR="114300" simplePos="0" relativeHeight="251663360" behindDoc="0" locked="0" layoutInCell="1" allowOverlap="1">
                      <wp:simplePos x="0" y="0"/>
                      <wp:positionH relativeFrom="column">
                        <wp:posOffset>1329690</wp:posOffset>
                      </wp:positionH>
                      <wp:positionV relativeFrom="paragraph">
                        <wp:posOffset>166370</wp:posOffset>
                      </wp:positionV>
                      <wp:extent cx="325755" cy="257810"/>
                      <wp:effectExtent l="3175" t="0" r="13970" b="8890"/>
                      <wp:wrapNone/>
                      <wp:docPr id="46" name="自选图形 1055"/>
                      <wp:cNvGraphicFramePr/>
                      <a:graphic xmlns:a="http://schemas.openxmlformats.org/drawingml/2006/main">
                        <a:graphicData uri="http://schemas.microsoft.com/office/word/2010/wordprocessingShape">
                          <wps:wsp>
                            <wps:cNvCnPr>
                              <a:cxnSpLocks noChangeShapeType="1"/>
                            </wps:cNvCnPr>
                            <wps:spPr bwMode="auto">
                              <a:xfrm flipV="1">
                                <a:off x="0" y="0"/>
                                <a:ext cx="325755" cy="257810"/>
                              </a:xfrm>
                              <a:prstGeom prst="straightConnector1">
                                <a:avLst/>
                              </a:prstGeom>
                              <a:noFill/>
                              <a:ln w="6350">
                                <a:solidFill>
                                  <a:srgbClr val="000000"/>
                                </a:solidFill>
                                <a:prstDash val="dash"/>
                                <a:round/>
                                <a:tailEnd type="triangle" w="sm" len="med"/>
                              </a:ln>
                            </wps:spPr>
                            <wps:bodyPr/>
                          </wps:wsp>
                        </a:graphicData>
                      </a:graphic>
                    </wp:anchor>
                  </w:drawing>
                </mc:Choice>
                <mc:Fallback>
                  <w:pict>
                    <v:shape id="自选图形 1055" o:spid="_x0000_s1026" o:spt="32" type="#_x0000_t32" style="position:absolute;left:0pt;flip:y;margin-left:104.7pt;margin-top:13.1pt;height:20.3pt;width:25.65pt;z-index:251663360;mso-width-relative:page;mso-height-relative:page;" filled="f" stroked="t" coordsize="21600,21600" o:gfxdata="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1GTZ1wAAAAkB&#10;AAAPAAAAAAAAAAEAIAAAACIAAABkcnMvZG93bnJldi54bWxQSwECFAAUAAAACACHTuJAfWaoEhwC&#10;AAAMBAAADgAAAAAAAAABACAAAAAmAQAAZHJzL2Uyb0RvYy54bWxQSwUGAAAAAAYABgBZAQAAtAUA&#10;AAAA&#10;">
                      <v:fill on="f" focussize="0,0"/>
                      <v:stroke weight="0.5pt" color="#000000" joinstyle="round" dashstyle="dash" endarrow="block" endarrowwidth="narrow"/>
                      <v:imagedata o:title=""/>
                      <o:lock v:ext="edit" aspectratio="f"/>
                    </v:shape>
                  </w:pict>
                </mc:Fallback>
              </mc:AlternateContent>
            </w:r>
          </w:p>
          <w:p>
            <w:pPr>
              <w:spacing w:line="360" w:lineRule="auto"/>
              <w:jc w:val="center"/>
              <w:rPr>
                <w:b/>
                <w:bCs/>
                <w:color w:val="auto"/>
              </w:rPr>
            </w:pPr>
            <w:r>
              <w:rPr>
                <w:color w:val="auto"/>
                <w:sz w:val="24"/>
              </w:rPr>
              <mc:AlternateContent>
                <mc:Choice Requires="wps">
                  <w:drawing>
                    <wp:anchor distT="0" distB="0" distL="114300" distR="114300" simplePos="0" relativeHeight="251713536" behindDoc="0" locked="0" layoutInCell="1" allowOverlap="1">
                      <wp:simplePos x="0" y="0"/>
                      <wp:positionH relativeFrom="column">
                        <wp:posOffset>2394585</wp:posOffset>
                      </wp:positionH>
                      <wp:positionV relativeFrom="paragraph">
                        <wp:posOffset>191135</wp:posOffset>
                      </wp:positionV>
                      <wp:extent cx="1899285" cy="342900"/>
                      <wp:effectExtent l="0" t="0" r="0" b="0"/>
                      <wp:wrapNone/>
                      <wp:docPr id="3" name="文本框 1053"/>
                      <wp:cNvGraphicFramePr/>
                      <a:graphic xmlns:a="http://schemas.openxmlformats.org/drawingml/2006/main">
                        <a:graphicData uri="http://schemas.microsoft.com/office/word/2010/wordprocessingShape">
                          <wps:wsp>
                            <wps:cNvSpPr txBox="1">
                              <a:spLocks noChangeArrowheads="1"/>
                            </wps:cNvSpPr>
                            <wps:spPr bwMode="auto">
                              <a:xfrm>
                                <a:off x="0" y="0"/>
                                <a:ext cx="1899285" cy="342900"/>
                              </a:xfrm>
                              <a:prstGeom prst="rect">
                                <a:avLst/>
                              </a:prstGeom>
                              <a:noFill/>
                              <a:ln w="6350">
                                <a:noFill/>
                                <a:miter lim="800000"/>
                              </a:ln>
                            </wps:spPr>
                            <wps:txbx>
                              <w:txbxContent>
                                <w:p>
                                  <w:pPr>
                                    <w:rPr>
                                      <w:rFonts w:hint="default" w:ascii="宋体" w:hAnsi="宋体" w:eastAsia="宋体"/>
                                      <w:lang w:val="en-US" w:eastAsia="zh-CN"/>
                                    </w:rPr>
                                  </w:pPr>
                                  <w:r>
                                    <w:rPr>
                                      <w:rFonts w:hint="eastAsia" w:ascii="宋体" w:hAnsi="宋体"/>
                                      <w:lang w:val="en-US" w:eastAsia="zh-CN"/>
                                    </w:rPr>
                                    <w:t>水性环氧乳液产品</w:t>
                                  </w:r>
                                  <w:r>
                                    <w:rPr>
                                      <w:rFonts w:hint="default" w:ascii="Times New Roman" w:hAnsi="Times New Roman" w:cs="Times New Roman"/>
                                      <w:lang w:val="en-US" w:eastAsia="zh-CN"/>
                                    </w:rPr>
                                    <w:t>480</w:t>
                                  </w:r>
                                </w:p>
                              </w:txbxContent>
                            </wps:txbx>
                            <wps:bodyPr rot="0" vert="horz" wrap="square" lIns="91440" tIns="45720" rIns="91440" bIns="45720" anchor="t" anchorCtr="0" upright="1">
                              <a:noAutofit/>
                            </wps:bodyPr>
                          </wps:wsp>
                        </a:graphicData>
                      </a:graphic>
                    </wp:anchor>
                  </w:drawing>
                </mc:Choice>
                <mc:Fallback>
                  <w:pict>
                    <v:shape id="文本框 1053" o:spid="_x0000_s1026" o:spt="202" type="#_x0000_t202" style="position:absolute;left:0pt;margin-left:188.55pt;margin-top:15.05pt;height:27pt;width:149.55pt;z-index:251713536;mso-width-relative:page;mso-height-relative:page;" filled="f" stroked="f" coordsize="21600,21600" o:gfxdata="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9uyXW2gAAAAkBAAAPAAAAAAAAAAEAIAAAACIAAABkcnMvZG93bnJldi54bWxQ&#10;SwECFAAUAAAACACHTuJAAWETyi4CAAA4BAAADgAAAAAAAAABACAAAAApAQAAZHJzL2Uyb0RvYy54&#10;bWxQSwUGAAAAAAYABgBZAQAAyQUAAAAA&#10;">
                      <v:fill on="f" focussize="0,0"/>
                      <v:stroke on="f" weight="0.5pt" miterlimit="8" joinstyle="miter"/>
                      <v:imagedata o:title=""/>
                      <o:lock v:ext="edit" aspectratio="f"/>
                      <v:textbox>
                        <w:txbxContent>
                          <w:p>
                            <w:pPr>
                              <w:rPr>
                                <w:rFonts w:hint="default" w:ascii="宋体" w:hAnsi="宋体" w:eastAsia="宋体"/>
                                <w:lang w:val="en-US" w:eastAsia="zh-CN"/>
                              </w:rPr>
                            </w:pPr>
                            <w:r>
                              <w:rPr>
                                <w:rFonts w:hint="eastAsia" w:ascii="宋体" w:hAnsi="宋体"/>
                                <w:lang w:val="en-US" w:eastAsia="zh-CN"/>
                              </w:rPr>
                              <w:t>水性环氧乳液产品</w:t>
                            </w:r>
                            <w:r>
                              <w:rPr>
                                <w:rFonts w:hint="default" w:ascii="Times New Roman" w:hAnsi="Times New Roman" w:cs="Times New Roman"/>
                                <w:lang w:val="en-US" w:eastAsia="zh-CN"/>
                              </w:rPr>
                              <w:t>480</w:t>
                            </w:r>
                          </w:p>
                        </w:txbxContent>
                      </v:textbox>
                    </v:shape>
                  </w:pict>
                </mc:Fallback>
              </mc:AlternateContent>
            </w:r>
            <w:r>
              <w:rPr>
                <w:color w:val="auto"/>
                <w:sz w:val="24"/>
              </w:rPr>
              <mc:AlternateContent>
                <mc:Choice Requires="wps">
                  <w:drawing>
                    <wp:anchor distT="0" distB="0" distL="114300" distR="114300" simplePos="0" relativeHeight="251678720" behindDoc="0" locked="0" layoutInCell="1" allowOverlap="1">
                      <wp:simplePos x="0" y="0"/>
                      <wp:positionH relativeFrom="column">
                        <wp:posOffset>589280</wp:posOffset>
                      </wp:positionH>
                      <wp:positionV relativeFrom="paragraph">
                        <wp:posOffset>86360</wp:posOffset>
                      </wp:positionV>
                      <wp:extent cx="557530" cy="266065"/>
                      <wp:effectExtent l="0" t="0" r="0" b="0"/>
                      <wp:wrapNone/>
                      <wp:docPr id="65" name="Text Box 6"/>
                      <wp:cNvGraphicFramePr/>
                      <a:graphic xmlns:a="http://schemas.openxmlformats.org/drawingml/2006/main">
                        <a:graphicData uri="http://schemas.microsoft.com/office/word/2010/wordprocessingShape">
                          <wps:wsp>
                            <wps:cNvSpPr txBox="1">
                              <a:spLocks noChangeArrowheads="1"/>
                            </wps:cNvSpPr>
                            <wps:spPr bwMode="auto">
                              <a:xfrm>
                                <a:off x="0" y="0"/>
                                <a:ext cx="557530" cy="266065"/>
                              </a:xfrm>
                              <a:prstGeom prst="rect">
                                <a:avLst/>
                              </a:prstGeom>
                              <a:noFill/>
                              <a:ln>
                                <a:noFill/>
                              </a:ln>
                            </wps:spPr>
                            <wps:txbx>
                              <w:txbxContent>
                                <w:p>
                                  <w:pPr>
                                    <w:rPr>
                                      <w:rFonts w:hint="default" w:eastAsia="宋体"/>
                                      <w:lang w:val="en-US" w:eastAsia="zh-CN"/>
                                    </w:rPr>
                                  </w:pPr>
                                  <w:r>
                                    <w:rPr>
                                      <w:rFonts w:hint="eastAsia"/>
                                      <w:lang w:val="en-US" w:eastAsia="zh-CN"/>
                                    </w:rPr>
                                    <w:t>654.5</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46.4pt;margin-top:6.8pt;height:20.95pt;width:43.9pt;z-index:251678720;mso-width-relative:page;mso-height-relative:page;" filled="f" stroked="f" coordsize="21600,21600" o:gfxdata="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v9Mg1QAAAAgBAAAPAAAAAAAAAAEAIAAAACIAAABkcnMv&#10;ZG93bnJldi54bWxQSwECFAAUAAAACACHTuJAM8CKxwYCAAAUBAAADgAAAAAAAAABACAAAAAkAQAA&#10;ZHJzL2Uyb0RvYy54bWxQSwUGAAAAAAYABgBZAQAAnAUAAAAA&#10;">
                      <v:fill on="f" focussize="0,0"/>
                      <v:stroke on="f"/>
                      <v:imagedata o:title=""/>
                      <o:lock v:ext="edit" aspectratio="f"/>
                      <v:textbox>
                        <w:txbxContent>
                          <w:p>
                            <w:pPr>
                              <w:rPr>
                                <w:rFonts w:hint="default" w:eastAsia="宋体"/>
                                <w:lang w:val="en-US" w:eastAsia="zh-CN"/>
                              </w:rPr>
                            </w:pPr>
                            <w:r>
                              <w:rPr>
                                <w:rFonts w:hint="eastAsia"/>
                                <w:lang w:val="en-US" w:eastAsia="zh-CN"/>
                              </w:rPr>
                              <w:t>654.5</w:t>
                            </w:r>
                          </w:p>
                        </w:txbxContent>
                      </v:textbox>
                    </v:shape>
                  </w:pict>
                </mc:Fallback>
              </mc:AlternateContent>
            </w:r>
            <w:r>
              <w:rPr>
                <w:color w:val="auto"/>
                <w:sz w:val="24"/>
              </w:rPr>
              <mc:AlternateContent>
                <mc:Choice Requires="wps">
                  <w:drawing>
                    <wp:anchor distT="0" distB="0" distL="114300" distR="114300" simplePos="0" relativeHeight="251674624" behindDoc="0" locked="0" layoutInCell="1" allowOverlap="1">
                      <wp:simplePos x="0" y="0"/>
                      <wp:positionH relativeFrom="column">
                        <wp:posOffset>1091565</wp:posOffset>
                      </wp:positionH>
                      <wp:positionV relativeFrom="paragraph">
                        <wp:posOffset>179070</wp:posOffset>
                      </wp:positionV>
                      <wp:extent cx="800100" cy="342900"/>
                      <wp:effectExtent l="4445" t="4445" r="14605" b="14605"/>
                      <wp:wrapNone/>
                      <wp:docPr id="58" name="Text Box 3"/>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6350">
                                <a:solidFill>
                                  <a:srgbClr val="000000"/>
                                </a:solidFill>
                                <a:miter lim="800000"/>
                              </a:ln>
                            </wps:spPr>
                            <wps:txbx>
                              <w:txbxContent>
                                <w:p>
                                  <w:pPr>
                                    <w:rPr>
                                      <w:rFonts w:ascii="宋体" w:hAnsi="宋体"/>
                                    </w:rPr>
                                  </w:pPr>
                                  <w:r>
                                    <w:rPr>
                                      <w:rFonts w:hint="eastAsia" w:ascii="宋体" w:hAnsi="宋体"/>
                                      <w:lang w:val="en-US" w:eastAsia="zh-CN"/>
                                    </w:rPr>
                                    <w:t>去离子</w:t>
                                  </w:r>
                                  <w:r>
                                    <w:rPr>
                                      <w:rFonts w:hint="eastAsia" w:ascii="宋体" w:hAnsi="宋体"/>
                                    </w:rPr>
                                    <w:t>水</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85.95pt;margin-top:14.1pt;height:27pt;width:63pt;z-index:251674624;mso-width-relative:page;mso-height-relative:page;" filled="f" stroked="t" coordsize="21600,21600" o:gfxdata="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VQAV3ZAAAACQEAAA8AAAAAAAAAAQAgAAAAIgAAAGRycy9kb3ducmV2LnhtbFBLAQIU&#10;ABQAAAAIAIdO4kCCi2n5KwIAAF0EAAAOAAAAAAAAAAEAIAAAACgBAABkcnMvZTJvRG9jLnhtbFBL&#10;BQYAAAAABgAGAFkBAADFBQAAAAA=&#10;">
                      <v:fill on="f" focussize="0,0"/>
                      <v:stroke weight="0.5pt" color="#000000" miterlimit="8" joinstyle="miter"/>
                      <v:imagedata o:title=""/>
                      <o:lock v:ext="edit" aspectratio="f"/>
                      <v:textbox>
                        <w:txbxContent>
                          <w:p>
                            <w:pPr>
                              <w:rPr>
                                <w:rFonts w:ascii="宋体" w:hAnsi="宋体"/>
                              </w:rPr>
                            </w:pPr>
                            <w:r>
                              <w:rPr>
                                <w:rFonts w:hint="eastAsia" w:ascii="宋体" w:hAnsi="宋体"/>
                                <w:lang w:val="en-US" w:eastAsia="zh-CN"/>
                              </w:rPr>
                              <w:t>去离子</w:t>
                            </w:r>
                            <w:r>
                              <w:rPr>
                                <w:rFonts w:hint="eastAsia" w:ascii="宋体" w:hAnsi="宋体"/>
                              </w:rPr>
                              <w:t>水</w:t>
                            </w:r>
                          </w:p>
                        </w:txbxContent>
                      </v:textbox>
                    </v:shape>
                  </w:pict>
                </mc:Fallback>
              </mc:AlternateContent>
            </w:r>
          </w:p>
          <w:p>
            <w:pPr>
              <w:pStyle w:val="2"/>
              <w:rPr>
                <w:b/>
                <w:bCs/>
                <w:color w:val="auto"/>
              </w:rPr>
            </w:pPr>
            <w:r>
              <w:rPr>
                <w:color w:val="auto"/>
                <w:sz w:val="24"/>
              </w:rPr>
              <mc:AlternateContent>
                <mc:Choice Requires="wps">
                  <w:drawing>
                    <wp:anchor distT="0" distB="0" distL="114300" distR="114300" simplePos="0" relativeHeight="251712512" behindDoc="0" locked="0" layoutInCell="1" allowOverlap="1">
                      <wp:simplePos x="0" y="0"/>
                      <wp:positionH relativeFrom="column">
                        <wp:posOffset>1911985</wp:posOffset>
                      </wp:positionH>
                      <wp:positionV relativeFrom="paragraph">
                        <wp:posOffset>109855</wp:posOffset>
                      </wp:positionV>
                      <wp:extent cx="514350" cy="0"/>
                      <wp:effectExtent l="0" t="25400" r="0" b="31750"/>
                      <wp:wrapNone/>
                      <wp:docPr id="1" name="AutoShape 4"/>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6350">
                                <a:solidFill>
                                  <a:srgbClr val="000000"/>
                                </a:solidFill>
                                <a:round/>
                                <a:tailEnd type="triangle" w="sm" len="med"/>
                              </a:ln>
                            </wps:spPr>
                            <wps:bodyPr/>
                          </wps:wsp>
                        </a:graphicData>
                      </a:graphic>
                    </wp:anchor>
                  </w:drawing>
                </mc:Choice>
                <mc:Fallback>
                  <w:pict>
                    <v:shape id="AutoShape 4" o:spid="_x0000_s1026" o:spt="32" type="#_x0000_t32" style="position:absolute;left:0pt;margin-left:150.55pt;margin-top:8.65pt;height:0pt;width:40.5pt;z-index:251712512;mso-width-relative:page;mso-height-relative:page;" filled="f" stroked="t" coordsize="21600,21600" o:gfxdata="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o+QZPW&#10;AAAACQEAAA8AAAAAAAAAAQAgAAAAIgAAAGRycy9kb3ducmV2LnhtbFBLAQIUABQAAAAIAIdO4kAY&#10;UsJr6QEAAN4DAAAOAAAAAAAAAAEAIAAAACUBAABkcnMvZTJvRG9jLnhtbFBLBQYAAAAABgAGAFkB&#10;AACABQAAAAA=&#10;">
                      <v:fill on="f" focussize="0,0"/>
                      <v:stroke weight="0.5pt" color="#000000" joinstyle="round" endarrow="block" endarrowwidth="narrow"/>
                      <v:imagedata o:title=""/>
                      <o:lock v:ext="edit" aspectratio="f"/>
                    </v:shape>
                  </w:pict>
                </mc:Fallback>
              </mc:AlternateContent>
            </w:r>
            <w:r>
              <w:rPr>
                <w:color w:val="auto"/>
                <w:sz w:val="24"/>
              </w:rPr>
              <mc:AlternateContent>
                <mc:Choice Requires="wps">
                  <w:drawing>
                    <wp:anchor distT="0" distB="0" distL="114300" distR="114300" simplePos="0" relativeHeight="251673600" behindDoc="0" locked="0" layoutInCell="1" allowOverlap="1">
                      <wp:simplePos x="0" y="0"/>
                      <wp:positionH relativeFrom="column">
                        <wp:posOffset>576580</wp:posOffset>
                      </wp:positionH>
                      <wp:positionV relativeFrom="paragraph">
                        <wp:posOffset>128905</wp:posOffset>
                      </wp:positionV>
                      <wp:extent cx="514350" cy="0"/>
                      <wp:effectExtent l="0" t="25400" r="0" b="31750"/>
                      <wp:wrapNone/>
                      <wp:docPr id="56" name="AutoShape 4"/>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6350">
                                <a:solidFill>
                                  <a:srgbClr val="000000"/>
                                </a:solidFill>
                                <a:round/>
                                <a:tailEnd type="triangle" w="sm" len="med"/>
                              </a:ln>
                            </wps:spPr>
                            <wps:bodyPr/>
                          </wps:wsp>
                        </a:graphicData>
                      </a:graphic>
                    </wp:anchor>
                  </w:drawing>
                </mc:Choice>
                <mc:Fallback>
                  <w:pict>
                    <v:shape id="AutoShape 4" o:spid="_x0000_s1026" o:spt="32" type="#_x0000_t32" style="position:absolute;left:0pt;margin-left:45.4pt;margin-top:10.15pt;height:0pt;width:40.5pt;z-index:251673600;mso-width-relative:page;mso-height-relative:page;" filled="f" stroked="t" coordsize="21600,21600" o:gfxdata="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XxzStQA&#10;AAAIAQAADwAAAAAAAAABACAAAAAiAAAAZHJzL2Rvd25yZXYueG1sUEsBAhQAFAAAAAgAh07iQL8o&#10;SkTqAQAA3wMAAA4AAAAAAAAAAQAgAAAAIwEAAGRycy9lMm9Eb2MueG1sUEsFBgAAAAAGAAYAWQEA&#10;AH8FAAAAAA==&#10;">
                      <v:fill on="f" focussize="0,0"/>
                      <v:stroke weight="0.5pt" color="#000000" joinstyle="round" endarrow="block" endarrowwidth="narrow"/>
                      <v:imagedata o:title=""/>
                      <o:lock v:ext="edit" aspectratio="f"/>
                    </v:shape>
                  </w:pict>
                </mc:Fallback>
              </mc:AlternateContent>
            </w:r>
          </w:p>
          <w:p>
            <w:pPr>
              <w:rPr>
                <w:color w:val="auto"/>
              </w:rPr>
            </w:pPr>
            <w:r>
              <w:rPr>
                <w:color w:val="auto"/>
                <w:sz w:val="24"/>
              </w:rPr>
              <mc:AlternateContent>
                <mc:Choice Requires="wps">
                  <w:drawing>
                    <wp:anchor distT="0" distB="0" distL="114300" distR="114300" simplePos="0" relativeHeight="251741184" behindDoc="0" locked="0" layoutInCell="1" allowOverlap="1">
                      <wp:simplePos x="0" y="0"/>
                      <wp:positionH relativeFrom="column">
                        <wp:posOffset>1551940</wp:posOffset>
                      </wp:positionH>
                      <wp:positionV relativeFrom="paragraph">
                        <wp:posOffset>64135</wp:posOffset>
                      </wp:positionV>
                      <wp:extent cx="7620" cy="255270"/>
                      <wp:effectExtent l="22860" t="0" r="26670" b="11430"/>
                      <wp:wrapNone/>
                      <wp:docPr id="164" name="AutoShape 4"/>
                      <wp:cNvGraphicFramePr/>
                      <a:graphic xmlns:a="http://schemas.openxmlformats.org/drawingml/2006/main">
                        <a:graphicData uri="http://schemas.microsoft.com/office/word/2010/wordprocessingShape">
                          <wps:wsp>
                            <wps:cNvCnPr>
                              <a:cxnSpLocks noChangeShapeType="1"/>
                            </wps:cNvCnPr>
                            <wps:spPr bwMode="auto">
                              <a:xfrm flipH="1">
                                <a:off x="0" y="0"/>
                                <a:ext cx="7620" cy="255270"/>
                              </a:xfrm>
                              <a:prstGeom prst="straightConnector1">
                                <a:avLst/>
                              </a:prstGeom>
                              <a:noFill/>
                              <a:ln w="6350">
                                <a:solidFill>
                                  <a:srgbClr val="000000"/>
                                </a:solidFill>
                                <a:round/>
                                <a:tailEnd type="triangle" w="sm" len="med"/>
                              </a:ln>
                            </wps:spPr>
                            <wps:bodyPr/>
                          </wps:wsp>
                        </a:graphicData>
                      </a:graphic>
                    </wp:anchor>
                  </w:drawing>
                </mc:Choice>
                <mc:Fallback>
                  <w:pict>
                    <v:shape id="AutoShape 4" o:spid="_x0000_s1026" o:spt="32" type="#_x0000_t32" style="position:absolute;left:0pt;flip:x;margin-left:122.2pt;margin-top:5.05pt;height:20.1pt;width:0.6pt;z-index:251741184;mso-width-relative:page;mso-height-relative:page;" filled="f" stroked="t" coordsize="21600,21600" o:gfxdata="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r0K9LYAAAACQEAAA8AAAAAAAAAAQAgAAAAIgAAAGRycy9kb3ducmV2Lnht&#10;bFBLAQIUABQAAAAIAIdO4kCoInfd+QEAAO0DAAAOAAAAAAAAAAEAIAAAACcBAABkcnMvZTJvRG9j&#10;LnhtbFBLBQYAAAAABgAGAFkBAACSBQAAAAA=&#10;">
                      <v:fill on="f" focussize="0,0"/>
                      <v:stroke weight="0.5pt" color="#000000" joinstyle="round" endarrow="block" endarrowwidth="narrow"/>
                      <v:imagedata o:title=""/>
                      <o:lock v:ext="edit" aspectratio="f"/>
                    </v:shape>
                  </w:pict>
                </mc:Fallback>
              </mc:AlternateContent>
            </w:r>
          </w:p>
          <w:p>
            <w:pPr>
              <w:spacing w:line="360" w:lineRule="auto"/>
              <w:jc w:val="center"/>
              <w:rPr>
                <w:b/>
                <w:bCs/>
                <w:color w:val="auto"/>
              </w:rPr>
            </w:pPr>
            <w:r>
              <w:rPr>
                <w:color w:val="auto"/>
                <w:sz w:val="24"/>
              </w:rPr>
              <mc:AlternateContent>
                <mc:Choice Requires="wps">
                  <w:drawing>
                    <wp:anchor distT="0" distB="0" distL="114300" distR="114300" simplePos="0" relativeHeight="251715584" behindDoc="0" locked="0" layoutInCell="1" allowOverlap="1">
                      <wp:simplePos x="0" y="0"/>
                      <wp:positionH relativeFrom="column">
                        <wp:posOffset>1139190</wp:posOffset>
                      </wp:positionH>
                      <wp:positionV relativeFrom="paragraph">
                        <wp:posOffset>195580</wp:posOffset>
                      </wp:positionV>
                      <wp:extent cx="2068195" cy="342900"/>
                      <wp:effectExtent l="0" t="0" r="0" b="0"/>
                      <wp:wrapNone/>
                      <wp:docPr id="8" name="文本框 1053"/>
                      <wp:cNvGraphicFramePr/>
                      <a:graphic xmlns:a="http://schemas.openxmlformats.org/drawingml/2006/main">
                        <a:graphicData uri="http://schemas.microsoft.com/office/word/2010/wordprocessingShape">
                          <wps:wsp>
                            <wps:cNvSpPr txBox="1">
                              <a:spLocks noChangeArrowheads="1"/>
                            </wps:cNvSpPr>
                            <wps:spPr bwMode="auto">
                              <a:xfrm>
                                <a:off x="0" y="0"/>
                                <a:ext cx="2068195" cy="342900"/>
                              </a:xfrm>
                              <a:prstGeom prst="rect">
                                <a:avLst/>
                              </a:prstGeom>
                              <a:noFill/>
                              <a:ln w="6350">
                                <a:noFill/>
                                <a:miter lim="800000"/>
                              </a:ln>
                            </wps:spPr>
                            <wps:txbx>
                              <w:txbxContent>
                                <w:p>
                                  <w:pPr>
                                    <w:rPr>
                                      <w:rFonts w:hint="default" w:ascii="宋体" w:hAnsi="宋体" w:eastAsia="宋体"/>
                                      <w:lang w:val="en-US" w:eastAsia="zh-CN"/>
                                    </w:rPr>
                                  </w:pPr>
                                  <w:r>
                                    <w:rPr>
                                      <w:rFonts w:hint="eastAsia" w:ascii="宋体" w:hAnsi="宋体"/>
                                      <w:lang w:val="en-US" w:eastAsia="zh-CN"/>
                                    </w:rPr>
                                    <w:t>水性隔热防火材料产品</w:t>
                                  </w:r>
                                  <w:r>
                                    <w:rPr>
                                      <w:rFonts w:hint="eastAsia" w:cs="Times New Roman"/>
                                      <w:lang w:val="en-US" w:eastAsia="zh-CN"/>
                                    </w:rPr>
                                    <w:t>35</w:t>
                                  </w:r>
                                </w:p>
                              </w:txbxContent>
                            </wps:txbx>
                            <wps:bodyPr rot="0" vert="horz" wrap="square" lIns="91440" tIns="45720" rIns="91440" bIns="45720" anchor="t" anchorCtr="0" upright="1">
                              <a:noAutofit/>
                            </wps:bodyPr>
                          </wps:wsp>
                        </a:graphicData>
                      </a:graphic>
                    </wp:anchor>
                  </w:drawing>
                </mc:Choice>
                <mc:Fallback>
                  <w:pict>
                    <v:shape id="文本框 1053" o:spid="_x0000_s1026" o:spt="202" type="#_x0000_t202" style="position:absolute;left:0pt;margin-left:89.7pt;margin-top:15.4pt;height:27pt;width:162.85pt;z-index:251715584;mso-width-relative:page;mso-height-relative:page;" filled="f" stroked="f" coordsize="21600,21600" o:gfxdata="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cmMdnaAAAACQEAAA8AAAAAAAAAAQAgAAAAIgAAAGRycy9kb3ducmV2LnhtbFBL&#10;AQIUABQAAAAIAIdO4kBITWvfLQIAADgEAAAOAAAAAAAAAAEAIAAAACkBAABkcnMvZTJvRG9jLnht&#10;bFBLBQYAAAAABgAGAFkBAADIBQAAAAA=&#10;">
                      <v:fill on="f" focussize="0,0"/>
                      <v:stroke on="f" weight="0.5pt" miterlimit="8" joinstyle="miter"/>
                      <v:imagedata o:title=""/>
                      <o:lock v:ext="edit" aspectratio="f"/>
                      <v:textbox>
                        <w:txbxContent>
                          <w:p>
                            <w:pPr>
                              <w:rPr>
                                <w:rFonts w:hint="default" w:ascii="宋体" w:hAnsi="宋体" w:eastAsia="宋体"/>
                                <w:lang w:val="en-US" w:eastAsia="zh-CN"/>
                              </w:rPr>
                            </w:pPr>
                            <w:r>
                              <w:rPr>
                                <w:rFonts w:hint="eastAsia" w:ascii="宋体" w:hAnsi="宋体"/>
                                <w:lang w:val="en-US" w:eastAsia="zh-CN"/>
                              </w:rPr>
                              <w:t>水性隔热防火材料产品</w:t>
                            </w:r>
                            <w:r>
                              <w:rPr>
                                <w:rFonts w:hint="eastAsia" w:cs="Times New Roman"/>
                                <w:lang w:val="en-US" w:eastAsia="zh-CN"/>
                              </w:rPr>
                              <w:t>35</w:t>
                            </w:r>
                          </w:p>
                        </w:txbxContent>
                      </v:textbox>
                    </v:shape>
                  </w:pict>
                </mc:Fallback>
              </mc:AlternateContent>
            </w:r>
          </w:p>
          <w:p>
            <w:pPr>
              <w:spacing w:line="360" w:lineRule="auto"/>
              <w:jc w:val="center"/>
              <w:rPr>
                <w:b/>
                <w:bCs/>
                <w:color w:val="auto"/>
              </w:rPr>
            </w:pPr>
          </w:p>
          <w:p>
            <w:pPr>
              <w:spacing w:line="360" w:lineRule="auto"/>
              <w:jc w:val="center"/>
              <w:rPr>
                <w:color w:val="auto"/>
              </w:rPr>
            </w:pPr>
            <w:r>
              <w:rPr>
                <w:b/>
                <w:bCs/>
                <w:color w:val="auto"/>
              </w:rPr>
              <w:t>图2-1  项目水平衡图  单位：m</w:t>
            </w:r>
            <w:r>
              <w:rPr>
                <w:b/>
                <w:bCs/>
                <w:color w:val="auto"/>
                <w:vertAlign w:val="superscript"/>
              </w:rPr>
              <w:t>3</w:t>
            </w:r>
            <w:r>
              <w:rPr>
                <w:b/>
                <w:bCs/>
                <w:color w:val="auto"/>
              </w:rPr>
              <w:t>/</w:t>
            </w:r>
            <w:r>
              <w:rPr>
                <w:rFonts w:hint="eastAsia"/>
                <w:b/>
                <w:bCs/>
                <w:color w:val="auto"/>
              </w:rPr>
              <w:t>a</w:t>
            </w:r>
          </w:p>
          <w:p>
            <w:pPr>
              <w:spacing w:line="360" w:lineRule="auto"/>
              <w:ind w:firstLine="480" w:firstLineChars="200"/>
              <w:rPr>
                <w:b/>
                <w:bCs/>
                <w:color w:val="auto"/>
              </w:rPr>
            </w:pPr>
            <w:r>
              <w:rPr>
                <w:color w:val="auto"/>
              </w:rPr>
              <w:t>2.</w:t>
            </w:r>
            <w:r>
              <w:rPr>
                <w:rFonts w:hint="eastAsia"/>
                <w:color w:val="auto"/>
              </w:rPr>
              <w:t>5</w:t>
            </w:r>
            <w:r>
              <w:rPr>
                <w:color w:val="auto"/>
              </w:rPr>
              <w:t>.2 供电</w:t>
            </w:r>
          </w:p>
          <w:p>
            <w:pPr>
              <w:spacing w:line="360" w:lineRule="auto"/>
              <w:ind w:firstLine="480" w:firstLineChars="200"/>
              <w:rPr>
                <w:color w:val="auto"/>
              </w:rPr>
            </w:pPr>
            <w:r>
              <w:rPr>
                <w:color w:val="auto"/>
              </w:rPr>
              <w:t>本次</w:t>
            </w:r>
            <w:r>
              <w:rPr>
                <w:rFonts w:hint="eastAsia"/>
                <w:color w:val="auto"/>
              </w:rPr>
              <w:t>新建项目</w:t>
            </w:r>
            <w:r>
              <w:rPr>
                <w:color w:val="auto"/>
              </w:rPr>
              <w:t>用电引自邵东市</w:t>
            </w:r>
            <w:r>
              <w:rPr>
                <w:rFonts w:hint="eastAsia"/>
                <w:color w:val="auto"/>
              </w:rPr>
              <w:t>黑田铺</w:t>
            </w:r>
            <w:r>
              <w:rPr>
                <w:color w:val="auto"/>
              </w:rPr>
              <w:t>变电站，厂内配电柜。</w:t>
            </w:r>
          </w:p>
          <w:p>
            <w:pPr>
              <w:spacing w:line="360" w:lineRule="auto"/>
              <w:ind w:firstLine="480" w:firstLineChars="200"/>
              <w:rPr>
                <w:color w:val="auto"/>
              </w:rPr>
            </w:pPr>
            <w:r>
              <w:rPr>
                <w:color w:val="auto"/>
              </w:rPr>
              <w:t>2.</w:t>
            </w:r>
            <w:r>
              <w:rPr>
                <w:rFonts w:hint="eastAsia"/>
                <w:color w:val="auto"/>
              </w:rPr>
              <w:t>5</w:t>
            </w:r>
            <w:r>
              <w:rPr>
                <w:color w:val="auto"/>
              </w:rPr>
              <w:t>.3 供暖</w:t>
            </w:r>
          </w:p>
          <w:p>
            <w:pPr>
              <w:spacing w:line="360" w:lineRule="auto"/>
              <w:ind w:firstLine="480" w:firstLineChars="200"/>
              <w:rPr>
                <w:color w:val="auto"/>
              </w:rPr>
            </w:pPr>
            <w:r>
              <w:rPr>
                <w:color w:val="auto"/>
              </w:rPr>
              <w:t>本次</w:t>
            </w:r>
            <w:r>
              <w:rPr>
                <w:rFonts w:hint="eastAsia"/>
                <w:color w:val="auto"/>
              </w:rPr>
              <w:t>新建项目</w:t>
            </w:r>
            <w:r>
              <w:rPr>
                <w:color w:val="auto"/>
              </w:rPr>
              <w:t>完成后，生产车间不供暖，办公室电采暖。</w:t>
            </w:r>
          </w:p>
          <w:p>
            <w:pPr>
              <w:pStyle w:val="3"/>
              <w:rPr>
                <w:color w:val="auto"/>
                <w:sz w:val="24"/>
                <w:szCs w:val="24"/>
              </w:rPr>
            </w:pPr>
            <w:bookmarkStart w:id="8" w:name="_Toc71631401"/>
            <w:r>
              <w:rPr>
                <w:color w:val="auto"/>
                <w:sz w:val="24"/>
                <w:szCs w:val="24"/>
              </w:rPr>
              <w:t>2.</w:t>
            </w:r>
            <w:r>
              <w:rPr>
                <w:rFonts w:hint="eastAsia"/>
                <w:color w:val="auto"/>
                <w:sz w:val="24"/>
                <w:szCs w:val="24"/>
              </w:rPr>
              <w:t>6</w:t>
            </w:r>
            <w:r>
              <w:rPr>
                <w:color w:val="auto"/>
                <w:sz w:val="24"/>
                <w:szCs w:val="24"/>
              </w:rPr>
              <w:t>生产制度及劳动定员</w:t>
            </w:r>
            <w:bookmarkEnd w:id="8"/>
          </w:p>
          <w:p>
            <w:pPr>
              <w:pStyle w:val="10"/>
              <w:spacing w:line="360" w:lineRule="auto"/>
              <w:ind w:firstLine="480" w:firstLineChars="200"/>
              <w:rPr>
                <w:bCs/>
                <w:color w:val="auto"/>
                <w:szCs w:val="21"/>
              </w:rPr>
            </w:pPr>
            <w:r>
              <w:rPr>
                <w:color w:val="auto"/>
                <w:sz w:val="24"/>
              </w:rPr>
              <w:t>本次</w:t>
            </w:r>
            <w:r>
              <w:rPr>
                <w:rFonts w:hint="eastAsia"/>
                <w:color w:val="auto"/>
                <w:sz w:val="24"/>
              </w:rPr>
              <w:t>新建项目</w:t>
            </w:r>
            <w:r>
              <w:rPr>
                <w:color w:val="auto"/>
                <w:sz w:val="24"/>
              </w:rPr>
              <w:t>员工人数为</w:t>
            </w:r>
            <w:r>
              <w:rPr>
                <w:rFonts w:hint="eastAsia"/>
                <w:color w:val="auto"/>
                <w:sz w:val="24"/>
                <w:lang w:val="en-US" w:eastAsia="zh-CN"/>
              </w:rPr>
              <w:t>20人</w:t>
            </w:r>
            <w:r>
              <w:rPr>
                <w:color w:val="auto"/>
                <w:sz w:val="24"/>
              </w:rPr>
              <w:t>，年工作日为</w:t>
            </w:r>
            <w:r>
              <w:rPr>
                <w:rFonts w:hint="eastAsia"/>
                <w:color w:val="auto"/>
                <w:sz w:val="24"/>
                <w:lang w:val="en-US" w:eastAsia="zh-CN"/>
              </w:rPr>
              <w:t>30</w:t>
            </w:r>
            <w:r>
              <w:rPr>
                <w:color w:val="auto"/>
                <w:sz w:val="24"/>
              </w:rPr>
              <w:t>0天，实行</w:t>
            </w:r>
            <w:r>
              <w:rPr>
                <w:rFonts w:hint="eastAsia"/>
                <w:color w:val="auto"/>
                <w:sz w:val="24"/>
              </w:rPr>
              <w:t>一</w:t>
            </w:r>
            <w:r>
              <w:rPr>
                <w:color w:val="auto"/>
                <w:sz w:val="24"/>
              </w:rPr>
              <w:t>班制生产，每班工作8小时，</w:t>
            </w:r>
            <w:r>
              <w:rPr>
                <w:rFonts w:hint="eastAsia"/>
                <w:color w:val="auto"/>
                <w:sz w:val="24"/>
                <w:lang w:eastAsia="zh-CN"/>
              </w:rPr>
              <w:t>厂区不设食堂、宿舍</w:t>
            </w:r>
            <w:r>
              <w:rPr>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23" w:type="dxa"/>
            <w:vAlign w:val="center"/>
          </w:tcPr>
          <w:p>
            <w:pPr>
              <w:pStyle w:val="29"/>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工艺流程和产排污环节</w:t>
            </w:r>
          </w:p>
        </w:tc>
        <w:tc>
          <w:tcPr>
            <w:tcW w:w="8161" w:type="dxa"/>
          </w:tcPr>
          <w:p>
            <w:pPr>
              <w:spacing w:line="360" w:lineRule="auto"/>
              <w:rPr>
                <w:b/>
                <w:bCs/>
                <w:color w:val="auto"/>
              </w:rPr>
            </w:pPr>
            <w:r>
              <w:rPr>
                <w:rFonts w:hint="eastAsia"/>
                <w:b/>
                <w:bCs/>
                <w:color w:val="auto"/>
              </w:rPr>
              <w:t>一）</w:t>
            </w:r>
            <w:r>
              <w:rPr>
                <w:b/>
                <w:bCs/>
                <w:color w:val="auto"/>
              </w:rPr>
              <w:t>工艺流程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b/>
                <w:snapToGrid w:val="0"/>
                <w:color w:val="auto"/>
                <w:kern w:val="0"/>
              </w:rPr>
            </w:pPr>
            <w:r>
              <w:rPr>
                <w:rFonts w:hint="eastAsia"/>
                <w:b/>
                <w:snapToGrid w:val="0"/>
                <w:color w:val="auto"/>
                <w:kern w:val="0"/>
              </w:rPr>
              <w:t>1</w:t>
            </w:r>
            <w:r>
              <w:rPr>
                <w:b/>
                <w:snapToGrid w:val="0"/>
                <w:color w:val="auto"/>
                <w:kern w:val="0"/>
              </w:rPr>
              <w:t>施工期施工流程及产污环节</w:t>
            </w:r>
          </w:p>
          <w:p>
            <w:pPr>
              <w:pStyle w:val="9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default" w:ascii="Times New Roman" w:hAnsi="Times New Roman" w:cs="Times New Roman"/>
                <w:b w:val="0"/>
                <w:bCs/>
                <w:color w:val="auto"/>
                <w:lang w:val="en-US" w:eastAsia="zh-CN"/>
              </w:rPr>
              <w:t>本项目租赁</w:t>
            </w:r>
            <w:r>
              <w:rPr>
                <w:rFonts w:hint="eastAsia" w:ascii="Times New Roman" w:hAnsi="Times New Roman" w:cs="Times New Roman"/>
                <w:b w:val="0"/>
                <w:bCs/>
                <w:color w:val="auto"/>
                <w:lang w:val="en-US" w:eastAsia="zh-CN"/>
              </w:rPr>
              <w:t>邵东</w:t>
            </w:r>
            <w:r>
              <w:rPr>
                <w:rFonts w:hint="eastAsia" w:cs="Times New Roman"/>
                <w:b w:val="0"/>
                <w:bCs/>
                <w:color w:val="auto"/>
                <w:lang w:val="en-US" w:eastAsia="zh-CN"/>
              </w:rPr>
              <w:t>东创鞋底厂</w:t>
            </w:r>
            <w:r>
              <w:rPr>
                <w:rFonts w:hint="default" w:ascii="Times New Roman" w:hAnsi="Times New Roman" w:cs="Times New Roman"/>
                <w:b w:val="0"/>
                <w:bCs/>
                <w:color w:val="auto"/>
                <w:lang w:val="en-US" w:eastAsia="zh-CN"/>
              </w:rPr>
              <w:t>的闲置厂房进行生产，施工期不涉及土建，仅有设备安装，对环境影响甚微，本次评价不做分析。</w:t>
            </w:r>
          </w:p>
          <w:p>
            <w:pPr>
              <w:pStyle w:val="3"/>
              <w:keepLines w:val="0"/>
              <w:pageBreakBefore w:val="0"/>
              <w:kinsoku/>
              <w:wordWrap/>
              <w:topLinePunct w:val="0"/>
              <w:autoSpaceDE/>
              <w:autoSpaceDN/>
              <w:bidi w:val="0"/>
              <w:adjustRightInd/>
              <w:snapToGrid w:val="0"/>
              <w:spacing w:before="0" w:after="0" w:line="360" w:lineRule="auto"/>
              <w:textAlignment w:val="auto"/>
              <w:rPr>
                <w:color w:val="auto"/>
                <w:sz w:val="24"/>
                <w:szCs w:val="24"/>
              </w:rPr>
            </w:pPr>
            <w:bookmarkStart w:id="9" w:name="_Toc71631402"/>
            <w:r>
              <w:rPr>
                <w:rFonts w:hint="eastAsia"/>
                <w:color w:val="auto"/>
                <w:sz w:val="24"/>
                <w:szCs w:val="24"/>
              </w:rPr>
              <w:t>2</w:t>
            </w:r>
            <w:r>
              <w:rPr>
                <w:rFonts w:hint="eastAsia" w:eastAsia="宋体"/>
                <w:snapToGrid w:val="0"/>
                <w:color w:val="auto"/>
                <w:kern w:val="0"/>
                <w:sz w:val="24"/>
                <w:szCs w:val="24"/>
              </w:rPr>
              <w:t>营运期</w:t>
            </w:r>
            <w:r>
              <w:rPr>
                <w:rFonts w:eastAsia="宋体"/>
                <w:snapToGrid w:val="0"/>
                <w:color w:val="auto"/>
                <w:kern w:val="0"/>
                <w:sz w:val="24"/>
                <w:szCs w:val="24"/>
              </w:rPr>
              <w:t>施工流程及产污环节</w:t>
            </w:r>
            <w:bookmarkEnd w:id="9"/>
          </w:p>
          <w:p>
            <w:pPr>
              <w:pStyle w:val="31"/>
              <w:keepLines w:val="0"/>
              <w:pageBreakBefore w:val="0"/>
              <w:kinsoku/>
              <w:wordWrap/>
              <w:topLinePunct w:val="0"/>
              <w:autoSpaceDE/>
              <w:autoSpaceDN/>
              <w:bidi w:val="0"/>
              <w:adjustRightInd/>
              <w:snapToGrid w:val="0"/>
              <w:spacing w:before="0" w:after="0" w:line="360" w:lineRule="auto"/>
              <w:ind w:firstLine="480" w:firstLineChars="200"/>
              <w:textAlignment w:val="auto"/>
              <w:rPr>
                <w:rFonts w:hint="eastAsia" w:eastAsia="宋体"/>
                <w:color w:val="auto"/>
                <w:sz w:val="24"/>
                <w:szCs w:val="24"/>
                <w:lang w:eastAsia="zh-CN"/>
              </w:rPr>
            </w:pPr>
            <w:r>
              <w:rPr>
                <w:rFonts w:hint="eastAsia"/>
                <w:color w:val="auto"/>
                <w:sz w:val="24"/>
                <w:szCs w:val="24"/>
                <w:lang w:eastAsia="zh-CN"/>
              </w:rPr>
              <w:t>本项目有三种产品，水性环氧乳液、水性防火隔热材料、隔热砂浆。生产过程为物理搅拌混合，无化学反应，其生产工艺流程如下。</w:t>
            </w:r>
          </w:p>
          <w:p>
            <w:pPr>
              <w:adjustRightInd w:val="0"/>
              <w:snapToGrid w:val="0"/>
              <w:spacing w:line="360" w:lineRule="auto"/>
              <w:ind w:firstLine="480" w:firstLineChars="200"/>
              <w:rPr>
                <w:rFonts w:hint="eastAsia" w:cs="宋体"/>
                <w:color w:val="auto"/>
                <w:sz w:val="24"/>
                <w:szCs w:val="24"/>
              </w:rPr>
            </w:pPr>
          </w:p>
          <w:p>
            <w:pPr>
              <w:adjustRightInd w:val="0"/>
              <w:snapToGrid w:val="0"/>
              <w:spacing w:line="360" w:lineRule="auto"/>
              <w:ind w:firstLine="480" w:firstLineChars="200"/>
              <w:rPr>
                <w:rFonts w:hint="eastAsia" w:cs="宋体"/>
                <w:color w:val="auto"/>
                <w:sz w:val="24"/>
                <w:szCs w:val="24"/>
              </w:rPr>
            </w:pP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40160" behindDoc="0" locked="0" layoutInCell="1" allowOverlap="1">
                      <wp:simplePos x="0" y="0"/>
                      <wp:positionH relativeFrom="column">
                        <wp:posOffset>2017395</wp:posOffset>
                      </wp:positionH>
                      <wp:positionV relativeFrom="paragraph">
                        <wp:posOffset>259080</wp:posOffset>
                      </wp:positionV>
                      <wp:extent cx="541655" cy="311785"/>
                      <wp:effectExtent l="0" t="0" r="0" b="0"/>
                      <wp:wrapNone/>
                      <wp:docPr id="163" name="矩形 163"/>
                      <wp:cNvGraphicFramePr/>
                      <a:graphic xmlns:a="http://schemas.openxmlformats.org/drawingml/2006/main">
                        <a:graphicData uri="http://schemas.microsoft.com/office/word/2010/wordprocessingShape">
                          <wps:wsp>
                            <wps:cNvSpPr/>
                            <wps:spPr>
                              <a:xfrm>
                                <a:off x="0" y="0"/>
                                <a:ext cx="541655" cy="311785"/>
                              </a:xfrm>
                              <a:prstGeom prst="rect">
                                <a:avLst/>
                              </a:prstGeom>
                              <a:noFill/>
                              <a:ln w="9525">
                                <a:noFill/>
                              </a:ln>
                              <a:effectLst/>
                            </wps:spPr>
                            <wps:txbx>
                              <w:txbxContent>
                                <w:p>
                                  <w:r>
                                    <w:rPr>
                                      <w:rFonts w:hint="eastAsia" w:cs="宋体"/>
                                    </w:rPr>
                                    <w:t>粉尘</w:t>
                                  </w:r>
                                </w:p>
                              </w:txbxContent>
                            </wps:txbx>
                            <wps:bodyPr upright="1"/>
                          </wps:wsp>
                        </a:graphicData>
                      </a:graphic>
                    </wp:anchor>
                  </w:drawing>
                </mc:Choice>
                <mc:Fallback>
                  <w:pict>
                    <v:rect id="_x0000_s1026" o:spid="_x0000_s1026" o:spt="1" style="position:absolute;left:0pt;margin-left:158.85pt;margin-top:20.4pt;height:24.55pt;width:42.65pt;z-index:251740160;mso-width-relative:page;mso-height-relative:page;" filled="f" stroked="f" coordsize="21600,21600" o:gfxdata="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zQuJNoAAAAJAQAADwAAAAAAAAABACAAAAAiAAAAZHJzL2Rvd25yZXYueG1sUEsBAhQAFAAAAAgA&#10;h07iQOAUNzqxAQAAWwMAAA4AAAAAAAAAAQAgAAAAKQEAAGRycy9lMm9Eb2MueG1sUEsFBgAAAAAG&#10;AAYAWQEAAEwFAAAAAA==&#10;">
                      <v:fill on="f" focussize="0,0"/>
                      <v:stroke on="f"/>
                      <v:imagedata o:title=""/>
                      <o:lock v:ext="edit" aspectratio="f"/>
                      <v:textbox>
                        <w:txbxContent>
                          <w:p>
                            <w:r>
                              <w:rPr>
                                <w:rFonts w:hint="eastAsia" w:cs="宋体"/>
                              </w:rPr>
                              <w:t>粉尘</w:t>
                            </w:r>
                          </w:p>
                        </w:txbxContent>
                      </v:textbox>
                    </v:rect>
                  </w:pict>
                </mc:Fallback>
              </mc:AlternateContent>
            </w:r>
            <w:r>
              <w:rPr>
                <w:rFonts w:hint="eastAsia" w:cs="宋体"/>
                <w:color w:val="auto"/>
                <w:sz w:val="24"/>
                <w:szCs w:val="24"/>
              </w:rPr>
              <w:t>（</w:t>
            </w:r>
            <w:r>
              <w:rPr>
                <w:color w:val="auto"/>
                <w:sz w:val="24"/>
                <w:szCs w:val="24"/>
              </w:rPr>
              <w:t>1</w:t>
            </w:r>
            <w:r>
              <w:rPr>
                <w:rFonts w:hint="eastAsia" w:cs="宋体"/>
                <w:color w:val="auto"/>
                <w:sz w:val="24"/>
                <w:szCs w:val="24"/>
              </w:rPr>
              <w:t>）水性环氧乳液</w: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38112" behindDoc="0" locked="0" layoutInCell="1" allowOverlap="1">
                      <wp:simplePos x="0" y="0"/>
                      <wp:positionH relativeFrom="column">
                        <wp:posOffset>2290445</wp:posOffset>
                      </wp:positionH>
                      <wp:positionV relativeFrom="paragraph">
                        <wp:posOffset>241935</wp:posOffset>
                      </wp:positionV>
                      <wp:extent cx="635" cy="224790"/>
                      <wp:effectExtent l="37465" t="0" r="38100" b="3810"/>
                      <wp:wrapNone/>
                      <wp:docPr id="161" name="直接连接符 161"/>
                      <wp:cNvGraphicFramePr/>
                      <a:graphic xmlns:a="http://schemas.openxmlformats.org/drawingml/2006/main">
                        <a:graphicData uri="http://schemas.microsoft.com/office/word/2010/wordprocessingShape">
                          <wps:wsp>
                            <wps:cNvCnPr/>
                            <wps:spPr>
                              <a:xfrm flipV="1">
                                <a:off x="0" y="0"/>
                                <a:ext cx="635" cy="224790"/>
                              </a:xfrm>
                              <a:prstGeom prst="line">
                                <a:avLst/>
                              </a:prstGeom>
                              <a:ln w="9525" cap="flat" cmpd="sng">
                                <a:solidFill>
                                  <a:srgbClr val="000000"/>
                                </a:solidFill>
                                <a:prstDash val="dash"/>
                                <a:headEnd type="none" w="med" len="med"/>
                                <a:tailEnd type="stealth" w="med" len="med"/>
                              </a:ln>
                              <a:effectLst/>
                            </wps:spPr>
                            <wps:bodyPr/>
                          </wps:wsp>
                        </a:graphicData>
                      </a:graphic>
                    </wp:anchor>
                  </w:drawing>
                </mc:Choice>
                <mc:Fallback>
                  <w:pict>
                    <v:line id="_x0000_s1026" o:spid="_x0000_s1026" o:spt="20" style="position:absolute;left:0pt;flip:y;margin-left:180.35pt;margin-top:19.05pt;height:17.7pt;width:0.05pt;z-index:251738112;mso-width-relative:page;mso-height-relative:page;" filled="f" stroked="t" coordsize="21600,21600" o:gfxdata="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&#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p4BWtoAAAAJAQAADwAAAAAAAAABACAAAAAiAAAA&#10;ZHJzL2Rvd25yZXYueG1sUEsBAhQAFAAAAAgAh07iQLw28mgFAgAA9wMAAA4AAAAAAAAAAQAgAAAA&#10;KQEAAGRycy9lMm9Eb2MueG1sUEsFBgAAAAAGAAYAWQEAAKAFAAAAAA==&#10;">
                      <v:fill on="f" focussize="0,0"/>
                      <v:stroke color="#000000" joinstyle="round" dashstyle="dash" endarrow="classic"/>
                      <v:imagedata o:title=""/>
                      <o:lock v:ext="edit" aspectratio="f"/>
                    </v:lin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4115435</wp:posOffset>
                      </wp:positionH>
                      <wp:positionV relativeFrom="paragraph">
                        <wp:posOffset>64135</wp:posOffset>
                      </wp:positionV>
                      <wp:extent cx="1581785" cy="311785"/>
                      <wp:effectExtent l="0" t="0" r="0" b="0"/>
                      <wp:wrapNone/>
                      <wp:docPr id="84" name="矩形 84"/>
                      <wp:cNvGraphicFramePr/>
                      <a:graphic xmlns:a="http://schemas.openxmlformats.org/drawingml/2006/main">
                        <a:graphicData uri="http://schemas.microsoft.com/office/word/2010/wordprocessingShape">
                          <wps:wsp>
                            <wps:cNvSpPr/>
                            <wps:spPr>
                              <a:xfrm>
                                <a:off x="0" y="0"/>
                                <a:ext cx="990600" cy="311785"/>
                              </a:xfrm>
                              <a:prstGeom prst="rect">
                                <a:avLst/>
                              </a:prstGeom>
                              <a:noFill/>
                              <a:ln w="9525">
                                <a:noFill/>
                              </a:ln>
                              <a:effectLst/>
                            </wps:spPr>
                            <wps:txbx>
                              <w:txbxContent>
                                <w:p>
                                  <w:r>
                                    <w:t>非甲烷总烃</w:t>
                                  </w:r>
                                  <w:r>
                                    <w:rPr>
                                      <w:rFonts w:hint="eastAsia" w:cs="宋体"/>
                                    </w:rPr>
                                    <w:t>、噪声</w:t>
                                  </w:r>
                                </w:p>
                              </w:txbxContent>
                            </wps:txbx>
                            <wps:bodyPr upright="1"/>
                          </wps:wsp>
                        </a:graphicData>
                      </a:graphic>
                    </wp:anchor>
                  </w:drawing>
                </mc:Choice>
                <mc:Fallback>
                  <w:pict>
                    <v:rect id="_x0000_s1026" o:spid="_x0000_s1026" o:spt="1" style="position:absolute;left:0pt;margin-left:324.05pt;margin-top:5.05pt;height:24.55pt;width:124.55pt;z-index:251693056;mso-width-relative:page;mso-height-relative:page;" filled="f" stroked="f" coordsize="21600,21600" o:gfxdata="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A&#10;zmW62gAAAAkBAAAPAAAAAAAAAAEAIAAAACIAAABkcnMvZG93bnJldi54bWxQSwECFAAUAAAACACH&#10;TuJA51evubABAABZAwAADgAAAAAAAAABACAAAAApAQAAZHJzL2Uyb0RvYy54bWxQSwUGAAAAAAYA&#10;BgBZAQAASwUAAAAA&#10;">
                      <v:fill on="f" focussize="0,0"/>
                      <v:stroke on="f"/>
                      <v:imagedata o:title=""/>
                      <o:lock v:ext="edit" aspectratio="f"/>
                      <v:textbox>
                        <w:txbxContent>
                          <w:p>
                            <w:r>
                              <w:t>非甲烷总烃</w:t>
                            </w:r>
                            <w:r>
                              <w:rPr>
                                <w:rFonts w:hint="eastAsia" w:cs="宋体"/>
                              </w:rPr>
                              <w:t>、噪声</w:t>
                            </w:r>
                          </w:p>
                        </w:txbxContent>
                      </v:textbox>
                    </v:rect>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2726055</wp:posOffset>
                      </wp:positionH>
                      <wp:positionV relativeFrom="paragraph">
                        <wp:posOffset>39370</wp:posOffset>
                      </wp:positionV>
                      <wp:extent cx="1383030" cy="311785"/>
                      <wp:effectExtent l="0" t="0" r="0" b="0"/>
                      <wp:wrapNone/>
                      <wp:docPr id="85" name="矩形 85"/>
                      <wp:cNvGraphicFramePr/>
                      <a:graphic xmlns:a="http://schemas.openxmlformats.org/drawingml/2006/main">
                        <a:graphicData uri="http://schemas.microsoft.com/office/word/2010/wordprocessingShape">
                          <wps:wsp>
                            <wps:cNvSpPr/>
                            <wps:spPr>
                              <a:xfrm>
                                <a:off x="0" y="0"/>
                                <a:ext cx="990600" cy="311785"/>
                              </a:xfrm>
                              <a:prstGeom prst="rect">
                                <a:avLst/>
                              </a:prstGeom>
                              <a:noFill/>
                              <a:ln w="9525">
                                <a:noFill/>
                              </a:ln>
                              <a:effectLst/>
                            </wps:spPr>
                            <wps:txbx>
                              <w:txbxContent>
                                <w:p>
                                  <w:r>
                                    <w:t>非甲烷总烃</w:t>
                                  </w:r>
                                  <w:r>
                                    <w:rPr>
                                      <w:rFonts w:hint="eastAsia" w:cs="宋体"/>
                                    </w:rPr>
                                    <w:t>、噪声</w:t>
                                  </w:r>
                                </w:p>
                              </w:txbxContent>
                            </wps:txbx>
                            <wps:bodyPr upright="1"/>
                          </wps:wsp>
                        </a:graphicData>
                      </a:graphic>
                    </wp:anchor>
                  </w:drawing>
                </mc:Choice>
                <mc:Fallback>
                  <w:pict>
                    <v:rect id="_x0000_s1026" o:spid="_x0000_s1026" o:spt="1" style="position:absolute;left:0pt;margin-left:214.65pt;margin-top:3.1pt;height:24.55pt;width:108.9pt;z-index:251688960;mso-width-relative:page;mso-height-relative:page;" filled="f" stroked="f" coordsize="21600,21600" o:gfxdata="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8&#10;CGmf2gAAAAgBAAAPAAAAAAAAAAEAIAAAACIAAABkcnMvZG93bnJldi54bWxQSwECFAAUAAAACACH&#10;TuJAPX2eO7ABAABZAwAADgAAAAAAAAABACAAAAApAQAAZHJzL2Uyb0RvYy54bWxQSwUGAAAAAAYA&#10;BgBZAQAASwUAAAAA&#10;">
                      <v:fill on="f" focussize="0,0"/>
                      <v:stroke on="f"/>
                      <v:imagedata o:title=""/>
                      <o:lock v:ext="edit" aspectratio="f"/>
                      <v:textbox>
                        <w:txbxContent>
                          <w:p>
                            <w:r>
                              <w:t>非甲烷总烃</w:t>
                            </w:r>
                            <w:r>
                              <w:rPr>
                                <w:rFonts w:hint="eastAsia" w:cs="宋体"/>
                              </w:rPr>
                              <w:t>、噪声</w:t>
                            </w:r>
                          </w:p>
                        </w:txbxContent>
                      </v:textbox>
                    </v:rect>
                  </w:pict>
                </mc:Fallback>
              </mc:AlternateConten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692032" behindDoc="0" locked="0" layoutInCell="1" allowOverlap="1">
                      <wp:simplePos x="0" y="0"/>
                      <wp:positionH relativeFrom="column">
                        <wp:posOffset>4729480</wp:posOffset>
                      </wp:positionH>
                      <wp:positionV relativeFrom="paragraph">
                        <wp:posOffset>55880</wp:posOffset>
                      </wp:positionV>
                      <wp:extent cx="635" cy="224790"/>
                      <wp:effectExtent l="37465" t="0" r="38100" b="3810"/>
                      <wp:wrapNone/>
                      <wp:docPr id="92" name="直接连接符 92"/>
                      <wp:cNvGraphicFramePr/>
                      <a:graphic xmlns:a="http://schemas.openxmlformats.org/drawingml/2006/main">
                        <a:graphicData uri="http://schemas.microsoft.com/office/word/2010/wordprocessingShape">
                          <wps:wsp>
                            <wps:cNvCnPr/>
                            <wps:spPr>
                              <a:xfrm flipV="1">
                                <a:off x="0" y="0"/>
                                <a:ext cx="635" cy="224790"/>
                              </a:xfrm>
                              <a:prstGeom prst="line">
                                <a:avLst/>
                              </a:prstGeom>
                              <a:ln w="9525" cap="flat" cmpd="sng">
                                <a:solidFill>
                                  <a:srgbClr val="000000"/>
                                </a:solidFill>
                                <a:prstDash val="dash"/>
                                <a:headEnd type="none" w="med" len="med"/>
                                <a:tailEnd type="stealth" w="med" len="med"/>
                              </a:ln>
                              <a:effectLst/>
                            </wps:spPr>
                            <wps:bodyPr/>
                          </wps:wsp>
                        </a:graphicData>
                      </a:graphic>
                    </wp:anchor>
                  </w:drawing>
                </mc:Choice>
                <mc:Fallback>
                  <w:pict>
                    <v:line id="_x0000_s1026" o:spid="_x0000_s1026" o:spt="20" style="position:absolute;left:0pt;flip:y;margin-left:372.4pt;margin-top:4.4pt;height:17.7pt;width:0.05pt;z-index:251692032;mso-width-relative:page;mso-height-relative:page;" filled="f" stroked="t" coordsize="21600,21600" o:gfxdata="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rtBFdgAAAAIAQAADwAAAAAAAAABACAAAAAiAAAAZHJz&#10;L2Rvd25yZXYueG1sUEsBAhQAFAAAAAgAh07iQHUHs7MEAgAA9QMAAA4AAAAAAAAAAQAgAAAAJwEA&#10;AGRycy9lMm9Eb2MueG1sUEsFBgAAAAAGAAYAWQEAAJ0FAAAAAA==&#10;">
                      <v:fill on="f" focussize="0,0"/>
                      <v:stroke color="#000000" joinstyle="round" dashstyle="dash" endarrow="classic"/>
                      <v:imagedata o:title=""/>
                      <o:lock v:ext="edit" aspectratio="f"/>
                    </v:lin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3346450</wp:posOffset>
                      </wp:positionH>
                      <wp:positionV relativeFrom="paragraph">
                        <wp:posOffset>30480</wp:posOffset>
                      </wp:positionV>
                      <wp:extent cx="635" cy="224790"/>
                      <wp:effectExtent l="37465" t="0" r="38100" b="3810"/>
                      <wp:wrapNone/>
                      <wp:docPr id="91" name="直接连接符 91"/>
                      <wp:cNvGraphicFramePr/>
                      <a:graphic xmlns:a="http://schemas.openxmlformats.org/drawingml/2006/main">
                        <a:graphicData uri="http://schemas.microsoft.com/office/word/2010/wordprocessingShape">
                          <wps:wsp>
                            <wps:cNvCnPr/>
                            <wps:spPr>
                              <a:xfrm flipV="1">
                                <a:off x="0" y="0"/>
                                <a:ext cx="635" cy="224790"/>
                              </a:xfrm>
                              <a:prstGeom prst="line">
                                <a:avLst/>
                              </a:prstGeom>
                              <a:ln w="9525" cap="flat" cmpd="sng">
                                <a:solidFill>
                                  <a:srgbClr val="000000"/>
                                </a:solidFill>
                                <a:prstDash val="dash"/>
                                <a:headEnd type="none" w="med" len="med"/>
                                <a:tailEnd type="stealth" w="med" len="med"/>
                              </a:ln>
                              <a:effectLst/>
                            </wps:spPr>
                            <wps:bodyPr/>
                          </wps:wsp>
                        </a:graphicData>
                      </a:graphic>
                    </wp:anchor>
                  </w:drawing>
                </mc:Choice>
                <mc:Fallback>
                  <w:pict>
                    <v:line id="_x0000_s1026" o:spid="_x0000_s1026" o:spt="20" style="position:absolute;left:0pt;flip:y;margin-left:263.5pt;margin-top:2.4pt;height:17.7pt;width:0.05pt;z-index:251687936;mso-width-relative:page;mso-height-relative:page;" filled="f" stroked="t" coordsize="21600,21600" o:gfxdata="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dT1GvWAAAACAEAAA8AAAAAAAAAAQAgAAAAIgAAAGRycy9k&#10;b3ducmV2LnhtbFBLAQIUABQAAAAIAIdO4kBx1VhLBAIAAPUDAAAOAAAAAAAAAAEAIAAAACUBAABk&#10;cnMvZTJvRG9jLnhtbFBLBQYAAAAABgAGAFkBAACbBQAAAAA=&#10;">
                      <v:fill on="f" focussize="0,0"/>
                      <v:stroke color="#000000" joinstyle="round" dashstyle="dash" endarrow="classic"/>
                      <v:imagedata o:title=""/>
                      <o:lock v:ext="edit" aspectratio="f"/>
                    </v:line>
                  </w:pict>
                </mc:Fallback>
              </mc:AlternateConten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682816" behindDoc="0" locked="0" layoutInCell="1" allowOverlap="1">
                      <wp:simplePos x="0" y="0"/>
                      <wp:positionH relativeFrom="column">
                        <wp:posOffset>3050540</wp:posOffset>
                      </wp:positionH>
                      <wp:positionV relativeFrom="paragraph">
                        <wp:posOffset>37465</wp:posOffset>
                      </wp:positionV>
                      <wp:extent cx="883920" cy="288290"/>
                      <wp:effectExtent l="4445" t="5080" r="6985" b="11430"/>
                      <wp:wrapNone/>
                      <wp:docPr id="89" name="矩形 89"/>
                      <wp:cNvGraphicFramePr/>
                      <a:graphic xmlns:a="http://schemas.openxmlformats.org/drawingml/2006/main">
                        <a:graphicData uri="http://schemas.microsoft.com/office/word/2010/wordprocessingShape">
                          <wps:wsp>
                            <wps:cNvSpPr/>
                            <wps:spPr>
                              <a:xfrm>
                                <a:off x="0" y="0"/>
                                <a:ext cx="88392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搅拌</w:t>
                                  </w:r>
                                </w:p>
                              </w:txbxContent>
                            </wps:txbx>
                            <wps:bodyPr upright="1"/>
                          </wps:wsp>
                        </a:graphicData>
                      </a:graphic>
                    </wp:anchor>
                  </w:drawing>
                </mc:Choice>
                <mc:Fallback>
                  <w:pict>
                    <v:rect id="_x0000_s1026" o:spid="_x0000_s1026" o:spt="1" style="position:absolute;left:0pt;margin-left:240.2pt;margin-top:2.95pt;height:22.7pt;width:69.6pt;z-index:251682816;mso-width-relative:page;mso-height-relative:page;" fillcolor="#FFFFFF" filled="t" stroked="t" coordsize="21600,21600" o:gfxdata="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vdYUNcAAAAIAQAADwAAAAAAAAABACAAAAAiAAAA&#10;ZHJzL2Rvd25yZXYueG1sUEsBAhQAFAAAAAgAh07iQBrethAIAgAAOAQAAA4AAAAAAAAAAQAgAAAA&#10;JgEAAGRycy9lMm9Eb2MueG1sUEsFBgAAAAAGAAYAWQEAAKAFAAAAAA==&#10;">
                      <v:fill on="t" focussize="0,0"/>
                      <v:stroke color="#000000" joinstyle="miter"/>
                      <v:imagedata o:title=""/>
                      <o:lock v:ext="edit" aspectratio="f"/>
                      <v:textbox>
                        <w:txbxContent>
                          <w:p>
                            <w:pPr>
                              <w:jc w:val="center"/>
                            </w:pPr>
                            <w:r>
                              <w:rPr>
                                <w:rFonts w:hint="eastAsia" w:cs="宋体"/>
                              </w:rPr>
                              <w:t>搅拌</w:t>
                            </w:r>
                          </w:p>
                        </w:txbxContent>
                      </v:textbox>
                    </v:rect>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453390</wp:posOffset>
                      </wp:positionH>
                      <wp:positionV relativeFrom="paragraph">
                        <wp:posOffset>55880</wp:posOffset>
                      </wp:positionV>
                      <wp:extent cx="1301115" cy="311785"/>
                      <wp:effectExtent l="0" t="0" r="13335" b="12065"/>
                      <wp:wrapNone/>
                      <wp:docPr id="90" name="矩形 90"/>
                      <wp:cNvGraphicFramePr/>
                      <a:graphic xmlns:a="http://schemas.openxmlformats.org/drawingml/2006/main">
                        <a:graphicData uri="http://schemas.microsoft.com/office/word/2010/wordprocessingShape">
                          <wps:wsp>
                            <wps:cNvSpPr/>
                            <wps:spPr>
                              <a:xfrm>
                                <a:off x="0" y="0"/>
                                <a:ext cx="1301115" cy="311785"/>
                              </a:xfrm>
                              <a:prstGeom prst="rect">
                                <a:avLst/>
                              </a:prstGeom>
                              <a:solidFill>
                                <a:srgbClr val="FFFFFF"/>
                              </a:solidFill>
                              <a:ln w="9525">
                                <a:noFill/>
                              </a:ln>
                              <a:effectLst/>
                            </wps:spPr>
                            <wps:txbx>
                              <w:txbxContent>
                                <w:p>
                                  <w:pPr>
                                    <w:jc w:val="center"/>
                                  </w:pPr>
                                  <w:r>
                                    <w:rPr>
                                      <w:rFonts w:hint="eastAsia" w:cs="宋体"/>
                                    </w:rPr>
                                    <w:t>各类原辅原料</w:t>
                                  </w:r>
                                </w:p>
                              </w:txbxContent>
                            </wps:txbx>
                            <wps:bodyPr upright="1"/>
                          </wps:wsp>
                        </a:graphicData>
                      </a:graphic>
                    </wp:anchor>
                  </w:drawing>
                </mc:Choice>
                <mc:Fallback>
                  <w:pict>
                    <v:rect id="_x0000_s1026" o:spid="_x0000_s1026" o:spt="1" style="position:absolute;left:0pt;margin-left:35.7pt;margin-top:4.4pt;height:24.55pt;width:102.45pt;z-index:251679744;mso-width-relative:page;mso-height-relative:page;" fillcolor="#FFFFFF" filled="t" stroked="f" coordsize="21600,21600" o:gfxdata="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WERZjWAAAABwEAAA8AAAAAAAAAAQAgAAAAIgAAAGRycy9kb3ducmV2Lnht&#10;bFBLAQIUABQAAAAIAIdO4kAG3853wgEAAIMDAAAOAAAAAAAAAAEAIAAAACUBAABkcnMvZTJvRG9j&#10;LnhtbFBLBQYAAAAABgAGAFkBAABZBQAAAAA=&#10;">
                      <v:fill on="t" focussize="0,0"/>
                      <v:stroke on="f"/>
                      <v:imagedata o:title=""/>
                      <o:lock v:ext="edit" aspectratio="f"/>
                      <v:textbox>
                        <w:txbxContent>
                          <w:p>
                            <w:pPr>
                              <w:jc w:val="center"/>
                            </w:pPr>
                            <w:r>
                              <w:rPr>
                                <w:rFonts w:hint="eastAsia" w:cs="宋体"/>
                              </w:rPr>
                              <w:t>各类原辅原料</w:t>
                            </w:r>
                          </w:p>
                        </w:txbxContent>
                      </v:textbox>
                    </v:rect>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4415790</wp:posOffset>
                      </wp:positionH>
                      <wp:positionV relativeFrom="paragraph">
                        <wp:posOffset>24130</wp:posOffset>
                      </wp:positionV>
                      <wp:extent cx="722630" cy="311785"/>
                      <wp:effectExtent l="4445" t="5080" r="15875" b="6985"/>
                      <wp:wrapNone/>
                      <wp:docPr id="97" name="矩形 97"/>
                      <wp:cNvGraphicFramePr/>
                      <a:graphic xmlns:a="http://schemas.openxmlformats.org/drawingml/2006/main">
                        <a:graphicData uri="http://schemas.microsoft.com/office/word/2010/wordprocessingShape">
                          <wps:wsp>
                            <wps:cNvSpPr/>
                            <wps:spPr>
                              <a:xfrm>
                                <a:off x="0" y="0"/>
                                <a:ext cx="722630" cy="3117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分散</w:t>
                                  </w:r>
                                </w:p>
                              </w:txbxContent>
                            </wps:txbx>
                            <wps:bodyPr upright="1"/>
                          </wps:wsp>
                        </a:graphicData>
                      </a:graphic>
                    </wp:anchor>
                  </w:drawing>
                </mc:Choice>
                <mc:Fallback>
                  <w:pict>
                    <v:rect id="_x0000_s1026" o:spid="_x0000_s1026" o:spt="1" style="position:absolute;left:0pt;margin-left:347.7pt;margin-top:1.9pt;height:24.55pt;width:56.9pt;z-index:251684864;mso-width-relative:page;mso-height-relative:page;" fillcolor="#FFFFFF" filled="t" stroked="t" coordsize="21600,21600" o:gfxdata="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SupztcAAAAIAQAADwAAAAAAAAABACAAAAAiAAAAZHJz&#10;L2Rvd25yZXYueG1sUEsBAhQAFAAAAAgAh07iQNtQYLsFAgAAOAQAAA4AAAAAAAAAAQAgAAAAJgEA&#10;AGRycy9lMm9Eb2MueG1sUEsFBgAAAAAGAAYAWQEAAJ0FAAAAAA==&#10;">
                      <v:fill on="t" focussize="0,0"/>
                      <v:stroke color="#000000" joinstyle="miter"/>
                      <v:imagedata o:title=""/>
                      <o:lock v:ext="edit" aspectratio="f"/>
                      <v:textbox>
                        <w:txbxContent>
                          <w:p>
                            <w:pPr>
                              <w:jc w:val="center"/>
                            </w:pPr>
                            <w:r>
                              <w:rPr>
                                <w:rFonts w:hint="eastAsia" w:cs="宋体"/>
                              </w:rPr>
                              <w:t>分散</w:t>
                            </w:r>
                          </w:p>
                        </w:txbxContent>
                      </v:textbox>
                    </v:rect>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3943985</wp:posOffset>
                      </wp:positionH>
                      <wp:positionV relativeFrom="paragraph">
                        <wp:posOffset>203835</wp:posOffset>
                      </wp:positionV>
                      <wp:extent cx="476250" cy="635"/>
                      <wp:effectExtent l="0" t="37465" r="0" b="38100"/>
                      <wp:wrapNone/>
                      <wp:docPr id="93" name="直接连接符 93"/>
                      <wp:cNvGraphicFramePr/>
                      <a:graphic xmlns:a="http://schemas.openxmlformats.org/drawingml/2006/main">
                        <a:graphicData uri="http://schemas.microsoft.com/office/word/2010/wordprocessingShape">
                          <wps:wsp>
                            <wps:cNvCnPr/>
                            <wps:spPr>
                              <a:xfrm>
                                <a:off x="0" y="0"/>
                                <a:ext cx="47625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10.55pt;margin-top:16.05pt;height:0.05pt;width:37.5pt;z-index:251685888;mso-width-relative:page;mso-height-relative:page;" filled="f" stroked="t" coordsize="21600,21600" o:gfxdata="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F8B2AAAAAkBAAAPAAAAAAAAAAEAIAAAACIAAABkcnMvZG93bnJldi54&#10;bWxQSwECFAAUAAAACACHTuJAaAYilvoBAADtAwAADgAAAAAAAAABACAAAAAnAQAAZHJzL2Uyb0Rv&#10;Yy54bWxQSwUGAAAAAAYABgBZAQAAkw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2588260</wp:posOffset>
                      </wp:positionH>
                      <wp:positionV relativeFrom="paragraph">
                        <wp:posOffset>194945</wp:posOffset>
                      </wp:positionV>
                      <wp:extent cx="476250" cy="635"/>
                      <wp:effectExtent l="0" t="37465" r="0" b="38100"/>
                      <wp:wrapNone/>
                      <wp:docPr id="95" name="直接连接符 95"/>
                      <wp:cNvGraphicFramePr/>
                      <a:graphic xmlns:a="http://schemas.openxmlformats.org/drawingml/2006/main">
                        <a:graphicData uri="http://schemas.microsoft.com/office/word/2010/wordprocessingShape">
                          <wps:wsp>
                            <wps:cNvCnPr/>
                            <wps:spPr>
                              <a:xfrm>
                                <a:off x="0" y="0"/>
                                <a:ext cx="47625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03.8pt;margin-top:15.35pt;height:0.05pt;width:37.5pt;z-index:251683840;mso-width-relative:page;mso-height-relative:page;" filled="f" stroked="t" coordsize="21600,21600" o:gfxdata="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qyPu7ZAAAACQEAAA8AAAAAAAAAAQAgAAAAIgAAAGRycy9kb3ducmV2&#10;LnhtbFBLAQIUABQAAAAIAIdO4kDfMK2B+wEAAO0DAAAOAAAAAAAAAAEAIAAAACgBAABkcnMvZTJv&#10;RG9jLnhtbFBLBQYAAAAABgAGAFkBAACV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2030095</wp:posOffset>
                      </wp:positionH>
                      <wp:positionV relativeFrom="paragraph">
                        <wp:posOffset>21590</wp:posOffset>
                      </wp:positionV>
                      <wp:extent cx="554355" cy="311785"/>
                      <wp:effectExtent l="4445" t="5080" r="12700" b="6985"/>
                      <wp:wrapNone/>
                      <wp:docPr id="98" name="矩形 98"/>
                      <wp:cNvGraphicFramePr/>
                      <a:graphic xmlns:a="http://schemas.openxmlformats.org/drawingml/2006/main">
                        <a:graphicData uri="http://schemas.microsoft.com/office/word/2010/wordprocessingShape">
                          <wps:wsp>
                            <wps:cNvSpPr/>
                            <wps:spPr>
                              <a:xfrm>
                                <a:off x="0" y="0"/>
                                <a:ext cx="554355" cy="3117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投料</w:t>
                                  </w:r>
                                </w:p>
                              </w:txbxContent>
                            </wps:txbx>
                            <wps:bodyPr upright="1"/>
                          </wps:wsp>
                        </a:graphicData>
                      </a:graphic>
                    </wp:anchor>
                  </w:drawing>
                </mc:Choice>
                <mc:Fallback>
                  <w:pict>
                    <v:rect id="_x0000_s1026" o:spid="_x0000_s1026" o:spt="1" style="position:absolute;left:0pt;margin-left:159.85pt;margin-top:1.7pt;height:24.55pt;width:43.65pt;z-index:251680768;mso-width-relative:page;mso-height-relative:page;" fillcolor="#FFFFFF" filled="t" stroked="t" coordsize="21600,21600" o:gfxdata="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w2y1tcAAAAIAQAADwAAAAAAAAABACAAAAAiAAAAZHJz&#10;L2Rvd25yZXYueG1sUEsBAhQAFAAAAAgAh07iQDBSERMFAgAAOAQAAA4AAAAAAAAAAQAgAAAAJgEA&#10;AGRycy9lMm9Eb2MueG1sUEsFBgAAAAAGAAYAWQEAAJ0FAAAAAA==&#10;">
                      <v:fill on="t" focussize="0,0"/>
                      <v:stroke color="#000000" joinstyle="miter"/>
                      <v:imagedata o:title=""/>
                      <o:lock v:ext="edit" aspectratio="f"/>
                      <v:textbox>
                        <w:txbxContent>
                          <w:p>
                            <w:pPr>
                              <w:jc w:val="center"/>
                            </w:pPr>
                            <w:r>
                              <w:rPr>
                                <w:rFonts w:hint="eastAsia" w:cs="宋体"/>
                              </w:rPr>
                              <w:t>投料</w:t>
                            </w:r>
                          </w:p>
                        </w:txbxContent>
                      </v:textbox>
                    </v:rect>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1557655</wp:posOffset>
                      </wp:positionH>
                      <wp:positionV relativeFrom="paragraph">
                        <wp:posOffset>194945</wp:posOffset>
                      </wp:positionV>
                      <wp:extent cx="476250" cy="635"/>
                      <wp:effectExtent l="0" t="37465" r="0" b="38100"/>
                      <wp:wrapNone/>
                      <wp:docPr id="99" name="直接连接符 99"/>
                      <wp:cNvGraphicFramePr/>
                      <a:graphic xmlns:a="http://schemas.openxmlformats.org/drawingml/2006/main">
                        <a:graphicData uri="http://schemas.microsoft.com/office/word/2010/wordprocessingShape">
                          <wps:wsp>
                            <wps:cNvCnPr/>
                            <wps:spPr>
                              <a:xfrm>
                                <a:off x="0" y="0"/>
                                <a:ext cx="47625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122.65pt;margin-top:15.35pt;height:0.05pt;width:37.5pt;z-index:251681792;mso-width-relative:page;mso-height-relative:page;" filled="f" stroked="t" coordsize="21600,21600" o:gfxdata="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c8jKnaAAAACQEAAA8AAAAAAAAAAQAgAAAAIgAAAGRycy9kb3ducmV2&#10;LnhtbFBLAQIUABQAAAAIAIdO4kCxXbOu+gEAAO0DAAAOAAAAAAAAAAEAIAAAACkBAABkcnMvZTJv&#10;RG9jLnhtbFBLBQYAAAAABgAGAFkBAACVBQAAAAA=&#10;">
                      <v:fill on="f" focussize="0,0"/>
                      <v:stroke color="#000000" joinstyle="round" endarrow="block"/>
                      <v:imagedata o:title=""/>
                      <o:lock v:ext="edit" aspectratio="f"/>
                    </v:line>
                  </w:pict>
                </mc:Fallback>
              </mc:AlternateConten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36064" behindDoc="0" locked="0" layoutInCell="1" allowOverlap="1">
                      <wp:simplePos x="0" y="0"/>
                      <wp:positionH relativeFrom="column">
                        <wp:posOffset>3253105</wp:posOffset>
                      </wp:positionH>
                      <wp:positionV relativeFrom="paragraph">
                        <wp:posOffset>64135</wp:posOffset>
                      </wp:positionV>
                      <wp:extent cx="635" cy="224790"/>
                      <wp:effectExtent l="37465" t="0" r="38100" b="3810"/>
                      <wp:wrapNone/>
                      <wp:docPr id="159" name="直接连接符 159"/>
                      <wp:cNvGraphicFramePr/>
                      <a:graphic xmlns:a="http://schemas.openxmlformats.org/drawingml/2006/main">
                        <a:graphicData uri="http://schemas.microsoft.com/office/word/2010/wordprocessingShape">
                          <wps:wsp>
                            <wps:cNvCnPr/>
                            <wps:spPr>
                              <a:xfrm flipV="1">
                                <a:off x="0" y="0"/>
                                <a:ext cx="635" cy="224790"/>
                              </a:xfrm>
                              <a:prstGeom prst="line">
                                <a:avLst/>
                              </a:prstGeom>
                              <a:ln w="9525" cap="flat" cmpd="sng">
                                <a:solidFill>
                                  <a:srgbClr val="000000"/>
                                </a:solidFill>
                                <a:prstDash val="dash"/>
                                <a:headEnd type="none" w="med" len="med"/>
                                <a:tailEnd type="stealth" w="med" len="med"/>
                              </a:ln>
                              <a:effectLst/>
                            </wps:spPr>
                            <wps:bodyPr/>
                          </wps:wsp>
                        </a:graphicData>
                      </a:graphic>
                    </wp:anchor>
                  </w:drawing>
                </mc:Choice>
                <mc:Fallback>
                  <w:pict>
                    <v:line id="_x0000_s1026" o:spid="_x0000_s1026" o:spt="20" style="position:absolute;left:0pt;flip:y;margin-left:256.15pt;margin-top:5.05pt;height:17.7pt;width:0.05pt;z-index:251736064;mso-width-relative:page;mso-height-relative:page;" filled="f" stroked="t" coordsize="21600,21600" o:gfxdata="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5m+Fe2QAAAAkBAAAPAAAAAAAAAAEAIAAAACIAAABk&#10;cnMvZG93bnJldi54bWxQSwECFAAUAAAACACHTuJArgmAUAUCAAD3AwAADgAAAAAAAAABACAAAAAo&#10;AQAAZHJzL2Uyb0RvYy54bWxQSwUGAAAAAAYABgBZAQAAnwUAAAAA&#10;">
                      <v:fill on="f" focussize="0,0"/>
                      <v:stroke color="#000000" joinstyle="round" dashstyle="dash" endarrow="classic"/>
                      <v:imagedata o:title=""/>
                      <o:lock v:ext="edit" aspectratio="f"/>
                    </v:lin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4854575</wp:posOffset>
                      </wp:positionH>
                      <wp:positionV relativeFrom="paragraph">
                        <wp:posOffset>82550</wp:posOffset>
                      </wp:positionV>
                      <wp:extent cx="635" cy="823595"/>
                      <wp:effectExtent l="37465" t="0" r="38100" b="14605"/>
                      <wp:wrapNone/>
                      <wp:docPr id="88" name="直接连接符 88"/>
                      <wp:cNvGraphicFramePr/>
                      <a:graphic xmlns:a="http://schemas.openxmlformats.org/drawingml/2006/main">
                        <a:graphicData uri="http://schemas.microsoft.com/office/word/2010/wordprocessingShape">
                          <wps:wsp>
                            <wps:cNvCnPr/>
                            <wps:spPr>
                              <a:xfrm>
                                <a:off x="0" y="0"/>
                                <a:ext cx="635" cy="64071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82.25pt;margin-top:6.5pt;height:64.85pt;width:0.05pt;z-index:251686912;mso-width-relative:page;mso-height-relative:page;" filled="f" stroked="t" coordsize="21600,21600" o:gfxdata="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oZYNkAAAAKAQAADwAAAAAAAAABACAAAAAiAAAAZHJzL2Rvd25yZXYu&#10;eG1sUEsBAhQAFAAAAAgAh07iQHQebp76AQAA7QMAAA4AAAAAAAAAAQAgAAAAKAEAAGRycy9lMm9E&#10;b2MueG1sUEsFBgAAAAAGAAYAWQEAAJQFAAAAAA==&#10;">
                      <v:fill on="f" focussize="0,0"/>
                      <v:stroke color="#000000" joinstyle="round" endarrow="block"/>
                      <v:imagedata o:title=""/>
                      <o:lock v:ext="edit" aspectratio="f"/>
                    </v:line>
                  </w:pict>
                </mc:Fallback>
              </mc:AlternateConten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39136" behindDoc="0" locked="0" layoutInCell="1" allowOverlap="1">
                      <wp:simplePos x="0" y="0"/>
                      <wp:positionH relativeFrom="column">
                        <wp:posOffset>1831975</wp:posOffset>
                      </wp:positionH>
                      <wp:positionV relativeFrom="paragraph">
                        <wp:posOffset>153670</wp:posOffset>
                      </wp:positionV>
                      <wp:extent cx="541655" cy="311785"/>
                      <wp:effectExtent l="0" t="0" r="0" b="0"/>
                      <wp:wrapNone/>
                      <wp:docPr id="162" name="矩形 162"/>
                      <wp:cNvGraphicFramePr/>
                      <a:graphic xmlns:a="http://schemas.openxmlformats.org/drawingml/2006/main">
                        <a:graphicData uri="http://schemas.microsoft.com/office/word/2010/wordprocessingShape">
                          <wps:wsp>
                            <wps:cNvSpPr/>
                            <wps:spPr>
                              <a:xfrm>
                                <a:off x="0" y="0"/>
                                <a:ext cx="541655" cy="311785"/>
                              </a:xfrm>
                              <a:prstGeom prst="rect">
                                <a:avLst/>
                              </a:prstGeom>
                              <a:noFill/>
                              <a:ln w="9525">
                                <a:noFill/>
                              </a:ln>
                              <a:effectLst/>
                            </wps:spPr>
                            <wps:txbx>
                              <w:txbxContent>
                                <w:p>
                                  <w:r>
                                    <w:rPr>
                                      <w:rFonts w:hint="eastAsia" w:cs="宋体"/>
                                    </w:rPr>
                                    <w:t>粉尘</w:t>
                                  </w:r>
                                </w:p>
                              </w:txbxContent>
                            </wps:txbx>
                            <wps:bodyPr upright="1"/>
                          </wps:wsp>
                        </a:graphicData>
                      </a:graphic>
                    </wp:anchor>
                  </w:drawing>
                </mc:Choice>
                <mc:Fallback>
                  <w:pict>
                    <v:rect id="_x0000_s1026" o:spid="_x0000_s1026" o:spt="1" style="position:absolute;left:0pt;margin-left:144.25pt;margin-top:12.1pt;height:24.55pt;width:42.65pt;z-index:251739136;mso-width-relative:page;mso-height-relative:page;" filled="f" stroked="f" coordsize="21600,21600" o:gfxdata="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YrmedoAAAAJAQAADwAAAAAAAAABACAAAAAiAAAAZHJzL2Rvd25yZXYueG1sUEsBAhQAFAAAAAgA&#10;h07iQP4VwPaxAQAAWwMAAA4AAAAAAAAAAQAgAAAAKQEAAGRycy9lMm9Eb2MueG1sUEsFBgAAAAAG&#10;AAYAWQEAAEwFAAAAAA==&#10;">
                      <v:fill on="f" focussize="0,0"/>
                      <v:stroke on="f"/>
                      <v:imagedata o:title=""/>
                      <o:lock v:ext="edit" aspectratio="f"/>
                      <v:textbox>
                        <w:txbxContent>
                          <w:p>
                            <w:r>
                              <w:rPr>
                                <w:rFonts w:hint="eastAsia" w:cs="宋体"/>
                              </w:rPr>
                              <w:t>粉尘</w:t>
                            </w:r>
                          </w:p>
                        </w:txbxContent>
                      </v:textbox>
                    </v:rect>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2620010</wp:posOffset>
                      </wp:positionH>
                      <wp:positionV relativeFrom="paragraph">
                        <wp:posOffset>17780</wp:posOffset>
                      </wp:positionV>
                      <wp:extent cx="933450" cy="311785"/>
                      <wp:effectExtent l="0" t="0" r="0" b="0"/>
                      <wp:wrapNone/>
                      <wp:docPr id="160" name="矩形 160"/>
                      <wp:cNvGraphicFramePr/>
                      <a:graphic xmlns:a="http://schemas.openxmlformats.org/drawingml/2006/main">
                        <a:graphicData uri="http://schemas.microsoft.com/office/word/2010/wordprocessingShape">
                          <wps:wsp>
                            <wps:cNvSpPr/>
                            <wps:spPr>
                              <a:xfrm>
                                <a:off x="0" y="0"/>
                                <a:ext cx="933450" cy="311785"/>
                              </a:xfrm>
                              <a:prstGeom prst="rect">
                                <a:avLst/>
                              </a:prstGeom>
                              <a:noFill/>
                              <a:ln w="9525">
                                <a:noFill/>
                              </a:ln>
                              <a:effectLst/>
                            </wps:spPr>
                            <wps:txbx>
                              <w:txbxContent>
                                <w:p>
                                  <w:pPr>
                                    <w:jc w:val="center"/>
                                    <w:rPr>
                                      <w:rFonts w:hint="default" w:eastAsia="宋体"/>
                                      <w:lang w:val="en-US" w:eastAsia="zh-CN"/>
                                    </w:rPr>
                                  </w:pPr>
                                  <w:r>
                                    <w:rPr>
                                      <w:rFonts w:hint="eastAsia" w:cs="宋体"/>
                                      <w:lang w:val="en-US" w:eastAsia="zh-CN"/>
                                    </w:rPr>
                                    <w:t>电加热</w:t>
                                  </w:r>
                                </w:p>
                              </w:txbxContent>
                            </wps:txbx>
                            <wps:bodyPr upright="1"/>
                          </wps:wsp>
                        </a:graphicData>
                      </a:graphic>
                    </wp:anchor>
                  </w:drawing>
                </mc:Choice>
                <mc:Fallback>
                  <w:pict>
                    <v:rect id="_x0000_s1026" o:spid="_x0000_s1026" o:spt="1" style="position:absolute;left:0pt;margin-left:206.3pt;margin-top:1.4pt;height:24.55pt;width:73.5pt;z-index:251737088;mso-width-relative:page;mso-height-relative:page;" filled="f" stroked="f" coordsize="21600,21600" o:gfxdata="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D&#10;NDz12QAAAAgBAAAPAAAAAAAAAAEAIAAAACIAAABkcnMvZG93bnJldi54bWxQSwECFAAUAAAACACH&#10;TuJAiLMu4LEBAABbAwAADgAAAAAAAAABACAAAAAoAQAAZHJzL2Uyb0RvYy54bWxQSwUGAAAAAAYA&#10;BgBZAQAASwUAAAAA&#10;">
                      <v:fill on="f" focussize="0,0"/>
                      <v:stroke on="f"/>
                      <v:imagedata o:title=""/>
                      <o:lock v:ext="edit" aspectratio="f"/>
                      <v:textbox>
                        <w:txbxContent>
                          <w:p>
                            <w:pPr>
                              <w:jc w:val="center"/>
                              <w:rPr>
                                <w:rFonts w:hint="default" w:eastAsia="宋体"/>
                                <w:lang w:val="en-US" w:eastAsia="zh-CN"/>
                              </w:rPr>
                            </w:pPr>
                            <w:r>
                              <w:rPr>
                                <w:rFonts w:hint="eastAsia" w:cs="宋体"/>
                                <w:lang w:val="en-US" w:eastAsia="zh-CN"/>
                              </w:rPr>
                              <w:t>电加热</w:t>
                            </w:r>
                          </w:p>
                        </w:txbxContent>
                      </v:textbox>
                    </v:rect>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3425825</wp:posOffset>
                      </wp:positionH>
                      <wp:positionV relativeFrom="paragraph">
                        <wp:posOffset>-5715</wp:posOffset>
                      </wp:positionV>
                      <wp:extent cx="1167130" cy="311785"/>
                      <wp:effectExtent l="0" t="0" r="0" b="0"/>
                      <wp:wrapNone/>
                      <wp:docPr id="87" name="矩形 87"/>
                      <wp:cNvGraphicFramePr/>
                      <a:graphic xmlns:a="http://schemas.openxmlformats.org/drawingml/2006/main">
                        <a:graphicData uri="http://schemas.microsoft.com/office/word/2010/wordprocessingShape">
                          <wps:wsp>
                            <wps:cNvSpPr/>
                            <wps:spPr>
                              <a:xfrm>
                                <a:off x="0" y="0"/>
                                <a:ext cx="650875" cy="311785"/>
                              </a:xfrm>
                              <a:prstGeom prst="rect">
                                <a:avLst/>
                              </a:prstGeom>
                              <a:noFill/>
                              <a:ln w="9525">
                                <a:noFill/>
                              </a:ln>
                              <a:effectLst/>
                            </wps:spPr>
                            <wps:txbx>
                              <w:txbxContent>
                                <w:p>
                                  <w:r>
                                    <w:t>非甲烷总烃</w:t>
                                  </w:r>
                                </w:p>
                              </w:txbxContent>
                            </wps:txbx>
                            <wps:bodyPr upright="1"/>
                          </wps:wsp>
                        </a:graphicData>
                      </a:graphic>
                    </wp:anchor>
                  </w:drawing>
                </mc:Choice>
                <mc:Fallback>
                  <w:pict>
                    <v:rect id="_x0000_s1026" o:spid="_x0000_s1026" o:spt="1" style="position:absolute;left:0pt;margin-left:269.75pt;margin-top:-0.45pt;height:24.55pt;width:91.9pt;z-index:251694080;mso-width-relative:page;mso-height-relative:page;" filled="f" stroked="f" coordsize="21600,21600" o:gfxdata="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3szctoAAAAIAQAADwAAAAAAAAABACAAAAAiAAAAZHJzL2Rvd25yZXYueG1sUEsBAhQAFAAAAAgA&#10;h07iQAuSVW6xAQAAWQMAAA4AAAAAAAAAAQAgAAAAKQEAAGRycy9lMm9Eb2MueG1sUEsFBgAAAAAG&#10;AAYAWQEAAEwFAAAAAA==&#10;">
                      <v:fill on="f" focussize="0,0"/>
                      <v:stroke on="f"/>
                      <v:imagedata o:title=""/>
                      <o:lock v:ext="edit" aspectratio="f"/>
                      <v:textbox>
                        <w:txbxContent>
                          <w:p>
                            <w:r>
                              <w:t>非甲烷总烃</w:t>
                            </w:r>
                          </w:p>
                        </w:txbxContent>
                      </v:textbox>
                    </v:rect>
                  </w:pict>
                </mc:Fallback>
              </mc:AlternateContent>
            </w:r>
            <w:r>
              <w:rPr>
                <w:color w:val="auto"/>
              </w:rPr>
              <mc:AlternateContent>
                <mc:Choice Requires="wps">
                  <w:drawing>
                    <wp:anchor distT="0" distB="0" distL="114300" distR="114300" simplePos="0" relativeHeight="251695104" behindDoc="0" locked="0" layoutInCell="1" allowOverlap="1">
                      <wp:simplePos x="0" y="0"/>
                      <wp:positionH relativeFrom="column">
                        <wp:posOffset>3818255</wp:posOffset>
                      </wp:positionH>
                      <wp:positionV relativeFrom="paragraph">
                        <wp:posOffset>252730</wp:posOffset>
                      </wp:positionV>
                      <wp:extent cx="635" cy="224790"/>
                      <wp:effectExtent l="37465" t="0" r="38100" b="3810"/>
                      <wp:wrapNone/>
                      <wp:docPr id="86" name="直接连接符 86"/>
                      <wp:cNvGraphicFramePr/>
                      <a:graphic xmlns:a="http://schemas.openxmlformats.org/drawingml/2006/main">
                        <a:graphicData uri="http://schemas.microsoft.com/office/word/2010/wordprocessingShape">
                          <wps:wsp>
                            <wps:cNvCnPr/>
                            <wps:spPr>
                              <a:xfrm flipV="1">
                                <a:off x="0" y="0"/>
                                <a:ext cx="635" cy="224790"/>
                              </a:xfrm>
                              <a:prstGeom prst="line">
                                <a:avLst/>
                              </a:prstGeom>
                              <a:ln w="9525" cap="flat" cmpd="sng">
                                <a:solidFill>
                                  <a:srgbClr val="000000"/>
                                </a:solidFill>
                                <a:prstDash val="dash"/>
                                <a:headEnd type="none" w="med" len="med"/>
                                <a:tailEnd type="stealth" w="med" len="med"/>
                              </a:ln>
                              <a:effectLst/>
                            </wps:spPr>
                            <wps:bodyPr/>
                          </wps:wsp>
                        </a:graphicData>
                      </a:graphic>
                    </wp:anchor>
                  </w:drawing>
                </mc:Choice>
                <mc:Fallback>
                  <w:pict>
                    <v:line id="_x0000_s1026" o:spid="_x0000_s1026" o:spt="20" style="position:absolute;left:0pt;flip:y;margin-left:300.65pt;margin-top:19.9pt;height:17.7pt;width:0.05pt;z-index:251695104;mso-width-relative:page;mso-height-relative:page;" filled="f" stroked="t" coordsize="21600,21600" o:gfxdata="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&#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s9bI2gAAAAkBAAAPAAAAAAAAAAEAIAAAACIAAABk&#10;cnMvZG93bnJldi54bWxQSwECFAAUAAAACACHTuJAQt4EggQCAAD1AwAADgAAAAAAAAABACAAAAAp&#10;AQAAZHJzL2Uyb0RvYy54bWxQSwUGAAAAAAYABgBZAQAAnwUAAAAA&#10;">
                      <v:fill on="f" focussize="0,0"/>
                      <v:stroke color="#000000" joinstyle="round" dashstyle="dash" endarrow="classic"/>
                      <v:imagedata o:title=""/>
                      <o:lock v:ext="edit" aspectratio="f"/>
                    </v:line>
                  </w:pict>
                </mc:Fallback>
              </mc:AlternateConten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696128" behindDoc="0" locked="0" layoutInCell="1" allowOverlap="1">
                      <wp:simplePos x="0" y="0"/>
                      <wp:positionH relativeFrom="column">
                        <wp:posOffset>2495550</wp:posOffset>
                      </wp:positionH>
                      <wp:positionV relativeFrom="paragraph">
                        <wp:posOffset>231140</wp:posOffset>
                      </wp:positionV>
                      <wp:extent cx="570865" cy="311785"/>
                      <wp:effectExtent l="0" t="0" r="0" b="0"/>
                      <wp:wrapNone/>
                      <wp:docPr id="106" name="矩形 106"/>
                      <wp:cNvGraphicFramePr/>
                      <a:graphic xmlns:a="http://schemas.openxmlformats.org/drawingml/2006/main">
                        <a:graphicData uri="http://schemas.microsoft.com/office/word/2010/wordprocessingShape">
                          <wps:wsp>
                            <wps:cNvSpPr/>
                            <wps:spPr>
                              <a:xfrm>
                                <a:off x="0" y="0"/>
                                <a:ext cx="570865" cy="311785"/>
                              </a:xfrm>
                              <a:prstGeom prst="rect">
                                <a:avLst/>
                              </a:prstGeom>
                              <a:noFill/>
                              <a:ln w="9525">
                                <a:noFill/>
                              </a:ln>
                              <a:effectLst/>
                            </wps:spPr>
                            <wps:txbx>
                              <w:txbxContent>
                                <w:p>
                                  <w:pPr>
                                    <w:jc w:val="center"/>
                                  </w:pPr>
                                  <w:r>
                                    <w:rPr>
                                      <w:rFonts w:hint="eastAsia" w:cs="宋体"/>
                                    </w:rPr>
                                    <w:t>入库</w:t>
                                  </w:r>
                                </w:p>
                              </w:txbxContent>
                            </wps:txbx>
                            <wps:bodyPr upright="1"/>
                          </wps:wsp>
                        </a:graphicData>
                      </a:graphic>
                    </wp:anchor>
                  </w:drawing>
                </mc:Choice>
                <mc:Fallback>
                  <w:pict>
                    <v:rect id="_x0000_s1026" o:spid="_x0000_s1026" o:spt="1" style="position:absolute;left:0pt;margin-left:196.5pt;margin-top:18.2pt;height:24.55pt;width:44.95pt;z-index:251696128;mso-width-relative:page;mso-height-relative:page;" filled="f" stroked="f" coordsize="21600,21600" o:gfxdata="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VRhg9sAAAAJAQAADwAAAAAAAAABACAAAAAiAAAAZHJzL2Rvd25yZXYueG1sUEsBAhQAFAAAAAgA&#10;h07iQBsPg+iwAQAAWwMAAA4AAAAAAAAAAQAgAAAAKgEAAGRycy9lMm9Eb2MueG1sUEsFBgAAAAAG&#10;AAYAWQEAAEwFAAAAAA==&#10;">
                      <v:fill on="f" focussize="0,0"/>
                      <v:stroke on="f"/>
                      <v:imagedata o:title=""/>
                      <o:lock v:ext="edit" aspectratio="f"/>
                      <v:textbox>
                        <w:txbxContent>
                          <w:p>
                            <w:pPr>
                              <w:jc w:val="center"/>
                            </w:pPr>
                            <w:r>
                              <w:rPr>
                                <w:rFonts w:hint="eastAsia" w:cs="宋体"/>
                              </w:rPr>
                              <w:t>入库</w:t>
                            </w:r>
                          </w:p>
                        </w:txbxContent>
                      </v:textbox>
                    </v:rect>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3573145</wp:posOffset>
                      </wp:positionH>
                      <wp:positionV relativeFrom="paragraph">
                        <wp:posOffset>208915</wp:posOffset>
                      </wp:positionV>
                      <wp:extent cx="523240" cy="311785"/>
                      <wp:effectExtent l="4445" t="5080" r="5715" b="6985"/>
                      <wp:wrapNone/>
                      <wp:docPr id="104" name="矩形 104"/>
                      <wp:cNvGraphicFramePr/>
                      <a:graphic xmlns:a="http://schemas.openxmlformats.org/drawingml/2006/main">
                        <a:graphicData uri="http://schemas.microsoft.com/office/word/2010/wordprocessingShape">
                          <wps:wsp>
                            <wps:cNvSpPr/>
                            <wps:spPr>
                              <a:xfrm>
                                <a:off x="0" y="0"/>
                                <a:ext cx="523240" cy="3117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罐装</w:t>
                                  </w:r>
                                </w:p>
                                <w:p/>
                              </w:txbxContent>
                            </wps:txbx>
                            <wps:bodyPr upright="1"/>
                          </wps:wsp>
                        </a:graphicData>
                      </a:graphic>
                    </wp:anchor>
                  </w:drawing>
                </mc:Choice>
                <mc:Fallback>
                  <w:pict>
                    <v:rect id="_x0000_s1026" o:spid="_x0000_s1026" o:spt="1" style="position:absolute;left:0pt;margin-left:281.35pt;margin-top:16.45pt;height:24.55pt;width:41.2pt;z-index:251692032;mso-width-relative:page;mso-height-relative:page;" fillcolor="#FFFFFF" filled="t" stroked="t" coordsize="21600,21600" o:gfxdata="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&#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d7S2AAAAAkBAAAPAAAAAAAAAAEAIAAAACIAAABk&#10;cnMvZG93bnJldi54bWxQSwECFAAUAAAACACHTuJA73pGmgYCAAA6BAAADgAAAAAAAAABACAAAAAn&#10;AQAAZHJzL2Uyb0RvYy54bWxQSwUGAAAAAAYABgBZAQAAnwUAAAAA&#10;">
                      <v:fill on="t" focussize="0,0"/>
                      <v:stroke color="#000000" joinstyle="miter"/>
                      <v:imagedata o:title=""/>
                      <o:lock v:ext="edit" aspectratio="f"/>
                      <v:textbox>
                        <w:txbxContent>
                          <w:p>
                            <w:pPr>
                              <w:jc w:val="center"/>
                            </w:pPr>
                            <w:r>
                              <w:rPr>
                                <w:rFonts w:hint="eastAsia" w:cs="宋体"/>
                              </w:rPr>
                              <w:t>罐装</w:t>
                            </w:r>
                          </w:p>
                          <w:p/>
                        </w:txbxContent>
                      </v:textbox>
                    </v:rect>
                  </w:pict>
                </mc:Fallback>
              </mc:AlternateConten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689984" behindDoc="0" locked="0" layoutInCell="1" allowOverlap="1">
                      <wp:simplePos x="0" y="0"/>
                      <wp:positionH relativeFrom="column">
                        <wp:posOffset>4109085</wp:posOffset>
                      </wp:positionH>
                      <wp:positionV relativeFrom="paragraph">
                        <wp:posOffset>118110</wp:posOffset>
                      </wp:positionV>
                      <wp:extent cx="722630" cy="0"/>
                      <wp:effectExtent l="0" t="38100" r="1270" b="38100"/>
                      <wp:wrapNone/>
                      <wp:docPr id="105" name="直接连接符 105"/>
                      <wp:cNvGraphicFramePr/>
                      <a:graphic xmlns:a="http://schemas.openxmlformats.org/drawingml/2006/main">
                        <a:graphicData uri="http://schemas.microsoft.com/office/word/2010/wordprocessingShape">
                          <wps:wsp>
                            <wps:cNvCnPr/>
                            <wps:spPr>
                              <a:xfrm flipH="1">
                                <a:off x="0" y="0"/>
                                <a:ext cx="48387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323.55pt;margin-top:9.3pt;height:0pt;width:56.9pt;z-index:251689984;mso-width-relative:page;mso-height-relative:page;" filled="f" stroked="t" coordsize="21600,21600" o:gfxdata="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Y3snYAAAACQEAAA8AAAAAAAAAAQAgAAAAIgAAAGRy&#10;cy9kb3ducmV2LnhtbFBLAQIUABQAAAAIAIdO4kA8G66IBQIAAPkDAAAOAAAAAAAAAAEAIAAAACcB&#10;AABkcnMvZTJvRG9jLnhtbFBLBQYAAAAABgAGAFkBAACe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91008" behindDoc="0" locked="0" layoutInCell="1" allowOverlap="1">
                      <wp:simplePos x="0" y="0"/>
                      <wp:positionH relativeFrom="column">
                        <wp:posOffset>3079115</wp:posOffset>
                      </wp:positionH>
                      <wp:positionV relativeFrom="paragraph">
                        <wp:posOffset>101600</wp:posOffset>
                      </wp:positionV>
                      <wp:extent cx="483870" cy="635"/>
                      <wp:effectExtent l="0" t="37465" r="11430" b="38100"/>
                      <wp:wrapNone/>
                      <wp:docPr id="103" name="直接连接符 103"/>
                      <wp:cNvGraphicFramePr/>
                      <a:graphic xmlns:a="http://schemas.openxmlformats.org/drawingml/2006/main">
                        <a:graphicData uri="http://schemas.microsoft.com/office/word/2010/wordprocessingShape">
                          <wps:wsp>
                            <wps:cNvCnPr/>
                            <wps:spPr>
                              <a:xfrm flipH="1">
                                <a:off x="0" y="0"/>
                                <a:ext cx="48387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242.45pt;margin-top:8pt;height:0.05pt;width:38.1pt;z-index:251691008;mso-width-relative:page;mso-height-relative:page;" filled="f" stroked="t" coordsize="21600,21600" o:gfxdata="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EuovYAAAACQEAAA8AAAAAAAAAAQAgAAAAIgAAAGRycy9k&#10;b3ducmV2LnhtbFBLAQIUABQAAAAIAIdO4kCMrbZsAgIAAPkDAAAOAAAAAAAAAAEAIAAAACcBAABk&#10;cnMvZTJvRG9jLnhtbFBLBQYAAAAABgAGAFkBAACbBQAAAAA=&#10;">
                      <v:fill on="f" focussize="0,0"/>
                      <v:stroke color="#000000" joinstyle="round" endarrow="block"/>
                      <v:imagedata o:title=""/>
                      <o:lock v:ext="edit" aspectratio="f"/>
                    </v:line>
                  </w:pict>
                </mc:Fallback>
              </mc:AlternateContent>
            </w:r>
          </w:p>
          <w:p>
            <w:pPr>
              <w:adjustRightInd w:val="0"/>
              <w:snapToGrid w:val="0"/>
              <w:spacing w:before="163" w:beforeLines="50" w:line="360" w:lineRule="auto"/>
              <w:ind w:firstLine="482" w:firstLineChars="200"/>
              <w:jc w:val="center"/>
              <w:rPr>
                <w:b/>
                <w:bCs/>
                <w:color w:val="auto"/>
                <w:sz w:val="24"/>
                <w:szCs w:val="24"/>
              </w:rPr>
            </w:pPr>
            <w:r>
              <w:rPr>
                <w:rFonts w:hint="eastAsia" w:cs="宋体"/>
                <w:b/>
                <w:bCs/>
                <w:color w:val="auto"/>
                <w:sz w:val="24"/>
                <w:szCs w:val="24"/>
              </w:rPr>
              <w:t>图</w:t>
            </w:r>
            <w:r>
              <w:rPr>
                <w:rFonts w:hint="eastAsia"/>
                <w:b/>
                <w:bCs/>
                <w:color w:val="auto"/>
                <w:sz w:val="24"/>
                <w:szCs w:val="24"/>
                <w:lang w:val="en-US" w:eastAsia="zh-CN"/>
              </w:rPr>
              <w:t>2-2</w:t>
            </w:r>
            <w:r>
              <w:rPr>
                <w:b/>
                <w:bCs/>
                <w:color w:val="auto"/>
                <w:sz w:val="24"/>
                <w:szCs w:val="24"/>
              </w:rPr>
              <w:t xml:space="preserve"> </w:t>
            </w:r>
            <w:r>
              <w:rPr>
                <w:rFonts w:hint="eastAsia" w:cs="宋体"/>
                <w:b/>
                <w:bCs/>
                <w:color w:val="auto"/>
                <w:sz w:val="24"/>
                <w:szCs w:val="24"/>
              </w:rPr>
              <w:t>水性环氧乳液工艺流程图</w:t>
            </w:r>
          </w:p>
          <w:p>
            <w:pPr>
              <w:adjustRightInd w:val="0"/>
              <w:snapToGrid w:val="0"/>
              <w:spacing w:line="360" w:lineRule="auto"/>
              <w:ind w:firstLine="482" w:firstLineChars="200"/>
              <w:rPr>
                <w:rFonts w:hint="eastAsia" w:cs="宋体"/>
                <w:b/>
                <w:bCs/>
                <w:color w:val="auto"/>
                <w:sz w:val="24"/>
                <w:szCs w:val="24"/>
              </w:rPr>
            </w:pPr>
            <w:r>
              <w:rPr>
                <w:rFonts w:hint="eastAsia" w:cs="宋体"/>
                <w:b/>
                <w:bCs/>
                <w:color w:val="auto"/>
                <w:sz w:val="24"/>
                <w:szCs w:val="24"/>
              </w:rPr>
              <w:t>工艺流程简述</w:t>
            </w:r>
          </w:p>
          <w:p>
            <w:pPr>
              <w:adjustRightInd w:val="0"/>
              <w:snapToGrid w:val="0"/>
              <w:spacing w:line="360" w:lineRule="auto"/>
              <w:ind w:firstLine="480" w:firstLineChars="200"/>
              <w:rPr>
                <w:rFonts w:hint="eastAsia" w:eastAsia="宋体"/>
                <w:color w:val="auto"/>
                <w:sz w:val="24"/>
                <w:szCs w:val="24"/>
                <w:lang w:eastAsia="zh-CN"/>
              </w:rPr>
            </w:pPr>
            <w:r>
              <w:rPr>
                <w:color w:val="auto"/>
                <w:sz w:val="24"/>
                <w:szCs w:val="24"/>
              </w:rPr>
              <w:t>1</w:t>
            </w:r>
            <w:r>
              <w:rPr>
                <w:rFonts w:hint="eastAsia" w:cs="宋体"/>
                <w:color w:val="auto"/>
                <w:sz w:val="24"/>
                <w:szCs w:val="24"/>
              </w:rPr>
              <w:t>、投料：将</w:t>
            </w:r>
            <w:r>
              <w:rPr>
                <w:rFonts w:hint="eastAsia" w:cs="宋体"/>
                <w:color w:val="auto"/>
                <w:kern w:val="0"/>
                <w:sz w:val="24"/>
                <w:szCs w:val="24"/>
              </w:rPr>
              <w:t>原料按照工艺配方比例投入料缸内。投料过程中粉状的</w:t>
            </w:r>
            <w:r>
              <w:rPr>
                <w:rFonts w:hint="eastAsia" w:cs="宋体"/>
                <w:color w:val="auto"/>
                <w:kern w:val="0"/>
                <w:sz w:val="24"/>
                <w:szCs w:val="24"/>
                <w:lang w:val="en-US" w:eastAsia="zh-CN"/>
              </w:rPr>
              <w:t>环氧树脂</w:t>
            </w:r>
            <w:r>
              <w:rPr>
                <w:rFonts w:hint="eastAsia" w:cs="宋体"/>
                <w:color w:val="auto"/>
                <w:kern w:val="0"/>
                <w:sz w:val="24"/>
                <w:szCs w:val="24"/>
                <w:lang w:eastAsia="zh-CN"/>
              </w:rPr>
              <w:t>原料</w:t>
            </w:r>
            <w:r>
              <w:rPr>
                <w:rFonts w:hint="eastAsia" w:cs="宋体"/>
                <w:color w:val="auto"/>
                <w:kern w:val="0"/>
                <w:sz w:val="24"/>
                <w:szCs w:val="24"/>
              </w:rPr>
              <w:t>会产生</w:t>
            </w:r>
            <w:r>
              <w:rPr>
                <w:rFonts w:hint="eastAsia" w:cs="宋体"/>
                <w:color w:val="auto"/>
                <w:kern w:val="0"/>
                <w:sz w:val="24"/>
                <w:szCs w:val="24"/>
                <w:lang w:val="en-US" w:eastAsia="zh-CN"/>
              </w:rPr>
              <w:t>少量</w:t>
            </w:r>
            <w:r>
              <w:rPr>
                <w:rFonts w:hint="eastAsia" w:cs="宋体"/>
                <w:color w:val="auto"/>
                <w:kern w:val="0"/>
                <w:sz w:val="24"/>
                <w:szCs w:val="24"/>
              </w:rPr>
              <w:t>粉尘</w:t>
            </w:r>
            <w:r>
              <w:rPr>
                <w:rFonts w:hint="eastAsia" w:cs="宋体"/>
                <w:color w:val="auto"/>
                <w:kern w:val="0"/>
                <w:sz w:val="24"/>
                <w:szCs w:val="24"/>
                <w:lang w:eastAsia="zh-CN"/>
              </w:rPr>
              <w:t>。</w:t>
            </w:r>
          </w:p>
          <w:p>
            <w:pPr>
              <w:adjustRightInd w:val="0"/>
              <w:snapToGrid w:val="0"/>
              <w:spacing w:line="360" w:lineRule="auto"/>
              <w:ind w:firstLine="480" w:firstLineChars="200"/>
              <w:rPr>
                <w:color w:val="auto"/>
                <w:sz w:val="24"/>
                <w:szCs w:val="24"/>
              </w:rPr>
            </w:pPr>
            <w:r>
              <w:rPr>
                <w:color w:val="auto"/>
                <w:sz w:val="24"/>
                <w:szCs w:val="24"/>
              </w:rPr>
              <w:t>2</w:t>
            </w:r>
            <w:r>
              <w:rPr>
                <w:rFonts w:hint="eastAsia" w:cs="宋体"/>
                <w:color w:val="auto"/>
                <w:sz w:val="24"/>
                <w:szCs w:val="24"/>
              </w:rPr>
              <w:t>、搅拌：</w:t>
            </w:r>
            <w:r>
              <w:rPr>
                <w:rFonts w:hint="eastAsia" w:cs="宋体"/>
                <w:color w:val="auto"/>
                <w:sz w:val="24"/>
                <w:szCs w:val="24"/>
                <w:lang w:val="en-US" w:eastAsia="zh-CN"/>
              </w:rPr>
              <w:t>搅拌罐中加入去离子水，原水经预处理→反渗透→中间水箱，通过水泵将水打入设备中，</w:t>
            </w:r>
            <w:r>
              <w:rPr>
                <w:rFonts w:hint="eastAsia" w:cs="宋体"/>
                <w:color w:val="auto"/>
                <w:sz w:val="24"/>
                <w:szCs w:val="24"/>
              </w:rPr>
              <w:t>通过搅拌机搅拌均匀成原料混合溶液，</w:t>
            </w:r>
            <w:r>
              <w:rPr>
                <w:rFonts w:hint="eastAsia" w:cs="宋体"/>
                <w:color w:val="auto"/>
                <w:sz w:val="24"/>
                <w:szCs w:val="24"/>
                <w:lang w:val="en-US" w:eastAsia="zh-CN"/>
              </w:rPr>
              <w:t>搅拌过程中通过电加热，加快环氧树脂的溶解速度，搅拌过程中</w:t>
            </w:r>
            <w:r>
              <w:rPr>
                <w:rFonts w:hint="eastAsia" w:cs="宋体"/>
                <w:color w:val="auto"/>
                <w:sz w:val="24"/>
                <w:szCs w:val="24"/>
              </w:rPr>
              <w:t>该过程会有少量的有机废气挥发，以</w:t>
            </w:r>
            <w:r>
              <w:rPr>
                <w:color w:val="auto"/>
                <w:sz w:val="24"/>
                <w:szCs w:val="24"/>
              </w:rPr>
              <w:t>非甲烷总烃</w:t>
            </w:r>
            <w:r>
              <w:rPr>
                <w:rFonts w:hint="eastAsia" w:cs="宋体"/>
                <w:color w:val="auto"/>
                <w:sz w:val="24"/>
                <w:szCs w:val="24"/>
              </w:rPr>
              <w:t>计。</w:t>
            </w:r>
          </w:p>
          <w:p>
            <w:pPr>
              <w:adjustRightInd w:val="0"/>
              <w:snapToGrid w:val="0"/>
              <w:spacing w:line="360" w:lineRule="auto"/>
              <w:ind w:firstLine="480" w:firstLineChars="200"/>
              <w:rPr>
                <w:color w:val="auto"/>
                <w:sz w:val="24"/>
                <w:szCs w:val="24"/>
              </w:rPr>
            </w:pPr>
            <w:r>
              <w:rPr>
                <w:color w:val="auto"/>
                <w:sz w:val="24"/>
                <w:szCs w:val="24"/>
              </w:rPr>
              <w:t>3</w:t>
            </w:r>
            <w:r>
              <w:rPr>
                <w:rFonts w:hint="eastAsia" w:cs="宋体"/>
                <w:color w:val="auto"/>
                <w:sz w:val="24"/>
                <w:szCs w:val="24"/>
              </w:rPr>
              <w:t>、分散：将不同粘度浆状的液体原料进行粉碎、分散、乳化、混合，通过分散盘上下剧齿的高速运转，对物料进行高速的强烈的剪切、撞击、粉碎、分散，达到迅速混合、溶解、分散、细化的功能，该过程会有少量的有机废气挥发，以</w:t>
            </w:r>
            <w:r>
              <w:rPr>
                <w:color w:val="auto"/>
                <w:sz w:val="24"/>
                <w:szCs w:val="24"/>
              </w:rPr>
              <w:t>非甲烷总烃</w:t>
            </w:r>
            <w:r>
              <w:rPr>
                <w:rFonts w:hint="eastAsia" w:cs="宋体"/>
                <w:color w:val="auto"/>
                <w:sz w:val="24"/>
                <w:szCs w:val="24"/>
              </w:rPr>
              <w:t>计。</w:t>
            </w:r>
          </w:p>
          <w:p>
            <w:pPr>
              <w:adjustRightInd w:val="0"/>
              <w:snapToGrid w:val="0"/>
              <w:spacing w:line="360" w:lineRule="auto"/>
              <w:ind w:firstLine="480" w:firstLineChars="200"/>
              <w:rPr>
                <w:rFonts w:hint="eastAsia" w:cs="宋体"/>
                <w:b/>
                <w:bCs/>
                <w:color w:val="auto"/>
                <w:sz w:val="24"/>
                <w:szCs w:val="24"/>
              </w:rPr>
            </w:pPr>
            <w:r>
              <w:rPr>
                <w:rFonts w:hint="eastAsia"/>
                <w:color w:val="auto"/>
                <w:sz w:val="24"/>
                <w:szCs w:val="24"/>
              </w:rPr>
              <w:t>4</w:t>
            </w:r>
            <w:r>
              <w:rPr>
                <w:rFonts w:hint="eastAsia" w:cs="宋体"/>
                <w:color w:val="auto"/>
                <w:sz w:val="24"/>
                <w:szCs w:val="24"/>
              </w:rPr>
              <w:t>、罐装：溶液细化完毕就可以及时灌装。该过程会有少量的有机废气挥发，以</w:t>
            </w:r>
            <w:r>
              <w:rPr>
                <w:color w:val="auto"/>
                <w:sz w:val="24"/>
                <w:szCs w:val="24"/>
              </w:rPr>
              <w:t>非甲烷总烃</w:t>
            </w:r>
            <w:r>
              <w:rPr>
                <w:rFonts w:hint="eastAsia" w:cs="宋体"/>
                <w:color w:val="auto"/>
                <w:sz w:val="24"/>
                <w:szCs w:val="24"/>
              </w:rPr>
              <w:t>计。</w:t>
            </w:r>
          </w:p>
          <w:p>
            <w:pPr>
              <w:adjustRightInd w:val="0"/>
              <w:snapToGrid w:val="0"/>
              <w:spacing w:line="360" w:lineRule="auto"/>
              <w:ind w:firstLine="480" w:firstLineChars="200"/>
              <w:rPr>
                <w:color w:val="auto"/>
                <w:sz w:val="24"/>
                <w:szCs w:val="24"/>
              </w:rPr>
            </w:pPr>
            <w:r>
              <w:rPr>
                <w:rFonts w:hint="eastAsia" w:cs="宋体"/>
                <w:color w:val="auto"/>
                <w:sz w:val="24"/>
                <w:szCs w:val="24"/>
              </w:rPr>
              <w:t>（</w:t>
            </w:r>
            <w:r>
              <w:rPr>
                <w:rFonts w:hint="eastAsia"/>
                <w:color w:val="auto"/>
                <w:sz w:val="24"/>
                <w:szCs w:val="24"/>
                <w:lang w:val="en-US" w:eastAsia="zh-CN"/>
              </w:rPr>
              <w:t>2</w:t>
            </w:r>
            <w:r>
              <w:rPr>
                <w:rFonts w:hint="eastAsia" w:cs="宋体"/>
                <w:color w:val="auto"/>
                <w:sz w:val="24"/>
                <w:szCs w:val="24"/>
              </w:rPr>
              <w:t>）水性环氧乳液、水性防火隔热材料</w: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31968" behindDoc="0" locked="0" layoutInCell="1" allowOverlap="1">
                      <wp:simplePos x="0" y="0"/>
                      <wp:positionH relativeFrom="column">
                        <wp:posOffset>4115435</wp:posOffset>
                      </wp:positionH>
                      <wp:positionV relativeFrom="paragraph">
                        <wp:posOffset>64135</wp:posOffset>
                      </wp:positionV>
                      <wp:extent cx="1581785" cy="311785"/>
                      <wp:effectExtent l="0" t="0" r="0" b="0"/>
                      <wp:wrapNone/>
                      <wp:docPr id="125" name="矩形 125"/>
                      <wp:cNvGraphicFramePr/>
                      <a:graphic xmlns:a="http://schemas.openxmlformats.org/drawingml/2006/main">
                        <a:graphicData uri="http://schemas.microsoft.com/office/word/2010/wordprocessingShape">
                          <wps:wsp>
                            <wps:cNvSpPr/>
                            <wps:spPr>
                              <a:xfrm>
                                <a:off x="0" y="0"/>
                                <a:ext cx="990600" cy="311785"/>
                              </a:xfrm>
                              <a:prstGeom prst="rect">
                                <a:avLst/>
                              </a:prstGeom>
                              <a:noFill/>
                              <a:ln w="9525">
                                <a:noFill/>
                              </a:ln>
                              <a:effectLst/>
                            </wps:spPr>
                            <wps:txbx>
                              <w:txbxContent>
                                <w:p>
                                  <w:r>
                                    <w:t>非甲烷总烃</w:t>
                                  </w:r>
                                  <w:r>
                                    <w:rPr>
                                      <w:rFonts w:hint="eastAsia" w:cs="宋体"/>
                                    </w:rPr>
                                    <w:t>、噪声</w:t>
                                  </w:r>
                                </w:p>
                              </w:txbxContent>
                            </wps:txbx>
                            <wps:bodyPr upright="1"/>
                          </wps:wsp>
                        </a:graphicData>
                      </a:graphic>
                    </wp:anchor>
                  </w:drawing>
                </mc:Choice>
                <mc:Fallback>
                  <w:pict>
                    <v:rect id="_x0000_s1026" o:spid="_x0000_s1026" o:spt="1" style="position:absolute;left:0pt;margin-left:324.05pt;margin-top:5.05pt;height:24.55pt;width:124.55pt;z-index:251731968;mso-width-relative:page;mso-height-relative:page;" filled="f" stroked="f" coordsize="21600,21600" o:gfxdata="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DO&#10;ZbraAAAACQEAAA8AAAAAAAAAAQAgAAAAIgAAAGRycy9kb3ducmV2LnhtbFBLAQIUABQAAAAIAIdO&#10;4kDdgv0drwEAAFsDAAAOAAAAAAAAAAEAIAAAACkBAABkcnMvZTJvRG9jLnhtbFBLBQYAAAAABgAG&#10;AFkBAABKBQAAAAA=&#10;">
                      <v:fill on="f" focussize="0,0"/>
                      <v:stroke on="f"/>
                      <v:imagedata o:title=""/>
                      <o:lock v:ext="edit" aspectratio="f"/>
                      <v:textbox>
                        <w:txbxContent>
                          <w:p>
                            <w:r>
                              <w:t>非甲烷总烃</w:t>
                            </w:r>
                            <w:r>
                              <w:rPr>
                                <w:rFonts w:hint="eastAsia" w:cs="宋体"/>
                              </w:rPr>
                              <w:t>、噪声</w:t>
                            </w:r>
                          </w:p>
                        </w:txbxContent>
                      </v:textbox>
                    </v:rect>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2726055</wp:posOffset>
                      </wp:positionH>
                      <wp:positionV relativeFrom="paragraph">
                        <wp:posOffset>39370</wp:posOffset>
                      </wp:positionV>
                      <wp:extent cx="1383030" cy="311785"/>
                      <wp:effectExtent l="0" t="0" r="0" b="0"/>
                      <wp:wrapNone/>
                      <wp:docPr id="126" name="矩形 126"/>
                      <wp:cNvGraphicFramePr/>
                      <a:graphic xmlns:a="http://schemas.openxmlformats.org/drawingml/2006/main">
                        <a:graphicData uri="http://schemas.microsoft.com/office/word/2010/wordprocessingShape">
                          <wps:wsp>
                            <wps:cNvSpPr/>
                            <wps:spPr>
                              <a:xfrm>
                                <a:off x="0" y="0"/>
                                <a:ext cx="990600" cy="311785"/>
                              </a:xfrm>
                              <a:prstGeom prst="rect">
                                <a:avLst/>
                              </a:prstGeom>
                              <a:noFill/>
                              <a:ln w="9525">
                                <a:noFill/>
                              </a:ln>
                              <a:effectLst/>
                            </wps:spPr>
                            <wps:txbx>
                              <w:txbxContent>
                                <w:p>
                                  <w:r>
                                    <w:t>非甲烷总烃</w:t>
                                  </w:r>
                                  <w:r>
                                    <w:rPr>
                                      <w:rFonts w:hint="eastAsia" w:cs="宋体"/>
                                    </w:rPr>
                                    <w:t>、噪声</w:t>
                                  </w:r>
                                </w:p>
                              </w:txbxContent>
                            </wps:txbx>
                            <wps:bodyPr upright="1"/>
                          </wps:wsp>
                        </a:graphicData>
                      </a:graphic>
                    </wp:anchor>
                  </w:drawing>
                </mc:Choice>
                <mc:Fallback>
                  <w:pict>
                    <v:rect id="_x0000_s1026" o:spid="_x0000_s1026" o:spt="1" style="position:absolute;left:0pt;margin-left:214.65pt;margin-top:3.1pt;height:24.55pt;width:108.9pt;z-index:251727872;mso-width-relative:page;mso-height-relative:page;" filled="f" stroked="f" coordsize="21600,21600" o:gfxdata="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hpn9oAAAAIAQAADwAAAAAAAAABACAAAAAiAAAAZHJzL2Rvd25yZXYueG1sUEsBAhQAFAAAAAgA&#10;h07iQL6HlZOxAQAAWwMAAA4AAAAAAAAAAQAgAAAAKQEAAGRycy9lMm9Eb2MueG1sUEsFBgAAAAAG&#10;AAYAWQEAAEwFAAAAAA==&#10;">
                      <v:fill on="f" focussize="0,0"/>
                      <v:stroke on="f"/>
                      <v:imagedata o:title=""/>
                      <o:lock v:ext="edit" aspectratio="f"/>
                      <v:textbox>
                        <w:txbxContent>
                          <w:p>
                            <w:r>
                              <w:t>非甲烷总烃</w:t>
                            </w:r>
                            <w:r>
                              <w:rPr>
                                <w:rFonts w:hint="eastAsia" w:cs="宋体"/>
                              </w:rPr>
                              <w:t>、噪声</w:t>
                            </w:r>
                          </w:p>
                        </w:txbxContent>
                      </v:textbox>
                    </v:rect>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2090420</wp:posOffset>
                      </wp:positionH>
                      <wp:positionV relativeFrom="paragraph">
                        <wp:posOffset>37465</wp:posOffset>
                      </wp:positionV>
                      <wp:extent cx="541655" cy="311785"/>
                      <wp:effectExtent l="0" t="0" r="0" b="0"/>
                      <wp:wrapNone/>
                      <wp:docPr id="127" name="矩形 127"/>
                      <wp:cNvGraphicFramePr/>
                      <a:graphic xmlns:a="http://schemas.openxmlformats.org/drawingml/2006/main">
                        <a:graphicData uri="http://schemas.microsoft.com/office/word/2010/wordprocessingShape">
                          <wps:wsp>
                            <wps:cNvSpPr/>
                            <wps:spPr>
                              <a:xfrm>
                                <a:off x="0" y="0"/>
                                <a:ext cx="541655" cy="311785"/>
                              </a:xfrm>
                              <a:prstGeom prst="rect">
                                <a:avLst/>
                              </a:prstGeom>
                              <a:noFill/>
                              <a:ln w="9525">
                                <a:noFill/>
                              </a:ln>
                              <a:effectLst/>
                            </wps:spPr>
                            <wps:txbx>
                              <w:txbxContent>
                                <w:p>
                                  <w:r>
                                    <w:rPr>
                                      <w:rFonts w:hint="eastAsia" w:cs="宋体"/>
                                    </w:rPr>
                                    <w:t>粉尘</w:t>
                                  </w:r>
                                </w:p>
                              </w:txbxContent>
                            </wps:txbx>
                            <wps:bodyPr upright="1"/>
                          </wps:wsp>
                        </a:graphicData>
                      </a:graphic>
                    </wp:anchor>
                  </w:drawing>
                </mc:Choice>
                <mc:Fallback>
                  <w:pict>
                    <v:rect id="_x0000_s1026" o:spid="_x0000_s1026" o:spt="1" style="position:absolute;left:0pt;margin-left:164.6pt;margin-top:2.95pt;height:24.55pt;width:42.65pt;z-index:251725824;mso-width-relative:page;mso-height-relative:page;" filled="f" stroked="f" coordsize="21600,21600" o:gfxdata="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WDe+2QAAAAgBAAAPAAAAAAAAAAEAIAAAACIAAABkcnMvZG93bnJldi54bWxQSwECFAAUAAAACACH&#10;TuJAEDnk4rEBAABbAwAADgAAAAAAAAABACAAAAAoAQAAZHJzL2Uyb0RvYy54bWxQSwUGAAAAAAYA&#10;BgBZAQAASwUAAAAA&#10;">
                      <v:fill on="f" focussize="0,0"/>
                      <v:stroke on="f"/>
                      <v:imagedata o:title=""/>
                      <o:lock v:ext="edit" aspectratio="f"/>
                      <v:textbox>
                        <w:txbxContent>
                          <w:p>
                            <w:r>
                              <w:rPr>
                                <w:rFonts w:hint="eastAsia" w:cs="宋体"/>
                              </w:rPr>
                              <w:t>粉尘</w:t>
                            </w:r>
                          </w:p>
                        </w:txbxContent>
                      </v:textbox>
                    </v:rect>
                  </w:pict>
                </mc:Fallback>
              </mc:AlternateConten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30944" behindDoc="0" locked="0" layoutInCell="1" allowOverlap="1">
                      <wp:simplePos x="0" y="0"/>
                      <wp:positionH relativeFrom="column">
                        <wp:posOffset>4729480</wp:posOffset>
                      </wp:positionH>
                      <wp:positionV relativeFrom="paragraph">
                        <wp:posOffset>55880</wp:posOffset>
                      </wp:positionV>
                      <wp:extent cx="635" cy="224790"/>
                      <wp:effectExtent l="37465" t="0" r="38100" b="3810"/>
                      <wp:wrapNone/>
                      <wp:docPr id="128" name="直接连接符 128"/>
                      <wp:cNvGraphicFramePr/>
                      <a:graphic xmlns:a="http://schemas.openxmlformats.org/drawingml/2006/main">
                        <a:graphicData uri="http://schemas.microsoft.com/office/word/2010/wordprocessingShape">
                          <wps:wsp>
                            <wps:cNvCnPr/>
                            <wps:spPr>
                              <a:xfrm flipV="1">
                                <a:off x="0" y="0"/>
                                <a:ext cx="635" cy="224790"/>
                              </a:xfrm>
                              <a:prstGeom prst="line">
                                <a:avLst/>
                              </a:prstGeom>
                              <a:ln w="9525" cap="flat" cmpd="sng">
                                <a:solidFill>
                                  <a:srgbClr val="000000"/>
                                </a:solidFill>
                                <a:prstDash val="dash"/>
                                <a:headEnd type="none" w="med" len="med"/>
                                <a:tailEnd type="stealth" w="med" len="med"/>
                              </a:ln>
                              <a:effectLst/>
                            </wps:spPr>
                            <wps:bodyPr/>
                          </wps:wsp>
                        </a:graphicData>
                      </a:graphic>
                    </wp:anchor>
                  </w:drawing>
                </mc:Choice>
                <mc:Fallback>
                  <w:pict>
                    <v:line id="_x0000_s1026" o:spid="_x0000_s1026" o:spt="20" style="position:absolute;left:0pt;flip:y;margin-left:372.4pt;margin-top:4.4pt;height:17.7pt;width:0.05pt;z-index:251730944;mso-width-relative:page;mso-height-relative:page;" filled="f" stroked="t" coordsize="21600,21600" o:gfxdata="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rtBFdgAAAAIAQAADwAAAAAAAAABACAAAAAiAAAAZHJz&#10;L2Rvd25yZXYueG1sUEsBAhQAFAAAAAgAh07iQCWkEx0EAgAA9wMAAA4AAAAAAAAAAQAgAAAAJwEA&#10;AGRycy9lMm9Eb2MueG1sUEsFBgAAAAAGAAYAWQEAAJ0FAAAAAA==&#10;">
                      <v:fill on="f" focussize="0,0"/>
                      <v:stroke color="#000000" joinstyle="round" dashstyle="dash" endarrow="classic"/>
                      <v:imagedata o:title=""/>
                      <o:lock v:ext="edit" aspectratio="f"/>
                    </v:lin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3346450</wp:posOffset>
                      </wp:positionH>
                      <wp:positionV relativeFrom="paragraph">
                        <wp:posOffset>30480</wp:posOffset>
                      </wp:positionV>
                      <wp:extent cx="635" cy="224790"/>
                      <wp:effectExtent l="37465" t="0" r="38100" b="3810"/>
                      <wp:wrapNone/>
                      <wp:docPr id="129" name="直接连接符 129"/>
                      <wp:cNvGraphicFramePr/>
                      <a:graphic xmlns:a="http://schemas.openxmlformats.org/drawingml/2006/main">
                        <a:graphicData uri="http://schemas.microsoft.com/office/word/2010/wordprocessingShape">
                          <wps:wsp>
                            <wps:cNvCnPr/>
                            <wps:spPr>
                              <a:xfrm flipV="1">
                                <a:off x="0" y="0"/>
                                <a:ext cx="635" cy="224790"/>
                              </a:xfrm>
                              <a:prstGeom prst="line">
                                <a:avLst/>
                              </a:prstGeom>
                              <a:ln w="9525" cap="flat" cmpd="sng">
                                <a:solidFill>
                                  <a:srgbClr val="000000"/>
                                </a:solidFill>
                                <a:prstDash val="dash"/>
                                <a:headEnd type="none" w="med" len="med"/>
                                <a:tailEnd type="stealth" w="med" len="med"/>
                              </a:ln>
                              <a:effectLst/>
                            </wps:spPr>
                            <wps:bodyPr/>
                          </wps:wsp>
                        </a:graphicData>
                      </a:graphic>
                    </wp:anchor>
                  </w:drawing>
                </mc:Choice>
                <mc:Fallback>
                  <w:pict>
                    <v:line id="_x0000_s1026" o:spid="_x0000_s1026" o:spt="20" style="position:absolute;left:0pt;flip:y;margin-left:263.5pt;margin-top:2.4pt;height:17.7pt;width:0.05pt;z-index:251726848;mso-width-relative:page;mso-height-relative:page;" filled="f" stroked="t" coordsize="21600,21600" o:gfxdata="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dT1GvWAAAACAEAAA8AAAAAAAAAAQAgAAAAIgAAAGRycy9k&#10;b3ducmV2LnhtbFBLAQIUABQAAAAIAIdO4kBf+8L2BAIAAPcDAAAOAAAAAAAAAAEAIAAAACUBAABk&#10;cnMvZTJvRG9jLnhtbFBLBQYAAAAABgAGAFkBAACbBQAAAAA=&#10;">
                      <v:fill on="f" focussize="0,0"/>
                      <v:stroke color="#000000" joinstyle="round" dashstyle="dash" endarrow="classic"/>
                      <v:imagedata o:title=""/>
                      <o:lock v:ext="edit" aspectratio="f"/>
                    </v:lin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2310765</wp:posOffset>
                      </wp:positionH>
                      <wp:positionV relativeFrom="paragraph">
                        <wp:posOffset>34925</wp:posOffset>
                      </wp:positionV>
                      <wp:extent cx="635" cy="224790"/>
                      <wp:effectExtent l="37465" t="0" r="38100" b="3810"/>
                      <wp:wrapNone/>
                      <wp:docPr id="130" name="直接连接符 130"/>
                      <wp:cNvGraphicFramePr/>
                      <a:graphic xmlns:a="http://schemas.openxmlformats.org/drawingml/2006/main">
                        <a:graphicData uri="http://schemas.microsoft.com/office/word/2010/wordprocessingShape">
                          <wps:wsp>
                            <wps:cNvCnPr/>
                            <wps:spPr>
                              <a:xfrm flipV="1">
                                <a:off x="0" y="0"/>
                                <a:ext cx="635" cy="224790"/>
                              </a:xfrm>
                              <a:prstGeom prst="line">
                                <a:avLst/>
                              </a:prstGeom>
                              <a:ln w="9525" cap="flat" cmpd="sng">
                                <a:solidFill>
                                  <a:srgbClr val="000000"/>
                                </a:solidFill>
                                <a:prstDash val="dash"/>
                                <a:headEnd type="none" w="med" len="med"/>
                                <a:tailEnd type="stealth" w="med" len="med"/>
                              </a:ln>
                              <a:effectLst/>
                            </wps:spPr>
                            <wps:bodyPr/>
                          </wps:wsp>
                        </a:graphicData>
                      </a:graphic>
                    </wp:anchor>
                  </w:drawing>
                </mc:Choice>
                <mc:Fallback>
                  <w:pict>
                    <v:line id="_x0000_s1026" o:spid="_x0000_s1026" o:spt="20" style="position:absolute;left:0pt;flip:y;margin-left:181.95pt;margin-top:2.75pt;height:17.7pt;width:0.05pt;z-index:251724800;mso-width-relative:page;mso-height-relative:page;" filled="f" stroked="t" coordsize="21600,21600" o:gfxdata="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InazaAAAACAEAAA8AAAAAAAAAAQAgAAAAIgAAAGRy&#10;cy9kb3ducmV2LnhtbFBLAQIUABQAAAAIAIdO4kCMD2aeAwIAAPcDAAAOAAAAAAAAAAEAIAAAACkB&#10;AABkcnMvZTJvRG9jLnhtbFBLBQYAAAAABgAGAFkBAACeBQAAAAA=&#10;">
                      <v:fill on="f" focussize="0,0"/>
                      <v:stroke color="#000000" joinstyle="round" dashstyle="dash" endarrow="classic"/>
                      <v:imagedata o:title=""/>
                      <o:lock v:ext="edit" aspectratio="f"/>
                    </v:line>
                  </w:pict>
                </mc:Fallback>
              </mc:AlternateConten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19680" behindDoc="0" locked="0" layoutInCell="1" allowOverlap="1">
                      <wp:simplePos x="0" y="0"/>
                      <wp:positionH relativeFrom="column">
                        <wp:posOffset>3050540</wp:posOffset>
                      </wp:positionH>
                      <wp:positionV relativeFrom="paragraph">
                        <wp:posOffset>37465</wp:posOffset>
                      </wp:positionV>
                      <wp:extent cx="883920" cy="288290"/>
                      <wp:effectExtent l="4445" t="5080" r="6985" b="11430"/>
                      <wp:wrapNone/>
                      <wp:docPr id="131" name="矩形 131"/>
                      <wp:cNvGraphicFramePr/>
                      <a:graphic xmlns:a="http://schemas.openxmlformats.org/drawingml/2006/main">
                        <a:graphicData uri="http://schemas.microsoft.com/office/word/2010/wordprocessingShape">
                          <wps:wsp>
                            <wps:cNvSpPr/>
                            <wps:spPr>
                              <a:xfrm>
                                <a:off x="0" y="0"/>
                                <a:ext cx="88392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搅拌</w:t>
                                  </w:r>
                                </w:p>
                              </w:txbxContent>
                            </wps:txbx>
                            <wps:bodyPr upright="1"/>
                          </wps:wsp>
                        </a:graphicData>
                      </a:graphic>
                    </wp:anchor>
                  </w:drawing>
                </mc:Choice>
                <mc:Fallback>
                  <w:pict>
                    <v:rect id="_x0000_s1026" o:spid="_x0000_s1026" o:spt="1" style="position:absolute;left:0pt;margin-left:240.2pt;margin-top:2.95pt;height:22.7pt;width:69.6pt;z-index:251719680;mso-width-relative:page;mso-height-relative:page;" fillcolor="#FFFFFF" filled="t" stroked="t" coordsize="21600,21600" o:gfxdata="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O91hQ1wAAAAgBAAAPAAAAAAAAAAEAIAAAACIA&#10;AABkcnMvZG93bnJldi54bWxQSwECFAAUAAAACACHTuJAnF5y2woCAAA6BAAADgAAAAAAAAABACAA&#10;AAAmAQAAZHJzL2Uyb0RvYy54bWxQSwUGAAAAAAYABgBZAQAAogUAAAAA&#10;">
                      <v:fill on="t" focussize="0,0"/>
                      <v:stroke color="#000000" joinstyle="miter"/>
                      <v:imagedata o:title=""/>
                      <o:lock v:ext="edit" aspectratio="f"/>
                      <v:textbox>
                        <w:txbxContent>
                          <w:p>
                            <w:pPr>
                              <w:jc w:val="center"/>
                            </w:pPr>
                            <w:r>
                              <w:rPr>
                                <w:rFonts w:hint="eastAsia" w:cs="宋体"/>
                              </w:rPr>
                              <w:t>搅拌</w:t>
                            </w:r>
                          </w:p>
                        </w:txbxContent>
                      </v:textbox>
                    </v:rect>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453390</wp:posOffset>
                      </wp:positionH>
                      <wp:positionV relativeFrom="paragraph">
                        <wp:posOffset>55880</wp:posOffset>
                      </wp:positionV>
                      <wp:extent cx="1301115" cy="311785"/>
                      <wp:effectExtent l="0" t="0" r="13335" b="12065"/>
                      <wp:wrapNone/>
                      <wp:docPr id="132" name="矩形 132"/>
                      <wp:cNvGraphicFramePr/>
                      <a:graphic xmlns:a="http://schemas.openxmlformats.org/drawingml/2006/main">
                        <a:graphicData uri="http://schemas.microsoft.com/office/word/2010/wordprocessingShape">
                          <wps:wsp>
                            <wps:cNvSpPr/>
                            <wps:spPr>
                              <a:xfrm>
                                <a:off x="0" y="0"/>
                                <a:ext cx="1301115" cy="311785"/>
                              </a:xfrm>
                              <a:prstGeom prst="rect">
                                <a:avLst/>
                              </a:prstGeom>
                              <a:solidFill>
                                <a:srgbClr val="FFFFFF"/>
                              </a:solidFill>
                              <a:ln w="9525">
                                <a:noFill/>
                              </a:ln>
                              <a:effectLst/>
                            </wps:spPr>
                            <wps:txbx>
                              <w:txbxContent>
                                <w:p>
                                  <w:pPr>
                                    <w:jc w:val="center"/>
                                  </w:pPr>
                                  <w:r>
                                    <w:rPr>
                                      <w:rFonts w:hint="eastAsia" w:cs="宋体"/>
                                    </w:rPr>
                                    <w:t>各类原辅原料</w:t>
                                  </w:r>
                                </w:p>
                              </w:txbxContent>
                            </wps:txbx>
                            <wps:bodyPr upright="1"/>
                          </wps:wsp>
                        </a:graphicData>
                      </a:graphic>
                    </wp:anchor>
                  </w:drawing>
                </mc:Choice>
                <mc:Fallback>
                  <w:pict>
                    <v:rect id="_x0000_s1026" o:spid="_x0000_s1026" o:spt="1" style="position:absolute;left:0pt;margin-left:35.7pt;margin-top:4.4pt;height:24.55pt;width:102.45pt;z-index:251716608;mso-width-relative:page;mso-height-relative:page;" fillcolor="#FFFFFF" filled="t" stroked="f" coordsize="21600,21600" o:gfxdata="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FhEWY1gAAAAcBAAAPAAAAAAAAAAEAIAAAACIAAABkcnMvZG93bnJldi54&#10;bWxQSwECFAAUAAAACACHTuJAAk3PS8MBAACFAwAADgAAAAAAAAABACAAAAAlAQAAZHJzL2Uyb0Rv&#10;Yy54bWxQSwUGAAAAAAYABgBZAQAAWgUAAAAA&#10;">
                      <v:fill on="t" focussize="0,0"/>
                      <v:stroke on="f"/>
                      <v:imagedata o:title=""/>
                      <o:lock v:ext="edit" aspectratio="f"/>
                      <v:textbox>
                        <w:txbxContent>
                          <w:p>
                            <w:pPr>
                              <w:jc w:val="center"/>
                            </w:pPr>
                            <w:r>
                              <w:rPr>
                                <w:rFonts w:hint="eastAsia" w:cs="宋体"/>
                              </w:rPr>
                              <w:t>各类原辅原料</w:t>
                            </w:r>
                          </w:p>
                        </w:txbxContent>
                      </v:textbox>
                    </v:rect>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4415790</wp:posOffset>
                      </wp:positionH>
                      <wp:positionV relativeFrom="paragraph">
                        <wp:posOffset>24130</wp:posOffset>
                      </wp:positionV>
                      <wp:extent cx="722630" cy="311785"/>
                      <wp:effectExtent l="4445" t="5080" r="15875" b="6985"/>
                      <wp:wrapNone/>
                      <wp:docPr id="133" name="矩形 133"/>
                      <wp:cNvGraphicFramePr/>
                      <a:graphic xmlns:a="http://schemas.openxmlformats.org/drawingml/2006/main">
                        <a:graphicData uri="http://schemas.microsoft.com/office/word/2010/wordprocessingShape">
                          <wps:wsp>
                            <wps:cNvSpPr/>
                            <wps:spPr>
                              <a:xfrm>
                                <a:off x="0" y="0"/>
                                <a:ext cx="722630" cy="3117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分散</w:t>
                                  </w:r>
                                </w:p>
                              </w:txbxContent>
                            </wps:txbx>
                            <wps:bodyPr upright="1"/>
                          </wps:wsp>
                        </a:graphicData>
                      </a:graphic>
                    </wp:anchor>
                  </w:drawing>
                </mc:Choice>
                <mc:Fallback>
                  <w:pict>
                    <v:rect id="_x0000_s1026" o:spid="_x0000_s1026" o:spt="1" style="position:absolute;left:0pt;margin-left:347.7pt;margin-top:1.9pt;height:24.55pt;width:56.9pt;z-index:251721728;mso-width-relative:page;mso-height-relative:page;" fillcolor="#FFFFFF" filled="t" stroked="t" coordsize="21600,21600" o:gfxdata="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rqc7XAAAACAEAAA8AAAAAAAAAAQAgAAAAIgAAAGRy&#10;cy9kb3ducmV2LnhtbFBLAQIUABQAAAAIAIdO4kBbiJygBgIAADoEAAAOAAAAAAAAAAEAIAAAACYB&#10;AABkcnMvZTJvRG9jLnhtbFBLBQYAAAAABgAGAFkBAACeBQAAAAA=&#10;">
                      <v:fill on="t" focussize="0,0"/>
                      <v:stroke color="#000000" joinstyle="miter"/>
                      <v:imagedata o:title=""/>
                      <o:lock v:ext="edit" aspectratio="f"/>
                      <v:textbox>
                        <w:txbxContent>
                          <w:p>
                            <w:pPr>
                              <w:jc w:val="center"/>
                            </w:pPr>
                            <w:r>
                              <w:rPr>
                                <w:rFonts w:hint="eastAsia" w:cs="宋体"/>
                              </w:rPr>
                              <w:t>分散</w:t>
                            </w:r>
                          </w:p>
                        </w:txbxContent>
                      </v:textbox>
                    </v:rect>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3943985</wp:posOffset>
                      </wp:positionH>
                      <wp:positionV relativeFrom="paragraph">
                        <wp:posOffset>203835</wp:posOffset>
                      </wp:positionV>
                      <wp:extent cx="476250" cy="635"/>
                      <wp:effectExtent l="0" t="37465" r="0" b="38100"/>
                      <wp:wrapNone/>
                      <wp:docPr id="134" name="直接连接符 134"/>
                      <wp:cNvGraphicFramePr/>
                      <a:graphic xmlns:a="http://schemas.openxmlformats.org/drawingml/2006/main">
                        <a:graphicData uri="http://schemas.microsoft.com/office/word/2010/wordprocessingShape">
                          <wps:wsp>
                            <wps:cNvCnPr/>
                            <wps:spPr>
                              <a:xfrm>
                                <a:off x="0" y="0"/>
                                <a:ext cx="47625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10.55pt;margin-top:16.05pt;height:0.05pt;width:37.5pt;z-index:251722752;mso-width-relative:page;mso-height-relative:page;" filled="f" stroked="t" coordsize="21600,21600" o:gfxdata="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9hfAdgAAAAJAQAADwAAAAAAAAABACAAAAAiAAAAZHJzL2Rvd25yZXYu&#10;eG1sUEsBAhQAFAAAAAgAh07iQMFrXj77AQAA7wMAAA4AAAAAAAAAAQAgAAAAJwEAAGRycy9lMm9E&#10;b2MueG1sUEsFBgAAAAAGAAYAWQEAAJQ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2588260</wp:posOffset>
                      </wp:positionH>
                      <wp:positionV relativeFrom="paragraph">
                        <wp:posOffset>194945</wp:posOffset>
                      </wp:positionV>
                      <wp:extent cx="476250" cy="635"/>
                      <wp:effectExtent l="0" t="37465" r="0" b="38100"/>
                      <wp:wrapNone/>
                      <wp:docPr id="135" name="直接连接符 135"/>
                      <wp:cNvGraphicFramePr/>
                      <a:graphic xmlns:a="http://schemas.openxmlformats.org/drawingml/2006/main">
                        <a:graphicData uri="http://schemas.microsoft.com/office/word/2010/wordprocessingShape">
                          <wps:wsp>
                            <wps:cNvCnPr/>
                            <wps:spPr>
                              <a:xfrm>
                                <a:off x="0" y="0"/>
                                <a:ext cx="47625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03.8pt;margin-top:15.35pt;height:0.05pt;width:37.5pt;z-index:251720704;mso-width-relative:page;mso-height-relative:page;" filled="f" stroked="t" coordsize="21600,21600" o:gfxdata="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sj7u2QAAAAkBAAAPAAAAAAAAAAEAIAAAACIAAABkcnMvZG93bnJl&#10;di54bWxQSwECFAAUAAAACACHTuJAlvkD6vwBAADvAwAADgAAAAAAAAABACAAAAAoAQAAZHJzL2Uy&#10;b0RvYy54bWxQSwUGAAAAAAYABgBZAQAAlg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2030095</wp:posOffset>
                      </wp:positionH>
                      <wp:positionV relativeFrom="paragraph">
                        <wp:posOffset>21590</wp:posOffset>
                      </wp:positionV>
                      <wp:extent cx="554355" cy="311785"/>
                      <wp:effectExtent l="4445" t="5080" r="12700" b="6985"/>
                      <wp:wrapNone/>
                      <wp:docPr id="136" name="矩形 136"/>
                      <wp:cNvGraphicFramePr/>
                      <a:graphic xmlns:a="http://schemas.openxmlformats.org/drawingml/2006/main">
                        <a:graphicData uri="http://schemas.microsoft.com/office/word/2010/wordprocessingShape">
                          <wps:wsp>
                            <wps:cNvSpPr/>
                            <wps:spPr>
                              <a:xfrm>
                                <a:off x="0" y="0"/>
                                <a:ext cx="554355" cy="3117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投料</w:t>
                                  </w:r>
                                </w:p>
                              </w:txbxContent>
                            </wps:txbx>
                            <wps:bodyPr upright="1"/>
                          </wps:wsp>
                        </a:graphicData>
                      </a:graphic>
                    </wp:anchor>
                  </w:drawing>
                </mc:Choice>
                <mc:Fallback>
                  <w:pict>
                    <v:rect id="_x0000_s1026" o:spid="_x0000_s1026" o:spt="1" style="position:absolute;left:0pt;margin-left:159.85pt;margin-top:1.7pt;height:24.55pt;width:43.65pt;z-index:251717632;mso-width-relative:page;mso-height-relative:page;" fillcolor="#FFFFFF" filled="t" stroked="t" coordsize="21600,21600" o:gfxdata="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MNstbXAAAACAEAAA8AAAAAAAAAAQAgAAAAIgAAAGRy&#10;cy9kb3ducmV2LnhtbFBLAQIUABQAAAAIAIdO4kAm2ZbIBgIAADoEAAAOAAAAAAAAAAEAIAAAACYB&#10;AABkcnMvZTJvRG9jLnhtbFBLBQYAAAAABgAGAFkBAACeBQAAAAA=&#10;">
                      <v:fill on="t" focussize="0,0"/>
                      <v:stroke color="#000000" joinstyle="miter"/>
                      <v:imagedata o:title=""/>
                      <o:lock v:ext="edit" aspectratio="f"/>
                      <v:textbox>
                        <w:txbxContent>
                          <w:p>
                            <w:pPr>
                              <w:jc w:val="center"/>
                            </w:pPr>
                            <w:r>
                              <w:rPr>
                                <w:rFonts w:hint="eastAsia" w:cs="宋体"/>
                              </w:rPr>
                              <w:t>投料</w:t>
                            </w:r>
                          </w:p>
                        </w:txbxContent>
                      </v:textbox>
                    </v:rect>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1557655</wp:posOffset>
                      </wp:positionH>
                      <wp:positionV relativeFrom="paragraph">
                        <wp:posOffset>194945</wp:posOffset>
                      </wp:positionV>
                      <wp:extent cx="476250" cy="635"/>
                      <wp:effectExtent l="0" t="37465" r="0" b="38100"/>
                      <wp:wrapNone/>
                      <wp:docPr id="137" name="直接连接符 137"/>
                      <wp:cNvGraphicFramePr/>
                      <a:graphic xmlns:a="http://schemas.openxmlformats.org/drawingml/2006/main">
                        <a:graphicData uri="http://schemas.microsoft.com/office/word/2010/wordprocessingShape">
                          <wps:wsp>
                            <wps:cNvCnPr/>
                            <wps:spPr>
                              <a:xfrm>
                                <a:off x="0" y="0"/>
                                <a:ext cx="47625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122.65pt;margin-top:15.35pt;height:0.05pt;width:37.5pt;z-index:251718656;mso-width-relative:page;mso-height-relative:page;" filled="f" stroked="t" coordsize="21600,21600" o:gfxdata="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PIyp2gAAAAkBAAAPAAAAAAAAAAEAIAAAACIAAABkcnMvZG93bnJl&#10;di54bWxQSwECFAAUAAAACACHTuJAedvJmfsBAADvAwAADgAAAAAAAAABACAAAAApAQAAZHJzL2Uy&#10;b0RvYy54bWxQSwUGAAAAAAYABgBZAQAAlgUAAAAA&#10;">
                      <v:fill on="f" focussize="0,0"/>
                      <v:stroke color="#000000" joinstyle="round" endarrow="block"/>
                      <v:imagedata o:title=""/>
                      <o:lock v:ext="edit" aspectratio="f"/>
                    </v:line>
                  </w:pict>
                </mc:Fallback>
              </mc:AlternateConten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23776" behindDoc="0" locked="0" layoutInCell="1" allowOverlap="1">
                      <wp:simplePos x="0" y="0"/>
                      <wp:positionH relativeFrom="column">
                        <wp:posOffset>4854575</wp:posOffset>
                      </wp:positionH>
                      <wp:positionV relativeFrom="paragraph">
                        <wp:posOffset>82550</wp:posOffset>
                      </wp:positionV>
                      <wp:extent cx="635" cy="823595"/>
                      <wp:effectExtent l="37465" t="0" r="38100" b="14605"/>
                      <wp:wrapNone/>
                      <wp:docPr id="138" name="直接连接符 138"/>
                      <wp:cNvGraphicFramePr/>
                      <a:graphic xmlns:a="http://schemas.openxmlformats.org/drawingml/2006/main">
                        <a:graphicData uri="http://schemas.microsoft.com/office/word/2010/wordprocessingShape">
                          <wps:wsp>
                            <wps:cNvCnPr/>
                            <wps:spPr>
                              <a:xfrm>
                                <a:off x="0" y="0"/>
                                <a:ext cx="635" cy="64071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82.25pt;margin-top:6.5pt;height:64.85pt;width:0.05pt;z-index:251723776;mso-width-relative:page;mso-height-relative:page;" filled="f" stroked="t" coordsize="21600,21600" o:gfxdata="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oZYNkAAAAKAQAADwAAAAAAAAABACAAAAAiAAAAZHJzL2Rvd25yZXYu&#10;eG1sUEsBAhQAFAAAAAgAh07iQGqldOL6AQAA7wMAAA4AAAAAAAAAAQAgAAAAKAEAAGRycy9lMm9E&#10;b2MueG1sUEsFBgAAAAAGAAYAWQEAAJQFAAAAAA==&#10;">
                      <v:fill on="f" focussize="0,0"/>
                      <v:stroke color="#000000" joinstyle="round" endarrow="block"/>
                      <v:imagedata o:title=""/>
                      <o:lock v:ext="edit" aspectratio="f"/>
                    </v:line>
                  </w:pict>
                </mc:Fallback>
              </mc:AlternateConten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32992" behindDoc="0" locked="0" layoutInCell="1" allowOverlap="1">
                      <wp:simplePos x="0" y="0"/>
                      <wp:positionH relativeFrom="column">
                        <wp:posOffset>3425825</wp:posOffset>
                      </wp:positionH>
                      <wp:positionV relativeFrom="paragraph">
                        <wp:posOffset>-5715</wp:posOffset>
                      </wp:positionV>
                      <wp:extent cx="1167130" cy="311785"/>
                      <wp:effectExtent l="0" t="0" r="0" b="0"/>
                      <wp:wrapNone/>
                      <wp:docPr id="139" name="矩形 139"/>
                      <wp:cNvGraphicFramePr/>
                      <a:graphic xmlns:a="http://schemas.openxmlformats.org/drawingml/2006/main">
                        <a:graphicData uri="http://schemas.microsoft.com/office/word/2010/wordprocessingShape">
                          <wps:wsp>
                            <wps:cNvSpPr/>
                            <wps:spPr>
                              <a:xfrm>
                                <a:off x="0" y="0"/>
                                <a:ext cx="650875" cy="311785"/>
                              </a:xfrm>
                              <a:prstGeom prst="rect">
                                <a:avLst/>
                              </a:prstGeom>
                              <a:noFill/>
                              <a:ln w="9525">
                                <a:noFill/>
                              </a:ln>
                              <a:effectLst/>
                            </wps:spPr>
                            <wps:txbx>
                              <w:txbxContent>
                                <w:p>
                                  <w:r>
                                    <w:t>非甲烷总烃</w:t>
                                  </w:r>
                                </w:p>
                              </w:txbxContent>
                            </wps:txbx>
                            <wps:bodyPr upright="1"/>
                          </wps:wsp>
                        </a:graphicData>
                      </a:graphic>
                    </wp:anchor>
                  </w:drawing>
                </mc:Choice>
                <mc:Fallback>
                  <w:pict>
                    <v:rect id="_x0000_s1026" o:spid="_x0000_s1026" o:spt="1" style="position:absolute;left:0pt;margin-left:269.75pt;margin-top:-0.45pt;height:24.55pt;width:91.9pt;z-index:251732992;mso-width-relative:page;mso-height-relative:page;" filled="f" stroked="f" coordsize="21600,21600" o:gfxdata="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3szctoAAAAIAQAADwAAAAAAAAABACAAAAAiAAAAZHJzL2Rvd25yZXYueG1sUEsBAhQAFAAAAAgA&#10;h07iQDPr1TmxAQAAWwMAAA4AAAAAAAAAAQAgAAAAKQEAAGRycy9lMm9Eb2MueG1sUEsFBgAAAAAG&#10;AAYAWQEAAEwFAAAAAA==&#10;">
                      <v:fill on="f" focussize="0,0"/>
                      <v:stroke on="f"/>
                      <v:imagedata o:title=""/>
                      <o:lock v:ext="edit" aspectratio="f"/>
                      <v:textbox>
                        <w:txbxContent>
                          <w:p>
                            <w:r>
                              <w:t>非甲烷总烃</w:t>
                            </w:r>
                          </w:p>
                        </w:txbxContent>
                      </v:textbox>
                    </v:rect>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3818255</wp:posOffset>
                      </wp:positionH>
                      <wp:positionV relativeFrom="paragraph">
                        <wp:posOffset>252730</wp:posOffset>
                      </wp:positionV>
                      <wp:extent cx="635" cy="224790"/>
                      <wp:effectExtent l="37465" t="0" r="38100" b="3810"/>
                      <wp:wrapNone/>
                      <wp:docPr id="140" name="直接连接符 140"/>
                      <wp:cNvGraphicFramePr/>
                      <a:graphic xmlns:a="http://schemas.openxmlformats.org/drawingml/2006/main">
                        <a:graphicData uri="http://schemas.microsoft.com/office/word/2010/wordprocessingShape">
                          <wps:wsp>
                            <wps:cNvCnPr/>
                            <wps:spPr>
                              <a:xfrm flipV="1">
                                <a:off x="0" y="0"/>
                                <a:ext cx="635" cy="224790"/>
                              </a:xfrm>
                              <a:prstGeom prst="line">
                                <a:avLst/>
                              </a:prstGeom>
                              <a:ln w="9525" cap="flat" cmpd="sng">
                                <a:solidFill>
                                  <a:srgbClr val="000000"/>
                                </a:solidFill>
                                <a:prstDash val="dash"/>
                                <a:headEnd type="none" w="med" len="med"/>
                                <a:tailEnd type="stealth" w="med" len="med"/>
                              </a:ln>
                              <a:effectLst/>
                            </wps:spPr>
                            <wps:bodyPr/>
                          </wps:wsp>
                        </a:graphicData>
                      </a:graphic>
                    </wp:anchor>
                  </w:drawing>
                </mc:Choice>
                <mc:Fallback>
                  <w:pict>
                    <v:line id="_x0000_s1026" o:spid="_x0000_s1026" o:spt="20" style="position:absolute;left:0pt;flip:y;margin-left:300.65pt;margin-top:19.9pt;height:17.7pt;width:0.05pt;z-index:251734016;mso-width-relative:page;mso-height-relative:page;" filled="f" stroked="t" coordsize="21600,21600" o:gfxdata="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yz1sjaAAAACQEAAA8AAAAAAAAAAQAgAAAAIgAAAGRy&#10;cy9kb3ducmV2LnhtbFBLAQIUABQAAAAIAIdO4kB9/SQ4AwIAAPcDAAAOAAAAAAAAAAEAIAAAACkB&#10;AABkcnMvZTJvRG9jLnhtbFBLBQYAAAAABgAGAFkBAACeBQAAAAA=&#10;">
                      <v:fill on="f" focussize="0,0"/>
                      <v:stroke color="#000000" joinstyle="round" dashstyle="dash" endarrow="classic"/>
                      <v:imagedata o:title=""/>
                      <o:lock v:ext="edit" aspectratio="f"/>
                    </v:line>
                  </w:pict>
                </mc:Fallback>
              </mc:AlternateConten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35040" behindDoc="0" locked="0" layoutInCell="1" allowOverlap="1">
                      <wp:simplePos x="0" y="0"/>
                      <wp:positionH relativeFrom="column">
                        <wp:posOffset>2495550</wp:posOffset>
                      </wp:positionH>
                      <wp:positionV relativeFrom="paragraph">
                        <wp:posOffset>231140</wp:posOffset>
                      </wp:positionV>
                      <wp:extent cx="570865" cy="311785"/>
                      <wp:effectExtent l="0" t="0" r="0" b="0"/>
                      <wp:wrapNone/>
                      <wp:docPr id="154" name="矩形 154"/>
                      <wp:cNvGraphicFramePr/>
                      <a:graphic xmlns:a="http://schemas.openxmlformats.org/drawingml/2006/main">
                        <a:graphicData uri="http://schemas.microsoft.com/office/word/2010/wordprocessingShape">
                          <wps:wsp>
                            <wps:cNvSpPr/>
                            <wps:spPr>
                              <a:xfrm>
                                <a:off x="0" y="0"/>
                                <a:ext cx="570865" cy="311785"/>
                              </a:xfrm>
                              <a:prstGeom prst="rect">
                                <a:avLst/>
                              </a:prstGeom>
                              <a:noFill/>
                              <a:ln w="9525">
                                <a:noFill/>
                              </a:ln>
                              <a:effectLst/>
                            </wps:spPr>
                            <wps:txbx>
                              <w:txbxContent>
                                <w:p>
                                  <w:pPr>
                                    <w:jc w:val="center"/>
                                  </w:pPr>
                                  <w:r>
                                    <w:rPr>
                                      <w:rFonts w:hint="eastAsia" w:cs="宋体"/>
                                    </w:rPr>
                                    <w:t>入库</w:t>
                                  </w:r>
                                </w:p>
                              </w:txbxContent>
                            </wps:txbx>
                            <wps:bodyPr upright="1"/>
                          </wps:wsp>
                        </a:graphicData>
                      </a:graphic>
                    </wp:anchor>
                  </w:drawing>
                </mc:Choice>
                <mc:Fallback>
                  <w:pict>
                    <v:rect id="_x0000_s1026" o:spid="_x0000_s1026" o:spt="1" style="position:absolute;left:0pt;margin-left:196.5pt;margin-top:18.2pt;height:24.55pt;width:44.95pt;z-index:251735040;mso-width-relative:page;mso-height-relative:page;" filled="f" stroked="f" coordsize="21600,21600" o:gfxdata="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VUYYPbAAAACQEAAA8AAAAAAAAAAQAgAAAAIgAAAGRycy9kb3ducmV2LnhtbFBLAQIUABQAAAAI&#10;AIdO4kAO5DINsQEAAFsDAAAOAAAAAAAAAAEAIAAAACoBAABkcnMvZTJvRG9jLnhtbFBLBQYAAAAA&#10;BgAGAFkBAABNBQAAAAA=&#10;">
                      <v:fill on="f" focussize="0,0"/>
                      <v:stroke on="f"/>
                      <v:imagedata o:title=""/>
                      <o:lock v:ext="edit" aspectratio="f"/>
                      <v:textbox>
                        <w:txbxContent>
                          <w:p>
                            <w:pPr>
                              <w:jc w:val="center"/>
                            </w:pPr>
                            <w:r>
                              <w:rPr>
                                <w:rFonts w:hint="eastAsia" w:cs="宋体"/>
                              </w:rPr>
                              <w:t>入库</w:t>
                            </w:r>
                          </w:p>
                        </w:txbxContent>
                      </v:textbox>
                    </v:rect>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3573145</wp:posOffset>
                      </wp:positionH>
                      <wp:positionV relativeFrom="paragraph">
                        <wp:posOffset>208915</wp:posOffset>
                      </wp:positionV>
                      <wp:extent cx="523240" cy="311785"/>
                      <wp:effectExtent l="4445" t="5080" r="5715" b="6985"/>
                      <wp:wrapNone/>
                      <wp:docPr id="156" name="矩形 156"/>
                      <wp:cNvGraphicFramePr/>
                      <a:graphic xmlns:a="http://schemas.openxmlformats.org/drawingml/2006/main">
                        <a:graphicData uri="http://schemas.microsoft.com/office/word/2010/wordprocessingShape">
                          <wps:wsp>
                            <wps:cNvSpPr/>
                            <wps:spPr>
                              <a:xfrm>
                                <a:off x="0" y="0"/>
                                <a:ext cx="523240" cy="3117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罐装</w:t>
                                  </w:r>
                                </w:p>
                                <w:p/>
                              </w:txbxContent>
                            </wps:txbx>
                            <wps:bodyPr upright="1"/>
                          </wps:wsp>
                        </a:graphicData>
                      </a:graphic>
                    </wp:anchor>
                  </w:drawing>
                </mc:Choice>
                <mc:Fallback>
                  <w:pict>
                    <v:rect id="_x0000_s1026" o:spid="_x0000_s1026" o:spt="1" style="position:absolute;left:0pt;margin-left:281.35pt;margin-top:16.45pt;height:24.55pt;width:41.2pt;z-index:251730944;mso-width-relative:page;mso-height-relative:page;" fillcolor="#FFFFFF" filled="t" stroked="t" coordsize="21600,21600" o:gfxdata="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&#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vHe0tgAAAAJAQAADwAAAAAAAAABACAAAAAiAAAA&#10;ZHJzL2Rvd25yZXYueG1sUEsBAhQAFAAAAAgAh07iQC71Hk0HAgAAOgQAAA4AAAAAAAAAAQAgAAAA&#10;JwEAAGRycy9lMm9Eb2MueG1sUEsFBgAAAAAGAAYAWQEAAKAFAAAAAA==&#10;">
                      <v:fill on="t" focussize="0,0"/>
                      <v:stroke color="#000000" joinstyle="miter"/>
                      <v:imagedata o:title=""/>
                      <o:lock v:ext="edit" aspectratio="f"/>
                      <v:textbox>
                        <w:txbxContent>
                          <w:p>
                            <w:pPr>
                              <w:jc w:val="center"/>
                            </w:pPr>
                            <w:r>
                              <w:rPr>
                                <w:rFonts w:hint="eastAsia" w:cs="宋体"/>
                              </w:rPr>
                              <w:t>罐装</w:t>
                            </w:r>
                          </w:p>
                          <w:p/>
                        </w:txbxContent>
                      </v:textbox>
                    </v:rect>
                  </w:pict>
                </mc:Fallback>
              </mc:AlternateConten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28896" behindDoc="0" locked="0" layoutInCell="1" allowOverlap="1">
                      <wp:simplePos x="0" y="0"/>
                      <wp:positionH relativeFrom="column">
                        <wp:posOffset>4109085</wp:posOffset>
                      </wp:positionH>
                      <wp:positionV relativeFrom="paragraph">
                        <wp:posOffset>118110</wp:posOffset>
                      </wp:positionV>
                      <wp:extent cx="722630" cy="0"/>
                      <wp:effectExtent l="0" t="38100" r="1270" b="38100"/>
                      <wp:wrapNone/>
                      <wp:docPr id="157" name="直接连接符 157"/>
                      <wp:cNvGraphicFramePr/>
                      <a:graphic xmlns:a="http://schemas.openxmlformats.org/drawingml/2006/main">
                        <a:graphicData uri="http://schemas.microsoft.com/office/word/2010/wordprocessingShape">
                          <wps:wsp>
                            <wps:cNvCnPr/>
                            <wps:spPr>
                              <a:xfrm flipH="1">
                                <a:off x="0" y="0"/>
                                <a:ext cx="48387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323.55pt;margin-top:9.3pt;height:0pt;width:56.9pt;z-index:251728896;mso-width-relative:page;mso-height-relative:page;" filled="f" stroked="t" coordsize="21600,21600" o:gfxdata="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WN7J2AAAAAkBAAAPAAAAAAAAAAEAIAAAACIAAABkcnMv&#10;ZG93bnJldi54bWxQSwECFAAUAAAACACHTuJACwjhegMCAAD5AwAADgAAAAAAAAABACAAAAAnAQAA&#10;ZHJzL2Uyb0RvYy54bWxQSwUGAAAAAAYABgBZAQAAnA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3079115</wp:posOffset>
                      </wp:positionH>
                      <wp:positionV relativeFrom="paragraph">
                        <wp:posOffset>101600</wp:posOffset>
                      </wp:positionV>
                      <wp:extent cx="483870" cy="635"/>
                      <wp:effectExtent l="0" t="37465" r="11430" b="38100"/>
                      <wp:wrapNone/>
                      <wp:docPr id="158" name="直接连接符 158"/>
                      <wp:cNvGraphicFramePr/>
                      <a:graphic xmlns:a="http://schemas.openxmlformats.org/drawingml/2006/main">
                        <a:graphicData uri="http://schemas.microsoft.com/office/word/2010/wordprocessingShape">
                          <wps:wsp>
                            <wps:cNvCnPr/>
                            <wps:spPr>
                              <a:xfrm flipH="1">
                                <a:off x="0" y="0"/>
                                <a:ext cx="48387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242.45pt;margin-top:8pt;height:0.05pt;width:38.1pt;z-index:251729920;mso-width-relative:page;mso-height-relative:page;" filled="f" stroked="t" coordsize="21600,21600" o:gfxdata="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RLqL2AAAAAkBAAAPAAAAAAAAAAEAIAAAACIAAABkcnMv&#10;ZG93bnJldi54bWxQSwECFAAUAAAACACHTuJAcjitGwMCAAD5AwAADgAAAAAAAAABACAAAAAnAQAA&#10;ZHJzL2Uyb0RvYy54bWxQSwUGAAAAAAYABgBZAQAAnAUAAAAA&#10;">
                      <v:fill on="f" focussize="0,0"/>
                      <v:stroke color="#000000" joinstyle="round" endarrow="block"/>
                      <v:imagedata o:title=""/>
                      <o:lock v:ext="edit" aspectratio="f"/>
                    </v:line>
                  </w:pict>
                </mc:Fallback>
              </mc:AlternateContent>
            </w:r>
          </w:p>
          <w:p>
            <w:pPr>
              <w:adjustRightInd w:val="0"/>
              <w:snapToGrid w:val="0"/>
              <w:spacing w:before="163" w:beforeLines="50" w:line="360" w:lineRule="auto"/>
              <w:ind w:firstLine="482" w:firstLineChars="200"/>
              <w:jc w:val="center"/>
              <w:rPr>
                <w:b/>
                <w:bCs/>
                <w:color w:val="auto"/>
                <w:sz w:val="24"/>
                <w:szCs w:val="24"/>
              </w:rPr>
            </w:pPr>
            <w:r>
              <w:rPr>
                <w:rFonts w:hint="eastAsia" w:cs="宋体"/>
                <w:b/>
                <w:bCs/>
                <w:color w:val="auto"/>
                <w:sz w:val="24"/>
                <w:szCs w:val="24"/>
              </w:rPr>
              <w:t>图</w:t>
            </w:r>
            <w:r>
              <w:rPr>
                <w:rFonts w:hint="eastAsia"/>
                <w:b/>
                <w:bCs/>
                <w:color w:val="auto"/>
                <w:sz w:val="24"/>
                <w:szCs w:val="24"/>
                <w:lang w:val="en-US" w:eastAsia="zh-CN"/>
              </w:rPr>
              <w:t>2-3</w:t>
            </w:r>
            <w:r>
              <w:rPr>
                <w:b/>
                <w:bCs/>
                <w:color w:val="auto"/>
                <w:sz w:val="24"/>
                <w:szCs w:val="24"/>
              </w:rPr>
              <w:t xml:space="preserve"> </w:t>
            </w:r>
            <w:r>
              <w:rPr>
                <w:rFonts w:hint="eastAsia" w:cs="宋体"/>
                <w:b/>
                <w:bCs/>
                <w:color w:val="auto"/>
                <w:sz w:val="24"/>
                <w:szCs w:val="24"/>
              </w:rPr>
              <w:t>水性防火隔热材料工艺流程图</w:t>
            </w:r>
          </w:p>
          <w:p>
            <w:pPr>
              <w:adjustRightInd w:val="0"/>
              <w:snapToGrid w:val="0"/>
              <w:spacing w:line="360" w:lineRule="auto"/>
              <w:ind w:firstLine="482" w:firstLineChars="200"/>
              <w:rPr>
                <w:b/>
                <w:bCs/>
                <w:color w:val="auto"/>
                <w:sz w:val="24"/>
                <w:szCs w:val="24"/>
              </w:rPr>
            </w:pPr>
            <w:r>
              <w:rPr>
                <w:rFonts w:hint="eastAsia" w:cs="宋体"/>
                <w:b/>
                <w:bCs/>
                <w:color w:val="auto"/>
                <w:sz w:val="24"/>
                <w:szCs w:val="24"/>
              </w:rPr>
              <w:t>工艺流程简述：</w:t>
            </w:r>
          </w:p>
          <w:p>
            <w:pPr>
              <w:adjustRightInd w:val="0"/>
              <w:snapToGrid w:val="0"/>
              <w:spacing w:line="360" w:lineRule="auto"/>
              <w:ind w:firstLine="480" w:firstLineChars="200"/>
              <w:rPr>
                <w:color w:val="auto"/>
                <w:sz w:val="24"/>
                <w:szCs w:val="24"/>
              </w:rPr>
            </w:pPr>
            <w:r>
              <w:rPr>
                <w:color w:val="auto"/>
                <w:sz w:val="24"/>
                <w:szCs w:val="24"/>
              </w:rPr>
              <w:t>1</w:t>
            </w:r>
            <w:r>
              <w:rPr>
                <w:rFonts w:hint="eastAsia" w:cs="宋体"/>
                <w:color w:val="auto"/>
                <w:sz w:val="24"/>
                <w:szCs w:val="24"/>
              </w:rPr>
              <w:t>、投料：将</w:t>
            </w:r>
            <w:r>
              <w:rPr>
                <w:rFonts w:hint="eastAsia" w:cs="宋体"/>
                <w:color w:val="auto"/>
                <w:kern w:val="0"/>
                <w:sz w:val="24"/>
                <w:szCs w:val="24"/>
              </w:rPr>
              <w:t>原料按照工艺配方比例投入料缸内。投料过程中粉状的硫酸钡粉</w:t>
            </w:r>
            <w:r>
              <w:rPr>
                <w:rFonts w:hint="eastAsia" w:cs="宋体"/>
                <w:color w:val="auto"/>
                <w:kern w:val="0"/>
                <w:sz w:val="24"/>
                <w:szCs w:val="24"/>
                <w:lang w:eastAsia="zh-CN"/>
              </w:rPr>
              <w:t>原料</w:t>
            </w:r>
            <w:r>
              <w:rPr>
                <w:rFonts w:hint="eastAsia" w:cs="宋体"/>
                <w:color w:val="auto"/>
                <w:kern w:val="0"/>
                <w:sz w:val="24"/>
                <w:szCs w:val="24"/>
              </w:rPr>
              <w:t>会产生粉尘。</w:t>
            </w:r>
          </w:p>
          <w:p>
            <w:pPr>
              <w:adjustRightInd w:val="0"/>
              <w:snapToGrid w:val="0"/>
              <w:spacing w:line="360" w:lineRule="auto"/>
              <w:ind w:firstLine="480" w:firstLineChars="200"/>
              <w:rPr>
                <w:color w:val="auto"/>
                <w:sz w:val="24"/>
                <w:szCs w:val="24"/>
              </w:rPr>
            </w:pPr>
            <w:r>
              <w:rPr>
                <w:color w:val="auto"/>
                <w:sz w:val="24"/>
                <w:szCs w:val="24"/>
              </w:rPr>
              <w:t>2</w:t>
            </w:r>
            <w:r>
              <w:rPr>
                <w:rFonts w:hint="eastAsia" w:cs="宋体"/>
                <w:color w:val="auto"/>
                <w:sz w:val="24"/>
                <w:szCs w:val="24"/>
              </w:rPr>
              <w:t>、搅拌：</w:t>
            </w:r>
            <w:r>
              <w:rPr>
                <w:rFonts w:hint="eastAsia" w:cs="宋体"/>
                <w:color w:val="auto"/>
                <w:sz w:val="24"/>
                <w:szCs w:val="24"/>
                <w:lang w:val="en-US" w:eastAsia="zh-CN"/>
              </w:rPr>
              <w:t>搅拌罐中加入去离子水，，原水经预处理→反渗透→中间水箱，通过水泵将水打入设备中，</w:t>
            </w:r>
            <w:r>
              <w:rPr>
                <w:rFonts w:hint="eastAsia" w:cs="宋体"/>
                <w:color w:val="auto"/>
                <w:sz w:val="24"/>
                <w:szCs w:val="24"/>
              </w:rPr>
              <w:t>通过搅拌机搅拌均匀成原料混合溶液，该过程会有少量的有机废气挥发，以</w:t>
            </w:r>
            <w:r>
              <w:rPr>
                <w:color w:val="auto"/>
                <w:sz w:val="24"/>
                <w:szCs w:val="24"/>
              </w:rPr>
              <w:t>非甲烷总烃</w:t>
            </w:r>
            <w:r>
              <w:rPr>
                <w:rFonts w:hint="eastAsia" w:cs="宋体"/>
                <w:color w:val="auto"/>
                <w:sz w:val="24"/>
                <w:szCs w:val="24"/>
              </w:rPr>
              <w:t>计。</w:t>
            </w:r>
          </w:p>
          <w:p>
            <w:pPr>
              <w:adjustRightInd w:val="0"/>
              <w:snapToGrid w:val="0"/>
              <w:spacing w:line="360" w:lineRule="auto"/>
              <w:ind w:firstLine="480" w:firstLineChars="200"/>
              <w:rPr>
                <w:color w:val="auto"/>
                <w:sz w:val="24"/>
                <w:szCs w:val="24"/>
              </w:rPr>
            </w:pPr>
            <w:r>
              <w:rPr>
                <w:color w:val="auto"/>
                <w:sz w:val="24"/>
                <w:szCs w:val="24"/>
              </w:rPr>
              <w:t>3</w:t>
            </w:r>
            <w:r>
              <w:rPr>
                <w:rFonts w:hint="eastAsia" w:cs="宋体"/>
                <w:color w:val="auto"/>
                <w:sz w:val="24"/>
                <w:szCs w:val="24"/>
              </w:rPr>
              <w:t>、分散：将不同粘度浆状的液体原料进行粉碎、分散、乳化、混合，通过分散盘上下剧齿的高速运转，对物料进行高速的强烈的剪切、撞击、粉碎、分散，达到迅速混合、溶解、分散、细化的功能，该过程会有少量的有机废气挥发，以</w:t>
            </w:r>
            <w:r>
              <w:rPr>
                <w:color w:val="auto"/>
                <w:sz w:val="24"/>
                <w:szCs w:val="24"/>
              </w:rPr>
              <w:t>非甲烷总烃</w:t>
            </w:r>
            <w:r>
              <w:rPr>
                <w:rFonts w:hint="eastAsia" w:cs="宋体"/>
                <w:color w:val="auto"/>
                <w:sz w:val="24"/>
                <w:szCs w:val="24"/>
              </w:rPr>
              <w:t>计。</w:t>
            </w:r>
          </w:p>
          <w:p>
            <w:pPr>
              <w:adjustRightInd w:val="0"/>
              <w:snapToGrid w:val="0"/>
              <w:spacing w:line="360" w:lineRule="auto"/>
              <w:ind w:firstLine="480" w:firstLineChars="200"/>
              <w:rPr>
                <w:rFonts w:cs="宋体"/>
                <w:color w:val="auto"/>
                <w:sz w:val="24"/>
                <w:szCs w:val="24"/>
              </w:rPr>
            </w:pPr>
            <w:r>
              <w:rPr>
                <w:rFonts w:hint="eastAsia"/>
                <w:color w:val="auto"/>
                <w:sz w:val="24"/>
                <w:szCs w:val="24"/>
              </w:rPr>
              <w:t>4</w:t>
            </w:r>
            <w:r>
              <w:rPr>
                <w:rFonts w:hint="eastAsia" w:cs="宋体"/>
                <w:color w:val="auto"/>
                <w:sz w:val="24"/>
                <w:szCs w:val="24"/>
              </w:rPr>
              <w:t>、罐装：溶液细化完毕就可以及时灌装。该过程会有少量的有机废气挥发，以</w:t>
            </w:r>
            <w:r>
              <w:rPr>
                <w:color w:val="auto"/>
                <w:sz w:val="24"/>
                <w:szCs w:val="24"/>
              </w:rPr>
              <w:t>非甲烷总烃</w:t>
            </w:r>
            <w:r>
              <w:rPr>
                <w:rFonts w:hint="eastAsia" w:cs="宋体"/>
                <w:color w:val="auto"/>
                <w:sz w:val="24"/>
                <w:szCs w:val="24"/>
              </w:rPr>
              <w:t>计。</w:t>
            </w:r>
          </w:p>
          <w:p>
            <w:pPr>
              <w:adjustRightInd w:val="0"/>
              <w:snapToGrid w:val="0"/>
              <w:spacing w:line="360" w:lineRule="auto"/>
              <w:ind w:firstLine="480" w:firstLineChars="200"/>
              <w:rPr>
                <w:color w:val="auto"/>
                <w:sz w:val="24"/>
                <w:szCs w:val="24"/>
              </w:rPr>
            </w:pPr>
            <w:r>
              <w:rPr>
                <w:rFonts w:hint="eastAsia" w:cs="宋体"/>
                <w:color w:val="auto"/>
                <w:sz w:val="24"/>
                <w:szCs w:val="24"/>
              </w:rPr>
              <w:t>（</w:t>
            </w:r>
            <w:r>
              <w:rPr>
                <w:color w:val="auto"/>
                <w:sz w:val="24"/>
                <w:szCs w:val="24"/>
              </w:rPr>
              <w:t>2</w:t>
            </w:r>
            <w:r>
              <w:rPr>
                <w:rFonts w:hint="eastAsia" w:cs="宋体"/>
                <w:color w:val="auto"/>
                <w:sz w:val="24"/>
                <w:szCs w:val="24"/>
              </w:rPr>
              <w:t>）隔热砂浆</w: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10464" behindDoc="0" locked="0" layoutInCell="1" allowOverlap="1">
                      <wp:simplePos x="0" y="0"/>
                      <wp:positionH relativeFrom="column">
                        <wp:posOffset>4148455</wp:posOffset>
                      </wp:positionH>
                      <wp:positionV relativeFrom="paragraph">
                        <wp:posOffset>64135</wp:posOffset>
                      </wp:positionV>
                      <wp:extent cx="992505" cy="311785"/>
                      <wp:effectExtent l="0" t="0" r="0" b="0"/>
                      <wp:wrapNone/>
                      <wp:docPr id="141" name="矩形 141"/>
                      <wp:cNvGraphicFramePr/>
                      <a:graphic xmlns:a="http://schemas.openxmlformats.org/drawingml/2006/main">
                        <a:graphicData uri="http://schemas.microsoft.com/office/word/2010/wordprocessingShape">
                          <wps:wsp>
                            <wps:cNvSpPr/>
                            <wps:spPr>
                              <a:xfrm>
                                <a:off x="0" y="0"/>
                                <a:ext cx="992505" cy="311785"/>
                              </a:xfrm>
                              <a:prstGeom prst="rect">
                                <a:avLst/>
                              </a:prstGeom>
                              <a:noFill/>
                              <a:ln w="9525">
                                <a:noFill/>
                              </a:ln>
                              <a:effectLst/>
                            </wps:spPr>
                            <wps:txbx>
                              <w:txbxContent>
                                <w:p>
                                  <w:r>
                                    <w:rPr>
                                      <w:rFonts w:hint="eastAsia"/>
                                      <w:lang w:eastAsia="zh-CN"/>
                                    </w:rPr>
                                    <w:t>粉尘</w:t>
                                  </w:r>
                                  <w:r>
                                    <w:rPr>
                                      <w:rFonts w:hint="eastAsia" w:cs="宋体"/>
                                    </w:rPr>
                                    <w:t>、噪声</w:t>
                                  </w:r>
                                </w:p>
                              </w:txbxContent>
                            </wps:txbx>
                            <wps:bodyPr upright="1"/>
                          </wps:wsp>
                        </a:graphicData>
                      </a:graphic>
                    </wp:anchor>
                  </w:drawing>
                </mc:Choice>
                <mc:Fallback>
                  <w:pict>
                    <v:rect id="_x0000_s1026" o:spid="_x0000_s1026" o:spt="1" style="position:absolute;left:0pt;margin-left:326.65pt;margin-top:5.05pt;height:24.55pt;width:78.15pt;z-index:251710464;mso-width-relative:page;mso-height-relative:page;" filled="f" stroked="f" coordsize="21600,21600" o:gfxdata="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A&#10;m1gW2gAAAAkBAAAPAAAAAAAAAAEAIAAAACIAAABkcnMvZG93bnJldi54bWxQSwECFAAUAAAACACH&#10;TuJAZdlnp7ABAABbAwAADgAAAAAAAAABACAAAAApAQAAZHJzL2Uyb0RvYy54bWxQSwUGAAAAAAYA&#10;BgBZAQAASwUAAAAA&#10;">
                      <v:fill on="f" focussize="0,0"/>
                      <v:stroke on="f"/>
                      <v:imagedata o:title=""/>
                      <o:lock v:ext="edit" aspectratio="f"/>
                      <v:textbox>
                        <w:txbxContent>
                          <w:p>
                            <w:r>
                              <w:rPr>
                                <w:rFonts w:hint="eastAsia"/>
                                <w:lang w:eastAsia="zh-CN"/>
                              </w:rPr>
                              <w:t>粉尘</w:t>
                            </w:r>
                            <w:r>
                              <w:rPr>
                                <w:rFonts w:hint="eastAsia" w:cs="宋体"/>
                              </w:rPr>
                              <w:t>、噪声</w:t>
                            </w:r>
                          </w:p>
                        </w:txbxContent>
                      </v:textbox>
                    </v:rect>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2841625</wp:posOffset>
                      </wp:positionH>
                      <wp:positionV relativeFrom="paragraph">
                        <wp:posOffset>39370</wp:posOffset>
                      </wp:positionV>
                      <wp:extent cx="1383030" cy="311785"/>
                      <wp:effectExtent l="0" t="0" r="0" b="0"/>
                      <wp:wrapNone/>
                      <wp:docPr id="142" name="矩形 142"/>
                      <wp:cNvGraphicFramePr/>
                      <a:graphic xmlns:a="http://schemas.openxmlformats.org/drawingml/2006/main">
                        <a:graphicData uri="http://schemas.microsoft.com/office/word/2010/wordprocessingShape">
                          <wps:wsp>
                            <wps:cNvSpPr/>
                            <wps:spPr>
                              <a:xfrm>
                                <a:off x="0" y="0"/>
                                <a:ext cx="990600" cy="311785"/>
                              </a:xfrm>
                              <a:prstGeom prst="rect">
                                <a:avLst/>
                              </a:prstGeom>
                              <a:noFill/>
                              <a:ln w="9525">
                                <a:noFill/>
                              </a:ln>
                              <a:effectLst/>
                            </wps:spPr>
                            <wps:txbx>
                              <w:txbxContent>
                                <w:p>
                                  <w:r>
                                    <w:rPr>
                                      <w:rFonts w:hint="eastAsia"/>
                                      <w:lang w:eastAsia="zh-CN"/>
                                    </w:rPr>
                                    <w:t>粉尘</w:t>
                                  </w:r>
                                  <w:r>
                                    <w:rPr>
                                      <w:rFonts w:hint="eastAsia" w:cs="宋体"/>
                                    </w:rPr>
                                    <w:t>、噪声</w:t>
                                  </w:r>
                                </w:p>
                              </w:txbxContent>
                            </wps:txbx>
                            <wps:bodyPr upright="1"/>
                          </wps:wsp>
                        </a:graphicData>
                      </a:graphic>
                    </wp:anchor>
                  </w:drawing>
                </mc:Choice>
                <mc:Fallback>
                  <w:pict>
                    <v:rect id="_x0000_s1026" o:spid="_x0000_s1026" o:spt="1" style="position:absolute;left:0pt;margin-left:223.75pt;margin-top:3.1pt;height:24.55pt;width:108.9pt;z-index:251708416;mso-width-relative:page;mso-height-relative:page;" filled="f" stroked="f" coordsize="21600,21600" o:gfxdata="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g&#10;71rH2QAAAAgBAAAPAAAAAAAAAAEAIAAAACIAAABkcnMvZG93bnJldi54bWxQSwECFAAUAAAACACH&#10;TuJAyziwZbEBAABbAwAADgAAAAAAAAABACAAAAAoAQAAZHJzL2Uyb0RvYy54bWxQSwUGAAAAAAYA&#10;BgBZAQAASwUAAAAA&#10;">
                      <v:fill on="f" focussize="0,0"/>
                      <v:stroke on="f"/>
                      <v:imagedata o:title=""/>
                      <o:lock v:ext="edit" aspectratio="f"/>
                      <v:textbox>
                        <w:txbxContent>
                          <w:p>
                            <w:r>
                              <w:rPr>
                                <w:rFonts w:hint="eastAsia"/>
                                <w:lang w:eastAsia="zh-CN"/>
                              </w:rPr>
                              <w:t>粉尘</w:t>
                            </w:r>
                            <w:r>
                              <w:rPr>
                                <w:rFonts w:hint="eastAsia" w:cs="宋体"/>
                              </w:rPr>
                              <w:t>、噪声</w:t>
                            </w:r>
                          </w:p>
                        </w:txbxContent>
                      </v:textbox>
                    </v:rect>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2090420</wp:posOffset>
                      </wp:positionH>
                      <wp:positionV relativeFrom="paragraph">
                        <wp:posOffset>37465</wp:posOffset>
                      </wp:positionV>
                      <wp:extent cx="541655" cy="311785"/>
                      <wp:effectExtent l="0" t="0" r="0" b="0"/>
                      <wp:wrapNone/>
                      <wp:docPr id="143" name="矩形 143"/>
                      <wp:cNvGraphicFramePr/>
                      <a:graphic xmlns:a="http://schemas.openxmlformats.org/drawingml/2006/main">
                        <a:graphicData uri="http://schemas.microsoft.com/office/word/2010/wordprocessingShape">
                          <wps:wsp>
                            <wps:cNvSpPr/>
                            <wps:spPr>
                              <a:xfrm>
                                <a:off x="0" y="0"/>
                                <a:ext cx="541655" cy="311785"/>
                              </a:xfrm>
                              <a:prstGeom prst="rect">
                                <a:avLst/>
                              </a:prstGeom>
                              <a:noFill/>
                              <a:ln w="9525">
                                <a:noFill/>
                              </a:ln>
                              <a:effectLst/>
                            </wps:spPr>
                            <wps:txbx>
                              <w:txbxContent>
                                <w:p>
                                  <w:r>
                                    <w:rPr>
                                      <w:rFonts w:hint="eastAsia" w:cs="宋体"/>
                                    </w:rPr>
                                    <w:t>粉尘</w:t>
                                  </w:r>
                                </w:p>
                              </w:txbxContent>
                            </wps:txbx>
                            <wps:bodyPr upright="1"/>
                          </wps:wsp>
                        </a:graphicData>
                      </a:graphic>
                    </wp:anchor>
                  </w:drawing>
                </mc:Choice>
                <mc:Fallback>
                  <w:pict>
                    <v:rect id="_x0000_s1026" o:spid="_x0000_s1026" o:spt="1" style="position:absolute;left:0pt;margin-left:164.6pt;margin-top:2.95pt;height:24.55pt;width:42.65pt;z-index:251706368;mso-width-relative:page;mso-height-relative:page;" filled="f" stroked="f" coordsize="21600,21600" o:gfxdata="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WDe+2QAAAAgBAAAPAAAAAAAAAAEAIAAAACIAAABkcnMvZG93bnJldi54bWxQSwECFAAUAAAACACH&#10;TuJAZYbBFLEBAABbAwAADgAAAAAAAAABACAAAAAoAQAAZHJzL2Uyb0RvYy54bWxQSwUGAAAAAAYA&#10;BgBZAQAASwUAAAAA&#10;">
                      <v:fill on="f" focussize="0,0"/>
                      <v:stroke on="f"/>
                      <v:imagedata o:title=""/>
                      <o:lock v:ext="edit" aspectratio="f"/>
                      <v:textbox>
                        <w:txbxContent>
                          <w:p>
                            <w:r>
                              <w:rPr>
                                <w:rFonts w:hint="eastAsia" w:cs="宋体"/>
                              </w:rPr>
                              <w:t>粉尘</w:t>
                            </w:r>
                          </w:p>
                        </w:txbxContent>
                      </v:textbox>
                    </v:rect>
                  </w:pict>
                </mc:Fallback>
              </mc:AlternateConten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07392" behindDoc="0" locked="0" layoutInCell="1" allowOverlap="1">
                      <wp:simplePos x="0" y="0"/>
                      <wp:positionH relativeFrom="column">
                        <wp:posOffset>3453765</wp:posOffset>
                      </wp:positionH>
                      <wp:positionV relativeFrom="paragraph">
                        <wp:posOffset>30480</wp:posOffset>
                      </wp:positionV>
                      <wp:extent cx="635" cy="224790"/>
                      <wp:effectExtent l="37465" t="0" r="38100" b="3810"/>
                      <wp:wrapNone/>
                      <wp:docPr id="145" name="直接连接符 145"/>
                      <wp:cNvGraphicFramePr/>
                      <a:graphic xmlns:a="http://schemas.openxmlformats.org/drawingml/2006/main">
                        <a:graphicData uri="http://schemas.microsoft.com/office/word/2010/wordprocessingShape">
                          <wps:wsp>
                            <wps:cNvCnPr/>
                            <wps:spPr>
                              <a:xfrm flipV="1">
                                <a:off x="0" y="0"/>
                                <a:ext cx="635" cy="224790"/>
                              </a:xfrm>
                              <a:prstGeom prst="line">
                                <a:avLst/>
                              </a:prstGeom>
                              <a:ln w="9525" cap="flat" cmpd="sng">
                                <a:solidFill>
                                  <a:srgbClr val="000000"/>
                                </a:solidFill>
                                <a:prstDash val="dash"/>
                                <a:headEnd type="none" w="med" len="med"/>
                                <a:tailEnd type="stealth" w="med" len="med"/>
                              </a:ln>
                              <a:effectLst/>
                            </wps:spPr>
                            <wps:bodyPr/>
                          </wps:wsp>
                        </a:graphicData>
                      </a:graphic>
                    </wp:anchor>
                  </w:drawing>
                </mc:Choice>
                <mc:Fallback>
                  <w:pict>
                    <v:line id="_x0000_s1026" o:spid="_x0000_s1026" o:spt="20" style="position:absolute;left:0pt;flip:y;margin-left:271.95pt;margin-top:2.4pt;height:17.7pt;width:0.05pt;z-index:251707392;mso-width-relative:page;mso-height-relative:page;" filled="f" stroked="t" coordsize="21600,21600" o:gfxdata="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yM5T2AAAAAgBAAAPAAAAAAAAAAEAIAAAACIAAABkcnMv&#10;ZG93bnJldi54bWxQSwECFAAUAAAACACHTuJAbdNSygMCAAD3AwAADgAAAAAAAAABACAAAAAnAQAA&#10;ZHJzL2Uyb0RvYy54bWxQSwUGAAAAAAYABgBZAQAAnAUAAAAA&#10;">
                      <v:fill on="f" focussize="0,0"/>
                      <v:stroke color="#000000" joinstyle="round" dashstyle="dash" endarrow="classic"/>
                      <v:imagedata o:title=""/>
                      <o:lock v:ext="edit" aspectratio="f"/>
                    </v:lin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4729480</wp:posOffset>
                      </wp:positionH>
                      <wp:positionV relativeFrom="paragraph">
                        <wp:posOffset>55880</wp:posOffset>
                      </wp:positionV>
                      <wp:extent cx="635" cy="224790"/>
                      <wp:effectExtent l="37465" t="0" r="38100" b="3810"/>
                      <wp:wrapNone/>
                      <wp:docPr id="144" name="直接连接符 144"/>
                      <wp:cNvGraphicFramePr/>
                      <a:graphic xmlns:a="http://schemas.openxmlformats.org/drawingml/2006/main">
                        <a:graphicData uri="http://schemas.microsoft.com/office/word/2010/wordprocessingShape">
                          <wps:wsp>
                            <wps:cNvCnPr/>
                            <wps:spPr>
                              <a:xfrm flipV="1">
                                <a:off x="0" y="0"/>
                                <a:ext cx="635" cy="224790"/>
                              </a:xfrm>
                              <a:prstGeom prst="line">
                                <a:avLst/>
                              </a:prstGeom>
                              <a:ln w="9525" cap="flat" cmpd="sng">
                                <a:solidFill>
                                  <a:srgbClr val="000000"/>
                                </a:solidFill>
                                <a:prstDash val="dash"/>
                                <a:headEnd type="none" w="med" len="med"/>
                                <a:tailEnd type="stealth" w="med" len="med"/>
                              </a:ln>
                              <a:effectLst/>
                            </wps:spPr>
                            <wps:bodyPr/>
                          </wps:wsp>
                        </a:graphicData>
                      </a:graphic>
                    </wp:anchor>
                  </w:drawing>
                </mc:Choice>
                <mc:Fallback>
                  <w:pict>
                    <v:line id="_x0000_s1026" o:spid="_x0000_s1026" o:spt="20" style="position:absolute;left:0pt;flip:y;margin-left:372.4pt;margin-top:4.4pt;height:17.7pt;width:0.05pt;z-index:251709440;mso-width-relative:page;mso-height-relative:page;" filled="f" stroked="t" coordsize="21600,21600" o:gfxdata="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rtBFdgAAAAIAQAADwAAAAAAAAABACAAAAAiAAAAZHJz&#10;L2Rvd25yZXYueG1sUEsBAhQAFAAAAAgAh07iQBeMgyEEAgAA9wMAAA4AAAAAAAAAAQAgAAAAJwEA&#10;AGRycy9lMm9Eb2MueG1sUEsFBgAAAAAGAAYAWQEAAJ0FAAAAAA==&#10;">
                      <v:fill on="f" focussize="0,0"/>
                      <v:stroke color="#000000" joinstyle="round" dashstyle="dash" endarrow="classic"/>
                      <v:imagedata o:title=""/>
                      <o:lock v:ext="edit" aspectratio="f"/>
                    </v:lin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2310765</wp:posOffset>
                      </wp:positionH>
                      <wp:positionV relativeFrom="paragraph">
                        <wp:posOffset>34925</wp:posOffset>
                      </wp:positionV>
                      <wp:extent cx="635" cy="224790"/>
                      <wp:effectExtent l="37465" t="0" r="38100" b="3810"/>
                      <wp:wrapNone/>
                      <wp:docPr id="146" name="直接连接符 146"/>
                      <wp:cNvGraphicFramePr/>
                      <a:graphic xmlns:a="http://schemas.openxmlformats.org/drawingml/2006/main">
                        <a:graphicData uri="http://schemas.microsoft.com/office/word/2010/wordprocessingShape">
                          <wps:wsp>
                            <wps:cNvCnPr/>
                            <wps:spPr>
                              <a:xfrm flipV="1">
                                <a:off x="0" y="0"/>
                                <a:ext cx="635" cy="224790"/>
                              </a:xfrm>
                              <a:prstGeom prst="line">
                                <a:avLst/>
                              </a:prstGeom>
                              <a:ln w="9525" cap="flat" cmpd="sng">
                                <a:solidFill>
                                  <a:srgbClr val="000000"/>
                                </a:solidFill>
                                <a:prstDash val="dash"/>
                                <a:headEnd type="none" w="med" len="med"/>
                                <a:tailEnd type="stealth" w="med" len="med"/>
                              </a:ln>
                              <a:effectLst/>
                            </wps:spPr>
                            <wps:bodyPr/>
                          </wps:wsp>
                        </a:graphicData>
                      </a:graphic>
                    </wp:anchor>
                  </w:drawing>
                </mc:Choice>
                <mc:Fallback>
                  <w:pict>
                    <v:line id="_x0000_s1026" o:spid="_x0000_s1026" o:spt="20" style="position:absolute;left:0pt;flip:y;margin-left:181.95pt;margin-top:2.75pt;height:17.7pt;width:0.05pt;z-index:251705344;mso-width-relative:page;mso-height-relative:page;" filled="f" stroked="t" coordsize="21600,21600" o:gfxdata="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&#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iJ2s2gAAAAgBAAAPAAAAAAAAAAEAIAAAACIAAABk&#10;cnMvZG93bnJldi54bWxQSwECFAAUAAAACACHTuJAojRQLQQCAAD3AwAADgAAAAAAAAABACAAAAAp&#10;AQAAZHJzL2Uyb0RvYy54bWxQSwUGAAAAAAYABgBZAQAAnwUAAAAA&#10;">
                      <v:fill on="f" focussize="0,0"/>
                      <v:stroke color="#000000" joinstyle="round" dashstyle="dash" endarrow="classic"/>
                      <v:imagedata o:title=""/>
                      <o:lock v:ext="edit" aspectratio="f"/>
                    </v:line>
                  </w:pict>
                </mc:Fallback>
              </mc:AlternateConten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00224" behindDoc="0" locked="0" layoutInCell="1" allowOverlap="1">
                      <wp:simplePos x="0" y="0"/>
                      <wp:positionH relativeFrom="column">
                        <wp:posOffset>3050540</wp:posOffset>
                      </wp:positionH>
                      <wp:positionV relativeFrom="paragraph">
                        <wp:posOffset>37465</wp:posOffset>
                      </wp:positionV>
                      <wp:extent cx="883920" cy="288290"/>
                      <wp:effectExtent l="4445" t="5080" r="6985" b="11430"/>
                      <wp:wrapNone/>
                      <wp:docPr id="147" name="矩形 147"/>
                      <wp:cNvGraphicFramePr/>
                      <a:graphic xmlns:a="http://schemas.openxmlformats.org/drawingml/2006/main">
                        <a:graphicData uri="http://schemas.microsoft.com/office/word/2010/wordprocessingShape">
                          <wps:wsp>
                            <wps:cNvSpPr/>
                            <wps:spPr>
                              <a:xfrm>
                                <a:off x="0" y="0"/>
                                <a:ext cx="88392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搅拌</w:t>
                                  </w:r>
                                </w:p>
                              </w:txbxContent>
                            </wps:txbx>
                            <wps:bodyPr upright="1"/>
                          </wps:wsp>
                        </a:graphicData>
                      </a:graphic>
                    </wp:anchor>
                  </w:drawing>
                </mc:Choice>
                <mc:Fallback>
                  <w:pict>
                    <v:rect id="_x0000_s1026" o:spid="_x0000_s1026" o:spt="1" style="position:absolute;left:0pt;margin-left:240.2pt;margin-top:2.95pt;height:22.7pt;width:69.6pt;z-index:251700224;mso-width-relative:page;mso-height-relative:page;" fillcolor="#FFFFFF" filled="t" stroked="t" coordsize="21600,21600" o:gfxdata="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73WFDXAAAACAEAAA8AAAAAAAAAAQAgAAAAIgAA&#10;AGRycy9kb3ducmV2LnhtbFBLAQIUABQAAAAIAIdO4kBKDmsICQIAADoEAAAOAAAAAAAAAAEAIAAA&#10;ACYBAABkcnMvZTJvRG9jLnhtbFBLBQYAAAAABgAGAFkBAAChBQAAAAA=&#10;">
                      <v:fill on="t" focussize="0,0"/>
                      <v:stroke color="#000000" joinstyle="miter"/>
                      <v:imagedata o:title=""/>
                      <o:lock v:ext="edit" aspectratio="f"/>
                      <v:textbox>
                        <w:txbxContent>
                          <w:p>
                            <w:pPr>
                              <w:jc w:val="center"/>
                            </w:pPr>
                            <w:r>
                              <w:rPr>
                                <w:rFonts w:hint="eastAsia" w:cs="宋体"/>
                              </w:rPr>
                              <w:t>搅拌</w:t>
                            </w:r>
                          </w:p>
                        </w:txbxContent>
                      </v:textbox>
                    </v:rect>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453390</wp:posOffset>
                      </wp:positionH>
                      <wp:positionV relativeFrom="paragraph">
                        <wp:posOffset>55880</wp:posOffset>
                      </wp:positionV>
                      <wp:extent cx="1301115" cy="311785"/>
                      <wp:effectExtent l="0" t="0" r="13335" b="12065"/>
                      <wp:wrapNone/>
                      <wp:docPr id="148" name="矩形 148"/>
                      <wp:cNvGraphicFramePr/>
                      <a:graphic xmlns:a="http://schemas.openxmlformats.org/drawingml/2006/main">
                        <a:graphicData uri="http://schemas.microsoft.com/office/word/2010/wordprocessingShape">
                          <wps:wsp>
                            <wps:cNvSpPr/>
                            <wps:spPr>
                              <a:xfrm>
                                <a:off x="0" y="0"/>
                                <a:ext cx="1301115" cy="311785"/>
                              </a:xfrm>
                              <a:prstGeom prst="rect">
                                <a:avLst/>
                              </a:prstGeom>
                              <a:solidFill>
                                <a:srgbClr val="FFFFFF"/>
                              </a:solidFill>
                              <a:ln w="9525">
                                <a:noFill/>
                              </a:ln>
                              <a:effectLst/>
                            </wps:spPr>
                            <wps:txbx>
                              <w:txbxContent>
                                <w:p>
                                  <w:pPr>
                                    <w:jc w:val="center"/>
                                  </w:pPr>
                                  <w:r>
                                    <w:rPr>
                                      <w:rFonts w:hint="eastAsia" w:cs="宋体"/>
                                    </w:rPr>
                                    <w:t>各类原辅原料</w:t>
                                  </w:r>
                                </w:p>
                              </w:txbxContent>
                            </wps:txbx>
                            <wps:bodyPr upright="1"/>
                          </wps:wsp>
                        </a:graphicData>
                      </a:graphic>
                    </wp:anchor>
                  </w:drawing>
                </mc:Choice>
                <mc:Fallback>
                  <w:pict>
                    <v:rect id="_x0000_s1026" o:spid="_x0000_s1026" o:spt="1" style="position:absolute;left:0pt;margin-left:35.7pt;margin-top:4.4pt;height:24.55pt;width:102.45pt;z-index:251697152;mso-width-relative:page;mso-height-relative:page;" fillcolor="#FFFFFF" filled="t" stroked="f" coordsize="21600,21600" o:gfxdata="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YRFmNYAAAAHAQAADwAAAAAAAAABACAAAAAiAAAAZHJzL2Rvd25yZXYu&#10;eG1sUEsBAhQAFAAAAAgAh07iQNYuqD3EAQAAhQMAAA4AAAAAAAAAAQAgAAAAJQEAAGRycy9lMm9E&#10;b2MueG1sUEsFBgAAAAAGAAYAWQEAAFsFAAAAAA==&#10;">
                      <v:fill on="t" focussize="0,0"/>
                      <v:stroke on="f"/>
                      <v:imagedata o:title=""/>
                      <o:lock v:ext="edit" aspectratio="f"/>
                      <v:textbox>
                        <w:txbxContent>
                          <w:p>
                            <w:pPr>
                              <w:jc w:val="center"/>
                            </w:pPr>
                            <w:r>
                              <w:rPr>
                                <w:rFonts w:hint="eastAsia" w:cs="宋体"/>
                              </w:rPr>
                              <w:t>各类原辅原料</w:t>
                            </w:r>
                          </w:p>
                        </w:txbxContent>
                      </v:textbox>
                    </v:rect>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4415790</wp:posOffset>
                      </wp:positionH>
                      <wp:positionV relativeFrom="paragraph">
                        <wp:posOffset>24130</wp:posOffset>
                      </wp:positionV>
                      <wp:extent cx="722630" cy="311785"/>
                      <wp:effectExtent l="4445" t="5080" r="15875" b="6985"/>
                      <wp:wrapNone/>
                      <wp:docPr id="149" name="矩形 149"/>
                      <wp:cNvGraphicFramePr/>
                      <a:graphic xmlns:a="http://schemas.openxmlformats.org/drawingml/2006/main">
                        <a:graphicData uri="http://schemas.microsoft.com/office/word/2010/wordprocessingShape">
                          <wps:wsp>
                            <wps:cNvSpPr/>
                            <wps:spPr>
                              <a:xfrm>
                                <a:off x="0" y="0"/>
                                <a:ext cx="722630" cy="3117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cs="宋体"/>
                                      <w:lang w:eastAsia="zh-CN"/>
                                    </w:rPr>
                                    <w:t>包装</w:t>
                                  </w:r>
                                </w:p>
                              </w:txbxContent>
                            </wps:txbx>
                            <wps:bodyPr upright="1"/>
                          </wps:wsp>
                        </a:graphicData>
                      </a:graphic>
                    </wp:anchor>
                  </w:drawing>
                </mc:Choice>
                <mc:Fallback>
                  <w:pict>
                    <v:rect id="_x0000_s1026" o:spid="_x0000_s1026" o:spt="1" style="position:absolute;left:0pt;margin-left:347.7pt;margin-top:1.9pt;height:24.55pt;width:56.9pt;z-index:251702272;mso-width-relative:page;mso-height-relative:page;" fillcolor="#FFFFFF" filled="t" stroked="t" coordsize="21600,21600" o:gfxdata="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K6nO1wAAAAgBAAAPAAAAAAAAAAEAIAAAACIAAABk&#10;cnMvZG93bnJldi54bWxQSwECFAAUAAAACACHTuJAayvnWwcCAAA6BAAADgAAAAAAAAABACAAAAAm&#10;AQAAZHJzL2Uyb0RvYy54bWxQSwUGAAAAAAYABgBZAQAAnwUAAAAA&#10;">
                      <v:fill on="t" focussize="0,0"/>
                      <v:stroke color="#000000" joinstyle="miter"/>
                      <v:imagedata o:title=""/>
                      <o:lock v:ext="edit" aspectratio="f"/>
                      <v:textbox>
                        <w:txbxContent>
                          <w:p>
                            <w:pPr>
                              <w:jc w:val="center"/>
                              <w:rPr>
                                <w:rFonts w:hint="eastAsia" w:eastAsia="宋体"/>
                                <w:lang w:eastAsia="zh-CN"/>
                              </w:rPr>
                            </w:pPr>
                            <w:r>
                              <w:rPr>
                                <w:rFonts w:hint="eastAsia" w:cs="宋体"/>
                                <w:lang w:eastAsia="zh-CN"/>
                              </w:rPr>
                              <w:t>包装</w:t>
                            </w:r>
                          </w:p>
                        </w:txbxContent>
                      </v:textbox>
                    </v:rect>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3943985</wp:posOffset>
                      </wp:positionH>
                      <wp:positionV relativeFrom="paragraph">
                        <wp:posOffset>203835</wp:posOffset>
                      </wp:positionV>
                      <wp:extent cx="476250" cy="635"/>
                      <wp:effectExtent l="0" t="37465" r="0" b="38100"/>
                      <wp:wrapNone/>
                      <wp:docPr id="150" name="直接连接符 150"/>
                      <wp:cNvGraphicFramePr/>
                      <a:graphic xmlns:a="http://schemas.openxmlformats.org/drawingml/2006/main">
                        <a:graphicData uri="http://schemas.microsoft.com/office/word/2010/wordprocessingShape">
                          <wps:wsp>
                            <wps:cNvCnPr/>
                            <wps:spPr>
                              <a:xfrm>
                                <a:off x="0" y="0"/>
                                <a:ext cx="47625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10.55pt;margin-top:16.05pt;height:0.05pt;width:37.5pt;z-index:251703296;mso-width-relative:page;mso-height-relative:page;" filled="f" stroked="t" coordsize="21600,21600" o:gfxdata="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YXwHYAAAACQEAAA8AAAAAAAAAAQAgAAAAIgAAAGRycy9kb3ducmV2Lnht&#10;bFBLAQIUABQAAAAIAIdO4kBCcICI+QEAAO8DAAAOAAAAAAAAAAEAIAAAACcBAABkcnMvZTJvRG9j&#10;LnhtbFBLBQYAAAAABgAGAFkBAACS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2588260</wp:posOffset>
                      </wp:positionH>
                      <wp:positionV relativeFrom="paragraph">
                        <wp:posOffset>194945</wp:posOffset>
                      </wp:positionV>
                      <wp:extent cx="476250" cy="635"/>
                      <wp:effectExtent l="0" t="37465" r="0" b="38100"/>
                      <wp:wrapNone/>
                      <wp:docPr id="151" name="直接连接符 151"/>
                      <wp:cNvGraphicFramePr/>
                      <a:graphic xmlns:a="http://schemas.openxmlformats.org/drawingml/2006/main">
                        <a:graphicData uri="http://schemas.microsoft.com/office/word/2010/wordprocessingShape">
                          <wps:wsp>
                            <wps:cNvCnPr/>
                            <wps:spPr>
                              <a:xfrm>
                                <a:off x="0" y="0"/>
                                <a:ext cx="47625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03.8pt;margin-top:15.35pt;height:0.05pt;width:37.5pt;z-index:251701248;mso-width-relative:page;mso-height-relative:page;" filled="f" stroked="t" coordsize="21600,21600" o:gfxdata="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qyPu7ZAAAACQEAAA8AAAAAAAAAAQAgAAAAIgAAAGRycy9kb3ducmV2&#10;LnhtbFBLAQIUABQAAAAIAIdO4kAV4t1c+wEAAO8DAAAOAAAAAAAAAAEAIAAAACgBAABkcnMvZTJv&#10;RG9jLnhtbFBLBQYAAAAABgAGAFkBAACV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2030095</wp:posOffset>
                      </wp:positionH>
                      <wp:positionV relativeFrom="paragraph">
                        <wp:posOffset>21590</wp:posOffset>
                      </wp:positionV>
                      <wp:extent cx="554355" cy="311785"/>
                      <wp:effectExtent l="4445" t="5080" r="12700" b="6985"/>
                      <wp:wrapNone/>
                      <wp:docPr id="152" name="矩形 152"/>
                      <wp:cNvGraphicFramePr/>
                      <a:graphic xmlns:a="http://schemas.openxmlformats.org/drawingml/2006/main">
                        <a:graphicData uri="http://schemas.microsoft.com/office/word/2010/wordprocessingShape">
                          <wps:wsp>
                            <wps:cNvSpPr/>
                            <wps:spPr>
                              <a:xfrm>
                                <a:off x="0" y="0"/>
                                <a:ext cx="554355" cy="3117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投料</w:t>
                                  </w:r>
                                </w:p>
                              </w:txbxContent>
                            </wps:txbx>
                            <wps:bodyPr upright="1"/>
                          </wps:wsp>
                        </a:graphicData>
                      </a:graphic>
                    </wp:anchor>
                  </w:drawing>
                </mc:Choice>
                <mc:Fallback>
                  <w:pict>
                    <v:rect id="_x0000_s1026" o:spid="_x0000_s1026" o:spt="1" style="position:absolute;left:0pt;margin-left:159.85pt;margin-top:1.7pt;height:24.55pt;width:43.65pt;z-index:251698176;mso-width-relative:page;mso-height-relative:page;" fillcolor="#FFFFFF" filled="t" stroked="t" coordsize="21600,21600" o:gfxdata="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MNstbXAAAACAEAAA8AAAAAAAAAAQAgAAAAIgAAAGRy&#10;cy9kb3ducmV2LnhtbFBLAQIUABQAAAAIAIdO4kBb5Rf0BgIAADoEAAAOAAAAAAAAAAEAIAAAACYB&#10;AABkcnMvZTJvRG9jLnhtbFBLBQYAAAAABgAGAFkBAACeBQAAAAA=&#10;">
                      <v:fill on="t" focussize="0,0"/>
                      <v:stroke color="#000000" joinstyle="miter"/>
                      <v:imagedata o:title=""/>
                      <o:lock v:ext="edit" aspectratio="f"/>
                      <v:textbox>
                        <w:txbxContent>
                          <w:p>
                            <w:pPr>
                              <w:jc w:val="center"/>
                            </w:pPr>
                            <w:r>
                              <w:rPr>
                                <w:rFonts w:hint="eastAsia" w:cs="宋体"/>
                              </w:rPr>
                              <w:t>投料</w:t>
                            </w:r>
                          </w:p>
                        </w:txbxContent>
                      </v:textbox>
                    </v:rect>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1557655</wp:posOffset>
                      </wp:positionH>
                      <wp:positionV relativeFrom="paragraph">
                        <wp:posOffset>194945</wp:posOffset>
                      </wp:positionV>
                      <wp:extent cx="476250" cy="635"/>
                      <wp:effectExtent l="0" t="37465" r="0" b="38100"/>
                      <wp:wrapNone/>
                      <wp:docPr id="153" name="直接连接符 153"/>
                      <wp:cNvGraphicFramePr/>
                      <a:graphic xmlns:a="http://schemas.openxmlformats.org/drawingml/2006/main">
                        <a:graphicData uri="http://schemas.microsoft.com/office/word/2010/wordprocessingShape">
                          <wps:wsp>
                            <wps:cNvCnPr/>
                            <wps:spPr>
                              <a:xfrm>
                                <a:off x="0" y="0"/>
                                <a:ext cx="47625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122.65pt;margin-top:15.35pt;height:0.05pt;width:37.5pt;z-index:251699200;mso-width-relative:page;mso-height-relative:page;" filled="f" stroked="t" coordsize="21600,21600" o:gfxdata="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PIyp2gAAAAkBAAAPAAAAAAAAAAEAIAAAACIAAABkcnMvZG93bnJl&#10;di54bWxQSwECFAAUAAAACACHTuJA+sAXL/sBAADvAwAADgAAAAAAAAABACAAAAApAQAAZHJzL2Uy&#10;b0RvYy54bWxQSwUGAAAAAAYABgBZAQAAlgUAAAAA&#10;">
                      <v:fill on="f" focussize="0,0"/>
                      <v:stroke color="#000000" joinstyle="round" endarrow="block"/>
                      <v:imagedata o:title=""/>
                      <o:lock v:ext="edit" aspectratio="f"/>
                    </v:line>
                  </w:pict>
                </mc:Fallback>
              </mc:AlternateContent>
            </w: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04320" behindDoc="0" locked="0" layoutInCell="1" allowOverlap="1">
                      <wp:simplePos x="0" y="0"/>
                      <wp:positionH relativeFrom="column">
                        <wp:posOffset>4759325</wp:posOffset>
                      </wp:positionH>
                      <wp:positionV relativeFrom="paragraph">
                        <wp:posOffset>65405</wp:posOffset>
                      </wp:positionV>
                      <wp:extent cx="635" cy="823595"/>
                      <wp:effectExtent l="37465" t="0" r="38100" b="14605"/>
                      <wp:wrapNone/>
                      <wp:docPr id="155" name="直接连接符 155"/>
                      <wp:cNvGraphicFramePr/>
                      <a:graphic xmlns:a="http://schemas.openxmlformats.org/drawingml/2006/main">
                        <a:graphicData uri="http://schemas.microsoft.com/office/word/2010/wordprocessingShape">
                          <wps:wsp>
                            <wps:cNvCnPr/>
                            <wps:spPr>
                              <a:xfrm>
                                <a:off x="0" y="0"/>
                                <a:ext cx="635" cy="64071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74.75pt;margin-top:5.15pt;height:64.85pt;width:0.05pt;z-index:251704320;mso-width-relative:page;mso-height-relative:page;" filled="f" stroked="t" coordsize="21600,21600" o:gfxdata="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LtdbU2QAAAAoBAAAPAAAAAAAAAAEAIAAAACIAAABkcnMvZG93bnJl&#10;di54bWxQSwECFAAUAAAACACHTuJAQ6GulPwBAADvAwAADgAAAAAAAAABACAAAAAoAQAAZHJzL2Uy&#10;b0RvYy54bWxQSwUGAAAAAAYABgBZAQAAlgUAAAAA&#10;">
                      <v:fill on="f" focussize="0,0"/>
                      <v:stroke color="#000000" joinstyle="round" endarrow="block"/>
                      <v:imagedata o:title=""/>
                      <o:lock v:ext="edit" aspectratio="f"/>
                    </v:line>
                  </w:pict>
                </mc:Fallback>
              </mc:AlternateContent>
            </w:r>
          </w:p>
          <w:p>
            <w:pPr>
              <w:adjustRightInd w:val="0"/>
              <w:snapToGrid w:val="0"/>
              <w:spacing w:line="360" w:lineRule="auto"/>
              <w:ind w:firstLine="480" w:firstLineChars="200"/>
              <w:rPr>
                <w:color w:val="auto"/>
                <w:sz w:val="24"/>
                <w:szCs w:val="24"/>
              </w:rPr>
            </w:pPr>
          </w:p>
          <w:p>
            <w:pPr>
              <w:adjustRightInd w:val="0"/>
              <w:snapToGrid w:val="0"/>
              <w:spacing w:line="360" w:lineRule="auto"/>
              <w:ind w:firstLine="480" w:firstLineChars="200"/>
              <w:rPr>
                <w:color w:val="auto"/>
                <w:sz w:val="24"/>
                <w:szCs w:val="24"/>
              </w:rPr>
            </w:pPr>
          </w:p>
          <w:p>
            <w:pPr>
              <w:adjustRightInd w:val="0"/>
              <w:snapToGrid w:val="0"/>
              <w:spacing w:line="360" w:lineRule="auto"/>
              <w:ind w:firstLine="480" w:firstLineChars="200"/>
              <w:rPr>
                <w:color w:val="auto"/>
                <w:sz w:val="24"/>
                <w:szCs w:val="24"/>
              </w:rPr>
            </w:pPr>
            <w:r>
              <w:rPr>
                <w:color w:val="auto"/>
              </w:rPr>
              <mc:AlternateContent>
                <mc:Choice Requires="wps">
                  <w:drawing>
                    <wp:anchor distT="0" distB="0" distL="114300" distR="114300" simplePos="0" relativeHeight="251711488" behindDoc="0" locked="0" layoutInCell="1" allowOverlap="1">
                      <wp:simplePos x="0" y="0"/>
                      <wp:positionH relativeFrom="column">
                        <wp:posOffset>4547870</wp:posOffset>
                      </wp:positionH>
                      <wp:positionV relativeFrom="paragraph">
                        <wp:posOffset>146050</wp:posOffset>
                      </wp:positionV>
                      <wp:extent cx="570865" cy="311785"/>
                      <wp:effectExtent l="0" t="0" r="0" b="0"/>
                      <wp:wrapNone/>
                      <wp:docPr id="165" name="矩形 165"/>
                      <wp:cNvGraphicFramePr/>
                      <a:graphic xmlns:a="http://schemas.openxmlformats.org/drawingml/2006/main">
                        <a:graphicData uri="http://schemas.microsoft.com/office/word/2010/wordprocessingShape">
                          <wps:wsp>
                            <wps:cNvSpPr/>
                            <wps:spPr>
                              <a:xfrm>
                                <a:off x="0" y="0"/>
                                <a:ext cx="570865" cy="311785"/>
                              </a:xfrm>
                              <a:prstGeom prst="rect">
                                <a:avLst/>
                              </a:prstGeom>
                              <a:noFill/>
                              <a:ln w="9525">
                                <a:noFill/>
                              </a:ln>
                              <a:effectLst/>
                            </wps:spPr>
                            <wps:txbx>
                              <w:txbxContent>
                                <w:p>
                                  <w:pPr>
                                    <w:jc w:val="center"/>
                                  </w:pPr>
                                  <w:r>
                                    <w:rPr>
                                      <w:rFonts w:hint="eastAsia" w:cs="宋体"/>
                                    </w:rPr>
                                    <w:t>入库</w:t>
                                  </w:r>
                                </w:p>
                              </w:txbxContent>
                            </wps:txbx>
                            <wps:bodyPr upright="1"/>
                          </wps:wsp>
                        </a:graphicData>
                      </a:graphic>
                    </wp:anchor>
                  </w:drawing>
                </mc:Choice>
                <mc:Fallback>
                  <w:pict>
                    <v:rect id="_x0000_s1026" o:spid="_x0000_s1026" o:spt="1" style="position:absolute;left:0pt;margin-left:358.1pt;margin-top:11.5pt;height:24.55pt;width:44.95pt;z-index:251711488;mso-width-relative:page;mso-height-relative:page;" filled="f" stroked="f" coordsize="21600,21600" o:gfxdata="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2&#10;6Wkd2QAAAAkBAAAPAAAAAAAAAAEAIAAAACIAAABkcnMvZG93bnJldi54bWxQSwECFAAUAAAACACH&#10;TuJA973wFbEBAABbAwAADgAAAAAAAAABACAAAAAoAQAAZHJzL2Uyb0RvYy54bWxQSwUGAAAAAAYA&#10;BgBZAQAASwUAAAAA&#10;">
                      <v:fill on="f" focussize="0,0"/>
                      <v:stroke on="f"/>
                      <v:imagedata o:title=""/>
                      <o:lock v:ext="edit" aspectratio="f"/>
                      <v:textbox>
                        <w:txbxContent>
                          <w:p>
                            <w:pPr>
                              <w:jc w:val="center"/>
                            </w:pPr>
                            <w:r>
                              <w:rPr>
                                <w:rFonts w:hint="eastAsia" w:cs="宋体"/>
                              </w:rPr>
                              <w:t>入库</w:t>
                            </w:r>
                          </w:p>
                        </w:txbxContent>
                      </v:textbox>
                    </v:rect>
                  </w:pict>
                </mc:Fallback>
              </mc:AlternateContent>
            </w:r>
          </w:p>
          <w:p>
            <w:pPr>
              <w:adjustRightInd w:val="0"/>
              <w:snapToGrid w:val="0"/>
              <w:spacing w:before="163" w:beforeLines="50" w:line="360" w:lineRule="auto"/>
              <w:ind w:firstLine="482" w:firstLineChars="200"/>
              <w:jc w:val="center"/>
              <w:rPr>
                <w:b/>
                <w:bCs/>
                <w:color w:val="auto"/>
                <w:sz w:val="24"/>
                <w:szCs w:val="24"/>
              </w:rPr>
            </w:pPr>
            <w:r>
              <w:rPr>
                <w:rFonts w:hint="eastAsia" w:cs="宋体"/>
                <w:b/>
                <w:bCs/>
                <w:color w:val="auto"/>
                <w:sz w:val="24"/>
                <w:szCs w:val="24"/>
              </w:rPr>
              <w:t>图</w:t>
            </w:r>
            <w:r>
              <w:rPr>
                <w:rFonts w:hint="eastAsia"/>
                <w:b/>
                <w:bCs/>
                <w:color w:val="auto"/>
                <w:sz w:val="24"/>
                <w:szCs w:val="24"/>
                <w:lang w:val="en-US" w:eastAsia="zh-CN"/>
              </w:rPr>
              <w:t>2-3</w:t>
            </w:r>
            <w:r>
              <w:rPr>
                <w:b/>
                <w:bCs/>
                <w:color w:val="auto"/>
                <w:sz w:val="24"/>
                <w:szCs w:val="24"/>
              </w:rPr>
              <w:t xml:space="preserve"> </w:t>
            </w:r>
            <w:r>
              <w:rPr>
                <w:rFonts w:hint="eastAsia" w:cs="宋体"/>
                <w:b/>
                <w:bCs/>
                <w:color w:val="auto"/>
                <w:sz w:val="24"/>
                <w:szCs w:val="24"/>
              </w:rPr>
              <w:t>隔热砂浆工艺流程图</w:t>
            </w:r>
          </w:p>
          <w:p>
            <w:pPr>
              <w:pStyle w:val="31"/>
              <w:keepLines w:val="0"/>
              <w:pageBreakBefore w:val="0"/>
              <w:kinsoku/>
              <w:wordWrap/>
              <w:topLinePunct w:val="0"/>
              <w:autoSpaceDE/>
              <w:autoSpaceDN/>
              <w:bidi w:val="0"/>
              <w:adjustRightInd/>
              <w:snapToGrid w:val="0"/>
              <w:spacing w:before="0" w:after="0" w:line="360" w:lineRule="auto"/>
              <w:ind w:firstLine="480" w:firstLineChars="200"/>
              <w:textAlignment w:val="auto"/>
              <w:rPr>
                <w:color w:val="auto"/>
                <w:sz w:val="24"/>
                <w:szCs w:val="24"/>
              </w:rPr>
            </w:pPr>
          </w:p>
          <w:p>
            <w:pPr>
              <w:spacing w:line="360" w:lineRule="auto"/>
              <w:jc w:val="left"/>
              <w:rPr>
                <w:rFonts w:ascii="新宋体" w:hAnsi="新宋体" w:eastAsia="新宋体" w:cs="新宋体"/>
                <w:color w:val="auto"/>
              </w:rPr>
            </w:pPr>
            <w:r>
              <w:rPr>
                <w:rFonts w:ascii="新宋体" w:hAnsi="新宋体" w:eastAsia="新宋体" w:cs="新宋体"/>
                <w:b/>
                <w:bCs/>
                <w:color w:val="auto"/>
              </w:rPr>
              <w:t>工艺流程简介：</w:t>
            </w:r>
          </w:p>
          <w:p>
            <w:pPr>
              <w:pStyle w:val="14"/>
              <w:spacing w:before="0" w:after="0" w:line="360" w:lineRule="auto"/>
              <w:ind w:right="0" w:firstLine="480" w:firstLineChars="200"/>
              <w:jc w:val="left"/>
              <w:rPr>
                <w:rFonts w:hint="eastAsia"/>
                <w:color w:val="auto"/>
                <w:sz w:val="24"/>
                <w:szCs w:val="24"/>
              </w:rPr>
            </w:pPr>
            <w:r>
              <w:rPr>
                <w:rFonts w:hint="eastAsia"/>
                <w:color w:val="auto"/>
                <w:sz w:val="24"/>
                <w:szCs w:val="24"/>
              </w:rPr>
              <w:t xml:space="preserve"> </w:t>
            </w:r>
            <w:r>
              <w:rPr>
                <w:rFonts w:hint="eastAsia"/>
                <w:color w:val="auto"/>
                <w:sz w:val="24"/>
                <w:szCs w:val="24"/>
                <w:lang w:val="en-US" w:eastAsia="zh-CN"/>
              </w:rPr>
              <w:t>使用叉车将</w:t>
            </w:r>
            <w:r>
              <w:rPr>
                <w:rFonts w:hint="eastAsia"/>
                <w:color w:val="auto"/>
                <w:sz w:val="24"/>
                <w:szCs w:val="24"/>
              </w:rPr>
              <w:t>石英砂</w:t>
            </w:r>
            <w:r>
              <w:rPr>
                <w:rFonts w:hint="eastAsia"/>
                <w:color w:val="auto"/>
                <w:sz w:val="24"/>
                <w:szCs w:val="24"/>
                <w:lang w:eastAsia="zh-CN"/>
              </w:rPr>
              <w:t>、</w:t>
            </w:r>
            <w:r>
              <w:rPr>
                <w:rFonts w:hint="eastAsia"/>
                <w:color w:val="auto"/>
                <w:sz w:val="24"/>
                <w:szCs w:val="24"/>
              </w:rPr>
              <w:t>重钙粉</w:t>
            </w:r>
            <w:r>
              <w:rPr>
                <w:rFonts w:hint="eastAsia"/>
                <w:color w:val="auto"/>
                <w:sz w:val="24"/>
                <w:szCs w:val="24"/>
                <w:lang w:eastAsia="zh-CN"/>
              </w:rPr>
              <w:t>、</w:t>
            </w:r>
            <w:r>
              <w:rPr>
                <w:rFonts w:hint="eastAsia"/>
                <w:color w:val="auto"/>
                <w:sz w:val="24"/>
                <w:szCs w:val="24"/>
              </w:rPr>
              <w:t>水泥</w:t>
            </w:r>
            <w:r>
              <w:rPr>
                <w:rFonts w:hint="eastAsia"/>
                <w:color w:val="auto"/>
                <w:sz w:val="24"/>
                <w:szCs w:val="24"/>
                <w:lang w:val="en-US" w:eastAsia="zh-CN"/>
              </w:rPr>
              <w:t>的原料包提升至投料平台，人工</w:t>
            </w:r>
            <w:r>
              <w:rPr>
                <w:rFonts w:hint="eastAsia"/>
                <w:color w:val="auto"/>
                <w:sz w:val="24"/>
                <w:szCs w:val="24"/>
                <w:lang w:eastAsia="zh-CN"/>
              </w:rPr>
              <w:t>解包后投入搅拌机中，</w:t>
            </w:r>
            <w:r>
              <w:rPr>
                <w:rFonts w:hint="eastAsia"/>
                <w:color w:val="auto"/>
                <w:sz w:val="24"/>
                <w:szCs w:val="24"/>
              </w:rPr>
              <w:t>通过搅拌机将各原料搅拌均匀，</w:t>
            </w:r>
            <w:r>
              <w:rPr>
                <w:rFonts w:hint="eastAsia"/>
                <w:color w:val="auto"/>
                <w:sz w:val="24"/>
                <w:szCs w:val="24"/>
                <w:lang w:val="en-US" w:eastAsia="zh-CN"/>
              </w:rPr>
              <w:t>在放料口用产品包装袋接物料，然后袋装打包</w:t>
            </w:r>
            <w:r>
              <w:rPr>
                <w:rFonts w:hint="eastAsia"/>
                <w:color w:val="auto"/>
                <w:sz w:val="24"/>
                <w:szCs w:val="24"/>
                <w:lang w:eastAsia="zh-CN"/>
              </w:rPr>
              <w:t>后即为产品，</w:t>
            </w:r>
            <w:r>
              <w:rPr>
                <w:rFonts w:hint="eastAsia"/>
                <w:color w:val="auto"/>
                <w:sz w:val="24"/>
                <w:szCs w:val="24"/>
              </w:rPr>
              <w:t>该过程会有粉尘产生。</w:t>
            </w:r>
          </w:p>
          <w:p>
            <w:pPr>
              <w:pStyle w:val="31"/>
              <w:spacing w:before="0" w:after="0" w:line="360" w:lineRule="auto"/>
              <w:ind w:right="0" w:firstLine="240"/>
              <w:rPr>
                <w:color w:val="auto"/>
                <w:sz w:val="24"/>
                <w:szCs w:val="24"/>
              </w:rPr>
            </w:pPr>
            <w:r>
              <w:rPr>
                <w:color w:val="auto"/>
                <w:sz w:val="24"/>
                <w:szCs w:val="24"/>
              </w:rPr>
              <w:t xml:space="preserve"> </w:t>
            </w:r>
            <w:r>
              <w:rPr>
                <w:rFonts w:hint="eastAsia"/>
                <w:color w:val="auto"/>
                <w:sz w:val="24"/>
                <w:szCs w:val="24"/>
              </w:rPr>
              <w:t>二）主要污染工序</w:t>
            </w:r>
          </w:p>
          <w:p>
            <w:pPr>
              <w:pStyle w:val="31"/>
              <w:spacing w:before="0" w:after="0" w:line="360" w:lineRule="auto"/>
              <w:ind w:right="0" w:firstLine="480" w:firstLineChars="200"/>
              <w:rPr>
                <w:color w:val="auto"/>
                <w:sz w:val="24"/>
                <w:szCs w:val="24"/>
              </w:rPr>
            </w:pPr>
            <w:r>
              <w:rPr>
                <w:color w:val="auto"/>
                <w:sz w:val="24"/>
                <w:szCs w:val="24"/>
              </w:rPr>
              <w:t>根据项目的工程概况和工艺特点，主要污染源和污染物如下所示。</w:t>
            </w:r>
          </w:p>
          <w:p>
            <w:pPr>
              <w:pStyle w:val="31"/>
              <w:spacing w:before="0" w:after="0" w:line="360" w:lineRule="auto"/>
              <w:ind w:right="0" w:firstLine="480" w:firstLineChars="200"/>
              <w:rPr>
                <w:color w:val="auto"/>
                <w:sz w:val="24"/>
                <w:szCs w:val="24"/>
              </w:rPr>
            </w:pPr>
            <w:r>
              <w:rPr>
                <w:color w:val="auto"/>
                <w:sz w:val="24"/>
                <w:szCs w:val="24"/>
              </w:rPr>
              <w:t>1、废气</w:t>
            </w:r>
          </w:p>
          <w:p>
            <w:pPr>
              <w:pStyle w:val="31"/>
              <w:spacing w:before="0" w:after="0" w:line="360" w:lineRule="auto"/>
              <w:ind w:right="0" w:firstLine="480" w:firstLineChars="200"/>
              <w:rPr>
                <w:color w:val="auto"/>
                <w:sz w:val="24"/>
                <w:szCs w:val="24"/>
              </w:rPr>
            </w:pPr>
            <w:r>
              <w:rPr>
                <w:color w:val="auto"/>
                <w:sz w:val="24"/>
                <w:szCs w:val="24"/>
              </w:rPr>
              <w:t>本项目营运期产生的废气主要为</w:t>
            </w:r>
            <w:r>
              <w:rPr>
                <w:rFonts w:hint="eastAsia"/>
                <w:color w:val="auto"/>
                <w:sz w:val="24"/>
                <w:szCs w:val="24"/>
                <w:lang w:eastAsia="zh-CN"/>
              </w:rPr>
              <w:t>涂料搅拌分散过程中产生的</w:t>
            </w:r>
            <w:r>
              <w:rPr>
                <w:rFonts w:hint="eastAsia"/>
                <w:color w:val="auto"/>
                <w:sz w:val="24"/>
                <w:szCs w:val="24"/>
              </w:rPr>
              <w:t>VOCs，以及</w:t>
            </w:r>
            <w:r>
              <w:rPr>
                <w:rFonts w:hint="eastAsia"/>
                <w:color w:val="auto"/>
                <w:sz w:val="24"/>
                <w:szCs w:val="24"/>
                <w:lang w:eastAsia="zh-CN"/>
              </w:rPr>
              <w:t>投料过程中产生的粉尘</w:t>
            </w:r>
            <w:r>
              <w:rPr>
                <w:color w:val="auto"/>
                <w:sz w:val="24"/>
                <w:szCs w:val="24"/>
              </w:rPr>
              <w:t>。</w:t>
            </w:r>
          </w:p>
          <w:p>
            <w:pPr>
              <w:pStyle w:val="31"/>
              <w:spacing w:before="0" w:after="0" w:line="360" w:lineRule="auto"/>
              <w:ind w:right="0" w:firstLine="480" w:firstLineChars="200"/>
              <w:rPr>
                <w:color w:val="auto"/>
                <w:sz w:val="24"/>
                <w:szCs w:val="24"/>
              </w:rPr>
            </w:pPr>
            <w:r>
              <w:rPr>
                <w:color w:val="auto"/>
                <w:sz w:val="24"/>
                <w:szCs w:val="24"/>
              </w:rPr>
              <w:t>2、废水</w:t>
            </w:r>
          </w:p>
          <w:p>
            <w:pPr>
              <w:pStyle w:val="31"/>
              <w:spacing w:before="0" w:after="0" w:line="360" w:lineRule="auto"/>
              <w:ind w:right="0" w:firstLine="480" w:firstLineChars="200"/>
              <w:rPr>
                <w:color w:val="auto"/>
                <w:sz w:val="24"/>
                <w:szCs w:val="24"/>
              </w:rPr>
            </w:pPr>
            <w:r>
              <w:rPr>
                <w:color w:val="auto"/>
                <w:sz w:val="24"/>
                <w:szCs w:val="24"/>
              </w:rPr>
              <w:t>本项目</w:t>
            </w:r>
            <w:r>
              <w:rPr>
                <w:rFonts w:hint="eastAsia"/>
                <w:color w:val="auto"/>
                <w:sz w:val="24"/>
                <w:szCs w:val="24"/>
              </w:rPr>
              <w:t>生产用水为</w:t>
            </w:r>
            <w:r>
              <w:rPr>
                <w:rFonts w:hint="eastAsia"/>
                <w:color w:val="auto"/>
                <w:sz w:val="24"/>
                <w:szCs w:val="24"/>
                <w:lang w:eastAsia="zh-CN"/>
              </w:rPr>
              <w:t>去离子水生产过程中产生的少量废水，</w:t>
            </w:r>
            <w:r>
              <w:rPr>
                <w:rFonts w:hint="eastAsia"/>
                <w:color w:val="auto"/>
                <w:sz w:val="24"/>
                <w:szCs w:val="24"/>
                <w:lang w:val="en-US" w:eastAsia="zh-CN"/>
              </w:rPr>
              <w:t>产生量为139.5</w:t>
            </w:r>
            <w:r>
              <w:rPr>
                <w:rFonts w:hint="eastAsia"/>
                <w:color w:val="auto"/>
                <w:sz w:val="24"/>
                <w:szCs w:val="24"/>
                <w:lang w:eastAsia="zh-CN"/>
              </w:rPr>
              <w:t>m</w:t>
            </w:r>
            <w:r>
              <w:rPr>
                <w:color w:val="auto"/>
                <w:sz w:val="24"/>
                <w:szCs w:val="24"/>
              </w:rPr>
              <w:t>³/</w:t>
            </w:r>
            <w:r>
              <w:rPr>
                <w:rFonts w:hint="eastAsia"/>
                <w:color w:val="auto"/>
                <w:sz w:val="24"/>
                <w:szCs w:val="24"/>
              </w:rPr>
              <w:t>a，</w:t>
            </w:r>
            <w:r>
              <w:rPr>
                <w:rFonts w:hint="eastAsia"/>
                <w:color w:val="auto"/>
                <w:sz w:val="24"/>
                <w:szCs w:val="24"/>
                <w:lang w:eastAsia="zh-CN"/>
              </w:rPr>
              <w:t>用于邵东东创鞋底厂的绿化，综合利用</w:t>
            </w:r>
            <w:r>
              <w:rPr>
                <w:rFonts w:hint="eastAsia"/>
                <w:color w:val="auto"/>
                <w:sz w:val="24"/>
                <w:szCs w:val="24"/>
              </w:rPr>
              <w:t>，</w:t>
            </w:r>
            <w:r>
              <w:rPr>
                <w:color w:val="auto"/>
                <w:sz w:val="24"/>
                <w:szCs w:val="24"/>
              </w:rPr>
              <w:t>无生产废水</w:t>
            </w:r>
            <w:r>
              <w:rPr>
                <w:rFonts w:hint="eastAsia"/>
                <w:color w:val="auto"/>
                <w:sz w:val="24"/>
                <w:szCs w:val="24"/>
              </w:rPr>
              <w:t>外排</w:t>
            </w:r>
            <w:r>
              <w:rPr>
                <w:color w:val="auto"/>
                <w:sz w:val="24"/>
                <w:szCs w:val="24"/>
              </w:rPr>
              <w:t>。</w:t>
            </w:r>
          </w:p>
          <w:p>
            <w:pPr>
              <w:pStyle w:val="31"/>
              <w:spacing w:before="0" w:after="0" w:line="360" w:lineRule="auto"/>
              <w:ind w:right="0" w:firstLine="480" w:firstLineChars="200"/>
              <w:rPr>
                <w:color w:val="auto"/>
                <w:sz w:val="24"/>
                <w:szCs w:val="24"/>
              </w:rPr>
            </w:pPr>
            <w:r>
              <w:rPr>
                <w:color w:val="auto"/>
                <w:sz w:val="24"/>
                <w:szCs w:val="24"/>
              </w:rPr>
              <w:t>项目</w:t>
            </w:r>
            <w:r>
              <w:rPr>
                <w:rFonts w:hint="eastAsia"/>
                <w:color w:val="auto"/>
                <w:sz w:val="24"/>
                <w:szCs w:val="24"/>
                <w:lang w:val="en-US" w:eastAsia="zh-CN"/>
              </w:rPr>
              <w:t>外排</w:t>
            </w:r>
            <w:r>
              <w:rPr>
                <w:color w:val="auto"/>
                <w:sz w:val="24"/>
                <w:szCs w:val="24"/>
              </w:rPr>
              <w:t>废水主要为职工生活污水。该项目生活用水量约为</w:t>
            </w:r>
            <w:r>
              <w:rPr>
                <w:rFonts w:hint="eastAsia"/>
                <w:color w:val="auto"/>
                <w:sz w:val="24"/>
                <w:szCs w:val="24"/>
                <w:lang w:eastAsia="zh-CN"/>
              </w:rPr>
              <w:t>760m</w:t>
            </w:r>
            <w:r>
              <w:rPr>
                <w:color w:val="auto"/>
                <w:sz w:val="24"/>
                <w:szCs w:val="24"/>
              </w:rPr>
              <w:t>³/</w:t>
            </w:r>
            <w:r>
              <w:rPr>
                <w:rFonts w:hint="eastAsia"/>
                <w:color w:val="auto"/>
                <w:sz w:val="24"/>
                <w:szCs w:val="24"/>
              </w:rPr>
              <w:t>a，</w:t>
            </w:r>
            <w:r>
              <w:rPr>
                <w:color w:val="auto"/>
                <w:sz w:val="24"/>
                <w:szCs w:val="24"/>
              </w:rPr>
              <w:t>产污系数按80%计，则污水产生量约为</w:t>
            </w:r>
            <w:r>
              <w:rPr>
                <w:rFonts w:hint="eastAsia"/>
                <w:color w:val="auto"/>
                <w:sz w:val="24"/>
                <w:szCs w:val="24"/>
                <w:lang w:eastAsia="zh-CN"/>
              </w:rPr>
              <w:t>608</w:t>
            </w:r>
            <w:r>
              <w:rPr>
                <w:color w:val="auto"/>
                <w:sz w:val="24"/>
                <w:szCs w:val="24"/>
              </w:rPr>
              <w:t>m³/a。生活污水</w:t>
            </w:r>
            <w:r>
              <w:rPr>
                <w:rFonts w:hint="eastAsia"/>
                <w:color w:val="auto"/>
                <w:sz w:val="24"/>
                <w:szCs w:val="24"/>
              </w:rPr>
              <w:t>收集后</w:t>
            </w:r>
            <w:r>
              <w:rPr>
                <w:color w:val="auto"/>
                <w:sz w:val="24"/>
                <w:szCs w:val="24"/>
              </w:rPr>
              <w:t>经化粪池</w:t>
            </w:r>
            <w:r>
              <w:rPr>
                <w:rFonts w:hint="eastAsia"/>
                <w:color w:val="auto"/>
                <w:sz w:val="24"/>
                <w:szCs w:val="24"/>
              </w:rPr>
              <w:t>、隔油池</w:t>
            </w:r>
            <w:r>
              <w:rPr>
                <w:color w:val="auto"/>
                <w:sz w:val="24"/>
                <w:szCs w:val="24"/>
              </w:rPr>
              <w:t>处理后排入园区污水管网，进入</w:t>
            </w:r>
            <w:r>
              <w:rPr>
                <w:rFonts w:hint="eastAsia"/>
                <w:color w:val="auto"/>
                <w:sz w:val="24"/>
                <w:szCs w:val="24"/>
                <w:lang w:eastAsia="zh-CN"/>
              </w:rPr>
              <w:t>邵东市美桥城市污水处理厂</w:t>
            </w:r>
            <w:r>
              <w:rPr>
                <w:color w:val="auto"/>
                <w:sz w:val="24"/>
                <w:szCs w:val="24"/>
              </w:rPr>
              <w:t>进一步处理。</w:t>
            </w:r>
          </w:p>
          <w:p>
            <w:pPr>
              <w:pStyle w:val="31"/>
              <w:spacing w:before="0" w:after="0" w:line="360" w:lineRule="auto"/>
              <w:ind w:right="0" w:firstLine="480" w:firstLineChars="200"/>
              <w:rPr>
                <w:color w:val="auto"/>
                <w:sz w:val="24"/>
                <w:szCs w:val="24"/>
              </w:rPr>
            </w:pPr>
            <w:r>
              <w:rPr>
                <w:color w:val="auto"/>
                <w:sz w:val="24"/>
                <w:szCs w:val="24"/>
              </w:rPr>
              <w:t>3</w:t>
            </w:r>
            <w:r>
              <w:rPr>
                <w:rFonts w:hint="eastAsia"/>
                <w:color w:val="auto"/>
                <w:sz w:val="24"/>
                <w:szCs w:val="24"/>
              </w:rPr>
              <w:t>、噪声</w:t>
            </w:r>
          </w:p>
          <w:p>
            <w:pPr>
              <w:pStyle w:val="31"/>
              <w:spacing w:before="0" w:after="0" w:line="360" w:lineRule="auto"/>
              <w:ind w:right="0" w:firstLine="480" w:firstLineChars="200"/>
              <w:rPr>
                <w:color w:val="auto"/>
                <w:sz w:val="24"/>
                <w:szCs w:val="24"/>
              </w:rPr>
            </w:pPr>
            <w:r>
              <w:rPr>
                <w:rFonts w:hint="eastAsia"/>
                <w:color w:val="auto"/>
                <w:sz w:val="24"/>
                <w:szCs w:val="24"/>
              </w:rPr>
              <w:t>该项目的主要噪声源为生产设备，主要有</w:t>
            </w:r>
            <w:r>
              <w:rPr>
                <w:rFonts w:hint="eastAsia"/>
                <w:color w:val="auto"/>
                <w:sz w:val="24"/>
                <w:szCs w:val="24"/>
                <w:lang w:eastAsia="zh-CN"/>
              </w:rPr>
              <w:t>高速分散机</w:t>
            </w:r>
            <w:r>
              <w:rPr>
                <w:rFonts w:hint="eastAsia"/>
                <w:color w:val="auto"/>
                <w:sz w:val="24"/>
                <w:szCs w:val="24"/>
              </w:rPr>
              <w:t>、</w:t>
            </w:r>
            <w:r>
              <w:rPr>
                <w:rFonts w:hint="eastAsia"/>
                <w:color w:val="auto"/>
                <w:sz w:val="24"/>
                <w:szCs w:val="24"/>
                <w:lang w:eastAsia="zh-CN"/>
              </w:rPr>
              <w:t>水泵</w:t>
            </w:r>
            <w:r>
              <w:rPr>
                <w:rFonts w:hint="eastAsia"/>
                <w:color w:val="auto"/>
                <w:sz w:val="24"/>
                <w:szCs w:val="24"/>
              </w:rPr>
              <w:t>、</w:t>
            </w:r>
            <w:r>
              <w:rPr>
                <w:rFonts w:hint="eastAsia"/>
                <w:color w:val="auto"/>
                <w:sz w:val="24"/>
                <w:szCs w:val="24"/>
                <w:lang w:val="en-US" w:eastAsia="zh-CN"/>
              </w:rPr>
              <w:t>去离子水设备、空压机</w:t>
            </w:r>
            <w:r>
              <w:rPr>
                <w:rFonts w:hint="eastAsia"/>
                <w:color w:val="auto"/>
                <w:sz w:val="24"/>
                <w:szCs w:val="24"/>
              </w:rPr>
              <w:t>等，声压级约为</w:t>
            </w:r>
            <w:r>
              <w:rPr>
                <w:color w:val="auto"/>
                <w:sz w:val="24"/>
                <w:szCs w:val="24"/>
              </w:rPr>
              <w:t>7</w:t>
            </w:r>
            <w:r>
              <w:rPr>
                <w:rFonts w:hint="eastAsia"/>
                <w:color w:val="auto"/>
                <w:sz w:val="24"/>
                <w:szCs w:val="24"/>
              </w:rPr>
              <w:t>0～</w:t>
            </w:r>
            <w:r>
              <w:rPr>
                <w:rFonts w:hint="eastAsia"/>
                <w:color w:val="auto"/>
                <w:sz w:val="24"/>
                <w:szCs w:val="24"/>
                <w:lang w:val="en-US" w:eastAsia="zh-CN"/>
              </w:rPr>
              <w:t>90</w:t>
            </w:r>
            <w:r>
              <w:rPr>
                <w:color w:val="auto"/>
                <w:sz w:val="24"/>
                <w:szCs w:val="24"/>
              </w:rPr>
              <w:t>dB(A)</w:t>
            </w:r>
            <w:r>
              <w:rPr>
                <w:rFonts w:hint="eastAsia"/>
                <w:color w:val="auto"/>
                <w:sz w:val="24"/>
                <w:szCs w:val="24"/>
              </w:rPr>
              <w:t>。</w:t>
            </w:r>
          </w:p>
          <w:p>
            <w:pPr>
              <w:adjustRightInd w:val="0"/>
              <w:snapToGrid w:val="0"/>
              <w:spacing w:line="360" w:lineRule="auto"/>
              <w:jc w:val="center"/>
              <w:rPr>
                <w:b/>
                <w:color w:val="auto"/>
                <w:szCs w:val="21"/>
              </w:rPr>
            </w:pPr>
            <w:r>
              <w:rPr>
                <w:rFonts w:hint="eastAsia"/>
                <w:b/>
                <w:color w:val="auto"/>
                <w:szCs w:val="21"/>
              </w:rPr>
              <w:t>表2-</w:t>
            </w:r>
            <w:r>
              <w:rPr>
                <w:rFonts w:hint="eastAsia"/>
                <w:b/>
                <w:color w:val="auto"/>
                <w:szCs w:val="21"/>
                <w:lang w:val="en-US" w:eastAsia="zh-CN"/>
              </w:rPr>
              <w:t>6</w:t>
            </w:r>
            <w:r>
              <w:rPr>
                <w:rFonts w:hint="eastAsia"/>
                <w:b/>
                <w:color w:val="auto"/>
                <w:szCs w:val="21"/>
              </w:rPr>
              <w:t xml:space="preserve">  项目生产设备噪声源强一览表</w:t>
            </w:r>
          </w:p>
          <w:tbl>
            <w:tblPr>
              <w:tblStyle w:val="34"/>
              <w:tblW w:w="74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2775"/>
              <w:gridCol w:w="1986"/>
              <w:gridCol w:w="16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64" w:type="dxa"/>
                  <w:tcBorders>
                    <w:top w:val="single" w:color="auto" w:sz="12" w:space="0"/>
                    <w:left w:val="single" w:color="auto" w:sz="12" w:space="0"/>
                    <w:bottom w:val="single" w:color="auto" w:sz="4" w:space="0"/>
                    <w:right w:val="single" w:color="auto" w:sz="4" w:space="0"/>
                  </w:tcBorders>
                  <w:vAlign w:val="center"/>
                </w:tcPr>
                <w:p>
                  <w:pPr>
                    <w:widowControl/>
                    <w:jc w:val="center"/>
                    <w:rPr>
                      <w:b/>
                      <w:color w:val="auto"/>
                      <w:kern w:val="0"/>
                      <w:sz w:val="21"/>
                      <w:szCs w:val="21"/>
                    </w:rPr>
                  </w:pPr>
                  <w:r>
                    <w:rPr>
                      <w:rFonts w:hint="eastAsia"/>
                      <w:b/>
                      <w:color w:val="auto"/>
                      <w:kern w:val="0"/>
                      <w:sz w:val="21"/>
                      <w:szCs w:val="21"/>
                    </w:rPr>
                    <w:t>序号</w:t>
                  </w:r>
                </w:p>
              </w:tc>
              <w:tc>
                <w:tcPr>
                  <w:tcW w:w="2775" w:type="dxa"/>
                  <w:tcBorders>
                    <w:top w:val="single" w:color="auto" w:sz="12" w:space="0"/>
                    <w:left w:val="single" w:color="auto" w:sz="4" w:space="0"/>
                    <w:bottom w:val="single" w:color="auto" w:sz="4" w:space="0"/>
                    <w:right w:val="single" w:color="auto" w:sz="4" w:space="0"/>
                  </w:tcBorders>
                  <w:vAlign w:val="center"/>
                </w:tcPr>
                <w:p>
                  <w:pPr>
                    <w:widowControl/>
                    <w:jc w:val="center"/>
                    <w:rPr>
                      <w:b/>
                      <w:color w:val="auto"/>
                      <w:kern w:val="0"/>
                      <w:sz w:val="21"/>
                      <w:szCs w:val="21"/>
                    </w:rPr>
                  </w:pPr>
                  <w:r>
                    <w:rPr>
                      <w:rFonts w:hint="eastAsia"/>
                      <w:b/>
                      <w:color w:val="auto"/>
                      <w:kern w:val="0"/>
                      <w:sz w:val="21"/>
                      <w:szCs w:val="21"/>
                    </w:rPr>
                    <w:t>名称</w:t>
                  </w:r>
                </w:p>
              </w:tc>
              <w:tc>
                <w:tcPr>
                  <w:tcW w:w="1986" w:type="dxa"/>
                  <w:tcBorders>
                    <w:top w:val="single" w:color="auto" w:sz="12" w:space="0"/>
                    <w:left w:val="single" w:color="auto" w:sz="4" w:space="0"/>
                    <w:bottom w:val="single" w:color="auto" w:sz="4" w:space="0"/>
                    <w:right w:val="single" w:color="auto" w:sz="4" w:space="0"/>
                  </w:tcBorders>
                  <w:vAlign w:val="center"/>
                </w:tcPr>
                <w:p>
                  <w:pPr>
                    <w:widowControl/>
                    <w:jc w:val="center"/>
                    <w:rPr>
                      <w:b/>
                      <w:color w:val="auto"/>
                      <w:kern w:val="0"/>
                      <w:sz w:val="21"/>
                      <w:szCs w:val="21"/>
                    </w:rPr>
                  </w:pPr>
                  <w:r>
                    <w:rPr>
                      <w:rFonts w:hint="eastAsia"/>
                      <w:b/>
                      <w:color w:val="auto"/>
                      <w:kern w:val="0"/>
                      <w:sz w:val="21"/>
                      <w:szCs w:val="21"/>
                    </w:rPr>
                    <w:t>数量（台）</w:t>
                  </w:r>
                </w:p>
              </w:tc>
              <w:tc>
                <w:tcPr>
                  <w:tcW w:w="1633" w:type="dxa"/>
                  <w:tcBorders>
                    <w:top w:val="single" w:color="auto" w:sz="12" w:space="0"/>
                    <w:left w:val="single" w:color="auto" w:sz="4" w:space="0"/>
                    <w:bottom w:val="single" w:color="auto" w:sz="4" w:space="0"/>
                    <w:right w:val="single" w:color="auto" w:sz="4" w:space="0"/>
                  </w:tcBorders>
                  <w:vAlign w:val="center"/>
                </w:tcPr>
                <w:p>
                  <w:pPr>
                    <w:widowControl/>
                    <w:jc w:val="center"/>
                    <w:rPr>
                      <w:b/>
                      <w:color w:val="auto"/>
                      <w:kern w:val="0"/>
                      <w:sz w:val="21"/>
                      <w:szCs w:val="21"/>
                    </w:rPr>
                  </w:pPr>
                  <w:r>
                    <w:rPr>
                      <w:rFonts w:hint="eastAsia"/>
                      <w:b/>
                      <w:color w:val="auto"/>
                      <w:spacing w:val="6"/>
                      <w:sz w:val="21"/>
                      <w:szCs w:val="21"/>
                    </w:rPr>
                    <w:t>噪声级</w:t>
                  </w:r>
                  <w:r>
                    <w:rPr>
                      <w:b/>
                      <w:color w:val="auto"/>
                      <w:spacing w:val="6"/>
                      <w:sz w:val="21"/>
                      <w:szCs w:val="21"/>
                    </w:rPr>
                    <w:t>dB</w:t>
                  </w:r>
                  <w:r>
                    <w:rPr>
                      <w:rFonts w:hint="eastAsia"/>
                      <w:b/>
                      <w:color w:val="auto"/>
                      <w:spacing w:val="6"/>
                      <w:sz w:val="21"/>
                      <w:szCs w:val="21"/>
                    </w:rPr>
                    <w:t>（</w:t>
                  </w:r>
                  <w:r>
                    <w:rPr>
                      <w:b/>
                      <w:color w:val="auto"/>
                      <w:spacing w:val="6"/>
                      <w:sz w:val="21"/>
                      <w:szCs w:val="21"/>
                    </w:rPr>
                    <w:t>A</w:t>
                  </w:r>
                  <w:r>
                    <w:rPr>
                      <w:rFonts w:hint="eastAsia"/>
                      <w:b/>
                      <w:color w:val="auto"/>
                      <w:spacing w:val="6"/>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4" w:type="dxa"/>
                  <w:tcBorders>
                    <w:top w:val="single" w:color="auto" w:sz="4" w:space="0"/>
                    <w:left w:val="single" w:color="auto" w:sz="12" w:space="0"/>
                    <w:bottom w:val="single" w:color="auto" w:sz="4" w:space="0"/>
                    <w:right w:val="single" w:color="auto" w:sz="4" w:space="0"/>
                  </w:tcBorders>
                  <w:vAlign w:val="center"/>
                </w:tcPr>
                <w:p>
                  <w:pPr>
                    <w:widowControl/>
                    <w:jc w:val="center"/>
                    <w:rPr>
                      <w:color w:val="auto"/>
                      <w:kern w:val="0"/>
                      <w:sz w:val="21"/>
                      <w:szCs w:val="21"/>
                    </w:rPr>
                  </w:pPr>
                  <w:r>
                    <w:rPr>
                      <w:rFonts w:hint="eastAsia"/>
                      <w:color w:val="auto"/>
                      <w:kern w:val="0"/>
                      <w:sz w:val="21"/>
                      <w:szCs w:val="21"/>
                    </w:rPr>
                    <w:t>1</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olor w:val="auto"/>
                      <w:sz w:val="21"/>
                      <w:szCs w:val="21"/>
                      <w:lang w:eastAsia="zh-CN"/>
                    </w:rPr>
                  </w:pPr>
                  <w:r>
                    <w:rPr>
                      <w:rFonts w:hint="eastAsia"/>
                      <w:color w:val="auto"/>
                      <w:sz w:val="21"/>
                      <w:szCs w:val="21"/>
                      <w:lang w:eastAsia="zh-CN"/>
                    </w:rPr>
                    <w:t>高速分散机</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1"/>
                      <w:szCs w:val="21"/>
                    </w:rPr>
                  </w:pPr>
                  <w:r>
                    <w:rPr>
                      <w:rFonts w:hint="eastAsia"/>
                      <w:color w:val="auto"/>
                      <w:kern w:val="0"/>
                      <w:sz w:val="21"/>
                      <w:szCs w:val="21"/>
                      <w:lang w:val="en-US" w:eastAsia="zh-CN"/>
                    </w:rPr>
                    <w:t>5</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4" w:type="dxa"/>
                  <w:tcBorders>
                    <w:top w:val="single" w:color="auto" w:sz="4" w:space="0"/>
                    <w:left w:val="single" w:color="auto" w:sz="12" w:space="0"/>
                    <w:bottom w:val="single" w:color="auto" w:sz="4" w:space="0"/>
                    <w:right w:val="single" w:color="auto" w:sz="4" w:space="0"/>
                  </w:tcBorders>
                  <w:vAlign w:val="center"/>
                </w:tcPr>
                <w:p>
                  <w:pPr>
                    <w:widowControl/>
                    <w:jc w:val="center"/>
                    <w:rPr>
                      <w:color w:val="auto"/>
                      <w:kern w:val="0"/>
                      <w:sz w:val="21"/>
                      <w:szCs w:val="21"/>
                    </w:rPr>
                  </w:pPr>
                  <w:r>
                    <w:rPr>
                      <w:rFonts w:hint="eastAsia"/>
                      <w:color w:val="auto"/>
                      <w:kern w:val="0"/>
                      <w:sz w:val="21"/>
                      <w:szCs w:val="21"/>
                    </w:rPr>
                    <w:t>2</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仿宋_GB2312"/>
                      <w:bCs/>
                      <w:color w:val="auto"/>
                      <w:kern w:val="0"/>
                      <w:sz w:val="21"/>
                      <w:szCs w:val="21"/>
                      <w:lang w:eastAsia="zh-CN"/>
                    </w:rPr>
                  </w:pPr>
                  <w:r>
                    <w:rPr>
                      <w:rFonts w:hint="eastAsia" w:ascii="宋体" w:hAnsi="宋体" w:cs="仿宋_GB2312"/>
                      <w:bCs/>
                      <w:color w:val="auto"/>
                      <w:kern w:val="0"/>
                      <w:sz w:val="21"/>
                      <w:szCs w:val="21"/>
                      <w:lang w:eastAsia="zh-CN"/>
                    </w:rPr>
                    <w:t>水泵</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bCs/>
                      <w:color w:val="auto"/>
                      <w:kern w:val="0"/>
                      <w:sz w:val="21"/>
                      <w:szCs w:val="21"/>
                    </w:rPr>
                  </w:pPr>
                  <w:r>
                    <w:rPr>
                      <w:rFonts w:hint="eastAsia"/>
                      <w:bCs/>
                      <w:color w:val="auto"/>
                      <w:kern w:val="0"/>
                      <w:sz w:val="21"/>
                      <w:szCs w:val="21"/>
                      <w:lang w:val="en-US" w:eastAsia="zh-CN"/>
                    </w:rPr>
                    <w:t>9</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rPr>
                  </w:pPr>
                  <w:r>
                    <w:rPr>
                      <w:rFonts w:hint="eastAsia"/>
                      <w:color w:val="auto"/>
                      <w:sz w:val="21"/>
                      <w:szCs w:val="21"/>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4" w:type="dxa"/>
                  <w:tcBorders>
                    <w:top w:val="single" w:color="auto" w:sz="4" w:space="0"/>
                    <w:left w:val="single" w:color="auto" w:sz="12" w:space="0"/>
                    <w:bottom w:val="single" w:color="auto" w:sz="4" w:space="0"/>
                    <w:right w:val="single" w:color="auto" w:sz="4" w:space="0"/>
                  </w:tcBorders>
                  <w:vAlign w:val="center"/>
                </w:tcPr>
                <w:p>
                  <w:pPr>
                    <w:widowControl/>
                    <w:jc w:val="center"/>
                    <w:rPr>
                      <w:color w:val="auto"/>
                      <w:kern w:val="0"/>
                      <w:sz w:val="21"/>
                      <w:szCs w:val="21"/>
                    </w:rPr>
                  </w:pPr>
                  <w:r>
                    <w:rPr>
                      <w:rFonts w:hint="eastAsia"/>
                      <w:color w:val="auto"/>
                      <w:kern w:val="0"/>
                      <w:sz w:val="21"/>
                      <w:szCs w:val="21"/>
                    </w:rPr>
                    <w:t>3</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仿宋_GB2312"/>
                      <w:bCs/>
                      <w:color w:val="auto"/>
                      <w:kern w:val="0"/>
                      <w:sz w:val="21"/>
                      <w:szCs w:val="21"/>
                      <w:lang w:eastAsia="zh-CN"/>
                    </w:rPr>
                  </w:pPr>
                  <w:r>
                    <w:rPr>
                      <w:rFonts w:hint="eastAsia" w:ascii="宋体" w:hAnsi="宋体" w:cs="仿宋_GB2312"/>
                      <w:bCs/>
                      <w:color w:val="auto"/>
                      <w:kern w:val="0"/>
                      <w:sz w:val="21"/>
                      <w:szCs w:val="21"/>
                      <w:lang w:eastAsia="zh-CN"/>
                    </w:rPr>
                    <w:t>空压机</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bCs/>
                      <w:color w:val="auto"/>
                      <w:kern w:val="0"/>
                      <w:sz w:val="21"/>
                      <w:szCs w:val="21"/>
                    </w:rPr>
                  </w:pPr>
                  <w:r>
                    <w:rPr>
                      <w:rFonts w:hint="eastAsia"/>
                      <w:bCs/>
                      <w:color w:val="auto"/>
                      <w:kern w:val="0"/>
                      <w:sz w:val="21"/>
                      <w:szCs w:val="21"/>
                      <w:lang w:val="en-US" w:eastAsia="zh-CN"/>
                    </w:rPr>
                    <w:t>1</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color w:val="auto"/>
                      <w:sz w:val="21"/>
                      <w:szCs w:val="21"/>
                      <w:lang w:val="en-US" w:eastAsia="zh-CN"/>
                    </w:rPr>
                  </w:pPr>
                  <w:r>
                    <w:rPr>
                      <w:rFonts w:hint="eastAsia"/>
                      <w:color w:val="auto"/>
                      <w:sz w:val="21"/>
                      <w:szCs w:val="21"/>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4"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eastAsia="宋体"/>
                      <w:color w:val="auto"/>
                      <w:kern w:val="0"/>
                      <w:sz w:val="21"/>
                      <w:szCs w:val="21"/>
                      <w:lang w:eastAsia="zh-CN"/>
                    </w:rPr>
                  </w:pPr>
                  <w:r>
                    <w:rPr>
                      <w:rFonts w:hint="eastAsia"/>
                      <w:color w:val="auto"/>
                      <w:kern w:val="0"/>
                      <w:sz w:val="21"/>
                      <w:szCs w:val="21"/>
                      <w:lang w:val="en-US" w:eastAsia="zh-CN"/>
                    </w:rPr>
                    <w:t>4</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bCs/>
                      <w:color w:val="auto"/>
                      <w:kern w:val="0"/>
                      <w:sz w:val="21"/>
                      <w:szCs w:val="21"/>
                    </w:rPr>
                  </w:pPr>
                  <w:r>
                    <w:rPr>
                      <w:rFonts w:hint="eastAsia" w:ascii="宋体" w:hAnsi="宋体" w:cs="仿宋_GB2312"/>
                      <w:bCs/>
                      <w:color w:val="auto"/>
                      <w:kern w:val="0"/>
                      <w:sz w:val="21"/>
                      <w:szCs w:val="21"/>
                      <w:lang w:val="en-US" w:eastAsia="zh-CN"/>
                    </w:rPr>
                    <w:t>去离子水设备</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bCs/>
                      <w:color w:val="auto"/>
                      <w:kern w:val="0"/>
                      <w:sz w:val="21"/>
                      <w:szCs w:val="21"/>
                    </w:rPr>
                  </w:pPr>
                  <w:r>
                    <w:rPr>
                      <w:rFonts w:hint="eastAsia"/>
                      <w:bCs/>
                      <w:color w:val="auto"/>
                      <w:kern w:val="0"/>
                      <w:sz w:val="21"/>
                      <w:szCs w:val="21"/>
                      <w:lang w:val="en-US" w:eastAsia="zh-CN"/>
                    </w:rPr>
                    <w:t>1</w:t>
                  </w:r>
                </w:p>
              </w:tc>
              <w:tc>
                <w:tcPr>
                  <w:tcW w:w="1633" w:type="dxa"/>
                  <w:tcBorders>
                    <w:top w:val="single" w:color="auto" w:sz="4" w:space="0"/>
                    <w:left w:val="single" w:color="auto" w:sz="4" w:space="0"/>
                    <w:bottom w:val="single" w:color="auto" w:sz="4" w:space="0"/>
                    <w:right w:val="single" w:color="auto" w:sz="4" w:space="0"/>
                  </w:tcBorders>
                  <w:vAlign w:val="center"/>
                </w:tcPr>
                <w:p>
                  <w:pPr>
                    <w:pStyle w:val="88"/>
                    <w:spacing w:line="240" w:lineRule="auto"/>
                    <w:rPr>
                      <w:rFonts w:hint="default" w:eastAsia="宋体"/>
                      <w:color w:val="auto"/>
                      <w:sz w:val="21"/>
                      <w:lang w:val="en-US" w:eastAsia="zh-CN"/>
                    </w:rPr>
                  </w:pPr>
                  <w:r>
                    <w:rPr>
                      <w:rFonts w:hint="eastAsia"/>
                      <w:color w:val="auto"/>
                      <w:sz w:val="21"/>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4"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eastAsia="宋体"/>
                      <w:color w:val="auto"/>
                      <w:kern w:val="0"/>
                      <w:sz w:val="21"/>
                      <w:szCs w:val="21"/>
                      <w:lang w:val="en-US" w:eastAsia="zh-CN"/>
                    </w:rPr>
                  </w:pPr>
                  <w:r>
                    <w:rPr>
                      <w:rFonts w:hint="eastAsia"/>
                      <w:color w:val="auto"/>
                      <w:kern w:val="0"/>
                      <w:sz w:val="21"/>
                      <w:szCs w:val="21"/>
                      <w:lang w:val="en-US" w:eastAsia="zh-CN"/>
                    </w:rPr>
                    <w:t>5</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仿宋_GB2312"/>
                      <w:bCs/>
                      <w:color w:val="auto"/>
                      <w:kern w:val="0"/>
                      <w:sz w:val="21"/>
                      <w:szCs w:val="21"/>
                      <w:lang w:val="en-US" w:eastAsia="zh-CN"/>
                    </w:rPr>
                  </w:pPr>
                  <w:r>
                    <w:rPr>
                      <w:rFonts w:hint="eastAsia" w:ascii="宋体" w:hAnsi="宋体" w:cs="仿宋_GB2312"/>
                      <w:bCs/>
                      <w:color w:val="auto"/>
                      <w:kern w:val="0"/>
                      <w:sz w:val="21"/>
                      <w:szCs w:val="21"/>
                      <w:lang w:val="en-US" w:eastAsia="zh-CN"/>
                    </w:rPr>
                    <w:t>布袋除尘器风机</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default"/>
                      <w:bCs/>
                      <w:color w:val="auto"/>
                      <w:kern w:val="0"/>
                      <w:sz w:val="21"/>
                      <w:szCs w:val="21"/>
                      <w:lang w:val="en-US" w:eastAsia="zh-CN"/>
                    </w:rPr>
                  </w:pPr>
                  <w:r>
                    <w:rPr>
                      <w:rFonts w:hint="eastAsia"/>
                      <w:bCs/>
                      <w:color w:val="auto"/>
                      <w:kern w:val="0"/>
                      <w:sz w:val="21"/>
                      <w:szCs w:val="21"/>
                      <w:lang w:val="en-US" w:eastAsia="zh-CN"/>
                    </w:rPr>
                    <w:t>1</w:t>
                  </w:r>
                </w:p>
              </w:tc>
              <w:tc>
                <w:tcPr>
                  <w:tcW w:w="1633" w:type="dxa"/>
                  <w:tcBorders>
                    <w:top w:val="single" w:color="auto" w:sz="4" w:space="0"/>
                    <w:left w:val="single" w:color="auto" w:sz="4" w:space="0"/>
                    <w:bottom w:val="single" w:color="auto" w:sz="4" w:space="0"/>
                    <w:right w:val="single" w:color="auto" w:sz="4" w:space="0"/>
                  </w:tcBorders>
                  <w:vAlign w:val="center"/>
                </w:tcPr>
                <w:p>
                  <w:pPr>
                    <w:pStyle w:val="88"/>
                    <w:spacing w:line="240" w:lineRule="auto"/>
                    <w:rPr>
                      <w:rFonts w:hint="default"/>
                      <w:color w:val="auto"/>
                      <w:sz w:val="21"/>
                      <w:lang w:val="en-US" w:eastAsia="zh-CN"/>
                    </w:rPr>
                  </w:pPr>
                  <w:r>
                    <w:rPr>
                      <w:rFonts w:hint="eastAsia"/>
                      <w:color w:val="auto"/>
                      <w:sz w:val="21"/>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4"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eastAsia="宋体"/>
                      <w:color w:val="auto"/>
                      <w:kern w:val="0"/>
                      <w:sz w:val="21"/>
                      <w:szCs w:val="21"/>
                      <w:lang w:val="en-US" w:eastAsia="zh-CN"/>
                    </w:rPr>
                  </w:pPr>
                  <w:r>
                    <w:rPr>
                      <w:rFonts w:hint="eastAsia"/>
                      <w:color w:val="auto"/>
                      <w:kern w:val="0"/>
                      <w:sz w:val="21"/>
                      <w:szCs w:val="21"/>
                      <w:lang w:val="en-US" w:eastAsia="zh-CN"/>
                    </w:rPr>
                    <w:t>6</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仿宋_GB2312"/>
                      <w:bCs/>
                      <w:color w:val="auto"/>
                      <w:kern w:val="0"/>
                      <w:sz w:val="21"/>
                      <w:szCs w:val="21"/>
                      <w:lang w:val="en-US" w:eastAsia="zh-CN"/>
                    </w:rPr>
                  </w:pPr>
                  <w:r>
                    <w:rPr>
                      <w:rFonts w:hint="eastAsia" w:ascii="宋体" w:hAnsi="宋体" w:cs="仿宋_GB2312"/>
                      <w:bCs/>
                      <w:color w:val="auto"/>
                      <w:kern w:val="0"/>
                      <w:sz w:val="21"/>
                      <w:szCs w:val="21"/>
                      <w:lang w:val="en-US" w:eastAsia="zh-CN"/>
                    </w:rPr>
                    <w:t>活性炭吸附装置风机</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hint="default"/>
                      <w:bCs/>
                      <w:color w:val="auto"/>
                      <w:kern w:val="0"/>
                      <w:sz w:val="21"/>
                      <w:szCs w:val="21"/>
                      <w:lang w:val="en-US" w:eastAsia="zh-CN"/>
                    </w:rPr>
                  </w:pPr>
                  <w:r>
                    <w:rPr>
                      <w:rFonts w:hint="eastAsia"/>
                      <w:bCs/>
                      <w:color w:val="auto"/>
                      <w:kern w:val="0"/>
                      <w:sz w:val="21"/>
                      <w:szCs w:val="21"/>
                      <w:lang w:val="en-US" w:eastAsia="zh-CN"/>
                    </w:rPr>
                    <w:t>1</w:t>
                  </w:r>
                </w:p>
              </w:tc>
              <w:tc>
                <w:tcPr>
                  <w:tcW w:w="1633" w:type="dxa"/>
                  <w:tcBorders>
                    <w:top w:val="single" w:color="auto" w:sz="4" w:space="0"/>
                    <w:left w:val="single" w:color="auto" w:sz="4" w:space="0"/>
                    <w:bottom w:val="single" w:color="auto" w:sz="4" w:space="0"/>
                    <w:right w:val="single" w:color="auto" w:sz="4" w:space="0"/>
                  </w:tcBorders>
                  <w:vAlign w:val="center"/>
                </w:tcPr>
                <w:p>
                  <w:pPr>
                    <w:pStyle w:val="88"/>
                    <w:spacing w:line="240" w:lineRule="auto"/>
                    <w:rPr>
                      <w:rFonts w:hint="default"/>
                      <w:color w:val="auto"/>
                      <w:sz w:val="21"/>
                      <w:lang w:val="en-US" w:eastAsia="zh-CN"/>
                    </w:rPr>
                  </w:pPr>
                  <w:r>
                    <w:rPr>
                      <w:rFonts w:hint="eastAsia"/>
                      <w:color w:val="auto"/>
                      <w:sz w:val="21"/>
                      <w:lang w:val="en-US" w:eastAsia="zh-CN"/>
                    </w:rPr>
                    <w:t>90</w:t>
                  </w:r>
                </w:p>
              </w:tc>
            </w:tr>
          </w:tbl>
          <w:p>
            <w:pPr>
              <w:pStyle w:val="31"/>
              <w:spacing w:before="0" w:after="0" w:line="360" w:lineRule="auto"/>
              <w:ind w:right="0" w:firstLine="480" w:firstLineChars="200"/>
              <w:rPr>
                <w:color w:val="auto"/>
                <w:sz w:val="24"/>
                <w:szCs w:val="24"/>
              </w:rPr>
            </w:pPr>
            <w:r>
              <w:rPr>
                <w:rFonts w:hint="eastAsia"/>
                <w:color w:val="auto"/>
                <w:sz w:val="24"/>
                <w:szCs w:val="24"/>
              </w:rPr>
              <w:t>4、固废</w:t>
            </w:r>
          </w:p>
          <w:p>
            <w:pPr>
              <w:pStyle w:val="31"/>
              <w:spacing w:before="0" w:after="0" w:line="360" w:lineRule="auto"/>
              <w:ind w:right="0" w:firstLine="480" w:firstLineChars="200"/>
              <w:rPr>
                <w:bCs/>
                <w:color w:val="auto"/>
                <w:szCs w:val="21"/>
              </w:rPr>
            </w:pPr>
            <w:r>
              <w:rPr>
                <w:rFonts w:hint="eastAsia"/>
                <w:color w:val="auto"/>
                <w:sz w:val="24"/>
                <w:szCs w:val="24"/>
              </w:rPr>
              <w:t>本项目固废包括</w:t>
            </w:r>
            <w:r>
              <w:rPr>
                <w:rFonts w:hint="eastAsia"/>
                <w:color w:val="auto"/>
                <w:sz w:val="24"/>
                <w:szCs w:val="24"/>
                <w:lang w:eastAsia="zh-CN"/>
              </w:rPr>
              <w:t>废包装袋</w:t>
            </w:r>
            <w:r>
              <w:rPr>
                <w:rFonts w:hint="eastAsia"/>
                <w:color w:val="auto"/>
                <w:sz w:val="24"/>
                <w:szCs w:val="24"/>
              </w:rPr>
              <w:t>、</w:t>
            </w:r>
            <w:r>
              <w:rPr>
                <w:rFonts w:hint="eastAsia"/>
                <w:color w:val="auto"/>
                <w:sz w:val="24"/>
                <w:szCs w:val="24"/>
                <w:lang w:val="en-US" w:eastAsia="zh-CN"/>
              </w:rPr>
              <w:t>废包装桶、布袋除尘器粉尘、反渗透膜</w:t>
            </w:r>
            <w:r>
              <w:rPr>
                <w:rFonts w:hint="eastAsia"/>
                <w:color w:val="auto"/>
                <w:sz w:val="24"/>
                <w:szCs w:val="24"/>
                <w:lang w:eastAsia="zh-CN"/>
              </w:rPr>
              <w:t>、</w:t>
            </w:r>
            <w:r>
              <w:rPr>
                <w:rFonts w:hint="eastAsia"/>
                <w:color w:val="auto"/>
                <w:sz w:val="24"/>
                <w:szCs w:val="24"/>
              </w:rPr>
              <w:t>有机废气处理过程中产生的废活性炭以及生活垃圾。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vAlign w:val="center"/>
          </w:tcPr>
          <w:p>
            <w:pPr>
              <w:pStyle w:val="29"/>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bCs/>
                <w:color w:val="auto"/>
                <w:kern w:val="2"/>
                <w:sz w:val="21"/>
                <w:szCs w:val="21"/>
              </w:rPr>
              <w:t>与项目有关的原有环境污染问题</w:t>
            </w:r>
          </w:p>
        </w:tc>
        <w:tc>
          <w:tcPr>
            <w:tcW w:w="8161" w:type="dxa"/>
          </w:tcPr>
          <w:p>
            <w:pPr>
              <w:pStyle w:val="33"/>
              <w:snapToGrid w:val="0"/>
              <w:spacing w:line="360" w:lineRule="auto"/>
              <w:ind w:firstLine="480" w:firstLineChars="200"/>
              <w:rPr>
                <w:color w:val="auto"/>
                <w:szCs w:val="24"/>
              </w:rPr>
            </w:pPr>
            <w:r>
              <w:rPr>
                <w:color w:val="auto"/>
                <w:szCs w:val="24"/>
              </w:rPr>
              <w:t>本项目为新建项目，无原有污染情况及主要环境问题</w:t>
            </w:r>
            <w:r>
              <w:rPr>
                <w:rFonts w:hint="eastAsia"/>
                <w:color w:val="auto"/>
                <w:szCs w:val="24"/>
              </w:rPr>
              <w:t>。</w:t>
            </w:r>
          </w:p>
          <w:p>
            <w:pPr>
              <w:pStyle w:val="33"/>
              <w:snapToGrid w:val="0"/>
              <w:spacing w:line="360" w:lineRule="auto"/>
              <w:ind w:firstLine="480" w:firstLineChars="200"/>
              <w:rPr>
                <w:color w:val="auto"/>
                <w:szCs w:val="24"/>
              </w:rPr>
            </w:pPr>
          </w:p>
          <w:p>
            <w:pPr>
              <w:pStyle w:val="33"/>
              <w:snapToGrid w:val="0"/>
              <w:spacing w:line="360" w:lineRule="auto"/>
              <w:ind w:firstLine="480" w:firstLineChars="200"/>
              <w:rPr>
                <w:color w:val="auto"/>
                <w:szCs w:val="24"/>
              </w:rPr>
            </w:pPr>
          </w:p>
          <w:p>
            <w:pPr>
              <w:pStyle w:val="33"/>
              <w:snapToGrid w:val="0"/>
              <w:spacing w:line="360" w:lineRule="auto"/>
              <w:ind w:firstLine="480" w:firstLineChars="200"/>
              <w:rPr>
                <w:color w:val="auto"/>
                <w:szCs w:val="24"/>
              </w:rPr>
            </w:pPr>
          </w:p>
          <w:p>
            <w:pPr>
              <w:pStyle w:val="33"/>
              <w:snapToGrid w:val="0"/>
              <w:spacing w:line="360" w:lineRule="auto"/>
              <w:ind w:firstLine="480" w:firstLineChars="200"/>
              <w:rPr>
                <w:color w:val="auto"/>
                <w:szCs w:val="24"/>
              </w:rPr>
            </w:pPr>
          </w:p>
          <w:p>
            <w:pPr>
              <w:adjustRightInd w:val="0"/>
              <w:snapToGrid w:val="0"/>
              <w:rPr>
                <w:bCs/>
                <w:color w:val="auto"/>
                <w:szCs w:val="21"/>
              </w:rPr>
            </w:pPr>
          </w:p>
        </w:tc>
      </w:tr>
    </w:tbl>
    <w:p>
      <w:pPr>
        <w:pStyle w:val="29"/>
        <w:jc w:val="center"/>
        <w:rPr>
          <w:rFonts w:ascii="Times New Roman" w:hAnsi="Times New Roman" w:eastAsia="黑体"/>
          <w:snapToGrid w:val="0"/>
          <w:color w:val="auto"/>
          <w:sz w:val="36"/>
          <w:szCs w:val="36"/>
        </w:rPr>
        <w:sectPr>
          <w:pgSz w:w="11906" w:h="16838"/>
          <w:pgMar w:top="1701" w:right="1531" w:bottom="1701" w:left="1531" w:header="851" w:footer="851" w:gutter="0"/>
          <w:pgNumType w:fmt="decimal"/>
          <w:cols w:space="720" w:num="1"/>
          <w:docGrid w:linePitch="312" w:charSpace="0"/>
        </w:sectPr>
      </w:pPr>
    </w:p>
    <w:p>
      <w:pPr>
        <w:pStyle w:val="29"/>
        <w:adjustRightInd w:val="0"/>
        <w:snapToGrid w:val="0"/>
        <w:spacing w:before="0" w:beforeAutospacing="0" w:after="0" w:afterAutospacing="0" w:line="14" w:lineRule="auto"/>
        <w:jc w:val="center"/>
        <w:outlineLvl w:val="0"/>
        <w:rPr>
          <w:rFonts w:ascii="Times New Roman" w:hAnsi="Times New Roman" w:eastAsia="黑体"/>
          <w:snapToGrid w:val="0"/>
          <w:color w:val="auto"/>
          <w:sz w:val="30"/>
          <w:szCs w:val="30"/>
        </w:rPr>
      </w:pPr>
    </w:p>
    <w:p>
      <w:pPr>
        <w:pStyle w:val="3"/>
        <w:rPr>
          <w:color w:val="auto"/>
        </w:rPr>
      </w:pPr>
      <w:bookmarkStart w:id="10" w:name="_Toc71631403"/>
      <w:r>
        <w:rPr>
          <w:color w:val="auto"/>
        </w:rPr>
        <w:t>三、区域环境质量现状、环境保护目标及评价标准</w:t>
      </w:r>
      <w:bookmarkEnd w:id="10"/>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color w:val="auto"/>
                <w:kern w:val="0"/>
                <w:szCs w:val="21"/>
              </w:rPr>
            </w:pPr>
            <w:r>
              <w:rPr>
                <w:color w:val="auto"/>
                <w:kern w:val="0"/>
                <w:szCs w:val="21"/>
              </w:rPr>
              <w:t>区域</w:t>
            </w:r>
          </w:p>
          <w:p>
            <w:pPr>
              <w:adjustRightInd w:val="0"/>
              <w:snapToGrid w:val="0"/>
              <w:jc w:val="center"/>
              <w:rPr>
                <w:color w:val="auto"/>
                <w:kern w:val="0"/>
                <w:szCs w:val="21"/>
              </w:rPr>
            </w:pPr>
            <w:r>
              <w:rPr>
                <w:color w:val="auto"/>
                <w:kern w:val="0"/>
                <w:szCs w:val="21"/>
              </w:rPr>
              <w:t>环境</w:t>
            </w:r>
          </w:p>
          <w:p>
            <w:pPr>
              <w:adjustRightInd w:val="0"/>
              <w:snapToGrid w:val="0"/>
              <w:jc w:val="center"/>
              <w:rPr>
                <w:color w:val="auto"/>
                <w:kern w:val="0"/>
                <w:szCs w:val="21"/>
              </w:rPr>
            </w:pPr>
            <w:r>
              <w:rPr>
                <w:color w:val="auto"/>
                <w:kern w:val="0"/>
                <w:szCs w:val="21"/>
              </w:rPr>
              <w:t>质量</w:t>
            </w:r>
          </w:p>
          <w:p>
            <w:pPr>
              <w:adjustRightInd w:val="0"/>
              <w:snapToGrid w:val="0"/>
              <w:jc w:val="center"/>
              <w:rPr>
                <w:color w:val="auto"/>
                <w:kern w:val="0"/>
                <w:szCs w:val="21"/>
              </w:rPr>
            </w:pPr>
            <w:r>
              <w:rPr>
                <w:color w:val="auto"/>
                <w:kern w:val="0"/>
                <w:szCs w:val="21"/>
              </w:rPr>
              <w:t>现状</w:t>
            </w:r>
          </w:p>
        </w:tc>
        <w:tc>
          <w:tcPr>
            <w:tcW w:w="8190" w:type="dxa"/>
            <w:vAlign w:val="center"/>
          </w:tcPr>
          <w:p>
            <w:pPr>
              <w:pStyle w:val="29"/>
              <w:widowControl w:val="0"/>
              <w:spacing w:before="0" w:beforeAutospacing="0" w:after="0" w:afterAutospacing="0" w:line="360" w:lineRule="auto"/>
              <w:rPr>
                <w:rFonts w:ascii="Times New Roman" w:hAnsi="Times New Roman"/>
                <w:color w:val="auto"/>
              </w:rPr>
            </w:pPr>
            <w:r>
              <w:rPr>
                <w:rFonts w:ascii="Times New Roman" w:hAnsi="Times New Roman"/>
                <w:b/>
                <w:color w:val="auto"/>
                <w:kern w:val="2"/>
              </w:rPr>
              <w:t>1、环境空气质量现状</w:t>
            </w:r>
          </w:p>
          <w:p>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w:t>
            </w:r>
            <w:r>
              <w:rPr>
                <w:color w:val="auto"/>
                <w:sz w:val="24"/>
                <w:szCs w:val="24"/>
                <w:lang w:val="en-US" w:eastAsia="zh-CN"/>
              </w:rPr>
              <w:t>区域空气环境质量现状</w:t>
            </w:r>
          </w:p>
          <w:p>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80"/>
              <w:textAlignment w:val="auto"/>
              <w:rPr>
                <w:rFonts w:hint="default" w:ascii="Times New Roman" w:hAnsi="Times New Roman" w:eastAsia="宋体" w:cs="Times New Roman"/>
                <w:color w:val="auto"/>
                <w:sz w:val="24"/>
                <w:szCs w:val="24"/>
                <w:u w:val="none"/>
                <w:lang w:val="en-US" w:eastAsia="zh-CN"/>
              </w:rPr>
            </w:pPr>
            <w:r>
              <w:rPr>
                <w:rFonts w:hint="eastAsia"/>
                <w:color w:val="auto"/>
                <w:spacing w:val="3"/>
                <w:sz w:val="24"/>
                <w:szCs w:val="24"/>
              </w:rPr>
              <w:t>根据《环境影响评价技术导则</w:t>
            </w:r>
            <w:r>
              <w:rPr>
                <w:rFonts w:hint="default"/>
                <w:color w:val="auto"/>
                <w:spacing w:val="3"/>
                <w:sz w:val="24"/>
                <w:szCs w:val="24"/>
              </w:rPr>
              <w:t xml:space="preserve"> </w:t>
            </w:r>
            <w:r>
              <w:rPr>
                <w:rFonts w:hint="eastAsia"/>
                <w:color w:val="auto"/>
                <w:spacing w:val="3"/>
                <w:sz w:val="24"/>
                <w:szCs w:val="24"/>
              </w:rPr>
              <w:t>大气环境》（</w:t>
            </w:r>
            <w:r>
              <w:rPr>
                <w:rFonts w:hint="default"/>
                <w:color w:val="auto"/>
                <w:spacing w:val="3"/>
                <w:sz w:val="24"/>
                <w:szCs w:val="24"/>
              </w:rPr>
              <w:t>HJ2.2-2018</w:t>
            </w:r>
            <w:r>
              <w:rPr>
                <w:rFonts w:hint="eastAsia"/>
                <w:color w:val="auto"/>
                <w:spacing w:val="3"/>
                <w:sz w:val="24"/>
                <w:szCs w:val="24"/>
              </w:rPr>
              <w:t>）第</w:t>
            </w:r>
            <w:r>
              <w:rPr>
                <w:rFonts w:hint="default"/>
                <w:color w:val="auto"/>
                <w:spacing w:val="3"/>
                <w:sz w:val="24"/>
                <w:szCs w:val="24"/>
              </w:rPr>
              <w:t>6.2.1.1</w:t>
            </w:r>
            <w:r>
              <w:rPr>
                <w:rFonts w:hint="eastAsia"/>
                <w:color w:val="auto"/>
                <w:spacing w:val="3"/>
                <w:sz w:val="24"/>
                <w:szCs w:val="24"/>
              </w:rPr>
              <w:t>条规定：项目所在区域达标判定，优先采用国家或地方生态环境主管部门公开发布的评价基准年环境质量公告或环境质量报告中的数据或结论，并能满足项目评价要求的，可不再进行现状监测。</w:t>
            </w:r>
            <w:r>
              <w:rPr>
                <w:rFonts w:hint="default" w:ascii="Times New Roman" w:hAnsi="Times New Roman" w:eastAsia="宋体" w:cs="Times New Roman"/>
                <w:color w:val="auto"/>
                <w:sz w:val="24"/>
                <w:szCs w:val="24"/>
                <w:u w:val="none"/>
              </w:rPr>
              <w:t>根据《环境影响评价技术导则—大气环境》（HJ2.2-2018）中“6.2.1项目所在区域达标判定，优先采用国家或地方生态环境主管部门公开发布的评价基准年环境质量公告或环境质量报告中数据或结论”，并能满足项目评价要求的，可不再进行现状监测。根据《环境空气质量监测点位布设技术规范（实行）》（HJ664—2013）中对“环境空气质量评价区域点”的定义，其代表范围一般为半径五十千米，因此，本项目大气环境质量现状摘取邵东市的常规监测点202</w:t>
            </w:r>
            <w:r>
              <w:rPr>
                <w:rFonts w:hint="eastAsia" w:ascii="Times New Roman" w:hAnsi="Times New Roman" w:eastAsia="宋体" w:cs="Times New Roman"/>
                <w:color w:val="auto"/>
                <w:sz w:val="24"/>
                <w:szCs w:val="24"/>
                <w:u w:val="none"/>
                <w:lang w:val="en-US" w:eastAsia="zh-CN"/>
              </w:rPr>
              <w:t>1</w:t>
            </w:r>
            <w:r>
              <w:rPr>
                <w:rFonts w:hint="default" w:ascii="Times New Roman" w:hAnsi="Times New Roman" w:eastAsia="宋体" w:cs="Times New Roman"/>
                <w:color w:val="auto"/>
                <w:sz w:val="24"/>
                <w:szCs w:val="24"/>
                <w:u w:val="none"/>
              </w:rPr>
              <w:t>年1月~202</w:t>
            </w:r>
            <w:r>
              <w:rPr>
                <w:rFonts w:hint="eastAsia" w:ascii="Times New Roman" w:hAnsi="Times New Roman" w:eastAsia="宋体" w:cs="Times New Roman"/>
                <w:color w:val="auto"/>
                <w:sz w:val="24"/>
                <w:szCs w:val="24"/>
                <w:u w:val="none"/>
                <w:lang w:val="en-US" w:eastAsia="zh-CN"/>
              </w:rPr>
              <w:t>1</w:t>
            </w:r>
            <w:r>
              <w:rPr>
                <w:rFonts w:hint="default" w:ascii="Times New Roman" w:hAnsi="Times New Roman" w:eastAsia="宋体" w:cs="Times New Roman"/>
                <w:color w:val="auto"/>
                <w:sz w:val="24"/>
                <w:szCs w:val="24"/>
                <w:u w:val="none"/>
              </w:rPr>
              <w:t>年12月的年均浓度统计情况来判断区域是否达标。根据邵东市政府大气常规监测点（地理坐标：经度111°44′07″，纬度27°15′41″）202</w:t>
            </w:r>
            <w:r>
              <w:rPr>
                <w:rFonts w:hint="eastAsia" w:ascii="Times New Roman" w:hAnsi="Times New Roman" w:eastAsia="宋体" w:cs="Times New Roman"/>
                <w:color w:val="auto"/>
                <w:sz w:val="24"/>
                <w:szCs w:val="24"/>
                <w:u w:val="none"/>
                <w:lang w:val="en-US" w:eastAsia="zh-CN"/>
              </w:rPr>
              <w:t>1</w:t>
            </w:r>
            <w:r>
              <w:rPr>
                <w:rFonts w:hint="default" w:ascii="Times New Roman" w:hAnsi="Times New Roman" w:eastAsia="宋体" w:cs="Times New Roman"/>
                <w:color w:val="auto"/>
                <w:sz w:val="24"/>
                <w:szCs w:val="24"/>
                <w:u w:val="none"/>
              </w:rPr>
              <w:t>年1-12月的监测数据统计，项目区域空气质量现状达标判定结果详见表3-1。</w:t>
            </w:r>
          </w:p>
          <w:p>
            <w:pPr>
              <w:keepNext w:val="0"/>
              <w:keepLines w:val="0"/>
              <w:suppressLineNumbers w:val="0"/>
              <w:spacing w:before="0" w:beforeAutospacing="0" w:after="0" w:afterAutospacing="0" w:line="360" w:lineRule="auto"/>
              <w:ind w:left="0" w:right="0" w:firstLine="420"/>
              <w:jc w:val="center"/>
              <w:rPr>
                <w:rStyle w:val="95"/>
                <w:rFonts w:hint="default" w:ascii="Times New Roman" w:hAnsi="Times New Roman" w:eastAsia="宋体" w:cs="Times New Roman"/>
                <w:b/>
                <w:bCs/>
                <w:color w:val="auto"/>
                <w:sz w:val="21"/>
                <w:szCs w:val="21"/>
                <w:lang w:val="en-US" w:eastAsia="zh-CN"/>
              </w:rPr>
            </w:pPr>
            <w:r>
              <w:rPr>
                <w:rStyle w:val="95"/>
                <w:rFonts w:hint="default" w:ascii="Times New Roman" w:hAnsi="Times New Roman" w:eastAsia="宋体" w:cs="Times New Roman"/>
                <w:b/>
                <w:bCs/>
                <w:color w:val="auto"/>
                <w:sz w:val="21"/>
                <w:szCs w:val="21"/>
                <w:lang w:eastAsia="zh-CN"/>
              </w:rPr>
              <w:t>表</w:t>
            </w:r>
            <w:r>
              <w:rPr>
                <w:rStyle w:val="95"/>
                <w:rFonts w:hint="default" w:ascii="Times New Roman" w:hAnsi="Times New Roman" w:eastAsia="宋体" w:cs="Times New Roman"/>
                <w:b/>
                <w:bCs/>
                <w:color w:val="auto"/>
                <w:sz w:val="21"/>
                <w:szCs w:val="21"/>
                <w:lang w:val="en-US" w:eastAsia="zh-CN"/>
              </w:rPr>
              <w:t>3-1       区域空气质量现状评价表</w:t>
            </w:r>
          </w:p>
          <w:tbl>
            <w:tblPr>
              <w:tblStyle w:val="34"/>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177"/>
              <w:gridCol w:w="1225"/>
              <w:gridCol w:w="1225"/>
              <w:gridCol w:w="1171"/>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8" w:type="dxa"/>
                  <w:vMerge w:val="restart"/>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污染物</w:t>
                  </w:r>
                </w:p>
              </w:tc>
              <w:tc>
                <w:tcPr>
                  <w:tcW w:w="2177" w:type="dxa"/>
                  <w:vMerge w:val="restart"/>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年评价指标</w:t>
                  </w:r>
                </w:p>
              </w:tc>
              <w:tc>
                <w:tcPr>
                  <w:tcW w:w="1225" w:type="dxa"/>
                  <w:vMerge w:val="restart"/>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现状浓度/（ug/m</w:t>
                  </w:r>
                  <w:r>
                    <w:rPr>
                      <w:rFonts w:hint="default" w:ascii="Times New Roman" w:hAnsi="Times New Roman" w:eastAsia="宋体" w:cs="Times New Roman"/>
                      <w:color w:val="auto"/>
                      <w:sz w:val="21"/>
                      <w:szCs w:val="21"/>
                      <w:vertAlign w:val="subscript"/>
                      <w:lang w:eastAsia="zh-CN"/>
                    </w:rPr>
                    <w:t>3</w:t>
                  </w:r>
                  <w:r>
                    <w:rPr>
                      <w:rFonts w:hint="default" w:ascii="Times New Roman" w:hAnsi="Times New Roman" w:eastAsia="宋体" w:cs="Times New Roman"/>
                      <w:color w:val="auto"/>
                      <w:sz w:val="21"/>
                      <w:szCs w:val="21"/>
                      <w:lang w:eastAsia="zh-CN"/>
                    </w:rPr>
                    <w:t>）</w:t>
                  </w:r>
                </w:p>
              </w:tc>
              <w:tc>
                <w:tcPr>
                  <w:tcW w:w="1225" w:type="dxa"/>
                  <w:vMerge w:val="restart"/>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标准值/（ug/m</w:t>
                  </w:r>
                  <w:r>
                    <w:rPr>
                      <w:rFonts w:hint="default" w:ascii="Times New Roman" w:hAnsi="Times New Roman" w:eastAsia="宋体" w:cs="Times New Roman"/>
                      <w:color w:val="auto"/>
                      <w:sz w:val="21"/>
                      <w:szCs w:val="21"/>
                      <w:vertAlign w:val="subscript"/>
                      <w:lang w:eastAsia="zh-CN"/>
                    </w:rPr>
                    <w:t>3</w:t>
                  </w:r>
                  <w:r>
                    <w:rPr>
                      <w:rFonts w:hint="default" w:ascii="Times New Roman" w:hAnsi="Times New Roman" w:eastAsia="宋体" w:cs="Times New Roman"/>
                      <w:color w:val="auto"/>
                      <w:sz w:val="21"/>
                      <w:szCs w:val="21"/>
                      <w:lang w:eastAsia="zh-CN"/>
                    </w:rPr>
                    <w:t>）</w:t>
                  </w:r>
                </w:p>
              </w:tc>
              <w:tc>
                <w:tcPr>
                  <w:tcW w:w="1171" w:type="dxa"/>
                  <w:vMerge w:val="restart"/>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占标率/%</w:t>
                  </w:r>
                </w:p>
              </w:tc>
              <w:tc>
                <w:tcPr>
                  <w:tcW w:w="1092" w:type="dxa"/>
                  <w:vMerge w:val="restart"/>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88" w:type="dxa"/>
                  <w:vMerge w:val="continue"/>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p>
              </w:tc>
              <w:tc>
                <w:tcPr>
                  <w:tcW w:w="2177" w:type="dxa"/>
                  <w:vMerge w:val="continue"/>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p>
              </w:tc>
              <w:tc>
                <w:tcPr>
                  <w:tcW w:w="1225" w:type="dxa"/>
                  <w:vMerge w:val="continue"/>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p>
              </w:tc>
              <w:tc>
                <w:tcPr>
                  <w:tcW w:w="1225" w:type="dxa"/>
                  <w:vMerge w:val="continue"/>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p>
              </w:tc>
              <w:tc>
                <w:tcPr>
                  <w:tcW w:w="1171" w:type="dxa"/>
                  <w:vMerge w:val="continue"/>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p>
              </w:tc>
              <w:tc>
                <w:tcPr>
                  <w:tcW w:w="1092" w:type="dxa"/>
                  <w:vMerge w:val="continue"/>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8"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177"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年平均质量浓度</w:t>
                  </w:r>
                </w:p>
              </w:tc>
              <w:tc>
                <w:tcPr>
                  <w:tcW w:w="1225" w:type="dxa"/>
                  <w:noWrap w:val="0"/>
                  <w:vAlign w:val="center"/>
                </w:tcPr>
                <w:p>
                  <w:pPr>
                    <w:pStyle w:val="91"/>
                    <w:keepNext w:val="0"/>
                    <w:keepLines w:val="0"/>
                    <w:widowControl w:val="0"/>
                    <w:suppressLineNumbers w:val="0"/>
                    <w:spacing w:before="0" w:beforeAutospacing="0" w:after="0" w:afterAutospacing="0"/>
                    <w:ind w:left="0" w:right="0"/>
                    <w:outlineLvl w:val="0"/>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12</w:t>
                  </w:r>
                </w:p>
              </w:tc>
              <w:tc>
                <w:tcPr>
                  <w:tcW w:w="1225"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171"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1092"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088"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p>
              </w:tc>
              <w:tc>
                <w:tcPr>
                  <w:tcW w:w="2177"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年平均质量浓度</w:t>
                  </w:r>
                </w:p>
              </w:tc>
              <w:tc>
                <w:tcPr>
                  <w:tcW w:w="1225" w:type="dxa"/>
                  <w:noWrap w:val="0"/>
                  <w:vAlign w:val="center"/>
                </w:tcPr>
                <w:p>
                  <w:pPr>
                    <w:pStyle w:val="91"/>
                    <w:keepNext w:val="0"/>
                    <w:keepLines w:val="0"/>
                    <w:widowControl w:val="0"/>
                    <w:suppressLineNumbers w:val="0"/>
                    <w:spacing w:before="0" w:beforeAutospacing="0" w:after="0" w:afterAutospacing="0"/>
                    <w:ind w:left="0" w:right="0"/>
                    <w:outlineLvl w:val="0"/>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20</w:t>
                  </w:r>
                </w:p>
              </w:tc>
              <w:tc>
                <w:tcPr>
                  <w:tcW w:w="1225"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c>
                <w:tcPr>
                  <w:tcW w:w="1171"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092"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8"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10</w:t>
                  </w:r>
                </w:p>
              </w:tc>
              <w:tc>
                <w:tcPr>
                  <w:tcW w:w="2177"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年平均质量浓度</w:t>
                  </w:r>
                </w:p>
              </w:tc>
              <w:tc>
                <w:tcPr>
                  <w:tcW w:w="1225" w:type="dxa"/>
                  <w:noWrap w:val="0"/>
                  <w:vAlign w:val="center"/>
                </w:tcPr>
                <w:p>
                  <w:pPr>
                    <w:pStyle w:val="91"/>
                    <w:keepNext w:val="0"/>
                    <w:keepLines w:val="0"/>
                    <w:widowControl w:val="0"/>
                    <w:suppressLineNumbers w:val="0"/>
                    <w:spacing w:before="0" w:beforeAutospacing="0" w:after="0" w:afterAutospacing="0"/>
                    <w:ind w:left="0" w:right="0"/>
                    <w:outlineLvl w:val="0"/>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49</w:t>
                  </w:r>
                </w:p>
              </w:tc>
              <w:tc>
                <w:tcPr>
                  <w:tcW w:w="1225"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1171"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c>
                <w:tcPr>
                  <w:tcW w:w="1092"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8"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lang w:eastAsia="zh-CN"/>
                    </w:rPr>
                    <w:t>2.5</w:t>
                  </w:r>
                </w:p>
              </w:tc>
              <w:tc>
                <w:tcPr>
                  <w:tcW w:w="2177"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年平均质量浓度</w:t>
                  </w:r>
                </w:p>
              </w:tc>
              <w:tc>
                <w:tcPr>
                  <w:tcW w:w="1225" w:type="dxa"/>
                  <w:noWrap w:val="0"/>
                  <w:vAlign w:val="center"/>
                </w:tcPr>
                <w:p>
                  <w:pPr>
                    <w:pStyle w:val="91"/>
                    <w:keepNext w:val="0"/>
                    <w:keepLines w:val="0"/>
                    <w:widowControl w:val="0"/>
                    <w:suppressLineNumbers w:val="0"/>
                    <w:spacing w:before="0" w:beforeAutospacing="0" w:after="0" w:afterAutospacing="0"/>
                    <w:ind w:left="0" w:right="0"/>
                    <w:outlineLvl w:val="0"/>
                    <w:rPr>
                      <w:rFonts w:hint="default" w:ascii="Times New Roman" w:hAnsi="Times New Roman" w:eastAsia="宋体" w:cs="Times New Roman"/>
                      <w:b w:val="0"/>
                      <w:bCs/>
                      <w:color w:val="auto"/>
                      <w:sz w:val="21"/>
                      <w:szCs w:val="21"/>
                      <w:u w:val="none"/>
                      <w:lang w:val="en-US" w:eastAsia="zh-CN"/>
                    </w:rPr>
                  </w:pPr>
                  <w:r>
                    <w:rPr>
                      <w:rFonts w:hint="eastAsia" w:ascii="Times New Roman" w:hAnsi="Times New Roman" w:cs="Times New Roman"/>
                      <w:b w:val="0"/>
                      <w:bCs/>
                      <w:color w:val="auto"/>
                      <w:sz w:val="21"/>
                      <w:szCs w:val="21"/>
                      <w:u w:val="none"/>
                      <w:lang w:val="en-US" w:eastAsia="zh-CN"/>
                    </w:rPr>
                    <w:t>34.0</w:t>
                  </w:r>
                </w:p>
              </w:tc>
              <w:tc>
                <w:tcPr>
                  <w:tcW w:w="1225"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35</w:t>
                  </w:r>
                </w:p>
              </w:tc>
              <w:tc>
                <w:tcPr>
                  <w:tcW w:w="1171"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97.1</w:t>
                  </w:r>
                </w:p>
              </w:tc>
              <w:tc>
                <w:tcPr>
                  <w:tcW w:w="1092"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8"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CO</w:t>
                  </w:r>
                </w:p>
              </w:tc>
              <w:tc>
                <w:tcPr>
                  <w:tcW w:w="2177"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第95百分位数24h平均质量浓度</w:t>
                  </w:r>
                </w:p>
              </w:tc>
              <w:tc>
                <w:tcPr>
                  <w:tcW w:w="1225" w:type="dxa"/>
                  <w:noWrap w:val="0"/>
                  <w:vAlign w:val="center"/>
                </w:tcPr>
                <w:p>
                  <w:pPr>
                    <w:pStyle w:val="91"/>
                    <w:keepNext w:val="0"/>
                    <w:keepLines w:val="0"/>
                    <w:widowControl w:val="0"/>
                    <w:suppressLineNumbers w:val="0"/>
                    <w:spacing w:before="0" w:beforeAutospacing="0" w:after="0" w:afterAutospacing="0"/>
                    <w:ind w:left="0" w:right="0"/>
                    <w:outlineLvl w:val="0"/>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1.1</w:t>
                  </w:r>
                </w:p>
              </w:tc>
              <w:tc>
                <w:tcPr>
                  <w:tcW w:w="1225"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171"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27.5</w:t>
                  </w:r>
                </w:p>
              </w:tc>
              <w:tc>
                <w:tcPr>
                  <w:tcW w:w="1092"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088"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O</w:t>
                  </w:r>
                  <w:r>
                    <w:rPr>
                      <w:rFonts w:hint="default" w:ascii="Times New Roman" w:hAnsi="Times New Roman" w:eastAsia="宋体" w:cs="Times New Roman"/>
                      <w:color w:val="auto"/>
                      <w:sz w:val="21"/>
                      <w:szCs w:val="21"/>
                      <w:vertAlign w:val="subscript"/>
                      <w:lang w:eastAsia="zh-CN"/>
                    </w:rPr>
                    <w:t>3</w:t>
                  </w:r>
                </w:p>
              </w:tc>
              <w:tc>
                <w:tcPr>
                  <w:tcW w:w="2177"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第90百分位数最大8h平均质量浓度</w:t>
                  </w:r>
                </w:p>
              </w:tc>
              <w:tc>
                <w:tcPr>
                  <w:tcW w:w="1225" w:type="dxa"/>
                  <w:noWrap w:val="0"/>
                  <w:vAlign w:val="center"/>
                </w:tcPr>
                <w:p>
                  <w:pPr>
                    <w:pStyle w:val="91"/>
                    <w:keepNext w:val="0"/>
                    <w:keepLines w:val="0"/>
                    <w:widowControl w:val="0"/>
                    <w:suppressLineNumbers w:val="0"/>
                    <w:spacing w:before="0" w:beforeAutospacing="0" w:after="0" w:afterAutospacing="0"/>
                    <w:ind w:left="0" w:right="0"/>
                    <w:outlineLvl w:val="0"/>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116</w:t>
                  </w:r>
                </w:p>
              </w:tc>
              <w:tc>
                <w:tcPr>
                  <w:tcW w:w="1225"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160</w:t>
                  </w:r>
                </w:p>
              </w:tc>
              <w:tc>
                <w:tcPr>
                  <w:tcW w:w="1171"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72.5</w:t>
                  </w:r>
                </w:p>
              </w:tc>
              <w:tc>
                <w:tcPr>
                  <w:tcW w:w="1092" w:type="dxa"/>
                  <w:noWrap w:val="0"/>
                  <w:vAlign w:val="center"/>
                </w:tcPr>
                <w:p>
                  <w:pPr>
                    <w:pStyle w:val="9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达标</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根据统计数据结果可知，邵东市</w:t>
            </w:r>
            <w:r>
              <w:rPr>
                <w:rFonts w:hint="default" w:ascii="Times New Roman" w:hAnsi="Times New Roman" w:eastAsia="宋体" w:cs="Times New Roman"/>
                <w:color w:val="auto"/>
                <w:sz w:val="24"/>
                <w:szCs w:val="24"/>
                <w:u w:val="none"/>
                <w:lang w:val="en-US" w:eastAsia="zh-CN"/>
              </w:rPr>
              <w:t>202</w:t>
            </w:r>
            <w:r>
              <w:rPr>
                <w:rFonts w:hint="eastAsia" w:ascii="Times New Roman" w:hAnsi="Times New Roman" w:eastAsia="宋体" w:cs="Times New Roman"/>
                <w:color w:val="auto"/>
                <w:sz w:val="24"/>
                <w:szCs w:val="24"/>
                <w:u w:val="none"/>
                <w:lang w:val="en-US" w:eastAsia="zh-CN"/>
              </w:rPr>
              <w:t>1</w:t>
            </w:r>
            <w:r>
              <w:rPr>
                <w:rFonts w:hint="default" w:ascii="Times New Roman" w:hAnsi="Times New Roman" w:eastAsia="宋体" w:cs="Times New Roman"/>
                <w:color w:val="auto"/>
                <w:sz w:val="24"/>
                <w:szCs w:val="24"/>
                <w:u w:val="none"/>
              </w:rPr>
              <w:t>年全年二氧化硫、二氧化氮</w:t>
            </w:r>
            <w:r>
              <w:rPr>
                <w:rFonts w:hint="eastAsia" w:ascii="Times New Roman" w:hAnsi="Times New Roman" w:eastAsia="宋体" w:cs="Times New Roman"/>
                <w:color w:val="auto"/>
                <w:sz w:val="24"/>
                <w:szCs w:val="24"/>
                <w:u w:val="none"/>
                <w:lang w:eastAsia="zh-CN"/>
              </w:rPr>
              <w:t>、</w:t>
            </w:r>
            <w:r>
              <w:rPr>
                <w:rFonts w:hint="default" w:ascii="Times New Roman" w:hAnsi="Times New Roman" w:eastAsia="宋体" w:cs="Times New Roman"/>
                <w:color w:val="auto"/>
                <w:sz w:val="24"/>
                <w:szCs w:val="24"/>
                <w:u w:val="none"/>
              </w:rPr>
              <w:t>PM</w:t>
            </w:r>
            <w:r>
              <w:rPr>
                <w:rFonts w:hint="default" w:ascii="Times New Roman" w:hAnsi="Times New Roman" w:eastAsia="宋体" w:cs="Times New Roman"/>
                <w:color w:val="auto"/>
                <w:sz w:val="24"/>
                <w:szCs w:val="24"/>
                <w:u w:val="none"/>
                <w:vertAlign w:val="subscript"/>
              </w:rPr>
              <w:t>2.5</w:t>
            </w:r>
            <w:r>
              <w:rPr>
                <w:rFonts w:hint="default" w:ascii="Times New Roman" w:hAnsi="Times New Roman" w:eastAsia="宋体" w:cs="Times New Roman"/>
                <w:color w:val="auto"/>
                <w:sz w:val="24"/>
                <w:szCs w:val="24"/>
                <w:u w:val="none"/>
              </w:rPr>
              <w:t>和PM</w:t>
            </w:r>
            <w:r>
              <w:rPr>
                <w:rFonts w:hint="default" w:ascii="Times New Roman" w:hAnsi="Times New Roman" w:eastAsia="宋体" w:cs="Times New Roman"/>
                <w:color w:val="auto"/>
                <w:sz w:val="24"/>
                <w:szCs w:val="24"/>
                <w:u w:val="none"/>
                <w:vertAlign w:val="subscript"/>
              </w:rPr>
              <w:t>10</w:t>
            </w:r>
            <w:r>
              <w:rPr>
                <w:rFonts w:hint="default" w:ascii="Times New Roman" w:hAnsi="Times New Roman" w:eastAsia="宋体" w:cs="Times New Roman"/>
                <w:color w:val="auto"/>
                <w:sz w:val="24"/>
                <w:szCs w:val="24"/>
                <w:u w:val="none"/>
              </w:rPr>
              <w:t>达到《环境空气质量标准》（GB3095-2012）二级标准年平均浓度限值，一氧化碳达到《环境空气质量标准》（GB3095-2012）二级标准日平均浓度限值，臭氧达到《环境空气质量标准》（GB3095-2012）二级标准</w:t>
            </w:r>
            <w:r>
              <w:rPr>
                <w:rFonts w:hint="default" w:ascii="Times New Roman" w:hAnsi="Times New Roman" w:eastAsia="宋体" w:cs="Times New Roman"/>
                <w:color w:val="auto"/>
                <w:sz w:val="24"/>
                <w:szCs w:val="24"/>
                <w:u w:val="none"/>
                <w:lang w:val="en-US" w:eastAsia="zh-CN"/>
              </w:rPr>
              <w:t>8小时平均浓度</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lang w:eastAsia="zh-CN"/>
              </w:rPr>
              <w:t>因此</w:t>
            </w:r>
            <w:r>
              <w:rPr>
                <w:rFonts w:hint="default" w:ascii="Times New Roman" w:hAnsi="Times New Roman" w:eastAsia="宋体" w:cs="Times New Roman"/>
                <w:color w:val="auto"/>
                <w:sz w:val="24"/>
                <w:szCs w:val="24"/>
              </w:rPr>
              <w:t>判定本项目所在区域为达标区</w:t>
            </w:r>
            <w:r>
              <w:rPr>
                <w:rFonts w:hint="default" w:ascii="Times New Roman" w:hAnsi="Times New Roman" w:eastAsia="宋体" w:cs="Times New Roman"/>
                <w:color w:val="auto"/>
                <w:sz w:val="24"/>
                <w:szCs w:val="24"/>
                <w:u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auto"/>
                <w:sz w:val="24"/>
                <w:szCs w:val="24"/>
                <w:lang w:val="en-US"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w:t>
            </w:r>
            <w:r>
              <w:rPr>
                <w:color w:val="auto"/>
                <w:sz w:val="24"/>
                <w:szCs w:val="24"/>
                <w:lang w:val="en-US" w:eastAsia="zh-CN"/>
              </w:rPr>
              <w:t>特征因子现状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Cs/>
                <w:color w:val="auto"/>
                <w:sz w:val="24"/>
                <w:szCs w:val="24"/>
                <w:u w:val="none"/>
              </w:rPr>
            </w:pPr>
            <w:r>
              <w:rPr>
                <w:rFonts w:hint="default" w:ascii="Times New Roman" w:hAnsi="Times New Roman" w:eastAsia="宋体" w:cs="Times New Roman"/>
                <w:bCs/>
                <w:color w:val="auto"/>
                <w:sz w:val="24"/>
                <w:szCs w:val="24"/>
                <w:u w:val="none"/>
              </w:rPr>
              <w:t>本项目位于</w:t>
            </w:r>
            <w:r>
              <w:rPr>
                <w:rFonts w:hint="eastAsia" w:cs="Times New Roman"/>
                <w:color w:val="auto"/>
                <w:sz w:val="24"/>
                <w:szCs w:val="24"/>
                <w:u w:val="none"/>
                <w:lang w:eastAsia="zh-CN"/>
              </w:rPr>
              <w:t>湖南省邵阳市邵东市黑田铺镇团结村金华湘印刷产业园内</w:t>
            </w:r>
            <w:r>
              <w:rPr>
                <w:rFonts w:hint="default" w:ascii="Times New Roman" w:hAnsi="Times New Roman" w:eastAsia="宋体" w:cs="Times New Roman"/>
                <w:bCs/>
                <w:color w:val="auto"/>
                <w:sz w:val="24"/>
                <w:szCs w:val="24"/>
                <w:u w:val="none"/>
              </w:rPr>
              <w:t>，为了解项目所在区域周边环境情况，本次环评引用邵东县廉桥镇万友塑制品厂《一次性塑料杯、一次性纸杯生产线建设项目环境影响报告表》2021年5月15日至2021年5月17日历史大气环境质量现状监测数据，邵东县廉桥镇万友塑制品厂</w:t>
            </w:r>
            <w:r>
              <w:rPr>
                <w:rFonts w:hint="eastAsia" w:ascii="Times New Roman" w:hAnsi="Times New Roman" w:eastAsia="宋体" w:cs="Times New Roman"/>
                <w:bCs/>
                <w:color w:val="auto"/>
                <w:sz w:val="24"/>
                <w:szCs w:val="24"/>
                <w:u w:val="none"/>
                <w:lang w:val="en-US" w:eastAsia="zh-CN"/>
              </w:rPr>
              <w:t>位于本项目东侧</w:t>
            </w:r>
            <w:r>
              <w:rPr>
                <w:rFonts w:hint="default" w:ascii="Times New Roman" w:hAnsi="Times New Roman" w:eastAsia="宋体" w:cs="Times New Roman"/>
                <w:bCs/>
                <w:color w:val="auto"/>
                <w:sz w:val="24"/>
                <w:szCs w:val="24"/>
                <w:u w:val="none"/>
              </w:rPr>
              <w:t>，与本项目的</w:t>
            </w:r>
            <w:r>
              <w:rPr>
                <w:rFonts w:hint="eastAsia" w:ascii="Times New Roman" w:hAnsi="Times New Roman" w:eastAsia="宋体" w:cs="Times New Roman"/>
                <w:bCs/>
                <w:color w:val="auto"/>
                <w:sz w:val="24"/>
                <w:szCs w:val="24"/>
                <w:u w:val="none"/>
                <w:lang w:val="en-US" w:eastAsia="zh-CN"/>
              </w:rPr>
              <w:t>相隔一条马路</w:t>
            </w:r>
            <w:r>
              <w:rPr>
                <w:rFonts w:hint="default" w:ascii="Times New Roman" w:hAnsi="Times New Roman" w:eastAsia="宋体" w:cs="Times New Roman"/>
                <w:bCs/>
                <w:color w:val="auto"/>
                <w:sz w:val="24"/>
                <w:szCs w:val="24"/>
                <w:u w:val="none"/>
              </w:rPr>
              <w:t>，邵东县廉桥镇万友塑制品厂</w:t>
            </w:r>
            <w:r>
              <w:rPr>
                <w:rFonts w:hint="eastAsia" w:ascii="Times New Roman" w:hAnsi="Times New Roman" w:eastAsia="宋体" w:cs="Times New Roman"/>
                <w:bCs/>
                <w:color w:val="auto"/>
                <w:sz w:val="24"/>
                <w:szCs w:val="24"/>
                <w:u w:val="none"/>
                <w:lang w:val="en-US" w:eastAsia="zh-CN"/>
              </w:rPr>
              <w:t>目前尚未开工建设，</w:t>
            </w:r>
            <w:r>
              <w:rPr>
                <w:rFonts w:hint="eastAsia" w:ascii="Times New Roman" w:hAnsi="Times New Roman" w:eastAsia="宋体" w:cs="Times New Roman"/>
                <w:bCs/>
                <w:color w:val="auto"/>
                <w:sz w:val="24"/>
                <w:szCs w:val="24"/>
                <w:u w:val="none"/>
              </w:rPr>
              <w:t>自监测时至今，项目区域自然及社会环境未发生重大变化，</w:t>
            </w:r>
            <w:r>
              <w:rPr>
                <w:rFonts w:hint="default" w:ascii="Times New Roman" w:hAnsi="Times New Roman" w:eastAsia="宋体" w:cs="Times New Roman"/>
                <w:bCs/>
                <w:color w:val="auto"/>
                <w:sz w:val="24"/>
                <w:szCs w:val="24"/>
                <w:u w:val="none"/>
              </w:rPr>
              <w:t>引用数据的时间以及位置均符合导则关于引用环境质量监测数据近三年，属于同一评价范围的规定，引用数据基本能够反映项目区域环境质量情况。</w:t>
            </w:r>
            <w:r>
              <w:rPr>
                <w:rFonts w:hint="eastAsia" w:ascii="Times New Roman" w:hAnsi="Times New Roman" w:eastAsia="宋体" w:cs="Times New Roman"/>
                <w:bCs/>
                <w:color w:val="auto"/>
                <w:sz w:val="24"/>
                <w:szCs w:val="24"/>
                <w:u w:val="none"/>
              </w:rPr>
              <w:t>具体情况如下</w:t>
            </w:r>
            <w:r>
              <w:rPr>
                <w:rFonts w:hint="default" w:ascii="Times New Roman" w:hAnsi="Times New Roman" w:eastAsia="宋体" w:cs="Times New Roman"/>
                <w:bCs/>
                <w:color w:val="auto"/>
                <w:sz w:val="24"/>
                <w:szCs w:val="24"/>
                <w:u w:val="none"/>
              </w:rPr>
              <w:t>：</w:t>
            </w:r>
          </w:p>
          <w:p>
            <w:pPr>
              <w:spacing w:line="360" w:lineRule="auto"/>
              <w:ind w:firstLine="422" w:firstLineChars="200"/>
              <w:jc w:val="center"/>
              <w:rPr>
                <w:color w:val="auto"/>
              </w:rPr>
            </w:pPr>
            <w:r>
              <w:rPr>
                <w:rStyle w:val="37"/>
                <w:snapToGrid w:val="0"/>
                <w:color w:val="auto"/>
                <w:szCs w:val="21"/>
                <w:shd w:val="clear" w:color="auto" w:fill="FFFFFF"/>
              </w:rPr>
              <w:t>表3-</w:t>
            </w:r>
            <w:r>
              <w:rPr>
                <w:rStyle w:val="37"/>
                <w:rFonts w:hint="eastAsia"/>
                <w:snapToGrid w:val="0"/>
                <w:color w:val="auto"/>
                <w:szCs w:val="21"/>
                <w:shd w:val="clear" w:color="auto" w:fill="FFFFFF"/>
              </w:rPr>
              <w:t>2  项目所在地下风向非甲烷总烃</w:t>
            </w:r>
            <w:r>
              <w:rPr>
                <w:rStyle w:val="37"/>
                <w:snapToGrid w:val="0"/>
                <w:color w:val="auto"/>
                <w:szCs w:val="21"/>
                <w:shd w:val="clear" w:color="auto" w:fill="FFFFFF"/>
              </w:rPr>
              <w:t xml:space="preserve">现状           </w:t>
            </w:r>
            <w:r>
              <w:rPr>
                <w:rStyle w:val="37"/>
                <w:rFonts w:hint="eastAsia"/>
                <w:snapToGrid w:val="0"/>
                <w:color w:val="auto"/>
                <w:szCs w:val="21"/>
                <w:shd w:val="clear" w:color="auto" w:fill="FFFFFF"/>
              </w:rPr>
              <w:t>mg</w:t>
            </w:r>
            <w:r>
              <w:rPr>
                <w:rStyle w:val="37"/>
                <w:snapToGrid w:val="0"/>
                <w:color w:val="auto"/>
                <w:szCs w:val="21"/>
                <w:shd w:val="clear" w:color="auto" w:fill="FFFFFF"/>
              </w:rPr>
              <w:t>/</w:t>
            </w:r>
            <w:r>
              <w:rPr>
                <w:rStyle w:val="37"/>
                <w:rFonts w:hint="eastAsia"/>
                <w:snapToGrid w:val="0"/>
                <w:color w:val="auto"/>
                <w:szCs w:val="21"/>
                <w:shd w:val="clear" w:color="auto" w:fill="FFFFFF"/>
              </w:rPr>
              <w:t>m</w:t>
            </w:r>
            <w:r>
              <w:rPr>
                <w:rStyle w:val="37"/>
                <w:snapToGrid w:val="0"/>
                <w:color w:val="auto"/>
                <w:szCs w:val="21"/>
                <w:shd w:val="clear" w:color="auto" w:fill="FFFFFF"/>
                <w:vertAlign w:val="superscript"/>
              </w:rPr>
              <w:t>3</w:t>
            </w:r>
          </w:p>
          <w:tbl>
            <w:tblPr>
              <w:tblStyle w:val="34"/>
              <w:tblW w:w="7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225"/>
              <w:gridCol w:w="989"/>
              <w:gridCol w:w="858"/>
              <w:gridCol w:w="959"/>
              <w:gridCol w:w="96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17" w:type="dxa"/>
                  <w:vMerge w:val="restart"/>
                  <w:vAlign w:val="center"/>
                </w:tcPr>
                <w:p>
                  <w:pPr>
                    <w:spacing w:line="320" w:lineRule="exact"/>
                    <w:jc w:val="center"/>
                    <w:rPr>
                      <w:color w:val="auto"/>
                      <w:szCs w:val="21"/>
                    </w:rPr>
                  </w:pPr>
                  <w:r>
                    <w:rPr>
                      <w:color w:val="auto"/>
                      <w:szCs w:val="21"/>
                    </w:rPr>
                    <w:t>监测点位</w:t>
                  </w:r>
                </w:p>
              </w:tc>
              <w:tc>
                <w:tcPr>
                  <w:tcW w:w="1226" w:type="dxa"/>
                  <w:vMerge w:val="restart"/>
                  <w:vAlign w:val="center"/>
                </w:tcPr>
                <w:p>
                  <w:pPr>
                    <w:spacing w:line="320" w:lineRule="exact"/>
                    <w:jc w:val="center"/>
                    <w:rPr>
                      <w:color w:val="auto"/>
                      <w:szCs w:val="21"/>
                    </w:rPr>
                  </w:pPr>
                  <w:r>
                    <w:rPr>
                      <w:color w:val="auto"/>
                      <w:szCs w:val="21"/>
                    </w:rPr>
                    <w:t>监测日期</w:t>
                  </w:r>
                </w:p>
              </w:tc>
              <w:tc>
                <w:tcPr>
                  <w:tcW w:w="989" w:type="dxa"/>
                </w:tcPr>
                <w:p>
                  <w:pPr>
                    <w:spacing w:line="320" w:lineRule="exact"/>
                    <w:ind w:firstLine="480" w:firstLineChars="200"/>
                    <w:jc w:val="center"/>
                    <w:rPr>
                      <w:color w:val="auto"/>
                      <w:szCs w:val="21"/>
                    </w:rPr>
                  </w:pPr>
                </w:p>
              </w:tc>
              <w:tc>
                <w:tcPr>
                  <w:tcW w:w="2780" w:type="dxa"/>
                  <w:gridSpan w:val="3"/>
                </w:tcPr>
                <w:p>
                  <w:pPr>
                    <w:spacing w:line="320" w:lineRule="exact"/>
                    <w:ind w:firstLine="480" w:firstLineChars="200"/>
                    <w:jc w:val="center"/>
                    <w:rPr>
                      <w:color w:val="auto"/>
                      <w:szCs w:val="21"/>
                    </w:rPr>
                  </w:pPr>
                  <w:r>
                    <w:rPr>
                      <w:color w:val="auto"/>
                      <w:szCs w:val="21"/>
                    </w:rPr>
                    <w:t>监测值</w:t>
                  </w:r>
                </w:p>
              </w:tc>
              <w:tc>
                <w:tcPr>
                  <w:tcW w:w="1916" w:type="dxa"/>
                  <w:vMerge w:val="restart"/>
                  <w:vAlign w:val="center"/>
                </w:tcPr>
                <w:p>
                  <w:pPr>
                    <w:spacing w:line="320" w:lineRule="exact"/>
                    <w:jc w:val="center"/>
                    <w:rPr>
                      <w:color w:val="auto"/>
                      <w:szCs w:val="21"/>
                    </w:rPr>
                  </w:pPr>
                  <w:r>
                    <w:rPr>
                      <w:rFonts w:hint="eastAsia"/>
                      <w:color w:val="auto"/>
                      <w:szCs w:val="21"/>
                    </w:rPr>
                    <w:t>《大气污染物综合排放标准详解》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Merge w:val="continue"/>
                  <w:vAlign w:val="center"/>
                </w:tcPr>
                <w:p>
                  <w:pPr>
                    <w:spacing w:line="320" w:lineRule="exact"/>
                    <w:jc w:val="center"/>
                    <w:rPr>
                      <w:color w:val="auto"/>
                      <w:szCs w:val="21"/>
                    </w:rPr>
                  </w:pPr>
                </w:p>
              </w:tc>
              <w:tc>
                <w:tcPr>
                  <w:tcW w:w="1226" w:type="dxa"/>
                  <w:vMerge w:val="continue"/>
                  <w:vAlign w:val="center"/>
                </w:tcPr>
                <w:p>
                  <w:pPr>
                    <w:spacing w:line="320" w:lineRule="exact"/>
                    <w:jc w:val="center"/>
                    <w:rPr>
                      <w:color w:val="auto"/>
                      <w:szCs w:val="21"/>
                    </w:rPr>
                  </w:pPr>
                </w:p>
              </w:tc>
              <w:tc>
                <w:tcPr>
                  <w:tcW w:w="989" w:type="dxa"/>
                  <w:vAlign w:val="center"/>
                </w:tcPr>
                <w:p>
                  <w:pPr>
                    <w:pStyle w:val="91"/>
                    <w:widowControl w:val="0"/>
                    <w:rPr>
                      <w:rFonts w:cs="Times New Roman"/>
                      <w:b w:val="0"/>
                      <w:bCs/>
                      <w:color w:val="auto"/>
                    </w:rPr>
                  </w:pPr>
                  <w:r>
                    <w:rPr>
                      <w:rFonts w:cs="Times New Roman"/>
                      <w:b w:val="0"/>
                      <w:bCs/>
                      <w:color w:val="auto"/>
                    </w:rPr>
                    <w:t xml:space="preserve"> </w:t>
                  </w:r>
                  <w:r>
                    <w:rPr>
                      <w:rFonts w:hint="eastAsia" w:cs="Times New Roman"/>
                      <w:b w:val="0"/>
                      <w:bCs/>
                      <w:color w:val="auto"/>
                    </w:rPr>
                    <w:t>第一次</w:t>
                  </w:r>
                </w:p>
              </w:tc>
              <w:tc>
                <w:tcPr>
                  <w:tcW w:w="858" w:type="dxa"/>
                  <w:vAlign w:val="center"/>
                </w:tcPr>
                <w:p>
                  <w:pPr>
                    <w:pStyle w:val="91"/>
                    <w:widowControl w:val="0"/>
                    <w:rPr>
                      <w:rFonts w:cs="Times New Roman"/>
                      <w:b w:val="0"/>
                      <w:bCs/>
                      <w:color w:val="auto"/>
                    </w:rPr>
                  </w:pPr>
                  <w:r>
                    <w:rPr>
                      <w:rFonts w:hint="eastAsia" w:cs="Times New Roman"/>
                      <w:b w:val="0"/>
                      <w:bCs/>
                      <w:color w:val="auto"/>
                    </w:rPr>
                    <w:t>第二次</w:t>
                  </w:r>
                </w:p>
              </w:tc>
              <w:tc>
                <w:tcPr>
                  <w:tcW w:w="959" w:type="dxa"/>
                  <w:vAlign w:val="center"/>
                </w:tcPr>
                <w:p>
                  <w:pPr>
                    <w:pStyle w:val="91"/>
                    <w:widowControl w:val="0"/>
                    <w:rPr>
                      <w:rFonts w:cs="Times New Roman"/>
                      <w:b w:val="0"/>
                      <w:bCs/>
                      <w:color w:val="auto"/>
                    </w:rPr>
                  </w:pPr>
                  <w:r>
                    <w:rPr>
                      <w:rFonts w:hint="eastAsia" w:cs="Times New Roman"/>
                      <w:b w:val="0"/>
                      <w:bCs/>
                      <w:color w:val="auto"/>
                    </w:rPr>
                    <w:t>第三次</w:t>
                  </w:r>
                </w:p>
              </w:tc>
              <w:tc>
                <w:tcPr>
                  <w:tcW w:w="960" w:type="dxa"/>
                  <w:vAlign w:val="center"/>
                </w:tcPr>
                <w:p>
                  <w:pPr>
                    <w:pStyle w:val="91"/>
                    <w:widowControl w:val="0"/>
                    <w:rPr>
                      <w:rFonts w:cs="Times New Roman"/>
                      <w:b w:val="0"/>
                      <w:bCs/>
                      <w:color w:val="auto"/>
                    </w:rPr>
                  </w:pPr>
                  <w:r>
                    <w:rPr>
                      <w:rFonts w:hint="eastAsia" w:cs="Times New Roman"/>
                      <w:b w:val="0"/>
                      <w:bCs/>
                      <w:color w:val="auto"/>
                    </w:rPr>
                    <w:t>第四次</w:t>
                  </w:r>
                </w:p>
              </w:tc>
              <w:tc>
                <w:tcPr>
                  <w:tcW w:w="1920" w:type="dxa"/>
                  <w:vMerge w:val="continue"/>
                  <w:vAlign w:val="center"/>
                </w:tcPr>
                <w:p>
                  <w:pPr>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17" w:type="dxa"/>
                  <w:vMerge w:val="restart"/>
                  <w:vAlign w:val="center"/>
                </w:tcPr>
                <w:p>
                  <w:pPr>
                    <w:snapToGrid w:val="0"/>
                    <w:spacing w:line="240" w:lineRule="exact"/>
                    <w:jc w:val="center"/>
                    <w:rPr>
                      <w:color w:val="auto"/>
                      <w:szCs w:val="21"/>
                    </w:rPr>
                  </w:pPr>
                  <w:r>
                    <w:rPr>
                      <w:rFonts w:hint="eastAsia"/>
                      <w:color w:val="auto"/>
                      <w:szCs w:val="21"/>
                    </w:rPr>
                    <w:t>项目所在地</w:t>
                  </w:r>
                </w:p>
                <w:p>
                  <w:pPr>
                    <w:pStyle w:val="91"/>
                    <w:widowControl w:val="0"/>
                    <w:rPr>
                      <w:rFonts w:cs="Times New Roman"/>
                      <w:b w:val="0"/>
                      <w:bCs/>
                      <w:color w:val="auto"/>
                    </w:rPr>
                  </w:pPr>
                  <w:r>
                    <w:rPr>
                      <w:rFonts w:hint="eastAsia" w:cs="Times New Roman"/>
                      <w:b w:val="0"/>
                      <w:bCs/>
                      <w:color w:val="auto"/>
                    </w:rPr>
                    <w:t>下风向</w:t>
                  </w:r>
                </w:p>
              </w:tc>
              <w:tc>
                <w:tcPr>
                  <w:tcW w:w="1226" w:type="dxa"/>
                  <w:vAlign w:val="center"/>
                </w:tcPr>
                <w:p>
                  <w:pPr>
                    <w:pStyle w:val="91"/>
                    <w:widowControl w:val="0"/>
                    <w:rPr>
                      <w:rFonts w:cs="Times New Roman"/>
                      <w:b w:val="0"/>
                      <w:bCs/>
                      <w:color w:val="auto"/>
                    </w:rPr>
                  </w:pPr>
                  <w:r>
                    <w:rPr>
                      <w:rFonts w:cs="Times New Roman"/>
                      <w:b w:val="0"/>
                      <w:bCs/>
                      <w:color w:val="auto"/>
                    </w:rPr>
                    <w:t>2021.</w:t>
                  </w:r>
                  <w:r>
                    <w:rPr>
                      <w:b w:val="0"/>
                      <w:bCs/>
                      <w:color w:val="auto"/>
                    </w:rPr>
                    <w:t>5</w:t>
                  </w:r>
                  <w:r>
                    <w:rPr>
                      <w:rFonts w:cs="Times New Roman"/>
                      <w:b w:val="0"/>
                      <w:bCs/>
                      <w:color w:val="auto"/>
                    </w:rPr>
                    <w:t>.15</w:t>
                  </w:r>
                </w:p>
              </w:tc>
              <w:tc>
                <w:tcPr>
                  <w:tcW w:w="989" w:type="dxa"/>
                  <w:vAlign w:val="center"/>
                </w:tcPr>
                <w:p>
                  <w:pPr>
                    <w:pStyle w:val="91"/>
                    <w:widowControl w:val="0"/>
                    <w:rPr>
                      <w:rFonts w:cs="Times New Roman"/>
                      <w:b w:val="0"/>
                      <w:bCs/>
                      <w:color w:val="auto"/>
                    </w:rPr>
                  </w:pPr>
                  <w:r>
                    <w:rPr>
                      <w:rFonts w:cs="Times New Roman"/>
                      <w:b w:val="0"/>
                      <w:bCs/>
                      <w:color w:val="auto"/>
                    </w:rPr>
                    <w:t>1.16</w:t>
                  </w:r>
                </w:p>
              </w:tc>
              <w:tc>
                <w:tcPr>
                  <w:tcW w:w="858" w:type="dxa"/>
                  <w:vAlign w:val="center"/>
                </w:tcPr>
                <w:p>
                  <w:pPr>
                    <w:adjustRightInd w:val="0"/>
                    <w:snapToGrid w:val="0"/>
                    <w:spacing w:line="320" w:lineRule="exact"/>
                    <w:jc w:val="center"/>
                    <w:rPr>
                      <w:bCs/>
                      <w:color w:val="auto"/>
                      <w:kern w:val="0"/>
                      <w:sz w:val="21"/>
                      <w:szCs w:val="21"/>
                    </w:rPr>
                  </w:pPr>
                  <w:r>
                    <w:rPr>
                      <w:rFonts w:hint="eastAsia"/>
                      <w:bCs/>
                      <w:color w:val="auto"/>
                      <w:kern w:val="0"/>
                      <w:sz w:val="21"/>
                      <w:szCs w:val="21"/>
                    </w:rPr>
                    <w:t>0.</w:t>
                  </w:r>
                  <w:r>
                    <w:rPr>
                      <w:bCs/>
                      <w:color w:val="auto"/>
                      <w:kern w:val="0"/>
                      <w:sz w:val="21"/>
                      <w:szCs w:val="21"/>
                    </w:rPr>
                    <w:t>9</w:t>
                  </w:r>
                  <w:r>
                    <w:rPr>
                      <w:rFonts w:hint="eastAsia"/>
                      <w:bCs/>
                      <w:color w:val="auto"/>
                      <w:kern w:val="0"/>
                      <w:sz w:val="21"/>
                      <w:szCs w:val="21"/>
                    </w:rPr>
                    <w:t>3</w:t>
                  </w:r>
                </w:p>
              </w:tc>
              <w:tc>
                <w:tcPr>
                  <w:tcW w:w="959" w:type="dxa"/>
                  <w:vAlign w:val="center"/>
                </w:tcPr>
                <w:p>
                  <w:pPr>
                    <w:pStyle w:val="91"/>
                    <w:widowControl w:val="0"/>
                    <w:rPr>
                      <w:rFonts w:cs="Times New Roman"/>
                      <w:b w:val="0"/>
                      <w:bCs/>
                      <w:color w:val="auto"/>
                    </w:rPr>
                  </w:pPr>
                  <w:r>
                    <w:rPr>
                      <w:rFonts w:cs="Times New Roman"/>
                      <w:b w:val="0"/>
                      <w:bCs/>
                      <w:color w:val="auto"/>
                    </w:rPr>
                    <w:t>1.0</w:t>
                  </w:r>
                  <w:r>
                    <w:rPr>
                      <w:rFonts w:hint="eastAsia" w:cs="Times New Roman"/>
                      <w:b w:val="0"/>
                      <w:bCs/>
                      <w:color w:val="auto"/>
                    </w:rPr>
                    <w:t>2</w:t>
                  </w:r>
                </w:p>
              </w:tc>
              <w:tc>
                <w:tcPr>
                  <w:tcW w:w="960" w:type="dxa"/>
                  <w:vAlign w:val="center"/>
                </w:tcPr>
                <w:p>
                  <w:pPr>
                    <w:pStyle w:val="91"/>
                    <w:widowControl w:val="0"/>
                    <w:rPr>
                      <w:rFonts w:cs="Times New Roman"/>
                      <w:b w:val="0"/>
                      <w:bCs/>
                      <w:color w:val="auto"/>
                    </w:rPr>
                  </w:pPr>
                  <w:r>
                    <w:rPr>
                      <w:rFonts w:cs="Times New Roman"/>
                      <w:b w:val="0"/>
                      <w:bCs/>
                      <w:color w:val="auto"/>
                    </w:rPr>
                    <w:t>1.24</w:t>
                  </w:r>
                </w:p>
              </w:tc>
              <w:tc>
                <w:tcPr>
                  <w:tcW w:w="1920" w:type="dxa"/>
                  <w:vMerge w:val="restart"/>
                  <w:vAlign w:val="center"/>
                </w:tcPr>
                <w:p>
                  <w:pPr>
                    <w:spacing w:line="320" w:lineRule="exact"/>
                    <w:jc w:val="center"/>
                    <w:rPr>
                      <w:color w:val="auto"/>
                      <w:szCs w:val="21"/>
                    </w:rPr>
                  </w:pPr>
                  <w:r>
                    <w:rPr>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17" w:type="dxa"/>
                  <w:vMerge w:val="continue"/>
                  <w:vAlign w:val="center"/>
                </w:tcPr>
                <w:p>
                  <w:pPr>
                    <w:pStyle w:val="91"/>
                    <w:widowControl w:val="0"/>
                    <w:rPr>
                      <w:rFonts w:cs="Times New Roman"/>
                      <w:color w:val="auto"/>
                    </w:rPr>
                  </w:pPr>
                </w:p>
              </w:tc>
              <w:tc>
                <w:tcPr>
                  <w:tcW w:w="1226" w:type="dxa"/>
                  <w:vAlign w:val="center"/>
                </w:tcPr>
                <w:p>
                  <w:pPr>
                    <w:pStyle w:val="91"/>
                    <w:widowControl w:val="0"/>
                    <w:rPr>
                      <w:rFonts w:cs="Times New Roman"/>
                      <w:b w:val="0"/>
                      <w:bCs/>
                      <w:color w:val="auto"/>
                    </w:rPr>
                  </w:pPr>
                  <w:r>
                    <w:rPr>
                      <w:rFonts w:cs="Times New Roman"/>
                      <w:b w:val="0"/>
                      <w:bCs/>
                      <w:color w:val="auto"/>
                    </w:rPr>
                    <w:t>2021.</w:t>
                  </w:r>
                  <w:r>
                    <w:rPr>
                      <w:b w:val="0"/>
                      <w:bCs/>
                      <w:color w:val="auto"/>
                    </w:rPr>
                    <w:t>5</w:t>
                  </w:r>
                  <w:r>
                    <w:rPr>
                      <w:rFonts w:cs="Times New Roman"/>
                      <w:b w:val="0"/>
                      <w:bCs/>
                      <w:color w:val="auto"/>
                    </w:rPr>
                    <w:t>.16</w:t>
                  </w:r>
                </w:p>
              </w:tc>
              <w:tc>
                <w:tcPr>
                  <w:tcW w:w="989" w:type="dxa"/>
                  <w:vAlign w:val="center"/>
                </w:tcPr>
                <w:p>
                  <w:pPr>
                    <w:pStyle w:val="91"/>
                    <w:widowControl w:val="0"/>
                    <w:rPr>
                      <w:rFonts w:cs="Times New Roman"/>
                      <w:b w:val="0"/>
                      <w:bCs/>
                      <w:color w:val="auto"/>
                    </w:rPr>
                  </w:pPr>
                  <w:r>
                    <w:rPr>
                      <w:rFonts w:hint="eastAsia" w:cs="Times New Roman"/>
                      <w:b w:val="0"/>
                      <w:bCs/>
                      <w:color w:val="auto"/>
                    </w:rPr>
                    <w:t>1.11</w:t>
                  </w:r>
                </w:p>
              </w:tc>
              <w:tc>
                <w:tcPr>
                  <w:tcW w:w="858" w:type="dxa"/>
                  <w:vAlign w:val="center"/>
                </w:tcPr>
                <w:p>
                  <w:pPr>
                    <w:adjustRightInd w:val="0"/>
                    <w:snapToGrid w:val="0"/>
                    <w:spacing w:line="320" w:lineRule="exact"/>
                    <w:jc w:val="center"/>
                    <w:rPr>
                      <w:bCs/>
                      <w:color w:val="auto"/>
                      <w:sz w:val="21"/>
                      <w:szCs w:val="21"/>
                    </w:rPr>
                  </w:pPr>
                  <w:r>
                    <w:rPr>
                      <w:rFonts w:hint="eastAsia"/>
                      <w:bCs/>
                      <w:color w:val="auto"/>
                      <w:sz w:val="21"/>
                      <w:szCs w:val="21"/>
                    </w:rPr>
                    <w:t>0.8</w:t>
                  </w:r>
                  <w:r>
                    <w:rPr>
                      <w:bCs/>
                      <w:color w:val="auto"/>
                      <w:sz w:val="21"/>
                      <w:szCs w:val="21"/>
                    </w:rPr>
                    <w:t>0</w:t>
                  </w:r>
                </w:p>
              </w:tc>
              <w:tc>
                <w:tcPr>
                  <w:tcW w:w="959" w:type="dxa"/>
                  <w:vAlign w:val="center"/>
                </w:tcPr>
                <w:p>
                  <w:pPr>
                    <w:pStyle w:val="91"/>
                    <w:widowControl w:val="0"/>
                    <w:rPr>
                      <w:rFonts w:cs="Times New Roman"/>
                      <w:b w:val="0"/>
                      <w:bCs/>
                      <w:color w:val="auto"/>
                    </w:rPr>
                  </w:pPr>
                  <w:r>
                    <w:rPr>
                      <w:rFonts w:hint="eastAsia" w:cs="Times New Roman"/>
                      <w:b w:val="0"/>
                      <w:bCs/>
                      <w:color w:val="auto"/>
                    </w:rPr>
                    <w:t>0.97</w:t>
                  </w:r>
                </w:p>
              </w:tc>
              <w:tc>
                <w:tcPr>
                  <w:tcW w:w="960" w:type="dxa"/>
                  <w:vAlign w:val="center"/>
                </w:tcPr>
                <w:p>
                  <w:pPr>
                    <w:pStyle w:val="91"/>
                    <w:widowControl w:val="0"/>
                    <w:rPr>
                      <w:rFonts w:cs="Times New Roman"/>
                      <w:b w:val="0"/>
                      <w:bCs/>
                      <w:color w:val="auto"/>
                    </w:rPr>
                  </w:pPr>
                  <w:r>
                    <w:rPr>
                      <w:rFonts w:cs="Times New Roman"/>
                      <w:b w:val="0"/>
                      <w:bCs/>
                      <w:color w:val="auto"/>
                    </w:rPr>
                    <w:t>1.03</w:t>
                  </w:r>
                </w:p>
              </w:tc>
              <w:tc>
                <w:tcPr>
                  <w:tcW w:w="1920" w:type="dxa"/>
                  <w:vMerge w:val="continue"/>
                  <w:vAlign w:val="center"/>
                </w:tcPr>
                <w:p>
                  <w:pPr>
                    <w:spacing w:line="320" w:lineRule="exact"/>
                    <w:ind w:firstLine="360" w:firstLineChars="15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17" w:type="dxa"/>
                  <w:vMerge w:val="continue"/>
                  <w:vAlign w:val="center"/>
                </w:tcPr>
                <w:p>
                  <w:pPr>
                    <w:pStyle w:val="91"/>
                    <w:widowControl w:val="0"/>
                    <w:rPr>
                      <w:rFonts w:cs="Times New Roman"/>
                      <w:color w:val="auto"/>
                    </w:rPr>
                  </w:pPr>
                </w:p>
              </w:tc>
              <w:tc>
                <w:tcPr>
                  <w:tcW w:w="1226" w:type="dxa"/>
                  <w:vAlign w:val="center"/>
                </w:tcPr>
                <w:p>
                  <w:pPr>
                    <w:pStyle w:val="91"/>
                    <w:widowControl w:val="0"/>
                    <w:rPr>
                      <w:rFonts w:cs="Times New Roman"/>
                      <w:b w:val="0"/>
                      <w:bCs/>
                      <w:color w:val="auto"/>
                    </w:rPr>
                  </w:pPr>
                  <w:r>
                    <w:rPr>
                      <w:rFonts w:cs="Times New Roman"/>
                      <w:b w:val="0"/>
                      <w:bCs/>
                      <w:color w:val="auto"/>
                    </w:rPr>
                    <w:t>2021.</w:t>
                  </w:r>
                  <w:r>
                    <w:rPr>
                      <w:b w:val="0"/>
                      <w:bCs/>
                      <w:color w:val="auto"/>
                    </w:rPr>
                    <w:t>5</w:t>
                  </w:r>
                  <w:r>
                    <w:rPr>
                      <w:rFonts w:cs="Times New Roman"/>
                      <w:b w:val="0"/>
                      <w:bCs/>
                      <w:color w:val="auto"/>
                    </w:rPr>
                    <w:t>.1</w:t>
                  </w:r>
                  <w:r>
                    <w:rPr>
                      <w:b w:val="0"/>
                      <w:bCs/>
                      <w:color w:val="auto"/>
                    </w:rPr>
                    <w:t>7</w:t>
                  </w:r>
                </w:p>
              </w:tc>
              <w:tc>
                <w:tcPr>
                  <w:tcW w:w="989" w:type="dxa"/>
                  <w:vAlign w:val="center"/>
                </w:tcPr>
                <w:p>
                  <w:pPr>
                    <w:pStyle w:val="91"/>
                    <w:widowControl w:val="0"/>
                    <w:rPr>
                      <w:rFonts w:cs="Times New Roman"/>
                      <w:b w:val="0"/>
                      <w:bCs/>
                      <w:color w:val="auto"/>
                    </w:rPr>
                  </w:pPr>
                  <w:r>
                    <w:rPr>
                      <w:rFonts w:hint="eastAsia" w:cs="Times New Roman"/>
                      <w:b w:val="0"/>
                      <w:bCs/>
                      <w:color w:val="auto"/>
                    </w:rPr>
                    <w:t>0.99</w:t>
                  </w:r>
                </w:p>
              </w:tc>
              <w:tc>
                <w:tcPr>
                  <w:tcW w:w="858" w:type="dxa"/>
                  <w:vAlign w:val="center"/>
                </w:tcPr>
                <w:p>
                  <w:pPr>
                    <w:adjustRightInd w:val="0"/>
                    <w:snapToGrid w:val="0"/>
                    <w:spacing w:line="320" w:lineRule="exact"/>
                    <w:jc w:val="center"/>
                    <w:rPr>
                      <w:bCs/>
                      <w:color w:val="auto"/>
                      <w:sz w:val="21"/>
                      <w:szCs w:val="21"/>
                    </w:rPr>
                  </w:pPr>
                  <w:r>
                    <w:rPr>
                      <w:bCs/>
                      <w:color w:val="auto"/>
                      <w:sz w:val="21"/>
                      <w:szCs w:val="21"/>
                    </w:rPr>
                    <w:t>0.9</w:t>
                  </w:r>
                  <w:r>
                    <w:rPr>
                      <w:rFonts w:hint="eastAsia"/>
                      <w:bCs/>
                      <w:color w:val="auto"/>
                      <w:sz w:val="21"/>
                      <w:szCs w:val="21"/>
                    </w:rPr>
                    <w:t>4</w:t>
                  </w:r>
                </w:p>
              </w:tc>
              <w:tc>
                <w:tcPr>
                  <w:tcW w:w="959" w:type="dxa"/>
                  <w:vAlign w:val="center"/>
                </w:tcPr>
                <w:p>
                  <w:pPr>
                    <w:pStyle w:val="91"/>
                    <w:widowControl w:val="0"/>
                    <w:rPr>
                      <w:rFonts w:cs="Times New Roman"/>
                      <w:b w:val="0"/>
                      <w:bCs/>
                      <w:color w:val="auto"/>
                    </w:rPr>
                  </w:pPr>
                  <w:r>
                    <w:rPr>
                      <w:rFonts w:hint="eastAsia" w:cs="Times New Roman"/>
                      <w:b w:val="0"/>
                      <w:bCs/>
                      <w:color w:val="auto"/>
                    </w:rPr>
                    <w:t>1.06</w:t>
                  </w:r>
                </w:p>
              </w:tc>
              <w:tc>
                <w:tcPr>
                  <w:tcW w:w="960" w:type="dxa"/>
                  <w:vAlign w:val="center"/>
                </w:tcPr>
                <w:p>
                  <w:pPr>
                    <w:pStyle w:val="91"/>
                    <w:widowControl w:val="0"/>
                    <w:rPr>
                      <w:rFonts w:cs="Times New Roman"/>
                      <w:b w:val="0"/>
                      <w:bCs/>
                      <w:color w:val="auto"/>
                    </w:rPr>
                  </w:pPr>
                  <w:r>
                    <w:rPr>
                      <w:rFonts w:cs="Times New Roman"/>
                      <w:b w:val="0"/>
                      <w:bCs/>
                      <w:color w:val="auto"/>
                    </w:rPr>
                    <w:t>0.97</w:t>
                  </w:r>
                </w:p>
              </w:tc>
              <w:tc>
                <w:tcPr>
                  <w:tcW w:w="1920" w:type="dxa"/>
                  <w:vMerge w:val="continue"/>
                  <w:vAlign w:val="center"/>
                </w:tcPr>
                <w:p>
                  <w:pPr>
                    <w:spacing w:line="320" w:lineRule="exact"/>
                    <w:jc w:val="center"/>
                    <w:rPr>
                      <w:color w:val="auto"/>
                      <w:szCs w:val="21"/>
                    </w:rPr>
                  </w:pPr>
                </w:p>
              </w:tc>
            </w:tr>
          </w:tbl>
          <w:p>
            <w:pPr>
              <w:spacing w:line="360" w:lineRule="auto"/>
              <w:ind w:firstLine="480" w:firstLineChars="200"/>
              <w:jc w:val="left"/>
              <w:rPr>
                <w:color w:val="auto"/>
                <w:szCs w:val="21"/>
              </w:rPr>
            </w:pPr>
            <w:r>
              <w:rPr>
                <w:color w:val="auto"/>
                <w:szCs w:val="21"/>
              </w:rPr>
              <w:t>由上表可知，项目所在</w:t>
            </w:r>
            <w:r>
              <w:rPr>
                <w:rFonts w:hint="eastAsia"/>
                <w:color w:val="auto"/>
                <w:szCs w:val="21"/>
              </w:rPr>
              <w:t>地下风向非甲烷总烃的小时浓度</w:t>
            </w:r>
            <w:r>
              <w:rPr>
                <w:color w:val="auto"/>
                <w:szCs w:val="21"/>
              </w:rPr>
              <w:t>符合</w:t>
            </w:r>
            <w:r>
              <w:rPr>
                <w:rFonts w:hint="eastAsia"/>
                <w:color w:val="auto"/>
                <w:szCs w:val="21"/>
              </w:rPr>
              <w:t>《大气污染物综合排放标准详解》</w:t>
            </w:r>
            <w:r>
              <w:rPr>
                <w:color w:val="auto"/>
                <w:szCs w:val="21"/>
              </w:rPr>
              <w:t>2.0</w:t>
            </w:r>
            <w:r>
              <w:rPr>
                <w:rStyle w:val="37"/>
                <w:rFonts w:hint="eastAsia"/>
                <w:snapToGrid w:val="0"/>
                <w:color w:val="auto"/>
                <w:szCs w:val="21"/>
                <w:shd w:val="clear" w:color="auto" w:fill="FFFFFF"/>
              </w:rPr>
              <w:t xml:space="preserve"> </w:t>
            </w:r>
            <w:r>
              <w:rPr>
                <w:rStyle w:val="37"/>
                <w:rFonts w:hint="eastAsia"/>
                <w:b w:val="0"/>
                <w:bCs/>
                <w:snapToGrid w:val="0"/>
                <w:color w:val="auto"/>
                <w:szCs w:val="21"/>
                <w:shd w:val="clear" w:color="auto" w:fill="FFFFFF"/>
              </w:rPr>
              <w:t>mg</w:t>
            </w:r>
            <w:r>
              <w:rPr>
                <w:rStyle w:val="37"/>
                <w:b w:val="0"/>
                <w:bCs/>
                <w:snapToGrid w:val="0"/>
                <w:color w:val="auto"/>
                <w:szCs w:val="21"/>
                <w:shd w:val="clear" w:color="auto" w:fill="FFFFFF"/>
              </w:rPr>
              <w:t>/</w:t>
            </w:r>
            <w:r>
              <w:rPr>
                <w:rStyle w:val="37"/>
                <w:rFonts w:hint="eastAsia"/>
                <w:b w:val="0"/>
                <w:bCs/>
                <w:snapToGrid w:val="0"/>
                <w:color w:val="auto"/>
                <w:szCs w:val="21"/>
                <w:shd w:val="clear" w:color="auto" w:fill="FFFFFF"/>
              </w:rPr>
              <w:t>m</w:t>
            </w:r>
            <w:r>
              <w:rPr>
                <w:rStyle w:val="37"/>
                <w:b w:val="0"/>
                <w:bCs/>
                <w:snapToGrid w:val="0"/>
                <w:color w:val="auto"/>
                <w:szCs w:val="21"/>
                <w:shd w:val="clear" w:color="auto" w:fill="FFFFFF"/>
                <w:vertAlign w:val="superscript"/>
              </w:rPr>
              <w:t>3</w:t>
            </w:r>
            <w:r>
              <w:rPr>
                <w:rStyle w:val="37"/>
                <w:rFonts w:hint="eastAsia"/>
                <w:b w:val="0"/>
                <w:bCs/>
                <w:snapToGrid w:val="0"/>
                <w:color w:val="auto"/>
                <w:szCs w:val="21"/>
                <w:shd w:val="clear" w:color="auto" w:fill="FFFFFF"/>
              </w:rPr>
              <w:t>的要求</w:t>
            </w:r>
            <w:r>
              <w:rPr>
                <w:color w:val="auto"/>
                <w:szCs w:val="21"/>
              </w:rPr>
              <w:t>。</w:t>
            </w:r>
          </w:p>
          <w:p>
            <w:pPr>
              <w:pStyle w:val="29"/>
              <w:widowControl w:val="0"/>
              <w:adjustRightInd w:val="0"/>
              <w:spacing w:before="120" w:beforeAutospacing="0" w:after="0" w:afterAutospacing="0" w:line="360" w:lineRule="auto"/>
              <w:jc w:val="both"/>
              <w:textAlignment w:val="baseline"/>
              <w:rPr>
                <w:rFonts w:ascii="Times New Roman" w:hAnsi="Times New Roman"/>
                <w:color w:val="auto"/>
              </w:rPr>
            </w:pPr>
            <w:r>
              <w:rPr>
                <w:rFonts w:ascii="Times New Roman" w:hAnsi="Times New Roman"/>
                <w:b/>
                <w:color w:val="auto"/>
                <w:kern w:val="2"/>
              </w:rPr>
              <w:t>2、地表水环境质量现状</w:t>
            </w:r>
          </w:p>
          <w:p>
            <w:pPr>
              <w:spacing w:line="360" w:lineRule="auto"/>
              <w:ind w:firstLine="480" w:firstLineChars="200"/>
              <w:rPr>
                <w:rFonts w:hint="default" w:ascii="Times New Roman" w:hAnsi="Times New Roman" w:cs="Times New Roman"/>
                <w:color w:val="auto"/>
                <w:sz w:val="24"/>
                <w:szCs w:val="24"/>
              </w:rPr>
            </w:pPr>
            <w:r>
              <w:rPr>
                <w:color w:val="auto"/>
              </w:rPr>
              <w:t>本项目</w:t>
            </w:r>
            <w:r>
              <w:rPr>
                <w:rFonts w:hint="eastAsia"/>
                <w:color w:val="auto"/>
                <w:lang w:val="en-US" w:eastAsia="zh-CN"/>
              </w:rPr>
              <w:t>生产废水不外排，生活污水经污水管网收集后排入邵东美桥生活污水处理厂进一步处理。根据《邵东市美桥城市污水处理有限公司入河排污口设置论证报告》</w:t>
            </w:r>
            <w:r>
              <w:rPr>
                <w:rFonts w:hint="default" w:ascii="Times New Roman" w:hAnsi="Times New Roman" w:cs="Times New Roman"/>
                <w:color w:val="auto"/>
                <w:kern w:val="2"/>
                <w:sz w:val="24"/>
                <w:szCs w:val="24"/>
              </w:rPr>
              <w:t>，邵东市美桥城市污水处理有限公司入河排污口</w:t>
            </w:r>
            <w:r>
              <w:rPr>
                <w:rFonts w:hint="eastAsia" w:cs="Times New Roman"/>
                <w:color w:val="auto"/>
                <w:kern w:val="2"/>
                <w:sz w:val="24"/>
                <w:szCs w:val="24"/>
                <w:lang w:val="en-US" w:eastAsia="zh-CN"/>
              </w:rPr>
              <w:t>邵水上下游地表水环境质量现状</w:t>
            </w:r>
            <w:r>
              <w:rPr>
                <w:rFonts w:hint="default" w:ascii="Times New Roman" w:hAnsi="Times New Roman" w:cs="Times New Roman"/>
                <w:color w:val="auto"/>
                <w:kern w:val="2"/>
                <w:sz w:val="24"/>
                <w:szCs w:val="24"/>
              </w:rPr>
              <w:t>数据见下表3-</w:t>
            </w:r>
            <w:r>
              <w:rPr>
                <w:rFonts w:hint="eastAsia" w:ascii="Times New Roman" w:hAnsi="Times New Roman" w:cs="Times New Roman"/>
                <w:color w:val="auto"/>
                <w:kern w:val="2"/>
                <w:sz w:val="24"/>
                <w:szCs w:val="24"/>
                <w:lang w:val="en-US" w:eastAsia="zh-CN"/>
              </w:rPr>
              <w:t>3</w:t>
            </w:r>
            <w:r>
              <w:rPr>
                <w:rFonts w:hint="default" w:ascii="Times New Roman" w:hAnsi="Times New Roman" w:cs="Times New Roman"/>
                <w:color w:val="auto"/>
                <w:kern w:val="2"/>
                <w:sz w:val="24"/>
                <w:szCs w:val="24"/>
              </w:rPr>
              <w:t>：</w:t>
            </w:r>
          </w:p>
          <w:p>
            <w:pPr>
              <w:spacing w:line="360" w:lineRule="auto"/>
              <w:ind w:firstLine="482" w:firstLineChars="200"/>
              <w:jc w:val="center"/>
              <w:rPr>
                <w:rStyle w:val="37"/>
                <w:rFonts w:hint="default" w:ascii="Times New Roman" w:hAnsi="Times New Roman" w:cs="Times New Roman"/>
                <w:snapToGrid w:val="0"/>
                <w:color w:val="auto"/>
                <w:kern w:val="2"/>
                <w:sz w:val="24"/>
                <w:szCs w:val="24"/>
                <w:shd w:val="clear" w:color="auto" w:fill="FFFFFF"/>
              </w:rPr>
            </w:pPr>
            <w:r>
              <w:rPr>
                <w:rStyle w:val="37"/>
                <w:rFonts w:hint="default" w:ascii="Times New Roman" w:hAnsi="Times New Roman" w:cs="Times New Roman"/>
                <w:snapToGrid w:val="0"/>
                <w:color w:val="auto"/>
                <w:kern w:val="2"/>
                <w:sz w:val="24"/>
                <w:szCs w:val="24"/>
                <w:shd w:val="clear" w:color="auto" w:fill="FFFFFF"/>
              </w:rPr>
              <w:t>表3-</w:t>
            </w:r>
            <w:r>
              <w:rPr>
                <w:rStyle w:val="37"/>
                <w:rFonts w:hint="eastAsia" w:ascii="Times New Roman" w:hAnsi="Times New Roman" w:cs="Times New Roman"/>
                <w:snapToGrid w:val="0"/>
                <w:color w:val="auto"/>
                <w:kern w:val="2"/>
                <w:sz w:val="24"/>
                <w:szCs w:val="24"/>
                <w:shd w:val="clear" w:color="auto" w:fill="FFFFFF"/>
                <w:lang w:val="en-US" w:eastAsia="zh-CN"/>
              </w:rPr>
              <w:t xml:space="preserve">3  </w:t>
            </w:r>
            <w:r>
              <w:rPr>
                <w:rStyle w:val="37"/>
                <w:rFonts w:hint="default" w:ascii="Times New Roman" w:hAnsi="Times New Roman" w:cs="Times New Roman"/>
                <w:snapToGrid w:val="0"/>
                <w:color w:val="auto"/>
                <w:kern w:val="2"/>
                <w:sz w:val="24"/>
                <w:szCs w:val="24"/>
                <w:shd w:val="clear" w:color="auto" w:fill="FFFFFF"/>
              </w:rPr>
              <w:t>邵东市美桥城市污水处理有限公司入河排污口</w:t>
            </w:r>
            <w:r>
              <w:rPr>
                <w:rStyle w:val="37"/>
                <w:rFonts w:hint="eastAsia" w:cs="Times New Roman"/>
                <w:snapToGrid w:val="0"/>
                <w:color w:val="auto"/>
                <w:kern w:val="2"/>
                <w:sz w:val="24"/>
                <w:szCs w:val="24"/>
                <w:shd w:val="clear" w:color="auto" w:fill="FFFFFF"/>
                <w:lang w:val="en-US" w:eastAsia="zh-CN"/>
              </w:rPr>
              <w:t>邵水</w:t>
            </w:r>
            <w:r>
              <w:rPr>
                <w:rStyle w:val="37"/>
                <w:rFonts w:hint="default" w:ascii="Times New Roman" w:hAnsi="Times New Roman" w:cs="Times New Roman"/>
                <w:snapToGrid w:val="0"/>
                <w:color w:val="auto"/>
                <w:kern w:val="2"/>
                <w:sz w:val="24"/>
                <w:szCs w:val="24"/>
                <w:shd w:val="clear" w:color="auto" w:fill="FFFFFF"/>
              </w:rPr>
              <w:t>上下游地表水水质状况</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135"/>
              <w:gridCol w:w="1730"/>
              <w:gridCol w:w="1443"/>
              <w:gridCol w:w="1443"/>
              <w:gridCol w:w="1445"/>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restart"/>
                  <w:noWrap w:val="0"/>
                  <w:vAlign w:val="center"/>
                </w:tcPr>
                <w:p>
                  <w:pPr>
                    <w:jc w:val="center"/>
                    <w:textAlignment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检测</w:t>
                  </w:r>
                </w:p>
                <w:p>
                  <w:pPr>
                    <w:jc w:val="center"/>
                    <w:textAlignment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点位</w:t>
                  </w:r>
                </w:p>
              </w:tc>
              <w:tc>
                <w:tcPr>
                  <w:tcW w:w="1086" w:type="pct"/>
                  <w:vMerge w:val="restart"/>
                  <w:noWrap w:val="0"/>
                  <w:vAlign w:val="center"/>
                </w:tcPr>
                <w:p>
                  <w:pPr>
                    <w:widowControl/>
                    <w:jc w:val="center"/>
                    <w:textAlignment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检测因子</w:t>
                  </w:r>
                </w:p>
              </w:tc>
              <w:tc>
                <w:tcPr>
                  <w:tcW w:w="3200" w:type="pct"/>
                  <w:gridSpan w:val="4"/>
                  <w:noWrap w:val="0"/>
                  <w:vAlign w:val="center"/>
                </w:tcPr>
                <w:p>
                  <w:pPr>
                    <w:widowControl/>
                    <w:jc w:val="center"/>
                    <w:textAlignment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采样日期及检测结果（单位：mg/L，pH无量纲</w:t>
                  </w: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12" w:hRule="atLeast"/>
                <w:jc w:val="center"/>
              </w:trPr>
              <w:tc>
                <w:tcPr>
                  <w:tcW w:w="712" w:type="pct"/>
                  <w:vMerge w:val="continue"/>
                  <w:noWrap w:val="0"/>
                  <w:vAlign w:val="center"/>
                </w:tcPr>
                <w:p>
                  <w:pPr>
                    <w:jc w:val="center"/>
                    <w:textAlignment w:val="center"/>
                    <w:rPr>
                      <w:rFonts w:hint="default" w:ascii="Times New Roman" w:hAnsi="Times New Roman" w:cs="Times New Roman"/>
                      <w:color w:val="auto"/>
                      <w:sz w:val="21"/>
                      <w:szCs w:val="21"/>
                      <w:lang w:eastAsia="zh-CN"/>
                    </w:rPr>
                  </w:pPr>
                </w:p>
              </w:tc>
              <w:tc>
                <w:tcPr>
                  <w:tcW w:w="1086" w:type="pct"/>
                  <w:vMerge w:val="continue"/>
                  <w:noWrap w:val="0"/>
                  <w:vAlign w:val="center"/>
                </w:tcPr>
                <w:p>
                  <w:pPr>
                    <w:widowControl/>
                    <w:jc w:val="center"/>
                    <w:textAlignment w:val="center"/>
                    <w:rPr>
                      <w:rFonts w:hint="default" w:ascii="Times New Roman" w:hAnsi="Times New Roman" w:cs="Times New Roman"/>
                      <w:color w:val="auto"/>
                      <w:sz w:val="21"/>
                      <w:szCs w:val="21"/>
                      <w:lang w:eastAsia="zh-CN"/>
                    </w:rPr>
                  </w:pPr>
                </w:p>
              </w:tc>
              <w:tc>
                <w:tcPr>
                  <w:tcW w:w="906" w:type="pct"/>
                  <w:vMerge w:val="restart"/>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2022</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08.01</w:t>
                  </w:r>
                </w:p>
              </w:tc>
              <w:tc>
                <w:tcPr>
                  <w:tcW w:w="906" w:type="pct"/>
                  <w:vMerge w:val="restart"/>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2022</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08.02</w:t>
                  </w:r>
                </w:p>
              </w:tc>
              <w:tc>
                <w:tcPr>
                  <w:tcW w:w="907" w:type="pct"/>
                  <w:vMerge w:val="restart"/>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2022</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08.03</w:t>
                  </w:r>
                </w:p>
              </w:tc>
              <w:tc>
                <w:tcPr>
                  <w:tcW w:w="481" w:type="pct"/>
                  <w:vMerge w:val="restart"/>
                  <w:noWrap w:val="0"/>
                  <w:vAlign w:val="center"/>
                </w:tcPr>
                <w:p>
                  <w:pPr>
                    <w:widowControl/>
                    <w:jc w:val="center"/>
                    <w:textAlignment w:val="center"/>
                    <w:rPr>
                      <w:rFonts w:hint="default" w:ascii="Times New Roman" w:hAnsi="Times New Roman" w:cs="Times New Roman"/>
                      <w:color w:val="auto"/>
                      <w:sz w:val="21"/>
                      <w:szCs w:val="21"/>
                      <w:lang w:val="en-US" w:eastAsia="zh-CN"/>
                    </w:rPr>
                  </w:pPr>
                  <w:r>
                    <w:rPr>
                      <w:rFonts w:hint="eastAsia" w:eastAsia="宋体"/>
                      <w:color w:val="auto"/>
                      <w:sz w:val="21"/>
                      <w:szCs w:val="21"/>
                      <w:lang w:eastAsia="zh-CN"/>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12" w:hRule="atLeast"/>
                <w:jc w:val="center"/>
              </w:trPr>
              <w:tc>
                <w:tcPr>
                  <w:tcW w:w="712" w:type="pct"/>
                  <w:vMerge w:val="continue"/>
                  <w:noWrap w:val="0"/>
                  <w:vAlign w:val="center"/>
                </w:tcPr>
                <w:p>
                  <w:pPr>
                    <w:widowControl/>
                    <w:jc w:val="center"/>
                    <w:textAlignment w:val="center"/>
                    <w:rPr>
                      <w:color w:val="auto"/>
                    </w:rPr>
                  </w:pPr>
                </w:p>
              </w:tc>
              <w:tc>
                <w:tcPr>
                  <w:tcW w:w="1086" w:type="pct"/>
                  <w:vMerge w:val="continue"/>
                  <w:noWrap w:val="0"/>
                  <w:vAlign w:val="center"/>
                </w:tcPr>
                <w:p>
                  <w:pPr>
                    <w:widowControl/>
                    <w:jc w:val="center"/>
                    <w:textAlignment w:val="center"/>
                    <w:rPr>
                      <w:color w:val="auto"/>
                    </w:rPr>
                  </w:pPr>
                </w:p>
              </w:tc>
              <w:tc>
                <w:tcPr>
                  <w:tcW w:w="906" w:type="pct"/>
                  <w:vMerge w:val="continue"/>
                  <w:noWrap w:val="0"/>
                  <w:vAlign w:val="center"/>
                </w:tcPr>
                <w:p>
                  <w:pPr>
                    <w:widowControl/>
                    <w:jc w:val="center"/>
                    <w:textAlignment w:val="center"/>
                    <w:rPr>
                      <w:rFonts w:hint="eastAsia" w:eastAsia="宋体" w:cs="Times New Roman"/>
                      <w:color w:val="auto"/>
                      <w:sz w:val="21"/>
                      <w:szCs w:val="21"/>
                      <w:lang w:val="en-US" w:eastAsia="zh-CN"/>
                    </w:rPr>
                  </w:pPr>
                </w:p>
              </w:tc>
              <w:tc>
                <w:tcPr>
                  <w:tcW w:w="906" w:type="pct"/>
                  <w:vMerge w:val="continue"/>
                  <w:noWrap w:val="0"/>
                  <w:vAlign w:val="center"/>
                </w:tcPr>
                <w:p>
                  <w:pPr>
                    <w:widowControl/>
                    <w:jc w:val="center"/>
                    <w:textAlignment w:val="center"/>
                    <w:rPr>
                      <w:rFonts w:hint="default" w:cs="Times New Roman"/>
                      <w:color w:val="auto"/>
                      <w:sz w:val="21"/>
                      <w:szCs w:val="21"/>
                      <w:lang w:val="en-US" w:eastAsia="zh-CN"/>
                    </w:rPr>
                  </w:pPr>
                </w:p>
              </w:tc>
              <w:tc>
                <w:tcPr>
                  <w:tcW w:w="907" w:type="pct"/>
                  <w:vMerge w:val="continue"/>
                  <w:noWrap w:val="0"/>
                  <w:vAlign w:val="center"/>
                </w:tcPr>
                <w:p>
                  <w:pPr>
                    <w:widowControl/>
                    <w:jc w:val="center"/>
                    <w:textAlignment w:val="center"/>
                    <w:rPr>
                      <w:rFonts w:hint="default" w:cs="Times New Roman"/>
                      <w:color w:val="auto"/>
                      <w:sz w:val="21"/>
                      <w:szCs w:val="21"/>
                      <w:lang w:val="en-US" w:eastAsia="zh-CN"/>
                    </w:rPr>
                  </w:pPr>
                </w:p>
              </w:tc>
              <w:tc>
                <w:tcPr>
                  <w:tcW w:w="481" w:type="pct"/>
                  <w:vMerge w:val="continue"/>
                  <w:noWrap w:val="0"/>
                  <w:vAlign w:val="center"/>
                </w:tcPr>
                <w:p>
                  <w:pPr>
                    <w:widowControl/>
                    <w:jc w:val="center"/>
                    <w:textAlignment w:val="center"/>
                    <w:rPr>
                      <w:rFonts w:hint="eastAsia"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ascii="Times New Roman" w:hAnsi="Times New Roman" w:cs="Times New Roman"/>
                      <w:color w:val="auto"/>
                      <w:highlight w:val="none"/>
                    </w:rPr>
                    <w:t>W</w:t>
                  </w:r>
                  <w:r>
                    <w:rPr>
                      <w:rFonts w:hint="eastAsia" w:ascii="Times New Roman" w:hAnsi="Times New Roman" w:cs="Times New Roman"/>
                      <w:color w:val="auto"/>
                      <w:highlight w:val="none"/>
                    </w:rPr>
                    <w:t>1</w:t>
                  </w:r>
                  <w:r>
                    <w:rPr>
                      <w:rFonts w:ascii="Times New Roman" w:hAnsi="Times New Roman" w:cs="Times New Roman"/>
                      <w:color w:val="auto"/>
                      <w:highlight w:val="none"/>
                    </w:rPr>
                    <w:t>-</w:t>
                  </w:r>
                  <w:r>
                    <w:rPr>
                      <w:rFonts w:hint="eastAsia" w:ascii="Times New Roman" w:hAnsi="Times New Roman" w:cs="Times New Roman"/>
                      <w:color w:val="auto"/>
                      <w:highlight w:val="none"/>
                      <w:lang w:eastAsia="zh-CN"/>
                    </w:rPr>
                    <w:t>邵东市美桥城市污水处理有限公司入河排污口邵水上游</w:t>
                  </w:r>
                  <w:r>
                    <w:rPr>
                      <w:rFonts w:hint="eastAsia" w:ascii="Times New Roman" w:hAnsi="Times New Roman" w:cs="Times New Roman"/>
                      <w:color w:val="auto"/>
                      <w:highlight w:val="none"/>
                      <w:lang w:val="en-US" w:eastAsia="zh-CN"/>
                    </w:rPr>
                    <w:t>500m断面</w:t>
                  </w:r>
                </w:p>
              </w:tc>
              <w:tc>
                <w:tcPr>
                  <w:tcW w:w="1086" w:type="pct"/>
                  <w:noWrap w:val="0"/>
                  <w:vAlign w:val="center"/>
                </w:tcPr>
                <w:p>
                  <w:pPr>
                    <w:widowControl/>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eastAsia="zh-CN"/>
                    </w:rPr>
                    <w:t>pH值</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7.15</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7.12</w:t>
                  </w:r>
                </w:p>
              </w:tc>
              <w:tc>
                <w:tcPr>
                  <w:tcW w:w="907"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7.19</w:t>
                  </w:r>
                </w:p>
              </w:tc>
              <w:tc>
                <w:tcPr>
                  <w:tcW w:w="481"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17" w:hRule="atLeast"/>
                <w:jc w:val="center"/>
              </w:trPr>
              <w:tc>
                <w:tcPr>
                  <w:tcW w:w="712" w:type="pct"/>
                  <w:vMerge w:val="continue"/>
                  <w:noWrap w:val="0"/>
                  <w:vAlign w:val="center"/>
                </w:tcPr>
                <w:p>
                  <w:pPr>
                    <w:widowControl/>
                    <w:jc w:val="center"/>
                    <w:textAlignment w:val="center"/>
                    <w:rPr>
                      <w:rFonts w:hint="eastAsia"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eastAsia="zh-CN"/>
                    </w:rPr>
                    <w:t>化学需氧量</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12</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13</w:t>
                  </w:r>
                </w:p>
              </w:tc>
              <w:tc>
                <w:tcPr>
                  <w:tcW w:w="907"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13</w:t>
                  </w:r>
                </w:p>
              </w:tc>
              <w:tc>
                <w:tcPr>
                  <w:tcW w:w="481" w:type="pct"/>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五日生化需氧量</w:t>
                  </w:r>
                </w:p>
              </w:tc>
              <w:tc>
                <w:tcPr>
                  <w:tcW w:w="9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2.7</w:t>
                  </w:r>
                </w:p>
              </w:tc>
              <w:tc>
                <w:tcPr>
                  <w:tcW w:w="9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2.6</w:t>
                  </w:r>
                </w:p>
              </w:tc>
              <w:tc>
                <w:tcPr>
                  <w:tcW w:w="9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2.8</w:t>
                  </w:r>
                </w:p>
              </w:tc>
              <w:tc>
                <w:tcPr>
                  <w:tcW w:w="481"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eastAsia="zh-CN"/>
                    </w:rPr>
                    <w:t>溶解氧</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5.4</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5.4</w:t>
                  </w:r>
                </w:p>
              </w:tc>
              <w:tc>
                <w:tcPr>
                  <w:tcW w:w="907"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5.3</w:t>
                  </w:r>
                </w:p>
              </w:tc>
              <w:tc>
                <w:tcPr>
                  <w:tcW w:w="481"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default" w:ascii="Arial" w:hAnsi="Arial" w:eastAsia="宋体" w:cs="Arial"/>
                      <w:color w:val="auto"/>
                      <w:sz w:val="21"/>
                      <w:szCs w:val="21"/>
                      <w:lang w:val="en-US" w:eastAsia="zh-CN" w:bidi="ar-SA"/>
                    </w:rPr>
                    <w:t>≥</w:t>
                  </w:r>
                  <w:r>
                    <w:rPr>
                      <w:rFonts w:hint="eastAsia" w:ascii="Times New Roman" w:hAnsi="Times New Roman" w:eastAsia="宋体" w:cs="Times New Roman"/>
                      <w:color w:val="auto"/>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eastAsia="zh-CN"/>
                    </w:rPr>
                    <w:t>氨氮</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0.512</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0.575</w:t>
                  </w:r>
                </w:p>
              </w:tc>
              <w:tc>
                <w:tcPr>
                  <w:tcW w:w="907"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0.533</w:t>
                  </w:r>
                </w:p>
              </w:tc>
              <w:tc>
                <w:tcPr>
                  <w:tcW w:w="481"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eastAsia"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eastAsia="zh-CN"/>
                    </w:rPr>
                    <w:t>总氮</w:t>
                  </w:r>
                </w:p>
              </w:tc>
              <w:tc>
                <w:tcPr>
                  <w:tcW w:w="906"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0.739</w:t>
                  </w:r>
                </w:p>
              </w:tc>
              <w:tc>
                <w:tcPr>
                  <w:tcW w:w="906"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0.722</w:t>
                  </w:r>
                </w:p>
              </w:tc>
              <w:tc>
                <w:tcPr>
                  <w:tcW w:w="907"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0.695</w:t>
                  </w:r>
                </w:p>
              </w:tc>
              <w:tc>
                <w:tcPr>
                  <w:tcW w:w="481"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eastAsia="zh-CN"/>
                    </w:rPr>
                    <w:t>总磷</w:t>
                  </w:r>
                </w:p>
              </w:tc>
              <w:tc>
                <w:tcPr>
                  <w:tcW w:w="906"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0.10</w:t>
                  </w:r>
                </w:p>
              </w:tc>
              <w:tc>
                <w:tcPr>
                  <w:tcW w:w="906"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0.10</w:t>
                  </w:r>
                </w:p>
              </w:tc>
              <w:tc>
                <w:tcPr>
                  <w:tcW w:w="907"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0.12</w:t>
                  </w:r>
                </w:p>
              </w:tc>
              <w:tc>
                <w:tcPr>
                  <w:tcW w:w="481"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eastAsia" w:ascii="Times New Roman" w:hAnsi="Times New Roman" w:cs="Times New Roman"/>
                      <w:color w:val="auto"/>
                      <w:position w:val="2"/>
                      <w:sz w:val="21"/>
                      <w:szCs w:val="21"/>
                      <w:lang w:val="en-US" w:eastAsia="zh-CN" w:bidi="ar-SA"/>
                    </w:rPr>
                  </w:pPr>
                  <w:r>
                    <w:rPr>
                      <w:rFonts w:hint="default" w:ascii="Times New Roman" w:hAnsi="Times New Roman" w:eastAsia="宋体" w:cs="Times New Roman"/>
                      <w:color w:val="auto"/>
                      <w:sz w:val="21"/>
                      <w:szCs w:val="21"/>
                      <w:lang w:eastAsia="zh-CN"/>
                    </w:rPr>
                    <w:t>阴离子表面活性剂</w:t>
                  </w:r>
                </w:p>
              </w:tc>
              <w:tc>
                <w:tcPr>
                  <w:tcW w:w="906"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ND</w:t>
                  </w:r>
                </w:p>
              </w:tc>
              <w:tc>
                <w:tcPr>
                  <w:tcW w:w="906"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ND</w:t>
                  </w:r>
                </w:p>
              </w:tc>
              <w:tc>
                <w:tcPr>
                  <w:tcW w:w="907"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ND</w:t>
                  </w:r>
                </w:p>
              </w:tc>
              <w:tc>
                <w:tcPr>
                  <w:tcW w:w="481"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粪大肠菌群</w:t>
                  </w:r>
                </w:p>
              </w:tc>
              <w:tc>
                <w:tcPr>
                  <w:tcW w:w="906" w:type="pct"/>
                  <w:noWrap w:val="0"/>
                  <w:vAlign w:val="center"/>
                </w:tcPr>
                <w:p>
                  <w:pPr>
                    <w:jc w:val="center"/>
                    <w:rPr>
                      <w:rFonts w:hint="default"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4.3</w:t>
                  </w:r>
                  <w:r>
                    <w:rPr>
                      <w:rFonts w:hint="default" w:ascii="Times New Roman" w:hAnsi="Times New Roman" w:eastAsia="宋体" w:cs="Times New Roman"/>
                      <w:color w:val="auto"/>
                      <w:sz w:val="21"/>
                      <w:szCs w:val="21"/>
                      <w:lang w:val="en-US" w:eastAsia="zh-CN" w:bidi="ar-SA"/>
                    </w:rPr>
                    <w:t>×</w:t>
                  </w:r>
                  <w:r>
                    <w:rPr>
                      <w:rFonts w:hint="eastAsia" w:cs="Times New Roman"/>
                      <w:color w:val="auto"/>
                      <w:sz w:val="21"/>
                      <w:szCs w:val="21"/>
                      <w:lang w:val="en-US" w:eastAsia="zh-CN" w:bidi="ar-SA"/>
                    </w:rPr>
                    <w:t>10</w:t>
                  </w:r>
                  <w:r>
                    <w:rPr>
                      <w:rFonts w:hint="eastAsia" w:cs="Times New Roman"/>
                      <w:color w:val="auto"/>
                      <w:sz w:val="21"/>
                      <w:szCs w:val="21"/>
                      <w:vertAlign w:val="superscript"/>
                      <w:lang w:val="en-US" w:eastAsia="zh-CN" w:bidi="ar-SA"/>
                    </w:rPr>
                    <w:t>3</w:t>
                  </w:r>
                </w:p>
              </w:tc>
              <w:tc>
                <w:tcPr>
                  <w:tcW w:w="906"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4.3</w:t>
                  </w:r>
                  <w:r>
                    <w:rPr>
                      <w:rFonts w:hint="default" w:ascii="Arial" w:hAnsi="Arial" w:cs="Arial"/>
                      <w:color w:val="auto"/>
                      <w:sz w:val="21"/>
                      <w:szCs w:val="21"/>
                      <w:lang w:val="en-US" w:eastAsia="zh-CN" w:bidi="ar-SA"/>
                    </w:rPr>
                    <w:t>×</w:t>
                  </w:r>
                  <w:r>
                    <w:rPr>
                      <w:rFonts w:hint="eastAsia" w:cs="Times New Roman"/>
                      <w:color w:val="auto"/>
                      <w:sz w:val="21"/>
                      <w:szCs w:val="21"/>
                      <w:lang w:val="en-US" w:eastAsia="zh-CN" w:bidi="ar-SA"/>
                    </w:rPr>
                    <w:t>10</w:t>
                  </w:r>
                  <w:r>
                    <w:rPr>
                      <w:rFonts w:hint="eastAsia" w:cs="Times New Roman"/>
                      <w:color w:val="auto"/>
                      <w:sz w:val="21"/>
                      <w:szCs w:val="21"/>
                      <w:vertAlign w:val="superscript"/>
                      <w:lang w:val="en-US" w:eastAsia="zh-CN" w:bidi="ar-SA"/>
                    </w:rPr>
                    <w:t>3</w:t>
                  </w:r>
                </w:p>
              </w:tc>
              <w:tc>
                <w:tcPr>
                  <w:tcW w:w="907"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4.7</w:t>
                  </w:r>
                  <w:r>
                    <w:rPr>
                      <w:rFonts w:hint="default" w:ascii="Arial" w:hAnsi="Arial" w:cs="Arial"/>
                      <w:color w:val="auto"/>
                      <w:sz w:val="21"/>
                      <w:szCs w:val="21"/>
                      <w:lang w:val="en-US" w:eastAsia="zh-CN" w:bidi="ar-SA"/>
                    </w:rPr>
                    <w:t>×</w:t>
                  </w:r>
                  <w:r>
                    <w:rPr>
                      <w:rFonts w:hint="eastAsia" w:cs="Times New Roman"/>
                      <w:color w:val="auto"/>
                      <w:sz w:val="21"/>
                      <w:szCs w:val="21"/>
                      <w:lang w:val="en-US" w:eastAsia="zh-CN" w:bidi="ar-SA"/>
                    </w:rPr>
                    <w:t>10</w:t>
                  </w:r>
                  <w:r>
                    <w:rPr>
                      <w:rFonts w:hint="eastAsia" w:cs="Times New Roman"/>
                      <w:color w:val="auto"/>
                      <w:sz w:val="21"/>
                      <w:szCs w:val="21"/>
                      <w:vertAlign w:val="superscript"/>
                      <w:lang w:val="en-US" w:eastAsia="zh-CN" w:bidi="ar-SA"/>
                    </w:rPr>
                    <w:t>3</w:t>
                  </w:r>
                </w:p>
              </w:tc>
              <w:tc>
                <w:tcPr>
                  <w:tcW w:w="481"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ascii="Times New Roman" w:hAnsi="Times New Roman" w:cs="Times New Roman"/>
                      <w:color w:val="auto"/>
                      <w:highlight w:val="none"/>
                    </w:rPr>
                    <w:t>W</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hint="eastAsia" w:ascii="Times New Roman" w:hAnsi="Times New Roman" w:cs="Times New Roman"/>
                      <w:color w:val="auto"/>
                      <w:highlight w:val="none"/>
                      <w:lang w:eastAsia="zh-CN"/>
                    </w:rPr>
                    <w:t>邵东市美桥城市污水处理有限公司排污口邵水下游</w:t>
                  </w:r>
                  <w:r>
                    <w:rPr>
                      <w:rFonts w:hint="eastAsia" w:ascii="Times New Roman" w:hAnsi="Times New Roman" w:cs="Times New Roman"/>
                      <w:color w:val="auto"/>
                      <w:highlight w:val="none"/>
                      <w:lang w:val="en-US" w:eastAsia="zh-CN"/>
                    </w:rPr>
                    <w:t>1000m断面</w:t>
                  </w:r>
                </w:p>
              </w:tc>
              <w:tc>
                <w:tcPr>
                  <w:tcW w:w="1086" w:type="pct"/>
                  <w:noWrap w:val="0"/>
                  <w:vAlign w:val="center"/>
                </w:tcPr>
                <w:p>
                  <w:pPr>
                    <w:widowControl/>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eastAsia="zh-CN"/>
                    </w:rPr>
                    <w:t>pH值</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7.33</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7.31</w:t>
                  </w:r>
                </w:p>
              </w:tc>
              <w:tc>
                <w:tcPr>
                  <w:tcW w:w="907"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7.38</w:t>
                  </w:r>
                </w:p>
              </w:tc>
              <w:tc>
                <w:tcPr>
                  <w:tcW w:w="481" w:type="pct"/>
                  <w:noWrap w:val="0"/>
                  <w:vAlign w:val="center"/>
                </w:tcPr>
                <w:p>
                  <w:pPr>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eastAsia="zh-CN"/>
                    </w:rPr>
                    <w:t>化学需氧量</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13</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14</w:t>
                  </w:r>
                </w:p>
              </w:tc>
              <w:tc>
                <w:tcPr>
                  <w:tcW w:w="907"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13</w:t>
                  </w:r>
                </w:p>
              </w:tc>
              <w:tc>
                <w:tcPr>
                  <w:tcW w:w="481" w:type="pct"/>
                  <w:noWrap w:val="0"/>
                  <w:vAlign w:val="center"/>
                </w:tcPr>
                <w:p>
                  <w:pPr>
                    <w:jc w:val="center"/>
                    <w:rPr>
                      <w:rFonts w:hint="eastAsia" w:ascii="Times New Roman" w:hAnsi="Times New Roman" w:cs="Times New Roman"/>
                      <w:color w:val="auto"/>
                      <w:sz w:val="21"/>
                      <w:szCs w:val="21"/>
                      <w:lang w:val="en-US" w:eastAsia="zh-CN" w:bidi="ar-SA"/>
                    </w:rPr>
                  </w:pPr>
                  <w:r>
                    <w:rPr>
                      <w:rFonts w:hint="eastAsia" w:ascii="Times New Roman" w:hAnsi="Times New Roman" w:cs="Times New Roman"/>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五日生化需氧量</w:t>
                  </w:r>
                </w:p>
              </w:tc>
              <w:tc>
                <w:tcPr>
                  <w:tcW w:w="9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2.9</w:t>
                  </w:r>
                </w:p>
              </w:tc>
              <w:tc>
                <w:tcPr>
                  <w:tcW w:w="9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2.8</w:t>
                  </w:r>
                </w:p>
              </w:tc>
              <w:tc>
                <w:tcPr>
                  <w:tcW w:w="9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2.8</w:t>
                  </w:r>
                </w:p>
              </w:tc>
              <w:tc>
                <w:tcPr>
                  <w:tcW w:w="481" w:type="pct"/>
                  <w:noWrap w:val="0"/>
                  <w:vAlign w:val="center"/>
                </w:tcPr>
                <w:p>
                  <w:pPr>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eastAsia="zh-CN"/>
                    </w:rPr>
                    <w:t>溶解氧</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5.6</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5.6</w:t>
                  </w:r>
                </w:p>
              </w:tc>
              <w:tc>
                <w:tcPr>
                  <w:tcW w:w="907"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5.5</w:t>
                  </w:r>
                </w:p>
              </w:tc>
              <w:tc>
                <w:tcPr>
                  <w:tcW w:w="481" w:type="pct"/>
                  <w:noWrap w:val="0"/>
                  <w:vAlign w:val="center"/>
                </w:tcPr>
                <w:p>
                  <w:pPr>
                    <w:jc w:val="center"/>
                    <w:rPr>
                      <w:rFonts w:hint="eastAsia" w:ascii="Times New Roman" w:hAnsi="Times New Roman" w:eastAsia="宋体" w:cs="Times New Roman"/>
                      <w:color w:val="auto"/>
                      <w:sz w:val="21"/>
                      <w:szCs w:val="21"/>
                      <w:lang w:val="en-US" w:eastAsia="zh-CN" w:bidi="ar-SA"/>
                    </w:rPr>
                  </w:pPr>
                  <w:r>
                    <w:rPr>
                      <w:rFonts w:hint="default" w:ascii="Arial" w:hAnsi="Arial" w:eastAsia="宋体" w:cs="Arial"/>
                      <w:color w:val="auto"/>
                      <w:sz w:val="21"/>
                      <w:szCs w:val="21"/>
                      <w:lang w:val="en-US" w:eastAsia="zh-CN" w:bidi="ar-SA"/>
                    </w:rPr>
                    <w:t>≥</w:t>
                  </w:r>
                  <w:r>
                    <w:rPr>
                      <w:rFonts w:hint="eastAsia" w:ascii="Times New Roman" w:hAnsi="Times New Roman" w:eastAsia="宋体" w:cs="Times New Roman"/>
                      <w:color w:val="auto"/>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eastAsia="zh-CN"/>
                    </w:rPr>
                    <w:t>氨氮</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0.586</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0.554</w:t>
                  </w:r>
                </w:p>
              </w:tc>
              <w:tc>
                <w:tcPr>
                  <w:tcW w:w="907"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0.597</w:t>
                  </w:r>
                </w:p>
              </w:tc>
              <w:tc>
                <w:tcPr>
                  <w:tcW w:w="481" w:type="pct"/>
                  <w:noWrap w:val="0"/>
                  <w:vAlign w:val="center"/>
                </w:tcPr>
                <w:p>
                  <w:pPr>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eastAsia"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eastAsia="zh-CN"/>
                    </w:rPr>
                    <w:t>总氮</w:t>
                  </w:r>
                </w:p>
              </w:tc>
              <w:tc>
                <w:tcPr>
                  <w:tcW w:w="906"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0.785</w:t>
                  </w:r>
                </w:p>
              </w:tc>
              <w:tc>
                <w:tcPr>
                  <w:tcW w:w="906"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0.738</w:t>
                  </w:r>
                </w:p>
              </w:tc>
              <w:tc>
                <w:tcPr>
                  <w:tcW w:w="907"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0.777</w:t>
                  </w:r>
                </w:p>
              </w:tc>
              <w:tc>
                <w:tcPr>
                  <w:tcW w:w="481" w:type="pct"/>
                  <w:noWrap w:val="0"/>
                  <w:vAlign w:val="center"/>
                </w:tcPr>
                <w:p>
                  <w:pPr>
                    <w:jc w:val="center"/>
                    <w:rPr>
                      <w:rFonts w:hint="eastAsia" w:cs="Times New Roman"/>
                      <w:color w:val="auto"/>
                      <w:sz w:val="21"/>
                      <w:szCs w:val="21"/>
                      <w:lang w:val="en-US" w:eastAsia="zh-CN" w:bidi="ar-SA"/>
                    </w:rPr>
                  </w:pPr>
                  <w:r>
                    <w:rPr>
                      <w:rFonts w:hint="eastAsia" w:cs="Times New Roman"/>
                      <w:color w:val="auto"/>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eastAsia="zh-CN"/>
                    </w:rPr>
                    <w:t>总磷</w:t>
                  </w:r>
                </w:p>
              </w:tc>
              <w:tc>
                <w:tcPr>
                  <w:tcW w:w="906"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0.12</w:t>
                  </w:r>
                </w:p>
              </w:tc>
              <w:tc>
                <w:tcPr>
                  <w:tcW w:w="906"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0.12</w:t>
                  </w:r>
                </w:p>
              </w:tc>
              <w:tc>
                <w:tcPr>
                  <w:tcW w:w="907"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0.13</w:t>
                  </w:r>
                </w:p>
              </w:tc>
              <w:tc>
                <w:tcPr>
                  <w:tcW w:w="481" w:type="pct"/>
                  <w:noWrap w:val="0"/>
                  <w:vAlign w:val="center"/>
                </w:tcPr>
                <w:p>
                  <w:pPr>
                    <w:jc w:val="center"/>
                    <w:rPr>
                      <w:rFonts w:hint="eastAsia" w:cs="Times New Roman"/>
                      <w:color w:val="auto"/>
                      <w:sz w:val="21"/>
                      <w:szCs w:val="21"/>
                      <w:lang w:val="en-US" w:eastAsia="zh-CN" w:bidi="ar-SA"/>
                    </w:rPr>
                  </w:pPr>
                  <w:r>
                    <w:rPr>
                      <w:rFonts w:hint="eastAsia" w:cs="Times New Roman"/>
                      <w:color w:val="auto"/>
                      <w:sz w:val="21"/>
                      <w:szCs w:val="21"/>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eastAsia" w:ascii="Times New Roman" w:hAnsi="Times New Roman" w:cs="Times New Roman"/>
                      <w:color w:val="auto"/>
                      <w:position w:val="2"/>
                      <w:sz w:val="21"/>
                      <w:szCs w:val="21"/>
                      <w:lang w:val="en-US" w:eastAsia="zh-CN" w:bidi="ar-SA"/>
                    </w:rPr>
                  </w:pPr>
                  <w:r>
                    <w:rPr>
                      <w:rFonts w:hint="default" w:ascii="Times New Roman" w:hAnsi="Times New Roman" w:eastAsia="宋体" w:cs="Times New Roman"/>
                      <w:color w:val="auto"/>
                      <w:sz w:val="21"/>
                      <w:szCs w:val="21"/>
                      <w:lang w:eastAsia="zh-CN"/>
                    </w:rPr>
                    <w:t>阴离子表面活性剂</w:t>
                  </w:r>
                </w:p>
              </w:tc>
              <w:tc>
                <w:tcPr>
                  <w:tcW w:w="906"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ND</w:t>
                  </w:r>
                </w:p>
              </w:tc>
              <w:tc>
                <w:tcPr>
                  <w:tcW w:w="906"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ND</w:t>
                  </w:r>
                </w:p>
              </w:tc>
              <w:tc>
                <w:tcPr>
                  <w:tcW w:w="907"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ND</w:t>
                  </w:r>
                </w:p>
              </w:tc>
              <w:tc>
                <w:tcPr>
                  <w:tcW w:w="481" w:type="pct"/>
                  <w:noWrap w:val="0"/>
                  <w:vAlign w:val="center"/>
                </w:tcPr>
                <w:p>
                  <w:pPr>
                    <w:jc w:val="center"/>
                    <w:rPr>
                      <w:rFonts w:hint="eastAsia" w:cs="Times New Roman"/>
                      <w:color w:val="auto"/>
                      <w:sz w:val="21"/>
                      <w:szCs w:val="21"/>
                      <w:lang w:val="en-US" w:eastAsia="zh-CN" w:bidi="ar-SA"/>
                    </w:rPr>
                  </w:pPr>
                  <w:r>
                    <w:rPr>
                      <w:rFonts w:hint="eastAsia" w:cs="Times New Roman"/>
                      <w:color w:val="auto"/>
                      <w:sz w:val="21"/>
                      <w:szCs w:val="21"/>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粪大肠菌群</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4.9</w:t>
                  </w:r>
                  <w:r>
                    <w:rPr>
                      <w:rFonts w:hint="default" w:ascii="Times New Roman" w:hAnsi="Times New Roman" w:eastAsia="宋体" w:cs="Times New Roman"/>
                      <w:color w:val="auto"/>
                      <w:sz w:val="21"/>
                      <w:szCs w:val="21"/>
                      <w:lang w:val="en-US" w:eastAsia="zh-CN" w:bidi="ar-SA"/>
                    </w:rPr>
                    <w:t>×</w:t>
                  </w:r>
                  <w:r>
                    <w:rPr>
                      <w:rFonts w:hint="eastAsia" w:ascii="Times New Roman" w:hAnsi="Times New Roman" w:eastAsia="宋体" w:cs="Times New Roman"/>
                      <w:color w:val="auto"/>
                      <w:sz w:val="21"/>
                      <w:szCs w:val="21"/>
                      <w:lang w:val="en-US" w:eastAsia="zh-CN" w:bidi="ar-SA"/>
                    </w:rPr>
                    <w:t>10</w:t>
                  </w:r>
                  <w:r>
                    <w:rPr>
                      <w:rFonts w:hint="eastAsia" w:ascii="Times New Roman" w:hAnsi="Times New Roman" w:eastAsia="宋体" w:cs="Times New Roman"/>
                      <w:color w:val="auto"/>
                      <w:sz w:val="21"/>
                      <w:szCs w:val="21"/>
                      <w:vertAlign w:val="superscript"/>
                      <w:lang w:val="en-US" w:eastAsia="zh-CN" w:bidi="ar-SA"/>
                    </w:rPr>
                    <w:t>3</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5.1</w:t>
                  </w:r>
                  <w:r>
                    <w:rPr>
                      <w:rFonts w:hint="default" w:ascii="Times New Roman" w:hAnsi="Times New Roman" w:eastAsia="宋体" w:cs="Times New Roman"/>
                      <w:color w:val="auto"/>
                      <w:sz w:val="21"/>
                      <w:szCs w:val="21"/>
                      <w:lang w:val="en-US" w:eastAsia="zh-CN" w:bidi="ar-SA"/>
                    </w:rPr>
                    <w:t>×</w:t>
                  </w:r>
                  <w:r>
                    <w:rPr>
                      <w:rFonts w:hint="eastAsia" w:ascii="Times New Roman" w:hAnsi="Times New Roman" w:eastAsia="宋体" w:cs="Times New Roman"/>
                      <w:color w:val="auto"/>
                      <w:sz w:val="21"/>
                      <w:szCs w:val="21"/>
                      <w:lang w:val="en-US" w:eastAsia="zh-CN" w:bidi="ar-SA"/>
                    </w:rPr>
                    <w:t>10</w:t>
                  </w:r>
                  <w:r>
                    <w:rPr>
                      <w:rFonts w:hint="eastAsia" w:ascii="Times New Roman" w:hAnsi="Times New Roman" w:eastAsia="宋体" w:cs="Times New Roman"/>
                      <w:color w:val="auto"/>
                      <w:sz w:val="21"/>
                      <w:szCs w:val="21"/>
                      <w:vertAlign w:val="superscript"/>
                      <w:lang w:val="en-US" w:eastAsia="zh-CN" w:bidi="ar-SA"/>
                    </w:rPr>
                    <w:t>3</w:t>
                  </w:r>
                </w:p>
              </w:tc>
              <w:tc>
                <w:tcPr>
                  <w:tcW w:w="907"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5.1</w:t>
                  </w:r>
                  <w:r>
                    <w:rPr>
                      <w:rFonts w:hint="default" w:ascii="Times New Roman" w:hAnsi="Times New Roman" w:eastAsia="宋体" w:cs="Times New Roman"/>
                      <w:color w:val="auto"/>
                      <w:sz w:val="21"/>
                      <w:szCs w:val="21"/>
                      <w:lang w:val="en-US" w:eastAsia="zh-CN" w:bidi="ar-SA"/>
                    </w:rPr>
                    <w:t>×</w:t>
                  </w:r>
                  <w:r>
                    <w:rPr>
                      <w:rFonts w:hint="eastAsia" w:ascii="Times New Roman" w:hAnsi="Times New Roman" w:eastAsia="宋体" w:cs="Times New Roman"/>
                      <w:color w:val="auto"/>
                      <w:sz w:val="21"/>
                      <w:szCs w:val="21"/>
                      <w:lang w:val="en-US" w:eastAsia="zh-CN" w:bidi="ar-SA"/>
                    </w:rPr>
                    <w:t>10</w:t>
                  </w:r>
                  <w:r>
                    <w:rPr>
                      <w:rFonts w:hint="eastAsia" w:ascii="Times New Roman" w:hAnsi="Times New Roman" w:eastAsia="宋体" w:cs="Times New Roman"/>
                      <w:color w:val="auto"/>
                      <w:sz w:val="21"/>
                      <w:szCs w:val="21"/>
                      <w:vertAlign w:val="superscript"/>
                      <w:lang w:val="en-US" w:eastAsia="zh-CN" w:bidi="ar-SA"/>
                    </w:rPr>
                    <w:t>3</w:t>
                  </w:r>
                </w:p>
              </w:tc>
              <w:tc>
                <w:tcPr>
                  <w:tcW w:w="481" w:type="pct"/>
                  <w:noWrap w:val="0"/>
                  <w:vAlign w:val="center"/>
                </w:tcPr>
                <w:p>
                  <w:pPr>
                    <w:jc w:val="center"/>
                    <w:rPr>
                      <w:rFonts w:hint="eastAsia" w:cs="Times New Roman"/>
                      <w:color w:val="auto"/>
                      <w:sz w:val="21"/>
                      <w:szCs w:val="21"/>
                      <w:lang w:val="en-US" w:eastAsia="zh-CN" w:bidi="ar-SA"/>
                    </w:rPr>
                  </w:pPr>
                  <w:r>
                    <w:rPr>
                      <w:rFonts w:hint="eastAsia" w:cs="Times New Roman"/>
                      <w:color w:val="auto"/>
                      <w:sz w:val="21"/>
                      <w:szCs w:val="21"/>
                      <w:lang w:val="en-US" w:eastAsia="zh-CN" w:bidi="ar-S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default" w:ascii="Times New Roman" w:hAnsi="Times New Roman" w:cs="Times New Roman"/>
                      <w:color w:val="auto"/>
                      <w:position w:val="2"/>
                      <w:sz w:val="21"/>
                      <w:szCs w:val="21"/>
                      <w:lang w:val="en-US" w:eastAsia="zh-CN" w:bidi="ar-SA"/>
                    </w:rPr>
                  </w:pPr>
                  <w:r>
                    <w:rPr>
                      <w:rFonts w:hint="default" w:ascii="Times New Roman" w:hAnsi="Times New Roman" w:eastAsia="宋体" w:cs="Times New Roman"/>
                      <w:color w:val="auto"/>
                      <w:sz w:val="21"/>
                      <w:szCs w:val="21"/>
                      <w:lang w:eastAsia="zh-CN"/>
                    </w:rPr>
                    <w:t>阴离子表面活性剂</w:t>
                  </w:r>
                </w:p>
              </w:tc>
              <w:tc>
                <w:tcPr>
                  <w:tcW w:w="906"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ND</w:t>
                  </w:r>
                </w:p>
              </w:tc>
              <w:tc>
                <w:tcPr>
                  <w:tcW w:w="906"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ND</w:t>
                  </w:r>
                </w:p>
              </w:tc>
              <w:tc>
                <w:tcPr>
                  <w:tcW w:w="907"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ND</w:t>
                  </w:r>
                </w:p>
              </w:tc>
              <w:tc>
                <w:tcPr>
                  <w:tcW w:w="481" w:type="pct"/>
                  <w:noWrap w:val="0"/>
                  <w:vAlign w:val="center"/>
                </w:tcPr>
                <w:p>
                  <w:pPr>
                    <w:jc w:val="center"/>
                    <w:rPr>
                      <w:rFonts w:hint="eastAsia" w:cs="Times New Roman"/>
                      <w:color w:val="auto"/>
                      <w:sz w:val="21"/>
                      <w:szCs w:val="21"/>
                      <w:lang w:val="en-US" w:eastAsia="zh-CN" w:bidi="ar-SA"/>
                    </w:rPr>
                  </w:pPr>
                  <w:r>
                    <w:rPr>
                      <w:rFonts w:hint="eastAsia" w:cs="Times New Roman"/>
                      <w:color w:val="auto"/>
                      <w:sz w:val="21"/>
                      <w:szCs w:val="21"/>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vMerge w:val="continue"/>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p>
              </w:tc>
              <w:tc>
                <w:tcPr>
                  <w:tcW w:w="1086" w:type="pct"/>
                  <w:noWrap w:val="0"/>
                  <w:vAlign w:val="center"/>
                </w:tcPr>
                <w:p>
                  <w:pPr>
                    <w:widowControl/>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eastAsia="zh-CN"/>
                    </w:rPr>
                    <w:t>粪大肠菌群</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6.3</w:t>
                  </w:r>
                  <w:r>
                    <w:rPr>
                      <w:rFonts w:hint="default" w:ascii="Arial" w:hAnsi="Arial" w:cs="Arial"/>
                      <w:color w:val="auto"/>
                      <w:sz w:val="21"/>
                      <w:szCs w:val="21"/>
                      <w:lang w:val="en-US" w:eastAsia="zh-CN" w:bidi="ar-SA"/>
                    </w:rPr>
                    <w:t>×</w:t>
                  </w:r>
                  <w:r>
                    <w:rPr>
                      <w:rFonts w:hint="eastAsia" w:cs="Times New Roman"/>
                      <w:color w:val="auto"/>
                      <w:sz w:val="21"/>
                      <w:szCs w:val="21"/>
                      <w:lang w:val="en-US" w:eastAsia="zh-CN" w:bidi="ar-SA"/>
                    </w:rPr>
                    <w:t>10</w:t>
                  </w:r>
                  <w:r>
                    <w:rPr>
                      <w:rFonts w:hint="eastAsia" w:cs="Times New Roman"/>
                      <w:color w:val="auto"/>
                      <w:sz w:val="21"/>
                      <w:szCs w:val="21"/>
                      <w:vertAlign w:val="superscript"/>
                      <w:lang w:val="en-US" w:eastAsia="zh-CN" w:bidi="ar-SA"/>
                    </w:rPr>
                    <w:t>3</w:t>
                  </w:r>
                </w:p>
              </w:tc>
              <w:tc>
                <w:tcPr>
                  <w:tcW w:w="906" w:type="pct"/>
                  <w:noWrap w:val="0"/>
                  <w:vAlign w:val="center"/>
                </w:tcPr>
                <w:p>
                  <w:pPr>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6.2</w:t>
                  </w:r>
                  <w:r>
                    <w:rPr>
                      <w:rFonts w:hint="default" w:ascii="Arial" w:hAnsi="Arial" w:cs="Arial"/>
                      <w:color w:val="auto"/>
                      <w:sz w:val="21"/>
                      <w:szCs w:val="21"/>
                      <w:lang w:val="en-US" w:eastAsia="zh-CN" w:bidi="ar-SA"/>
                    </w:rPr>
                    <w:t>×</w:t>
                  </w:r>
                  <w:r>
                    <w:rPr>
                      <w:rFonts w:hint="eastAsia" w:cs="Times New Roman"/>
                      <w:color w:val="auto"/>
                      <w:sz w:val="21"/>
                      <w:szCs w:val="21"/>
                      <w:lang w:val="en-US" w:eastAsia="zh-CN" w:bidi="ar-SA"/>
                    </w:rPr>
                    <w:t>10</w:t>
                  </w:r>
                  <w:r>
                    <w:rPr>
                      <w:rFonts w:hint="eastAsia" w:cs="Times New Roman"/>
                      <w:color w:val="auto"/>
                      <w:sz w:val="21"/>
                      <w:szCs w:val="21"/>
                      <w:vertAlign w:val="superscript"/>
                      <w:lang w:val="en-US" w:eastAsia="zh-CN" w:bidi="ar-SA"/>
                    </w:rPr>
                    <w:t>3</w:t>
                  </w:r>
                </w:p>
              </w:tc>
              <w:tc>
                <w:tcPr>
                  <w:tcW w:w="907" w:type="pct"/>
                  <w:noWrap w:val="0"/>
                  <w:vAlign w:val="center"/>
                </w:tcPr>
                <w:p>
                  <w:pPr>
                    <w:jc w:val="center"/>
                    <w:rPr>
                      <w:rFonts w:hint="default" w:cs="Times New Roman"/>
                      <w:color w:val="auto"/>
                      <w:sz w:val="21"/>
                      <w:szCs w:val="21"/>
                      <w:lang w:val="en-US" w:eastAsia="zh-CN" w:bidi="ar-SA"/>
                    </w:rPr>
                  </w:pPr>
                  <w:r>
                    <w:rPr>
                      <w:rFonts w:hint="eastAsia" w:cs="Times New Roman"/>
                      <w:color w:val="auto"/>
                      <w:sz w:val="21"/>
                      <w:szCs w:val="21"/>
                      <w:lang w:val="en-US" w:eastAsia="zh-CN" w:bidi="ar-SA"/>
                    </w:rPr>
                    <w:t>6.6</w:t>
                  </w:r>
                  <w:r>
                    <w:rPr>
                      <w:rFonts w:hint="default" w:ascii="Arial" w:hAnsi="Arial" w:cs="Arial"/>
                      <w:color w:val="auto"/>
                      <w:sz w:val="21"/>
                      <w:szCs w:val="21"/>
                      <w:lang w:val="en-US" w:eastAsia="zh-CN" w:bidi="ar-SA"/>
                    </w:rPr>
                    <w:t>×</w:t>
                  </w:r>
                  <w:r>
                    <w:rPr>
                      <w:rFonts w:hint="eastAsia" w:cs="Times New Roman"/>
                      <w:color w:val="auto"/>
                      <w:sz w:val="21"/>
                      <w:szCs w:val="21"/>
                      <w:lang w:val="en-US" w:eastAsia="zh-CN" w:bidi="ar-SA"/>
                    </w:rPr>
                    <w:t>10</w:t>
                  </w:r>
                  <w:r>
                    <w:rPr>
                      <w:rFonts w:hint="eastAsia" w:cs="Times New Roman"/>
                      <w:color w:val="auto"/>
                      <w:sz w:val="21"/>
                      <w:szCs w:val="21"/>
                      <w:vertAlign w:val="superscript"/>
                      <w:lang w:val="en-US" w:eastAsia="zh-CN" w:bidi="ar-SA"/>
                    </w:rPr>
                    <w:t>3</w:t>
                  </w:r>
                </w:p>
              </w:tc>
              <w:tc>
                <w:tcPr>
                  <w:tcW w:w="481" w:type="pct"/>
                  <w:noWrap w:val="0"/>
                  <w:vAlign w:val="center"/>
                </w:tcPr>
                <w:p>
                  <w:pPr>
                    <w:jc w:val="center"/>
                    <w:rPr>
                      <w:rFonts w:hint="eastAsia" w:cs="Times New Roman"/>
                      <w:color w:val="auto"/>
                      <w:sz w:val="21"/>
                      <w:szCs w:val="21"/>
                      <w:lang w:val="en-US" w:eastAsia="zh-CN" w:bidi="ar-SA"/>
                    </w:rPr>
                  </w:pPr>
                  <w:r>
                    <w:rPr>
                      <w:rFonts w:hint="eastAsia" w:cs="Times New Roman"/>
                      <w:color w:val="auto"/>
                      <w:sz w:val="21"/>
                      <w:szCs w:val="21"/>
                      <w:lang w:val="en-US" w:eastAsia="zh-CN" w:bidi="ar-S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12" w:type="pct"/>
                  <w:noWrap w:val="0"/>
                  <w:vAlign w:val="center"/>
                </w:tcPr>
                <w:p>
                  <w:pPr>
                    <w:widowControl/>
                    <w:jc w:val="center"/>
                    <w:textAlignment w:val="center"/>
                    <w:rPr>
                      <w:rFonts w:hint="default" w:ascii="Times New Roman" w:hAnsi="Times New Roman" w:eastAsia="宋体" w:cs="Times New Roman"/>
                      <w:color w:val="auto"/>
                      <w:position w:val="2"/>
                      <w:sz w:val="21"/>
                      <w:szCs w:val="21"/>
                      <w:lang w:val="en-US" w:eastAsia="zh-CN"/>
                    </w:rPr>
                  </w:pPr>
                  <w:r>
                    <w:rPr>
                      <w:rFonts w:hint="eastAsia" w:ascii="Times New Roman" w:hAnsi="Times New Roman" w:eastAsia="宋体" w:cs="Times New Roman"/>
                      <w:color w:val="auto"/>
                      <w:position w:val="2"/>
                      <w:sz w:val="21"/>
                      <w:szCs w:val="21"/>
                      <w:lang w:val="en-US" w:eastAsia="zh-CN"/>
                    </w:rPr>
                    <w:t>备注</w:t>
                  </w:r>
                </w:p>
              </w:tc>
              <w:tc>
                <w:tcPr>
                  <w:tcW w:w="4287" w:type="pct"/>
                  <w:gridSpan w:val="5"/>
                  <w:noWrap w:val="0"/>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position w:val="2"/>
                      <w:sz w:val="21"/>
                      <w:szCs w:val="21"/>
                      <w:lang w:val="en-US" w:eastAsia="zh-CN"/>
                    </w:rPr>
                    <w:t>执行《地表水环境质量标准》（GB3838-2002）Ⅲ类水质标准</w:t>
                  </w:r>
                </w:p>
              </w:tc>
            </w:tr>
          </w:tbl>
          <w:p>
            <w:pPr>
              <w:pStyle w:val="41"/>
              <w:rPr>
                <w:rStyle w:val="37"/>
                <w:rFonts w:hint="default" w:ascii="Times New Roman" w:hAnsi="Times New Roman" w:cs="Times New Roman"/>
                <w:snapToGrid w:val="0"/>
                <w:color w:val="auto"/>
                <w:kern w:val="2"/>
                <w:sz w:val="24"/>
                <w:szCs w:val="24"/>
                <w:shd w:val="clear" w:color="auto" w:fill="FFFFFF"/>
              </w:rPr>
            </w:pPr>
          </w:p>
          <w:p>
            <w:pPr>
              <w:snapToGrid w:val="0"/>
              <w:spacing w:line="360" w:lineRule="auto"/>
              <w:ind w:firstLine="480"/>
              <w:rPr>
                <w:color w:val="auto"/>
              </w:rPr>
            </w:pPr>
            <w:r>
              <w:rPr>
                <w:rFonts w:hint="eastAsia" w:cs="Times New Roman"/>
                <w:color w:val="auto"/>
                <w:kern w:val="2"/>
                <w:sz w:val="24"/>
                <w:szCs w:val="24"/>
                <w:lang w:val="en-US" w:eastAsia="zh-CN"/>
              </w:rPr>
              <w:t>2022年8月</w:t>
            </w:r>
            <w:r>
              <w:rPr>
                <w:rFonts w:hint="default" w:ascii="Times New Roman" w:hAnsi="Times New Roman" w:cs="Times New Roman"/>
                <w:color w:val="auto"/>
                <w:kern w:val="2"/>
                <w:sz w:val="24"/>
                <w:szCs w:val="24"/>
              </w:rPr>
              <w:t>邵东市美桥城市污水处理有限公司入河排污口邵水上下游水质符合地表水环境质量Ⅲ类水质标准，</w:t>
            </w:r>
            <w:r>
              <w:rPr>
                <w:rFonts w:hint="eastAsia" w:ascii="Times New Roman" w:hAnsi="Times New Roman" w:cs="Times New Roman"/>
                <w:color w:val="auto"/>
                <w:kern w:val="2"/>
                <w:sz w:val="24"/>
                <w:szCs w:val="24"/>
                <w:lang w:val="en-US" w:eastAsia="zh-CN"/>
              </w:rPr>
              <w:t>表明</w:t>
            </w:r>
            <w:r>
              <w:rPr>
                <w:rFonts w:hint="default" w:ascii="Times New Roman" w:hAnsi="Times New Roman" w:cs="Times New Roman"/>
                <w:color w:val="auto"/>
                <w:kern w:val="2"/>
                <w:sz w:val="24"/>
                <w:szCs w:val="24"/>
              </w:rPr>
              <w:t>项目区域</w:t>
            </w:r>
            <w:r>
              <w:rPr>
                <w:rFonts w:hint="eastAsia" w:ascii="Times New Roman" w:hAnsi="Times New Roman" w:cs="Times New Roman"/>
                <w:color w:val="auto"/>
                <w:kern w:val="2"/>
                <w:sz w:val="24"/>
                <w:szCs w:val="24"/>
                <w:lang w:val="en-US" w:eastAsia="zh-CN"/>
              </w:rPr>
              <w:t>地表水</w:t>
            </w:r>
            <w:r>
              <w:rPr>
                <w:rFonts w:hint="default" w:ascii="Times New Roman" w:hAnsi="Times New Roman" w:cs="Times New Roman"/>
                <w:color w:val="auto"/>
                <w:kern w:val="2"/>
                <w:sz w:val="24"/>
                <w:szCs w:val="24"/>
              </w:rPr>
              <w:t>现状质量良好，符合功能区划要求。</w:t>
            </w:r>
          </w:p>
          <w:p>
            <w:pPr>
              <w:pStyle w:val="29"/>
              <w:widowControl w:val="0"/>
              <w:spacing w:before="0" w:beforeAutospacing="0" w:after="0" w:afterAutospacing="0" w:line="360" w:lineRule="auto"/>
              <w:rPr>
                <w:rFonts w:ascii="Times New Roman" w:hAnsi="Times New Roman"/>
                <w:color w:val="auto"/>
              </w:rPr>
            </w:pPr>
            <w:r>
              <w:rPr>
                <w:rFonts w:ascii="Times New Roman" w:hAnsi="Times New Roman"/>
                <w:b/>
                <w:color w:val="auto"/>
                <w:kern w:val="2"/>
              </w:rPr>
              <w:t>3、声环境质量现状</w:t>
            </w:r>
          </w:p>
          <w:p>
            <w:pPr>
              <w:widowControl/>
              <w:spacing w:line="360" w:lineRule="auto"/>
              <w:ind w:firstLine="480" w:firstLineChars="200"/>
              <w:rPr>
                <w:color w:val="auto"/>
                <w:szCs w:val="21"/>
              </w:rPr>
            </w:pPr>
            <w:r>
              <w:rPr>
                <w:rFonts w:hint="eastAsia"/>
                <w:color w:val="auto"/>
                <w:szCs w:val="21"/>
                <w:lang w:val="en-US" w:eastAsia="zh-CN"/>
              </w:rPr>
              <w:t>根据《建设项目环境影响报告表》内容、格式及编制技术指南常见问题解答</w:t>
            </w:r>
            <w:r>
              <w:rPr>
                <w:color w:val="auto"/>
                <w:szCs w:val="21"/>
              </w:rPr>
              <w:t>。</w:t>
            </w:r>
            <w:r>
              <w:rPr>
                <w:rFonts w:hint="eastAsia"/>
                <w:color w:val="auto"/>
                <w:szCs w:val="21"/>
              </w:rPr>
              <w:t>厂界外周边50米范围内无声环境保护目标的建设项目，不再要求提供声环境质量现状监测数据。</w:t>
            </w:r>
            <w:r>
              <w:rPr>
                <w:rFonts w:hint="eastAsia"/>
                <w:color w:val="auto"/>
                <w:szCs w:val="21"/>
                <w:lang w:val="en-US" w:eastAsia="zh-CN"/>
              </w:rPr>
              <w:t>根据</w:t>
            </w:r>
            <w:r>
              <w:rPr>
                <w:rFonts w:hint="default" w:ascii="Times New Roman" w:hAnsi="Times New Roman" w:eastAsia="宋体" w:cs="Times New Roman"/>
                <w:bCs/>
                <w:color w:val="auto"/>
                <w:sz w:val="24"/>
                <w:szCs w:val="24"/>
                <w:u w:val="none"/>
              </w:rPr>
              <w:t>邵东县廉桥镇万友塑制品厂《一次性塑料杯、一次性纸杯生产线建设项目环境影响报告表》2021年5月15日至2021年5月17日监测数据，邵东县廉桥镇万友塑制品厂</w:t>
            </w:r>
            <w:r>
              <w:rPr>
                <w:rFonts w:hint="eastAsia" w:ascii="Times New Roman" w:hAnsi="Times New Roman" w:eastAsia="宋体" w:cs="Times New Roman"/>
                <w:bCs/>
                <w:color w:val="auto"/>
                <w:sz w:val="24"/>
                <w:szCs w:val="24"/>
                <w:u w:val="none"/>
                <w:lang w:eastAsia="zh-CN"/>
              </w:rPr>
              <w:t>位于湖南省邵阳市邵东市黑田铺镇团结村金华湘印刷产业园内，</w:t>
            </w:r>
            <w:r>
              <w:rPr>
                <w:rFonts w:hint="default" w:ascii="Times New Roman" w:hAnsi="Times New Roman" w:eastAsia="宋体" w:cs="Times New Roman"/>
                <w:bCs/>
                <w:color w:val="auto"/>
                <w:sz w:val="24"/>
                <w:szCs w:val="24"/>
                <w:u w:val="none"/>
              </w:rPr>
              <w:t>邵东县廉桥镇万友塑制品厂</w:t>
            </w:r>
            <w:r>
              <w:rPr>
                <w:rFonts w:hint="eastAsia" w:ascii="Times New Roman" w:hAnsi="Times New Roman" w:eastAsia="宋体" w:cs="Times New Roman"/>
                <w:bCs/>
                <w:color w:val="auto"/>
                <w:sz w:val="24"/>
                <w:szCs w:val="24"/>
                <w:u w:val="none"/>
                <w:lang w:val="en-US" w:eastAsia="zh-CN"/>
              </w:rPr>
              <w:t>目前尚未开工建设，</w:t>
            </w:r>
            <w:r>
              <w:rPr>
                <w:rFonts w:hint="eastAsia" w:ascii="Times New Roman" w:hAnsi="Times New Roman" w:eastAsia="宋体" w:cs="Times New Roman"/>
                <w:bCs/>
                <w:color w:val="auto"/>
                <w:sz w:val="24"/>
                <w:szCs w:val="24"/>
                <w:u w:val="none"/>
              </w:rPr>
              <w:t>自监测时至今，项目区域自然及社会环境未发生重大变化</w:t>
            </w:r>
            <w:r>
              <w:rPr>
                <w:color w:val="auto"/>
                <w:szCs w:val="21"/>
              </w:rPr>
              <w:t>。</w:t>
            </w:r>
            <w:r>
              <w:rPr>
                <w:rFonts w:hint="eastAsia"/>
                <w:color w:val="auto"/>
                <w:szCs w:val="21"/>
                <w:lang w:val="en-US" w:eastAsia="zh-CN"/>
              </w:rPr>
              <w:t>可知</w:t>
            </w:r>
            <w:r>
              <w:rPr>
                <w:color w:val="auto"/>
                <w:szCs w:val="21"/>
              </w:rPr>
              <w:t>项目所在区域环境噪声均符合《声环境质量标准》（GB3096-2008）中的</w:t>
            </w:r>
            <w:r>
              <w:rPr>
                <w:rFonts w:hint="eastAsia"/>
                <w:color w:val="auto"/>
                <w:szCs w:val="21"/>
              </w:rPr>
              <w:t>3</w:t>
            </w:r>
            <w:r>
              <w:rPr>
                <w:color w:val="auto"/>
                <w:szCs w:val="21"/>
              </w:rPr>
              <w:t>类标准要求。</w:t>
            </w:r>
          </w:p>
          <w:p>
            <w:pPr>
              <w:pStyle w:val="31"/>
              <w:spacing w:line="480" w:lineRule="atLeast"/>
              <w:ind w:firstLine="241"/>
              <w:rPr>
                <w:b/>
                <w:color w:val="auto"/>
                <w:sz w:val="24"/>
                <w:szCs w:val="24"/>
              </w:rPr>
            </w:pPr>
            <w:r>
              <w:rPr>
                <w:b/>
                <w:color w:val="auto"/>
                <w:sz w:val="24"/>
                <w:szCs w:val="24"/>
              </w:rPr>
              <w:t>4、生态环境质量</w:t>
            </w:r>
          </w:p>
          <w:p>
            <w:pPr>
              <w:widowControl/>
              <w:spacing w:line="480" w:lineRule="atLeast"/>
              <w:ind w:firstLine="480" w:firstLineChars="200"/>
              <w:jc w:val="left"/>
              <w:rPr>
                <w:color w:val="auto"/>
              </w:rPr>
            </w:pPr>
            <w:r>
              <w:rPr>
                <w:color w:val="auto"/>
              </w:rPr>
              <w:t>项目所在地属于中亚热带常绿阔叶林带,由于多年人工垦殖，已无原生植被,现仅存极少量次生植被和人工植被,以灌草丛和农业作物为主，有松、杉、竹等植物，区域主要种植的粮食作物为水稻和蔬菜。项目区域内自然资源赋存较少。</w:t>
            </w:r>
          </w:p>
          <w:p>
            <w:pPr>
              <w:widowControl/>
              <w:spacing w:line="480" w:lineRule="atLeast"/>
              <w:ind w:firstLine="480" w:firstLineChars="200"/>
              <w:jc w:val="left"/>
              <w:rPr>
                <w:color w:val="auto"/>
                <w:kern w:val="0"/>
                <w:szCs w:val="21"/>
              </w:rPr>
            </w:pPr>
            <w:r>
              <w:rPr>
                <w:color w:val="auto"/>
              </w:rPr>
              <w:t>据现场踏勘，项目所在区域人类活动频繁，主要动物是田鼠、青蛙、蛇、山雀等常见物种。家畜以牛、羊、猪为主，家禽以鸡、鸭、鹅为主。水塘中水生鱼类以青、草、鲤、鲫四大家鱼为主，项目区域内无自然保护区和重点文物保护单位，区内未见国家法定珍稀物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00" w:type="dxa"/>
            <w:vAlign w:val="center"/>
          </w:tcPr>
          <w:p>
            <w:pPr>
              <w:adjustRightInd w:val="0"/>
              <w:snapToGrid w:val="0"/>
              <w:jc w:val="center"/>
              <w:rPr>
                <w:color w:val="auto"/>
                <w:kern w:val="0"/>
                <w:szCs w:val="21"/>
              </w:rPr>
            </w:pPr>
            <w:r>
              <w:rPr>
                <w:color w:val="auto"/>
                <w:kern w:val="0"/>
                <w:szCs w:val="21"/>
              </w:rPr>
              <w:t>环境</w:t>
            </w:r>
          </w:p>
          <w:p>
            <w:pPr>
              <w:adjustRightInd w:val="0"/>
              <w:snapToGrid w:val="0"/>
              <w:jc w:val="center"/>
              <w:rPr>
                <w:color w:val="auto"/>
                <w:kern w:val="0"/>
                <w:szCs w:val="21"/>
              </w:rPr>
            </w:pPr>
            <w:r>
              <w:rPr>
                <w:color w:val="auto"/>
                <w:kern w:val="0"/>
                <w:szCs w:val="21"/>
              </w:rPr>
              <w:t>保护</w:t>
            </w:r>
          </w:p>
          <w:p>
            <w:pPr>
              <w:adjustRightInd w:val="0"/>
              <w:snapToGrid w:val="0"/>
              <w:jc w:val="center"/>
              <w:rPr>
                <w:color w:val="auto"/>
                <w:kern w:val="0"/>
                <w:szCs w:val="21"/>
              </w:rPr>
            </w:pPr>
            <w:r>
              <w:rPr>
                <w:color w:val="auto"/>
                <w:kern w:val="0"/>
                <w:szCs w:val="21"/>
              </w:rPr>
              <w:t>目标</w:t>
            </w:r>
          </w:p>
        </w:tc>
        <w:tc>
          <w:tcPr>
            <w:tcW w:w="8190" w:type="dxa"/>
            <w:vAlign w:val="center"/>
          </w:tcPr>
          <w:p>
            <w:pPr>
              <w:spacing w:line="360" w:lineRule="auto"/>
              <w:ind w:firstLine="480" w:firstLineChars="200"/>
              <w:rPr>
                <w:color w:val="auto"/>
              </w:rPr>
            </w:pPr>
            <w:r>
              <w:rPr>
                <w:color w:val="auto"/>
              </w:rPr>
              <w:t>根据调查，评价区域内无国家重点及省级风景区、历史文化遗迹等保护区（地），属于农村地区，</w:t>
            </w:r>
            <w:r>
              <w:rPr>
                <w:rFonts w:hint="eastAsia"/>
                <w:color w:val="auto"/>
              </w:rPr>
              <w:t>最近敏感点为西面黑田铺圳玄小学，距离140m</w:t>
            </w:r>
            <w:r>
              <w:rPr>
                <w:rFonts w:hint="eastAsia"/>
                <w:color w:val="auto"/>
                <w:lang w:eastAsia="zh-CN"/>
              </w:rPr>
              <w:t>。</w:t>
            </w:r>
            <w:r>
              <w:rPr>
                <w:color w:val="auto"/>
              </w:rPr>
              <w:t>因此本次评价确定评价区域内的</w:t>
            </w:r>
            <w:r>
              <w:rPr>
                <w:rFonts w:hint="eastAsia"/>
                <w:color w:val="auto"/>
                <w:lang w:val="en-US" w:eastAsia="zh-CN"/>
              </w:rPr>
              <w:t>学校、</w:t>
            </w:r>
            <w:r>
              <w:rPr>
                <w:color w:val="auto"/>
              </w:rPr>
              <w:t>村庄、河流、农田为环境保护目标。主要环境保护目标保护级别见下表。</w:t>
            </w:r>
          </w:p>
          <w:p>
            <w:pPr>
              <w:pStyle w:val="10"/>
              <w:keepNext w:val="0"/>
              <w:keepLines w:val="0"/>
              <w:suppressLineNumbers w:val="0"/>
              <w:spacing w:before="60" w:beforeLines="25" w:beforeAutospacing="0" w:after="60" w:afterLines="25" w:afterAutospacing="0" w:line="240" w:lineRule="auto"/>
              <w:ind w:left="0" w:right="0" w:firstLine="0"/>
              <w:jc w:val="center"/>
              <w:rPr>
                <w:rFonts w:hint="default"/>
                <w:b/>
                <w:bCs/>
                <w:color w:val="auto"/>
                <w:sz w:val="21"/>
                <w:szCs w:val="21"/>
              </w:rPr>
            </w:pPr>
            <w:r>
              <w:rPr>
                <w:rFonts w:hint="default"/>
                <w:b/>
                <w:bCs/>
                <w:color w:val="auto"/>
                <w:sz w:val="21"/>
                <w:szCs w:val="21"/>
              </w:rPr>
              <w:t>表3-</w:t>
            </w:r>
            <w:r>
              <w:rPr>
                <w:rFonts w:hint="eastAsia"/>
                <w:b/>
                <w:bCs/>
                <w:color w:val="auto"/>
                <w:sz w:val="21"/>
                <w:szCs w:val="21"/>
                <w:lang w:val="en-US" w:eastAsia="zh-CN"/>
              </w:rPr>
              <w:t>4</w:t>
            </w:r>
            <w:r>
              <w:rPr>
                <w:rFonts w:hint="default"/>
                <w:b/>
                <w:bCs/>
                <w:color w:val="auto"/>
                <w:sz w:val="21"/>
                <w:szCs w:val="21"/>
              </w:rPr>
              <w:t xml:space="preserve">  环境保护目标及级别</w:t>
            </w:r>
          </w:p>
          <w:tbl>
            <w:tblPr>
              <w:tblStyle w:val="34"/>
              <w:tblW w:w="79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0"/>
              <w:gridCol w:w="779"/>
              <w:gridCol w:w="779"/>
              <w:gridCol w:w="902"/>
              <w:gridCol w:w="1473"/>
              <w:gridCol w:w="1536"/>
              <w:gridCol w:w="490"/>
              <w:gridCol w:w="607"/>
              <w:gridCol w:w="9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0"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名称</w:t>
                  </w:r>
                </w:p>
              </w:tc>
              <w:tc>
                <w:tcPr>
                  <w:tcW w:w="1558"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坐标</w:t>
                  </w:r>
                </w:p>
              </w:tc>
              <w:tc>
                <w:tcPr>
                  <w:tcW w:w="902"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保护对象</w:t>
                  </w:r>
                </w:p>
              </w:tc>
              <w:tc>
                <w:tcPr>
                  <w:tcW w:w="1473"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保护规模</w:t>
                  </w:r>
                </w:p>
              </w:tc>
              <w:tc>
                <w:tcPr>
                  <w:tcW w:w="1536"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保护内容</w:t>
                  </w:r>
                </w:p>
              </w:tc>
              <w:tc>
                <w:tcPr>
                  <w:tcW w:w="490"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环境功能区</w:t>
                  </w:r>
                </w:p>
              </w:tc>
              <w:tc>
                <w:tcPr>
                  <w:tcW w:w="607"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相对厂址方位</w:t>
                  </w:r>
                </w:p>
              </w:tc>
              <w:tc>
                <w:tcPr>
                  <w:tcW w:w="960"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相对厂界距离（</w:t>
                  </w: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30" w:type="dxa"/>
                  <w:vMerge w:val="continue"/>
                  <w:vAlign w:val="center"/>
                </w:tcPr>
                <w:p>
                  <w:pPr>
                    <w:keepNext w:val="0"/>
                    <w:keepLines w:val="0"/>
                    <w:suppressLineNumbers w:val="0"/>
                    <w:spacing w:before="0" w:beforeAutospacing="0" w:after="0" w:afterAutospacing="0"/>
                    <w:ind w:left="0" w:right="0"/>
                    <w:jc w:val="center"/>
                    <w:rPr>
                      <w:rFonts w:hint="default"/>
                      <w:color w:val="auto"/>
                      <w:sz w:val="21"/>
                      <w:szCs w:val="21"/>
                    </w:rPr>
                  </w:pPr>
                </w:p>
              </w:tc>
              <w:tc>
                <w:tcPr>
                  <w:tcW w:w="779"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cs="Times New Roman"/>
                      <w:i w:val="0"/>
                      <w:iCs w:val="0"/>
                      <w:color w:val="auto"/>
                      <w:kern w:val="0"/>
                      <w:sz w:val="21"/>
                      <w:szCs w:val="21"/>
                      <w:u w:val="none"/>
                      <w:lang w:val="en-US" w:eastAsia="zh-CN" w:bidi="ar"/>
                    </w:rPr>
                    <w:t>经度</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w:t>
                  </w:r>
                </w:p>
              </w:tc>
              <w:tc>
                <w:tcPr>
                  <w:tcW w:w="779"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cs="Times New Roman"/>
                      <w:i w:val="0"/>
                      <w:iCs w:val="0"/>
                      <w:color w:val="auto"/>
                      <w:kern w:val="0"/>
                      <w:sz w:val="21"/>
                      <w:szCs w:val="21"/>
                      <w:u w:val="none"/>
                      <w:lang w:val="en-US" w:eastAsia="zh-CN" w:bidi="ar"/>
                    </w:rPr>
                    <w:t>纬度</w:t>
                  </w: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w:t>
                  </w:r>
                </w:p>
              </w:tc>
              <w:tc>
                <w:tcPr>
                  <w:tcW w:w="902" w:type="dxa"/>
                  <w:vMerge w:val="continue"/>
                  <w:vAlign w:val="center"/>
                </w:tcPr>
                <w:p>
                  <w:pPr>
                    <w:keepNext w:val="0"/>
                    <w:keepLines w:val="0"/>
                    <w:suppressLineNumbers w:val="0"/>
                    <w:spacing w:before="0" w:beforeAutospacing="0" w:after="0" w:afterAutospacing="0"/>
                    <w:ind w:left="0" w:right="0"/>
                    <w:jc w:val="center"/>
                    <w:rPr>
                      <w:rFonts w:hint="default"/>
                      <w:color w:val="auto"/>
                      <w:sz w:val="21"/>
                      <w:szCs w:val="21"/>
                    </w:rPr>
                  </w:pPr>
                </w:p>
              </w:tc>
              <w:tc>
                <w:tcPr>
                  <w:tcW w:w="1473" w:type="dxa"/>
                  <w:vMerge w:val="continue"/>
                  <w:vAlign w:val="center"/>
                </w:tcPr>
                <w:p>
                  <w:pPr>
                    <w:keepNext w:val="0"/>
                    <w:keepLines w:val="0"/>
                    <w:suppressLineNumbers w:val="0"/>
                    <w:spacing w:before="0" w:beforeAutospacing="0" w:after="0" w:afterAutospacing="0"/>
                    <w:ind w:left="0" w:right="0"/>
                    <w:jc w:val="center"/>
                    <w:rPr>
                      <w:rFonts w:hint="default"/>
                      <w:color w:val="auto"/>
                      <w:sz w:val="21"/>
                      <w:szCs w:val="21"/>
                    </w:rPr>
                  </w:pPr>
                </w:p>
              </w:tc>
              <w:tc>
                <w:tcPr>
                  <w:tcW w:w="1536" w:type="dxa"/>
                  <w:vMerge w:val="continue"/>
                  <w:vAlign w:val="center"/>
                </w:tcPr>
                <w:p>
                  <w:pPr>
                    <w:keepNext w:val="0"/>
                    <w:keepLines w:val="0"/>
                    <w:suppressLineNumbers w:val="0"/>
                    <w:spacing w:before="0" w:beforeAutospacing="0" w:after="0" w:afterAutospacing="0"/>
                    <w:ind w:left="0" w:right="0"/>
                    <w:jc w:val="center"/>
                    <w:rPr>
                      <w:rFonts w:hint="default"/>
                      <w:color w:val="auto"/>
                      <w:sz w:val="21"/>
                      <w:szCs w:val="21"/>
                    </w:rPr>
                  </w:pPr>
                </w:p>
              </w:tc>
              <w:tc>
                <w:tcPr>
                  <w:tcW w:w="490" w:type="dxa"/>
                  <w:vMerge w:val="continue"/>
                  <w:vAlign w:val="center"/>
                </w:tcPr>
                <w:p>
                  <w:pPr>
                    <w:keepNext w:val="0"/>
                    <w:keepLines w:val="0"/>
                    <w:suppressLineNumbers w:val="0"/>
                    <w:spacing w:before="0" w:beforeAutospacing="0" w:after="0" w:afterAutospacing="0"/>
                    <w:ind w:left="0" w:right="0"/>
                    <w:jc w:val="center"/>
                    <w:rPr>
                      <w:rFonts w:hint="default"/>
                      <w:color w:val="auto"/>
                      <w:sz w:val="21"/>
                      <w:szCs w:val="21"/>
                    </w:rPr>
                  </w:pPr>
                </w:p>
              </w:tc>
              <w:tc>
                <w:tcPr>
                  <w:tcW w:w="607" w:type="dxa"/>
                  <w:vMerge w:val="continue"/>
                  <w:vAlign w:val="center"/>
                </w:tcPr>
                <w:p>
                  <w:pPr>
                    <w:keepNext w:val="0"/>
                    <w:keepLines w:val="0"/>
                    <w:suppressLineNumbers w:val="0"/>
                    <w:spacing w:before="0" w:beforeAutospacing="0" w:after="0" w:afterAutospacing="0"/>
                    <w:ind w:left="0" w:right="0"/>
                    <w:jc w:val="center"/>
                    <w:rPr>
                      <w:rFonts w:hint="default"/>
                      <w:color w:val="auto"/>
                      <w:sz w:val="21"/>
                      <w:szCs w:val="21"/>
                    </w:rPr>
                  </w:pPr>
                </w:p>
              </w:tc>
              <w:tc>
                <w:tcPr>
                  <w:tcW w:w="960" w:type="dxa"/>
                  <w:vMerge w:val="continue"/>
                  <w:vAlign w:val="center"/>
                </w:tcPr>
                <w:p>
                  <w:pPr>
                    <w:keepNext w:val="0"/>
                    <w:keepLines w:val="0"/>
                    <w:suppressLineNumbers w:val="0"/>
                    <w:spacing w:before="0" w:beforeAutospacing="0" w:after="0" w:afterAutospacing="0"/>
                    <w:ind w:left="0" w:right="0"/>
                    <w:jc w:val="center"/>
                    <w:rPr>
                      <w:rFonts w:hint="default"/>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30"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环境空气</w:t>
                  </w:r>
                </w:p>
              </w:tc>
              <w:tc>
                <w:tcPr>
                  <w:tcW w:w="779"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111.765635</w:t>
                  </w:r>
                </w:p>
              </w:tc>
              <w:tc>
                <w:tcPr>
                  <w:tcW w:w="779"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27.3113275</w:t>
                  </w:r>
                </w:p>
              </w:tc>
              <w:tc>
                <w:tcPr>
                  <w:tcW w:w="902"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莲塘村</w:t>
                  </w:r>
                  <w:r>
                    <w:rPr>
                      <w:rFonts w:hint="eastAsia" w:ascii="宋体" w:hAnsi="宋体" w:cs="宋体"/>
                      <w:i w:val="0"/>
                      <w:iCs w:val="0"/>
                      <w:color w:val="auto"/>
                      <w:kern w:val="0"/>
                      <w:sz w:val="21"/>
                      <w:szCs w:val="21"/>
                      <w:u w:val="none"/>
                      <w:lang w:val="en-US" w:eastAsia="zh-CN" w:bidi="ar"/>
                    </w:rPr>
                    <w:t>居民</w:t>
                  </w:r>
                </w:p>
              </w:tc>
              <w:tc>
                <w:tcPr>
                  <w:tcW w:w="1473"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户，</w:t>
                  </w:r>
                  <w:r>
                    <w:rPr>
                      <w:rFonts w:hint="default" w:ascii="Times New Roman" w:hAnsi="Times New Roman" w:eastAsia="宋体" w:cs="Times New Roman"/>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人</w:t>
                  </w:r>
                </w:p>
              </w:tc>
              <w:tc>
                <w:tcPr>
                  <w:tcW w:w="1536"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《环境空气质量标准》（</w:t>
                  </w:r>
                  <w:r>
                    <w:rPr>
                      <w:rFonts w:hint="default" w:ascii="Times New Roman" w:hAnsi="Times New Roman" w:eastAsia="宋体" w:cs="Times New Roman"/>
                      <w:i w:val="0"/>
                      <w:iCs w:val="0"/>
                      <w:color w:val="auto"/>
                      <w:kern w:val="0"/>
                      <w:sz w:val="21"/>
                      <w:szCs w:val="21"/>
                      <w:u w:val="none"/>
                      <w:lang w:val="en-US" w:eastAsia="zh-CN" w:bidi="ar"/>
                    </w:rPr>
                    <w:t>GB3095-2012</w:t>
                  </w:r>
                  <w:r>
                    <w:rPr>
                      <w:rFonts w:hint="eastAsia" w:ascii="宋体" w:hAnsi="宋体" w:eastAsia="宋体" w:cs="宋体"/>
                      <w:i w:val="0"/>
                      <w:iCs w:val="0"/>
                      <w:color w:val="auto"/>
                      <w:kern w:val="0"/>
                      <w:sz w:val="21"/>
                      <w:szCs w:val="21"/>
                      <w:u w:val="none"/>
                      <w:lang w:val="en-US" w:eastAsia="zh-CN" w:bidi="ar"/>
                    </w:rPr>
                    <w:t>）二级标准</w:t>
                  </w:r>
                </w:p>
              </w:tc>
              <w:tc>
                <w:tcPr>
                  <w:tcW w:w="490"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二类功能区</w:t>
                  </w:r>
                </w:p>
              </w:tc>
              <w:tc>
                <w:tcPr>
                  <w:tcW w:w="607"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lang w:val="en-US" w:eastAsia="zh-CN"/>
                    </w:rPr>
                  </w:pPr>
                  <w:r>
                    <w:rPr>
                      <w:rFonts w:hint="eastAsia"/>
                      <w:color w:val="auto"/>
                      <w:sz w:val="21"/>
                      <w:szCs w:val="21"/>
                      <w:lang w:val="en-US" w:eastAsia="zh-CN"/>
                    </w:rPr>
                    <w:t>NE</w:t>
                  </w:r>
                </w:p>
              </w:tc>
              <w:tc>
                <w:tcPr>
                  <w:tcW w:w="960"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lang w:val="en-US" w:eastAsia="zh-CN"/>
                    </w:rPr>
                  </w:pPr>
                  <w:r>
                    <w:rPr>
                      <w:rFonts w:hint="eastAsia"/>
                      <w:color w:val="auto"/>
                      <w:sz w:val="21"/>
                      <w:szCs w:val="21"/>
                      <w:lang w:val="en-US" w:eastAsia="zh-CN"/>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30"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c>
                <w:tcPr>
                  <w:tcW w:w="77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111.761679</w:t>
                  </w:r>
                </w:p>
              </w:tc>
              <w:tc>
                <w:tcPr>
                  <w:tcW w:w="77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27.305983</w:t>
                  </w:r>
                </w:p>
              </w:tc>
              <w:tc>
                <w:tcPr>
                  <w:tcW w:w="902" w:type="dxa"/>
                  <w:vAlign w:val="top"/>
                </w:tcPr>
                <w:p>
                  <w:pPr>
                    <w:keepNext w:val="0"/>
                    <w:keepLines w:val="0"/>
                    <w:widowControl/>
                    <w:suppressLineNumbers w:val="0"/>
                    <w:spacing w:before="0" w:beforeAutospacing="0" w:after="0" w:afterAutospacing="0"/>
                    <w:ind w:left="0" w:leftChars="0" w:right="0" w:rightChars="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团结村牛塘冲</w:t>
                  </w:r>
                </w:p>
              </w:tc>
              <w:tc>
                <w:tcPr>
                  <w:tcW w:w="14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r>
                    <w:rPr>
                      <w:rFonts w:hint="eastAsia" w:ascii="宋体" w:hAnsi="宋体" w:eastAsia="宋体" w:cs="宋体"/>
                      <w:i w:val="0"/>
                      <w:iCs w:val="0"/>
                      <w:color w:val="auto"/>
                      <w:kern w:val="0"/>
                      <w:sz w:val="21"/>
                      <w:szCs w:val="21"/>
                      <w:u w:val="none"/>
                      <w:lang w:val="en-US" w:eastAsia="zh-CN" w:bidi="ar"/>
                    </w:rPr>
                    <w:t>户，</w:t>
                  </w:r>
                  <w:r>
                    <w:rPr>
                      <w:rFonts w:hint="default" w:ascii="Times New Roman" w:hAnsi="Times New Roman" w:eastAsia="宋体" w:cs="Times New Roman"/>
                      <w:i w:val="0"/>
                      <w:iCs w:val="0"/>
                      <w:color w:val="auto"/>
                      <w:kern w:val="0"/>
                      <w:sz w:val="21"/>
                      <w:szCs w:val="21"/>
                      <w:u w:val="none"/>
                      <w:lang w:val="en-US" w:eastAsia="zh-CN" w:bidi="ar"/>
                    </w:rPr>
                    <w:t>90</w:t>
                  </w:r>
                  <w:r>
                    <w:rPr>
                      <w:rFonts w:hint="eastAsia" w:ascii="宋体" w:hAnsi="宋体" w:eastAsia="宋体" w:cs="宋体"/>
                      <w:i w:val="0"/>
                      <w:iCs w:val="0"/>
                      <w:color w:val="auto"/>
                      <w:kern w:val="0"/>
                      <w:sz w:val="21"/>
                      <w:szCs w:val="21"/>
                      <w:u w:val="none"/>
                      <w:lang w:val="en-US" w:eastAsia="zh-CN" w:bidi="ar"/>
                    </w:rPr>
                    <w:t>人</w:t>
                  </w:r>
                </w:p>
              </w:tc>
              <w:tc>
                <w:tcPr>
                  <w:tcW w:w="1536"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c>
                <w:tcPr>
                  <w:tcW w:w="490"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c>
                <w:tcPr>
                  <w:tcW w:w="607" w:type="dxa"/>
                  <w:vAlign w:val="center"/>
                </w:tcPr>
                <w:p>
                  <w:pPr>
                    <w:keepNext w:val="0"/>
                    <w:keepLines w:val="0"/>
                    <w:widowControl/>
                    <w:suppressLineNumbers w:val="0"/>
                    <w:spacing w:before="0" w:beforeAutospacing="0" w:after="0" w:afterAutospacing="0"/>
                    <w:ind w:left="0" w:right="0"/>
                    <w:jc w:val="center"/>
                    <w:textAlignment w:val="center"/>
                    <w:rPr>
                      <w:rFonts w:hint="eastAsia"/>
                      <w:color w:val="auto"/>
                      <w:sz w:val="21"/>
                      <w:szCs w:val="21"/>
                      <w:lang w:val="en-US" w:eastAsia="zh-CN"/>
                    </w:rPr>
                  </w:pPr>
                  <w:r>
                    <w:rPr>
                      <w:rFonts w:hint="eastAsia"/>
                      <w:color w:val="auto"/>
                      <w:sz w:val="21"/>
                      <w:szCs w:val="21"/>
                      <w:lang w:val="en-US" w:eastAsia="zh-CN"/>
                    </w:rPr>
                    <w:t>S</w:t>
                  </w:r>
                </w:p>
              </w:tc>
              <w:tc>
                <w:tcPr>
                  <w:tcW w:w="960"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lang w:val="en-US" w:eastAsia="zh-CN"/>
                    </w:rPr>
                  </w:pPr>
                  <w:r>
                    <w:rPr>
                      <w:rFonts w:hint="eastAsia"/>
                      <w:color w:val="auto"/>
                      <w:sz w:val="21"/>
                      <w:szCs w:val="21"/>
                      <w:lang w:val="en-US" w:eastAsia="zh-CN"/>
                    </w:rPr>
                    <w:t>220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0" w:type="dxa"/>
                  <w:vMerge w:val="continue"/>
                  <w:vAlign w:val="center"/>
                </w:tcPr>
                <w:p>
                  <w:pPr>
                    <w:keepNext w:val="0"/>
                    <w:keepLines w:val="0"/>
                    <w:suppressLineNumbers w:val="0"/>
                    <w:spacing w:before="0" w:beforeAutospacing="0" w:after="0" w:afterAutospacing="0"/>
                    <w:ind w:left="0" w:right="0"/>
                    <w:jc w:val="center"/>
                    <w:rPr>
                      <w:rFonts w:hint="default"/>
                      <w:color w:val="auto"/>
                      <w:sz w:val="21"/>
                      <w:szCs w:val="21"/>
                    </w:rPr>
                  </w:pPr>
                </w:p>
              </w:tc>
              <w:tc>
                <w:tcPr>
                  <w:tcW w:w="779"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111.760657</w:t>
                  </w:r>
                </w:p>
              </w:tc>
              <w:tc>
                <w:tcPr>
                  <w:tcW w:w="779"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27.3072773</w:t>
                  </w:r>
                </w:p>
              </w:tc>
              <w:tc>
                <w:tcPr>
                  <w:tcW w:w="902" w:type="dxa"/>
                  <w:vAlign w:val="top"/>
                </w:tcPr>
                <w:p>
                  <w:pPr>
                    <w:keepNext w:val="0"/>
                    <w:keepLines w:val="0"/>
                    <w:widowControl/>
                    <w:suppressLineNumbers w:val="0"/>
                    <w:spacing w:before="0" w:beforeAutospacing="0" w:after="0" w:afterAutospacing="0"/>
                    <w:ind w:left="0" w:right="0"/>
                    <w:jc w:val="center"/>
                    <w:textAlignment w:val="top"/>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黑田铺圳玄小学</w:t>
                  </w:r>
                </w:p>
              </w:tc>
              <w:tc>
                <w:tcPr>
                  <w:tcW w:w="1473"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师生400人</w:t>
                  </w:r>
                </w:p>
              </w:tc>
              <w:tc>
                <w:tcPr>
                  <w:tcW w:w="1536" w:type="dxa"/>
                  <w:vMerge w:val="continue"/>
                  <w:vAlign w:val="center"/>
                </w:tcPr>
                <w:p>
                  <w:pPr>
                    <w:keepNext w:val="0"/>
                    <w:keepLines w:val="0"/>
                    <w:suppressLineNumbers w:val="0"/>
                    <w:spacing w:before="0" w:beforeAutospacing="0" w:after="0" w:afterAutospacing="0"/>
                    <w:ind w:left="0" w:right="0"/>
                    <w:jc w:val="center"/>
                    <w:rPr>
                      <w:rFonts w:hint="default"/>
                      <w:color w:val="auto"/>
                      <w:sz w:val="21"/>
                      <w:szCs w:val="21"/>
                    </w:rPr>
                  </w:pPr>
                </w:p>
              </w:tc>
              <w:tc>
                <w:tcPr>
                  <w:tcW w:w="490" w:type="dxa"/>
                  <w:vMerge w:val="continue"/>
                  <w:vAlign w:val="center"/>
                </w:tcPr>
                <w:p>
                  <w:pPr>
                    <w:keepNext w:val="0"/>
                    <w:keepLines w:val="0"/>
                    <w:suppressLineNumbers w:val="0"/>
                    <w:spacing w:before="0" w:beforeAutospacing="0" w:after="0" w:afterAutospacing="0"/>
                    <w:ind w:left="0" w:right="0"/>
                    <w:jc w:val="center"/>
                    <w:rPr>
                      <w:rFonts w:hint="default"/>
                      <w:color w:val="auto"/>
                      <w:sz w:val="21"/>
                      <w:szCs w:val="21"/>
                    </w:rPr>
                  </w:pPr>
                </w:p>
              </w:tc>
              <w:tc>
                <w:tcPr>
                  <w:tcW w:w="607" w:type="dxa"/>
                  <w:vAlign w:val="center"/>
                </w:tcPr>
                <w:p>
                  <w:pPr>
                    <w:keepNext w:val="0"/>
                    <w:keepLines w:val="0"/>
                    <w:widowControl/>
                    <w:suppressLineNumbers w:val="0"/>
                    <w:spacing w:before="0" w:beforeAutospacing="0" w:after="0" w:afterAutospacing="0"/>
                    <w:ind w:left="0" w:right="0"/>
                    <w:jc w:val="center"/>
                    <w:textAlignment w:val="center"/>
                    <w:rPr>
                      <w:rFonts w:hint="eastAsia"/>
                      <w:color w:val="auto"/>
                      <w:sz w:val="21"/>
                      <w:szCs w:val="21"/>
                      <w:lang w:val="en-US" w:eastAsia="zh-CN"/>
                    </w:rPr>
                  </w:pPr>
                  <w:r>
                    <w:rPr>
                      <w:rFonts w:hint="eastAsia"/>
                      <w:color w:val="auto"/>
                      <w:sz w:val="21"/>
                      <w:szCs w:val="21"/>
                      <w:lang w:val="en-US" w:eastAsia="zh-CN"/>
                    </w:rPr>
                    <w:t>W</w:t>
                  </w:r>
                </w:p>
              </w:tc>
              <w:tc>
                <w:tcPr>
                  <w:tcW w:w="960"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lang w:val="en-US" w:eastAsia="zh-CN"/>
                    </w:rPr>
                  </w:pPr>
                  <w:r>
                    <w:rPr>
                      <w:rFonts w:hint="eastAsia"/>
                      <w:color w:val="auto"/>
                      <w:sz w:val="21"/>
                      <w:szCs w:val="21"/>
                      <w:lang w:val="en-US" w:eastAsia="zh-CN"/>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0" w:type="dxa"/>
                  <w:vMerge w:val="continue"/>
                  <w:vAlign w:val="center"/>
                </w:tcPr>
                <w:p>
                  <w:pPr>
                    <w:keepNext w:val="0"/>
                    <w:keepLines w:val="0"/>
                    <w:suppressLineNumbers w:val="0"/>
                    <w:spacing w:before="0" w:beforeAutospacing="0" w:after="0" w:afterAutospacing="0"/>
                    <w:ind w:left="0" w:right="0"/>
                    <w:jc w:val="center"/>
                    <w:rPr>
                      <w:rFonts w:hint="default"/>
                      <w:color w:val="auto"/>
                      <w:sz w:val="21"/>
                      <w:szCs w:val="21"/>
                    </w:rPr>
                  </w:pPr>
                </w:p>
              </w:tc>
              <w:tc>
                <w:tcPr>
                  <w:tcW w:w="779" w:type="dxa"/>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auto"/>
                      <w:sz w:val="21"/>
                      <w:szCs w:val="21"/>
                      <w:lang w:val="en-US" w:eastAsia="zh-CN"/>
                    </w:rPr>
                  </w:pPr>
                  <w:r>
                    <w:rPr>
                      <w:rFonts w:hint="eastAsia"/>
                      <w:color w:val="auto"/>
                      <w:sz w:val="21"/>
                      <w:szCs w:val="21"/>
                      <w:lang w:val="en-US" w:eastAsia="zh-CN"/>
                    </w:rPr>
                    <w:t>111.760810</w:t>
                  </w:r>
                </w:p>
              </w:tc>
              <w:tc>
                <w:tcPr>
                  <w:tcW w:w="779" w:type="dxa"/>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auto"/>
                      <w:sz w:val="21"/>
                      <w:szCs w:val="21"/>
                      <w:lang w:val="en-US" w:eastAsia="zh-CN"/>
                    </w:rPr>
                  </w:pPr>
                  <w:r>
                    <w:rPr>
                      <w:rFonts w:hint="eastAsia"/>
                      <w:color w:val="auto"/>
                      <w:sz w:val="21"/>
                      <w:szCs w:val="21"/>
                      <w:lang w:val="en-US" w:eastAsia="zh-CN"/>
                    </w:rPr>
                    <w:t>27.3130575</w:t>
                  </w:r>
                </w:p>
              </w:tc>
              <w:tc>
                <w:tcPr>
                  <w:tcW w:w="902" w:type="dxa"/>
                  <w:vAlign w:val="top"/>
                </w:tcPr>
                <w:p>
                  <w:pPr>
                    <w:keepNext w:val="0"/>
                    <w:keepLines w:val="0"/>
                    <w:widowControl/>
                    <w:suppressLineNumbers w:val="0"/>
                    <w:spacing w:before="0" w:beforeAutospacing="0" w:after="0" w:afterAutospacing="0"/>
                    <w:ind w:left="0" w:right="0"/>
                    <w:jc w:val="center"/>
                    <w:textAlignment w:val="top"/>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莲塘村</w:t>
                  </w:r>
                  <w:r>
                    <w:rPr>
                      <w:rFonts w:hint="eastAsia" w:ascii="宋体" w:hAnsi="宋体" w:cs="宋体"/>
                      <w:i w:val="0"/>
                      <w:iCs w:val="0"/>
                      <w:color w:val="auto"/>
                      <w:kern w:val="0"/>
                      <w:sz w:val="21"/>
                      <w:szCs w:val="21"/>
                      <w:u w:val="none"/>
                      <w:lang w:val="en-US" w:eastAsia="zh-CN" w:bidi="ar"/>
                    </w:rPr>
                    <w:t>三星堂居民</w:t>
                  </w:r>
                </w:p>
              </w:tc>
              <w:tc>
                <w:tcPr>
                  <w:tcW w:w="1473"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cs="Times New Roman"/>
                      <w:i w:val="0"/>
                      <w:iCs w:val="0"/>
                      <w:color w:val="auto"/>
                      <w:kern w:val="0"/>
                      <w:sz w:val="21"/>
                      <w:szCs w:val="21"/>
                      <w:u w:val="none"/>
                      <w:lang w:val="en-US" w:eastAsia="zh-CN" w:bidi="ar"/>
                    </w:rPr>
                    <w:t>20</w:t>
                  </w:r>
                  <w:r>
                    <w:rPr>
                      <w:rFonts w:hint="eastAsia" w:ascii="宋体" w:hAnsi="宋体" w:eastAsia="宋体" w:cs="宋体"/>
                      <w:i w:val="0"/>
                      <w:iCs w:val="0"/>
                      <w:color w:val="auto"/>
                      <w:kern w:val="0"/>
                      <w:sz w:val="21"/>
                      <w:szCs w:val="21"/>
                      <w:u w:val="none"/>
                      <w:lang w:val="en-US" w:eastAsia="zh-CN" w:bidi="ar"/>
                    </w:rPr>
                    <w:t>户，</w:t>
                  </w:r>
                  <w:r>
                    <w:rPr>
                      <w:rFonts w:hint="eastAsia" w:cs="Times New Roman"/>
                      <w:i w:val="0"/>
                      <w:iCs w:val="0"/>
                      <w:color w:val="auto"/>
                      <w:kern w:val="0"/>
                      <w:sz w:val="21"/>
                      <w:szCs w:val="21"/>
                      <w:u w:val="none"/>
                      <w:lang w:val="en-US" w:eastAsia="zh-CN" w:bidi="ar"/>
                    </w:rPr>
                    <w:t>60</w:t>
                  </w:r>
                  <w:r>
                    <w:rPr>
                      <w:rFonts w:hint="eastAsia" w:ascii="宋体" w:hAnsi="宋体" w:eastAsia="宋体" w:cs="宋体"/>
                      <w:i w:val="0"/>
                      <w:iCs w:val="0"/>
                      <w:color w:val="auto"/>
                      <w:kern w:val="0"/>
                      <w:sz w:val="21"/>
                      <w:szCs w:val="21"/>
                      <w:u w:val="none"/>
                      <w:lang w:val="en-US" w:eastAsia="zh-CN" w:bidi="ar"/>
                    </w:rPr>
                    <w:t>人</w:t>
                  </w:r>
                </w:p>
              </w:tc>
              <w:tc>
                <w:tcPr>
                  <w:tcW w:w="1536" w:type="dxa"/>
                  <w:vMerge w:val="continue"/>
                  <w:vAlign w:val="center"/>
                </w:tcPr>
                <w:p>
                  <w:pPr>
                    <w:keepNext w:val="0"/>
                    <w:keepLines w:val="0"/>
                    <w:suppressLineNumbers w:val="0"/>
                    <w:spacing w:before="0" w:beforeAutospacing="0" w:after="0" w:afterAutospacing="0"/>
                    <w:ind w:left="0" w:right="0"/>
                    <w:jc w:val="center"/>
                    <w:rPr>
                      <w:rFonts w:hint="default"/>
                      <w:color w:val="auto"/>
                      <w:sz w:val="21"/>
                      <w:szCs w:val="21"/>
                    </w:rPr>
                  </w:pPr>
                </w:p>
              </w:tc>
              <w:tc>
                <w:tcPr>
                  <w:tcW w:w="490" w:type="dxa"/>
                  <w:vMerge w:val="continue"/>
                  <w:vAlign w:val="center"/>
                </w:tcPr>
                <w:p>
                  <w:pPr>
                    <w:keepNext w:val="0"/>
                    <w:keepLines w:val="0"/>
                    <w:suppressLineNumbers w:val="0"/>
                    <w:spacing w:before="0" w:beforeAutospacing="0" w:after="0" w:afterAutospacing="0"/>
                    <w:ind w:left="0" w:right="0"/>
                    <w:jc w:val="center"/>
                    <w:rPr>
                      <w:rFonts w:hint="default"/>
                      <w:color w:val="auto"/>
                      <w:sz w:val="21"/>
                      <w:szCs w:val="21"/>
                    </w:rPr>
                  </w:pPr>
                </w:p>
              </w:tc>
              <w:tc>
                <w:tcPr>
                  <w:tcW w:w="607"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lang w:val="en-US" w:eastAsia="zh-CN"/>
                    </w:rPr>
                  </w:pPr>
                  <w:r>
                    <w:rPr>
                      <w:rFonts w:hint="eastAsia"/>
                      <w:color w:val="auto"/>
                      <w:sz w:val="21"/>
                      <w:szCs w:val="21"/>
                      <w:lang w:val="en-US" w:eastAsia="zh-CN"/>
                    </w:rPr>
                    <w:t>N</w:t>
                  </w:r>
                </w:p>
              </w:tc>
              <w:tc>
                <w:tcPr>
                  <w:tcW w:w="960"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lang w:val="en-US" w:eastAsia="zh-CN"/>
                    </w:rPr>
                  </w:pPr>
                  <w:r>
                    <w:rPr>
                      <w:rFonts w:hint="eastAsia"/>
                      <w:color w:val="auto"/>
                      <w:sz w:val="21"/>
                      <w:szCs w:val="21"/>
                      <w:lang w:val="en-US" w:eastAsia="zh-CN"/>
                    </w:rPr>
                    <w:t>460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430"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声环境</w:t>
                  </w:r>
                </w:p>
              </w:tc>
              <w:tc>
                <w:tcPr>
                  <w:tcW w:w="2460" w:type="dxa"/>
                  <w:gridSpan w:val="3"/>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厂区四周</w:t>
                  </w:r>
                </w:p>
              </w:tc>
              <w:tc>
                <w:tcPr>
                  <w:tcW w:w="3009"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《声环境质量标准》（</w:t>
                  </w:r>
                  <w:r>
                    <w:rPr>
                      <w:rFonts w:hint="default" w:ascii="Times New Roman" w:hAnsi="Times New Roman" w:eastAsia="宋体" w:cs="Times New Roman"/>
                      <w:i w:val="0"/>
                      <w:iCs w:val="0"/>
                      <w:color w:val="auto"/>
                      <w:kern w:val="0"/>
                      <w:sz w:val="21"/>
                      <w:szCs w:val="21"/>
                      <w:u w:val="none"/>
                      <w:lang w:val="en-US" w:eastAsia="zh-CN" w:bidi="ar"/>
                    </w:rPr>
                    <w:t>GB3096-2008</w:t>
                  </w:r>
                  <w:r>
                    <w:rPr>
                      <w:rFonts w:hint="eastAsia" w:ascii="宋体" w:hAnsi="宋体" w:eastAsia="宋体" w:cs="宋体"/>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类标准</w:t>
                  </w:r>
                </w:p>
              </w:tc>
              <w:tc>
                <w:tcPr>
                  <w:tcW w:w="49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类功能区</w:t>
                  </w:r>
                </w:p>
              </w:tc>
              <w:tc>
                <w:tcPr>
                  <w:tcW w:w="607"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960"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30"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eastAsia" w:ascii="宋体" w:hAnsi="宋体" w:eastAsia="宋体" w:cs="宋体"/>
                      <w:i w:val="0"/>
                      <w:iCs w:val="0"/>
                      <w:color w:val="auto"/>
                      <w:kern w:val="0"/>
                      <w:sz w:val="21"/>
                      <w:szCs w:val="21"/>
                      <w:u w:val="none"/>
                      <w:lang w:val="en-US" w:eastAsia="zh-CN" w:bidi="ar"/>
                    </w:rPr>
                    <w:t>地表水</w:t>
                  </w:r>
                </w:p>
              </w:tc>
              <w:tc>
                <w:tcPr>
                  <w:tcW w:w="2460" w:type="dxa"/>
                  <w:gridSpan w:val="3"/>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21"/>
                      <w:sz w:val="21"/>
                      <w:szCs w:val="21"/>
                    </w:rPr>
                  </w:pPr>
                  <w:r>
                    <w:rPr>
                      <w:rFonts w:hint="eastAsia" w:ascii="宋体" w:hAnsi="宋体" w:eastAsia="宋体" w:cs="宋体"/>
                      <w:i w:val="0"/>
                      <w:iCs w:val="0"/>
                      <w:color w:val="auto"/>
                      <w:kern w:val="0"/>
                      <w:sz w:val="21"/>
                      <w:szCs w:val="21"/>
                      <w:u w:val="none"/>
                      <w:lang w:val="en-US" w:eastAsia="zh-CN" w:bidi="ar"/>
                    </w:rPr>
                    <w:t>邵水河</w:t>
                  </w:r>
                </w:p>
              </w:tc>
              <w:tc>
                <w:tcPr>
                  <w:tcW w:w="3009"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21"/>
                      <w:sz w:val="21"/>
                      <w:szCs w:val="21"/>
                    </w:rPr>
                  </w:pPr>
                  <w:r>
                    <w:rPr>
                      <w:rFonts w:hint="eastAsia" w:ascii="宋体" w:hAnsi="宋体" w:eastAsia="宋体" w:cs="宋体"/>
                      <w:i w:val="0"/>
                      <w:iCs w:val="0"/>
                      <w:color w:val="auto"/>
                      <w:kern w:val="0"/>
                      <w:sz w:val="21"/>
                      <w:szCs w:val="21"/>
                      <w:u w:val="none"/>
                      <w:lang w:val="en-US" w:eastAsia="zh-CN" w:bidi="ar"/>
                    </w:rPr>
                    <w:t>《地表水环境质量标准》（</w:t>
                  </w:r>
                  <w:r>
                    <w:rPr>
                      <w:rFonts w:hint="default" w:ascii="Times New Roman" w:hAnsi="Times New Roman" w:eastAsia="宋体" w:cs="Times New Roman"/>
                      <w:i w:val="0"/>
                      <w:iCs w:val="0"/>
                      <w:color w:val="auto"/>
                      <w:kern w:val="0"/>
                      <w:sz w:val="21"/>
                      <w:szCs w:val="21"/>
                      <w:u w:val="none"/>
                      <w:lang w:val="en-US" w:eastAsia="zh-CN" w:bidi="ar"/>
                    </w:rPr>
                    <w:t>GB3838-2002</w:t>
                  </w:r>
                  <w:r>
                    <w:rPr>
                      <w:rFonts w:hint="eastAsia" w:ascii="宋体" w:hAnsi="宋体" w:eastAsia="宋体" w:cs="宋体"/>
                      <w:i w:val="0"/>
                      <w:iCs w:val="0"/>
                      <w:color w:val="auto"/>
                      <w:kern w:val="0"/>
                      <w:sz w:val="21"/>
                      <w:szCs w:val="21"/>
                      <w:u w:val="none"/>
                      <w:lang w:val="en-US" w:eastAsia="zh-CN" w:bidi="ar"/>
                    </w:rPr>
                    <w:t>）中</w:t>
                  </w:r>
                  <w:r>
                    <w:rPr>
                      <w:rFonts w:hint="default" w:ascii="Times New Roman" w:hAnsi="Times New Roman" w:eastAsia="宋体" w:cs="Times New Roman"/>
                      <w:i w:val="0"/>
                      <w:iCs w:val="0"/>
                      <w:color w:val="auto"/>
                      <w:kern w:val="0"/>
                      <w:sz w:val="21"/>
                      <w:szCs w:val="21"/>
                      <w:u w:val="none"/>
                      <w:lang w:val="en-US" w:eastAsia="zh-CN" w:bidi="ar"/>
                    </w:rPr>
                    <w:t>Ⅲ</w:t>
                  </w:r>
                  <w:r>
                    <w:rPr>
                      <w:rFonts w:hint="eastAsia" w:ascii="宋体" w:hAnsi="宋体" w:eastAsia="宋体" w:cs="宋体"/>
                      <w:i w:val="0"/>
                      <w:iCs w:val="0"/>
                      <w:color w:val="auto"/>
                      <w:kern w:val="0"/>
                      <w:sz w:val="21"/>
                      <w:szCs w:val="21"/>
                      <w:u w:val="none"/>
                      <w:lang w:val="en-US" w:eastAsia="zh-CN" w:bidi="ar"/>
                    </w:rPr>
                    <w:t>类标准</w:t>
                  </w:r>
                </w:p>
              </w:tc>
              <w:tc>
                <w:tcPr>
                  <w:tcW w:w="490"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default" w:ascii="Times New Roman" w:hAnsi="Times New Roman" w:eastAsia="宋体" w:cs="Times New Roman"/>
                      <w:i w:val="0"/>
                      <w:iCs w:val="0"/>
                      <w:color w:val="auto"/>
                      <w:kern w:val="0"/>
                      <w:sz w:val="21"/>
                      <w:szCs w:val="21"/>
                      <w:u w:val="none"/>
                      <w:lang w:val="en-US" w:eastAsia="zh-CN" w:bidi="ar"/>
                    </w:rPr>
                    <w:t>Ⅲ</w:t>
                  </w:r>
                  <w:r>
                    <w:rPr>
                      <w:rFonts w:hint="eastAsia" w:ascii="宋体" w:hAnsi="宋体" w:eastAsia="宋体" w:cs="宋体"/>
                      <w:i w:val="0"/>
                      <w:iCs w:val="0"/>
                      <w:color w:val="auto"/>
                      <w:kern w:val="0"/>
                      <w:sz w:val="21"/>
                      <w:szCs w:val="21"/>
                      <w:u w:val="none"/>
                      <w:lang w:val="en-US" w:eastAsia="zh-CN" w:bidi="ar"/>
                    </w:rPr>
                    <w:t>类功能区</w:t>
                  </w:r>
                </w:p>
              </w:tc>
              <w:tc>
                <w:tcPr>
                  <w:tcW w:w="607"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w:t>
                  </w:r>
                </w:p>
              </w:tc>
              <w:tc>
                <w:tcPr>
                  <w:tcW w:w="960"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8500</w:t>
                  </w:r>
                </w:p>
              </w:tc>
            </w:tr>
          </w:tbl>
          <w:p>
            <w:pP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pPr>
              <w:adjustRightInd w:val="0"/>
              <w:snapToGrid w:val="0"/>
              <w:jc w:val="center"/>
              <w:rPr>
                <w:color w:val="auto"/>
                <w:kern w:val="0"/>
                <w:szCs w:val="21"/>
              </w:rPr>
            </w:pPr>
            <w:r>
              <w:rPr>
                <w:color w:val="auto"/>
                <w:kern w:val="0"/>
                <w:szCs w:val="21"/>
              </w:rPr>
              <w:t>污染</w:t>
            </w:r>
          </w:p>
          <w:p>
            <w:pPr>
              <w:adjustRightInd w:val="0"/>
              <w:snapToGrid w:val="0"/>
              <w:jc w:val="center"/>
              <w:rPr>
                <w:color w:val="auto"/>
                <w:kern w:val="0"/>
                <w:szCs w:val="21"/>
              </w:rPr>
            </w:pPr>
            <w:r>
              <w:rPr>
                <w:color w:val="auto"/>
                <w:kern w:val="0"/>
                <w:szCs w:val="21"/>
              </w:rPr>
              <w:t>物排</w:t>
            </w:r>
          </w:p>
          <w:p>
            <w:pPr>
              <w:adjustRightInd w:val="0"/>
              <w:snapToGrid w:val="0"/>
              <w:jc w:val="center"/>
              <w:rPr>
                <w:color w:val="auto"/>
                <w:kern w:val="0"/>
                <w:szCs w:val="21"/>
              </w:rPr>
            </w:pPr>
            <w:r>
              <w:rPr>
                <w:color w:val="auto"/>
                <w:kern w:val="0"/>
                <w:szCs w:val="21"/>
              </w:rPr>
              <w:t>放控</w:t>
            </w:r>
          </w:p>
          <w:p>
            <w:pPr>
              <w:adjustRightInd w:val="0"/>
              <w:snapToGrid w:val="0"/>
              <w:jc w:val="center"/>
              <w:rPr>
                <w:color w:val="auto"/>
                <w:kern w:val="0"/>
                <w:szCs w:val="21"/>
              </w:rPr>
            </w:pPr>
            <w:r>
              <w:rPr>
                <w:color w:val="auto"/>
                <w:kern w:val="0"/>
                <w:szCs w:val="21"/>
              </w:rPr>
              <w:t>制标</w:t>
            </w:r>
          </w:p>
          <w:p>
            <w:pPr>
              <w:adjustRightInd w:val="0"/>
              <w:snapToGrid w:val="0"/>
              <w:jc w:val="center"/>
              <w:rPr>
                <w:color w:val="auto"/>
                <w:kern w:val="0"/>
                <w:szCs w:val="21"/>
              </w:rPr>
            </w:pPr>
            <w:r>
              <w:rPr>
                <w:color w:val="auto"/>
                <w:kern w:val="0"/>
                <w:szCs w:val="21"/>
              </w:rPr>
              <w:t>准</w:t>
            </w:r>
          </w:p>
        </w:tc>
        <w:tc>
          <w:tcPr>
            <w:tcW w:w="8190" w:type="dxa"/>
            <w:vAlign w:val="center"/>
          </w:tcPr>
          <w:p>
            <w:pPr>
              <w:pStyle w:val="31"/>
              <w:spacing w:line="480" w:lineRule="atLeast"/>
              <w:ind w:firstLine="241"/>
              <w:rPr>
                <w:b/>
                <w:color w:val="auto"/>
                <w:sz w:val="24"/>
                <w:szCs w:val="24"/>
              </w:rPr>
            </w:pPr>
            <w:r>
              <w:rPr>
                <w:b/>
                <w:color w:val="auto"/>
                <w:sz w:val="24"/>
                <w:szCs w:val="24"/>
              </w:rPr>
              <w:t>1、废气</w:t>
            </w:r>
          </w:p>
          <w:p>
            <w:pPr>
              <w:pStyle w:val="101"/>
              <w:snapToGrid w:val="0"/>
              <w:ind w:firstLine="496" w:firstLineChars="200"/>
              <w:rPr>
                <w:rFonts w:hint="eastAsia"/>
                <w:color w:val="auto"/>
              </w:rPr>
            </w:pPr>
            <w:r>
              <w:rPr>
                <w:rFonts w:hint="eastAsia"/>
                <w:color w:val="auto"/>
              </w:rPr>
              <w:t>本项目生产期间大气污染</w:t>
            </w:r>
            <w:r>
              <w:rPr>
                <w:rFonts w:ascii="Times New Roman" w:cs="Times New Roman"/>
                <w:color w:val="auto"/>
              </w:rPr>
              <w:t>物主要为投料时产生的粉尘；分散搅拌过程中产生的有机废气（本环评以非甲烷总烃计），执行《涂料、油墨及胶粘剂工业大气污染物排放标准》（</w:t>
            </w:r>
            <w:r>
              <w:rPr>
                <w:rFonts w:ascii="Times New Roman" w:hAnsi="Times New Roman" w:cs="Times New Roman"/>
                <w:color w:val="auto"/>
              </w:rPr>
              <w:t>GB37824-2019</w:t>
            </w:r>
            <w:r>
              <w:rPr>
                <w:rFonts w:ascii="Times New Roman" w:cs="Times New Roman"/>
                <w:color w:val="auto"/>
              </w:rPr>
              <w:t>）中表</w:t>
            </w:r>
            <w:r>
              <w:rPr>
                <w:rFonts w:hint="eastAsia" w:ascii="Times New Roman" w:hAnsi="Times New Roman" w:cs="Times New Roman"/>
                <w:color w:val="auto"/>
              </w:rPr>
              <w:t>1</w:t>
            </w:r>
            <w:r>
              <w:rPr>
                <w:rFonts w:ascii="Times New Roman" w:cs="Times New Roman"/>
                <w:color w:val="auto"/>
              </w:rPr>
              <w:t>大气污染物排放标准限值；非甲烷总烃无组织排放执行附录</w:t>
            </w:r>
            <w:r>
              <w:rPr>
                <w:rFonts w:ascii="Times New Roman" w:hAnsi="Times New Roman" w:cs="Times New Roman"/>
                <w:color w:val="auto"/>
              </w:rPr>
              <w:t>B</w:t>
            </w:r>
            <w:r>
              <w:rPr>
                <w:rFonts w:ascii="Times New Roman" w:cs="Times New Roman"/>
                <w:color w:val="auto"/>
              </w:rPr>
              <w:t>中表</w:t>
            </w:r>
            <w:r>
              <w:rPr>
                <w:rFonts w:ascii="Times New Roman" w:hAnsi="Times New Roman" w:cs="Times New Roman"/>
                <w:color w:val="auto"/>
              </w:rPr>
              <w:t>B.1</w:t>
            </w:r>
            <w:r>
              <w:rPr>
                <w:rFonts w:ascii="Times New Roman" w:cs="Times New Roman"/>
                <w:color w:val="auto"/>
              </w:rPr>
              <w:t>厂区内非甲烷总烃无组织排放限值，颗粒物的无组织排放执行《大气污染物综合排放标准》（</w:t>
            </w:r>
            <w:r>
              <w:rPr>
                <w:rFonts w:ascii="Times New Roman" w:hAnsi="Times New Roman" w:cs="Times New Roman"/>
                <w:color w:val="auto"/>
              </w:rPr>
              <w:t>GB16297-1996</w:t>
            </w:r>
            <w:r>
              <w:rPr>
                <w:rFonts w:ascii="Times New Roman" w:cs="Times New Roman"/>
                <w:color w:val="auto"/>
              </w:rPr>
              <w:t>）中的新污染源二级排放标准</w:t>
            </w:r>
            <w:r>
              <w:rPr>
                <w:rFonts w:hint="eastAsia"/>
                <w:color w:val="auto"/>
              </w:rPr>
              <w:t>。</w:t>
            </w:r>
          </w:p>
          <w:p>
            <w:pPr>
              <w:adjustRightInd w:val="0"/>
              <w:snapToGrid w:val="0"/>
              <w:spacing w:line="520" w:lineRule="exact"/>
              <w:jc w:val="center"/>
              <w:rPr>
                <w:b/>
                <w:color w:val="auto"/>
                <w:sz w:val="21"/>
                <w:szCs w:val="21"/>
                <w:vertAlign w:val="superscript"/>
              </w:rPr>
            </w:pPr>
            <w:r>
              <w:rPr>
                <w:rFonts w:hint="eastAsia" w:cs="宋体"/>
                <w:b/>
                <w:bCs/>
                <w:color w:val="auto"/>
                <w:sz w:val="21"/>
                <w:szCs w:val="21"/>
              </w:rPr>
              <w:t>表</w:t>
            </w:r>
            <w:r>
              <w:rPr>
                <w:rFonts w:hint="eastAsia"/>
                <w:b/>
                <w:bCs/>
                <w:color w:val="auto"/>
                <w:sz w:val="21"/>
                <w:szCs w:val="21"/>
                <w:lang w:val="en-US" w:eastAsia="zh-CN"/>
              </w:rPr>
              <w:t>3-6</w:t>
            </w:r>
            <w:r>
              <w:rPr>
                <w:b/>
                <w:bCs/>
                <w:color w:val="auto"/>
                <w:sz w:val="21"/>
                <w:szCs w:val="21"/>
              </w:rPr>
              <w:t xml:space="preserve"> </w:t>
            </w:r>
            <w:r>
              <w:rPr>
                <w:rFonts w:hint="eastAsia" w:hAnsi="宋体"/>
                <w:b/>
                <w:color w:val="auto"/>
                <w:sz w:val="21"/>
                <w:szCs w:val="21"/>
              </w:rPr>
              <w:t xml:space="preserve">涂料、油墨及胶粘剂工业大气污染物排放标准  </w:t>
            </w:r>
            <w:r>
              <w:rPr>
                <w:rFonts w:hint="eastAsia"/>
                <w:b/>
                <w:color w:val="auto"/>
                <w:sz w:val="21"/>
                <w:szCs w:val="21"/>
              </w:rPr>
              <w:t>单位：</w:t>
            </w:r>
            <w:r>
              <w:rPr>
                <w:b/>
                <w:color w:val="auto"/>
                <w:sz w:val="21"/>
                <w:szCs w:val="21"/>
              </w:rPr>
              <w:t>mg/m</w:t>
            </w:r>
            <w:r>
              <w:rPr>
                <w:b/>
                <w:color w:val="auto"/>
                <w:sz w:val="21"/>
                <w:szCs w:val="21"/>
                <w:vertAlign w:val="superscript"/>
              </w:rPr>
              <w:t>3</w:t>
            </w:r>
          </w:p>
          <w:tbl>
            <w:tblPr>
              <w:tblStyle w:val="34"/>
              <w:tblW w:w="475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784"/>
              <w:gridCol w:w="2058"/>
              <w:gridCol w:w="24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Align w:val="center"/>
                </w:tcPr>
                <w:p>
                  <w:pPr>
                    <w:snapToGrid w:val="0"/>
                    <w:jc w:val="center"/>
                    <w:rPr>
                      <w:color w:val="auto"/>
                      <w:sz w:val="21"/>
                      <w:szCs w:val="21"/>
                    </w:rPr>
                  </w:pPr>
                  <w:r>
                    <w:rPr>
                      <w:rFonts w:hint="eastAsia"/>
                      <w:color w:val="auto"/>
                      <w:sz w:val="21"/>
                      <w:szCs w:val="21"/>
                    </w:rPr>
                    <w:t>序号</w:t>
                  </w:r>
                </w:p>
              </w:tc>
              <w:tc>
                <w:tcPr>
                  <w:tcW w:w="1843" w:type="dxa"/>
                  <w:vAlign w:val="center"/>
                </w:tcPr>
                <w:p>
                  <w:pPr>
                    <w:snapToGrid w:val="0"/>
                    <w:jc w:val="center"/>
                    <w:rPr>
                      <w:color w:val="auto"/>
                      <w:sz w:val="21"/>
                      <w:szCs w:val="21"/>
                    </w:rPr>
                  </w:pPr>
                  <w:r>
                    <w:rPr>
                      <w:rFonts w:hint="eastAsia"/>
                      <w:color w:val="auto"/>
                      <w:sz w:val="21"/>
                      <w:szCs w:val="21"/>
                    </w:rPr>
                    <w:t>污染物项目</w:t>
                  </w:r>
                </w:p>
              </w:tc>
              <w:tc>
                <w:tcPr>
                  <w:tcW w:w="2126" w:type="dxa"/>
                  <w:vAlign w:val="center"/>
                </w:tcPr>
                <w:p>
                  <w:pPr>
                    <w:snapToGrid w:val="0"/>
                    <w:jc w:val="center"/>
                    <w:rPr>
                      <w:color w:val="auto"/>
                      <w:sz w:val="21"/>
                      <w:szCs w:val="21"/>
                    </w:rPr>
                  </w:pPr>
                  <w:r>
                    <w:rPr>
                      <w:rFonts w:hint="eastAsia"/>
                      <w:color w:val="auto"/>
                      <w:sz w:val="21"/>
                      <w:szCs w:val="21"/>
                    </w:rPr>
                    <w:t>涂料制造、油墨及类似产品制造</w:t>
                  </w:r>
                </w:p>
              </w:tc>
              <w:tc>
                <w:tcPr>
                  <w:tcW w:w="2565" w:type="dxa"/>
                  <w:vAlign w:val="center"/>
                </w:tcPr>
                <w:p>
                  <w:pPr>
                    <w:snapToGrid w:val="0"/>
                    <w:jc w:val="center"/>
                    <w:rPr>
                      <w:color w:val="auto"/>
                      <w:sz w:val="21"/>
                      <w:szCs w:val="21"/>
                    </w:rPr>
                  </w:pPr>
                  <w:r>
                    <w:rPr>
                      <w:rFonts w:hint="eastAsia"/>
                      <w:color w:val="auto"/>
                      <w:sz w:val="21"/>
                      <w:szCs w:val="21"/>
                    </w:rPr>
                    <w:t>污染物排放监控位置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Align w:val="center"/>
                </w:tcPr>
                <w:p>
                  <w:pPr>
                    <w:snapToGrid w:val="0"/>
                    <w:jc w:val="center"/>
                    <w:rPr>
                      <w:color w:val="auto"/>
                      <w:sz w:val="21"/>
                      <w:szCs w:val="21"/>
                    </w:rPr>
                  </w:pPr>
                  <w:r>
                    <w:rPr>
                      <w:color w:val="auto"/>
                      <w:sz w:val="21"/>
                      <w:szCs w:val="21"/>
                    </w:rPr>
                    <w:t>1</w:t>
                  </w:r>
                </w:p>
              </w:tc>
              <w:tc>
                <w:tcPr>
                  <w:tcW w:w="1843" w:type="dxa"/>
                  <w:vAlign w:val="center"/>
                </w:tcPr>
                <w:p>
                  <w:pPr>
                    <w:snapToGrid w:val="0"/>
                    <w:jc w:val="center"/>
                    <w:rPr>
                      <w:color w:val="auto"/>
                      <w:sz w:val="21"/>
                      <w:szCs w:val="21"/>
                    </w:rPr>
                  </w:pPr>
                  <w:r>
                    <w:rPr>
                      <w:rFonts w:hint="eastAsia"/>
                      <w:color w:val="auto"/>
                      <w:sz w:val="21"/>
                      <w:szCs w:val="21"/>
                    </w:rPr>
                    <w:t>颗粒物</w:t>
                  </w:r>
                </w:p>
              </w:tc>
              <w:tc>
                <w:tcPr>
                  <w:tcW w:w="2126" w:type="dxa"/>
                  <w:vAlign w:val="center"/>
                </w:tcPr>
                <w:p>
                  <w:pPr>
                    <w:snapToGrid w:val="0"/>
                    <w:jc w:val="center"/>
                    <w:rPr>
                      <w:color w:val="auto"/>
                      <w:sz w:val="21"/>
                      <w:szCs w:val="21"/>
                    </w:rPr>
                  </w:pPr>
                  <w:r>
                    <w:rPr>
                      <w:rFonts w:hint="eastAsia"/>
                      <w:color w:val="auto"/>
                      <w:sz w:val="21"/>
                      <w:szCs w:val="21"/>
                    </w:rPr>
                    <w:t>30</w:t>
                  </w:r>
                </w:p>
              </w:tc>
              <w:tc>
                <w:tcPr>
                  <w:tcW w:w="2565" w:type="dxa"/>
                  <w:vMerge w:val="restart"/>
                  <w:vAlign w:val="center"/>
                </w:tcPr>
                <w:p>
                  <w:pPr>
                    <w:snapToGrid w:val="0"/>
                    <w:jc w:val="center"/>
                    <w:rPr>
                      <w:color w:val="auto"/>
                      <w:sz w:val="21"/>
                      <w:szCs w:val="21"/>
                    </w:rPr>
                  </w:pPr>
                  <w:r>
                    <w:rPr>
                      <w:rFonts w:hint="eastAsia"/>
                      <w:color w:val="auto"/>
                      <w:sz w:val="21"/>
                      <w:szCs w:val="21"/>
                    </w:rPr>
                    <w:t>车间或生产设施排气筒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Align w:val="center"/>
                </w:tcPr>
                <w:p>
                  <w:pPr>
                    <w:snapToGrid w:val="0"/>
                    <w:jc w:val="center"/>
                    <w:rPr>
                      <w:color w:val="auto"/>
                      <w:sz w:val="21"/>
                      <w:szCs w:val="21"/>
                    </w:rPr>
                  </w:pPr>
                  <w:r>
                    <w:rPr>
                      <w:color w:val="auto"/>
                      <w:sz w:val="21"/>
                      <w:szCs w:val="21"/>
                    </w:rPr>
                    <w:t>2</w:t>
                  </w:r>
                </w:p>
              </w:tc>
              <w:tc>
                <w:tcPr>
                  <w:tcW w:w="1843" w:type="dxa"/>
                  <w:vAlign w:val="center"/>
                </w:tcPr>
                <w:p>
                  <w:pPr>
                    <w:snapToGrid w:val="0"/>
                    <w:jc w:val="center"/>
                    <w:rPr>
                      <w:color w:val="auto"/>
                      <w:sz w:val="21"/>
                      <w:szCs w:val="21"/>
                    </w:rPr>
                  </w:pPr>
                  <w:r>
                    <w:rPr>
                      <w:color w:val="auto"/>
                      <w:sz w:val="21"/>
                      <w:szCs w:val="21"/>
                    </w:rPr>
                    <w:t>NMHC</w:t>
                  </w:r>
                </w:p>
              </w:tc>
              <w:tc>
                <w:tcPr>
                  <w:tcW w:w="2126" w:type="dxa"/>
                  <w:vAlign w:val="center"/>
                </w:tcPr>
                <w:p>
                  <w:pPr>
                    <w:snapToGrid w:val="0"/>
                    <w:jc w:val="center"/>
                    <w:rPr>
                      <w:color w:val="auto"/>
                      <w:sz w:val="21"/>
                      <w:szCs w:val="21"/>
                    </w:rPr>
                  </w:pPr>
                  <w:r>
                    <w:rPr>
                      <w:rFonts w:hint="eastAsia"/>
                      <w:color w:val="auto"/>
                      <w:sz w:val="21"/>
                      <w:szCs w:val="21"/>
                    </w:rPr>
                    <w:t>100</w:t>
                  </w:r>
                </w:p>
              </w:tc>
              <w:tc>
                <w:tcPr>
                  <w:tcW w:w="2757" w:type="dxa"/>
                  <w:vMerge w:val="continue"/>
                  <w:vAlign w:val="center"/>
                </w:tcPr>
                <w:p>
                  <w:pPr>
                    <w:widowControl/>
                    <w:jc w:val="left"/>
                    <w:rPr>
                      <w:color w:val="auto"/>
                      <w:sz w:val="21"/>
                      <w:szCs w:val="21"/>
                    </w:rPr>
                  </w:pPr>
                </w:p>
              </w:tc>
            </w:tr>
          </w:tbl>
          <w:p>
            <w:pPr>
              <w:spacing w:line="460" w:lineRule="exact"/>
              <w:ind w:firstLine="422" w:firstLineChars="200"/>
              <w:jc w:val="center"/>
              <w:outlineLvl w:val="0"/>
              <w:rPr>
                <w:b/>
                <w:color w:val="auto"/>
                <w:sz w:val="21"/>
                <w:szCs w:val="21"/>
              </w:rPr>
            </w:pPr>
            <w:r>
              <w:rPr>
                <w:rFonts w:hint="eastAsia"/>
                <w:b/>
                <w:color w:val="auto"/>
                <w:sz w:val="21"/>
                <w:szCs w:val="21"/>
              </w:rPr>
              <w:t>表</w:t>
            </w:r>
            <w:r>
              <w:rPr>
                <w:rFonts w:hint="eastAsia"/>
                <w:b/>
                <w:color w:val="auto"/>
                <w:sz w:val="21"/>
                <w:szCs w:val="21"/>
                <w:lang w:val="en-US" w:eastAsia="zh-CN"/>
              </w:rPr>
              <w:t>3-7</w:t>
            </w:r>
            <w:r>
              <w:rPr>
                <w:b/>
                <w:color w:val="auto"/>
                <w:sz w:val="21"/>
                <w:szCs w:val="21"/>
              </w:rPr>
              <w:t xml:space="preserve"> </w:t>
            </w:r>
            <w:r>
              <w:rPr>
                <w:rFonts w:hint="eastAsia"/>
                <w:b/>
                <w:color w:val="auto"/>
                <w:sz w:val="21"/>
                <w:szCs w:val="21"/>
              </w:rPr>
              <w:t>厂区内污染物无组织排放限值</w:t>
            </w:r>
            <w:r>
              <w:rPr>
                <w:b/>
                <w:color w:val="auto"/>
                <w:sz w:val="21"/>
                <w:szCs w:val="21"/>
              </w:rPr>
              <w:t xml:space="preserve">    </w:t>
            </w:r>
            <w:r>
              <w:rPr>
                <w:rFonts w:hint="eastAsia"/>
                <w:b/>
                <w:color w:val="auto"/>
                <w:sz w:val="21"/>
                <w:szCs w:val="21"/>
              </w:rPr>
              <w:t>单位：</w:t>
            </w:r>
            <w:r>
              <w:rPr>
                <w:b/>
                <w:color w:val="auto"/>
                <w:sz w:val="21"/>
                <w:szCs w:val="21"/>
              </w:rPr>
              <w:t>mg/m</w:t>
            </w:r>
            <w:r>
              <w:rPr>
                <w:b/>
                <w:color w:val="auto"/>
                <w:sz w:val="21"/>
                <w:szCs w:val="21"/>
                <w:vertAlign w:val="superscript"/>
              </w:rPr>
              <w:t>3</w:t>
            </w:r>
          </w:p>
          <w:tbl>
            <w:tblPr>
              <w:tblStyle w:val="34"/>
              <w:tblW w:w="474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509"/>
              <w:gridCol w:w="2532"/>
              <w:gridCol w:w="22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vAlign w:val="center"/>
                </w:tcPr>
                <w:p>
                  <w:pPr>
                    <w:spacing w:line="240" w:lineRule="atLeast"/>
                    <w:jc w:val="center"/>
                    <w:outlineLvl w:val="0"/>
                    <w:rPr>
                      <w:color w:val="auto"/>
                      <w:sz w:val="21"/>
                      <w:szCs w:val="21"/>
                    </w:rPr>
                  </w:pPr>
                  <w:r>
                    <w:rPr>
                      <w:rFonts w:hint="eastAsia"/>
                      <w:color w:val="auto"/>
                      <w:sz w:val="21"/>
                      <w:szCs w:val="21"/>
                    </w:rPr>
                    <w:t>污染物项目</w:t>
                  </w:r>
                </w:p>
              </w:tc>
              <w:tc>
                <w:tcPr>
                  <w:tcW w:w="1509" w:type="dxa"/>
                  <w:vAlign w:val="center"/>
                </w:tcPr>
                <w:p>
                  <w:pPr>
                    <w:spacing w:line="240" w:lineRule="atLeast"/>
                    <w:jc w:val="center"/>
                    <w:outlineLvl w:val="0"/>
                    <w:rPr>
                      <w:color w:val="auto"/>
                      <w:sz w:val="21"/>
                      <w:szCs w:val="21"/>
                    </w:rPr>
                  </w:pPr>
                  <w:r>
                    <w:rPr>
                      <w:rFonts w:hint="eastAsia"/>
                      <w:color w:val="auto"/>
                      <w:sz w:val="21"/>
                      <w:szCs w:val="21"/>
                    </w:rPr>
                    <w:t>排放限值</w:t>
                  </w:r>
                </w:p>
              </w:tc>
              <w:tc>
                <w:tcPr>
                  <w:tcW w:w="2532" w:type="dxa"/>
                  <w:vAlign w:val="center"/>
                </w:tcPr>
                <w:p>
                  <w:pPr>
                    <w:spacing w:line="240" w:lineRule="atLeast"/>
                    <w:jc w:val="center"/>
                    <w:outlineLvl w:val="0"/>
                    <w:rPr>
                      <w:color w:val="auto"/>
                      <w:sz w:val="21"/>
                      <w:szCs w:val="21"/>
                    </w:rPr>
                  </w:pPr>
                  <w:r>
                    <w:rPr>
                      <w:rFonts w:hint="eastAsia"/>
                      <w:color w:val="auto"/>
                      <w:sz w:val="21"/>
                      <w:szCs w:val="21"/>
                    </w:rPr>
                    <w:t>限值含义</w:t>
                  </w:r>
                </w:p>
              </w:tc>
              <w:tc>
                <w:tcPr>
                  <w:tcW w:w="2284" w:type="dxa"/>
                  <w:vAlign w:val="center"/>
                </w:tcPr>
                <w:p>
                  <w:pPr>
                    <w:spacing w:line="240" w:lineRule="atLeast"/>
                    <w:jc w:val="center"/>
                    <w:outlineLvl w:val="0"/>
                    <w:rPr>
                      <w:color w:val="auto"/>
                      <w:sz w:val="21"/>
                      <w:szCs w:val="21"/>
                    </w:rPr>
                  </w:pPr>
                  <w:r>
                    <w:rPr>
                      <w:rFonts w:hint="eastAsia"/>
                      <w:color w:val="auto"/>
                      <w:sz w:val="21"/>
                      <w:szCs w:val="21"/>
                    </w:rPr>
                    <w:t>无组织排放监控位置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0" w:type="dxa"/>
                  <w:vAlign w:val="center"/>
                </w:tcPr>
                <w:p>
                  <w:pPr>
                    <w:spacing w:line="240" w:lineRule="atLeast"/>
                    <w:jc w:val="center"/>
                    <w:outlineLvl w:val="0"/>
                    <w:rPr>
                      <w:color w:val="auto"/>
                      <w:sz w:val="21"/>
                      <w:szCs w:val="21"/>
                    </w:rPr>
                  </w:pPr>
                  <w:r>
                    <w:rPr>
                      <w:color w:val="auto"/>
                      <w:sz w:val="21"/>
                      <w:szCs w:val="21"/>
                    </w:rPr>
                    <w:t>NMHC</w:t>
                  </w:r>
                </w:p>
              </w:tc>
              <w:tc>
                <w:tcPr>
                  <w:tcW w:w="1509" w:type="dxa"/>
                  <w:vAlign w:val="center"/>
                </w:tcPr>
                <w:p>
                  <w:pPr>
                    <w:spacing w:line="240" w:lineRule="atLeast"/>
                    <w:jc w:val="center"/>
                    <w:outlineLvl w:val="0"/>
                    <w:rPr>
                      <w:color w:val="auto"/>
                      <w:sz w:val="21"/>
                      <w:szCs w:val="21"/>
                    </w:rPr>
                  </w:pPr>
                  <w:r>
                    <w:rPr>
                      <w:rFonts w:hint="eastAsia"/>
                      <w:color w:val="auto"/>
                      <w:sz w:val="21"/>
                      <w:szCs w:val="21"/>
                    </w:rPr>
                    <w:t>10</w:t>
                  </w:r>
                </w:p>
              </w:tc>
              <w:tc>
                <w:tcPr>
                  <w:tcW w:w="2532" w:type="dxa"/>
                  <w:vAlign w:val="center"/>
                </w:tcPr>
                <w:p>
                  <w:pPr>
                    <w:spacing w:line="240" w:lineRule="atLeast"/>
                    <w:jc w:val="center"/>
                    <w:outlineLvl w:val="0"/>
                    <w:rPr>
                      <w:color w:val="auto"/>
                      <w:sz w:val="21"/>
                      <w:szCs w:val="21"/>
                    </w:rPr>
                  </w:pPr>
                  <w:r>
                    <w:rPr>
                      <w:rFonts w:hint="eastAsia"/>
                      <w:color w:val="auto"/>
                      <w:sz w:val="21"/>
                      <w:szCs w:val="21"/>
                    </w:rPr>
                    <w:t>监控点处</w:t>
                  </w:r>
                  <w:r>
                    <w:rPr>
                      <w:color w:val="auto"/>
                      <w:sz w:val="21"/>
                      <w:szCs w:val="21"/>
                    </w:rPr>
                    <w:t>1h</w:t>
                  </w:r>
                  <w:r>
                    <w:rPr>
                      <w:rFonts w:hint="eastAsia"/>
                      <w:color w:val="auto"/>
                      <w:sz w:val="21"/>
                      <w:szCs w:val="21"/>
                    </w:rPr>
                    <w:t>平均浓度值</w:t>
                  </w:r>
                </w:p>
              </w:tc>
              <w:tc>
                <w:tcPr>
                  <w:tcW w:w="2284" w:type="dxa"/>
                  <w:vAlign w:val="center"/>
                </w:tcPr>
                <w:p>
                  <w:pPr>
                    <w:spacing w:line="240" w:lineRule="atLeast"/>
                    <w:jc w:val="center"/>
                    <w:outlineLvl w:val="0"/>
                    <w:rPr>
                      <w:color w:val="auto"/>
                      <w:sz w:val="21"/>
                      <w:szCs w:val="21"/>
                    </w:rPr>
                  </w:pPr>
                  <w:r>
                    <w:rPr>
                      <w:rFonts w:hint="eastAsia"/>
                      <w:color w:val="auto"/>
                      <w:sz w:val="21"/>
                      <w:szCs w:val="21"/>
                    </w:rPr>
                    <w:t>在厂房外设置监控点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50" w:type="dxa"/>
                  <w:vAlign w:val="center"/>
                </w:tcPr>
                <w:p>
                  <w:pPr>
                    <w:spacing w:line="240" w:lineRule="atLeast"/>
                    <w:jc w:val="center"/>
                    <w:outlineLvl w:val="0"/>
                    <w:rPr>
                      <w:color w:val="auto"/>
                      <w:sz w:val="21"/>
                      <w:szCs w:val="21"/>
                    </w:rPr>
                  </w:pPr>
                  <w:r>
                    <w:rPr>
                      <w:rFonts w:hint="eastAsia"/>
                      <w:color w:val="auto"/>
                      <w:sz w:val="21"/>
                      <w:szCs w:val="21"/>
                    </w:rPr>
                    <w:t>颗粒物</w:t>
                  </w:r>
                </w:p>
              </w:tc>
              <w:tc>
                <w:tcPr>
                  <w:tcW w:w="1509" w:type="dxa"/>
                  <w:vAlign w:val="center"/>
                </w:tcPr>
                <w:p>
                  <w:pPr>
                    <w:spacing w:line="240" w:lineRule="atLeast"/>
                    <w:jc w:val="center"/>
                    <w:outlineLvl w:val="0"/>
                    <w:rPr>
                      <w:color w:val="auto"/>
                      <w:sz w:val="21"/>
                      <w:szCs w:val="21"/>
                    </w:rPr>
                  </w:pPr>
                  <w:r>
                    <w:rPr>
                      <w:color w:val="auto"/>
                      <w:sz w:val="21"/>
                      <w:szCs w:val="21"/>
                    </w:rPr>
                    <w:t>1.0</w:t>
                  </w:r>
                </w:p>
              </w:tc>
              <w:tc>
                <w:tcPr>
                  <w:tcW w:w="2532" w:type="dxa"/>
                  <w:vAlign w:val="center"/>
                </w:tcPr>
                <w:p>
                  <w:pPr>
                    <w:spacing w:line="240" w:lineRule="atLeast"/>
                    <w:jc w:val="center"/>
                    <w:outlineLvl w:val="0"/>
                    <w:rPr>
                      <w:color w:val="auto"/>
                      <w:sz w:val="21"/>
                      <w:szCs w:val="21"/>
                    </w:rPr>
                  </w:pPr>
                  <w:r>
                    <w:rPr>
                      <w:color w:val="auto"/>
                      <w:sz w:val="21"/>
                      <w:szCs w:val="21"/>
                    </w:rPr>
                    <w:t>/</w:t>
                  </w:r>
                </w:p>
              </w:tc>
              <w:tc>
                <w:tcPr>
                  <w:tcW w:w="2284" w:type="dxa"/>
                  <w:vAlign w:val="center"/>
                </w:tcPr>
                <w:p>
                  <w:pPr>
                    <w:spacing w:line="240" w:lineRule="atLeast"/>
                    <w:jc w:val="center"/>
                    <w:outlineLvl w:val="0"/>
                    <w:rPr>
                      <w:color w:val="auto"/>
                      <w:sz w:val="21"/>
                      <w:szCs w:val="21"/>
                    </w:rPr>
                  </w:pPr>
                  <w:r>
                    <w:rPr>
                      <w:rFonts w:hint="eastAsia"/>
                      <w:color w:val="auto"/>
                      <w:sz w:val="21"/>
                      <w:szCs w:val="21"/>
                    </w:rPr>
                    <w:t>周界外浓度最高点</w:t>
                  </w:r>
                </w:p>
              </w:tc>
            </w:tr>
          </w:tbl>
          <w:p>
            <w:pPr>
              <w:pStyle w:val="31"/>
              <w:spacing w:line="480" w:lineRule="atLeast"/>
              <w:ind w:firstLine="0" w:firstLineChars="0"/>
              <w:rPr>
                <w:b/>
                <w:color w:val="auto"/>
                <w:sz w:val="24"/>
                <w:szCs w:val="24"/>
              </w:rPr>
            </w:pPr>
            <w:r>
              <w:rPr>
                <w:b/>
                <w:color w:val="auto"/>
                <w:sz w:val="24"/>
                <w:szCs w:val="24"/>
              </w:rPr>
              <w:t>2、</w:t>
            </w:r>
            <w:r>
              <w:rPr>
                <w:rFonts w:hint="eastAsia"/>
                <w:b/>
                <w:color w:val="auto"/>
                <w:sz w:val="24"/>
                <w:szCs w:val="24"/>
              </w:rPr>
              <w:t>废水</w:t>
            </w:r>
          </w:p>
          <w:p>
            <w:pPr>
              <w:pStyle w:val="16"/>
              <w:tabs>
                <w:tab w:val="left" w:pos="2098"/>
              </w:tabs>
              <w:adjustRightInd w:val="0"/>
              <w:snapToGrid w:val="0"/>
              <w:spacing w:after="0" w:line="360" w:lineRule="auto"/>
              <w:ind w:left="0" w:leftChars="0" w:firstLine="480" w:firstLineChars="200"/>
              <w:rPr>
                <w:color w:val="auto"/>
              </w:rPr>
            </w:pPr>
            <w:r>
              <w:rPr>
                <w:color w:val="auto"/>
              </w:rPr>
              <w:t>本项目无生产废水，生活污水由化粪池</w:t>
            </w:r>
            <w:r>
              <w:rPr>
                <w:rFonts w:hint="eastAsia"/>
                <w:color w:val="auto"/>
                <w:lang w:eastAsia="zh-CN"/>
              </w:rPr>
              <w:t>处理后</w:t>
            </w:r>
            <w:r>
              <w:rPr>
                <w:color w:val="auto"/>
              </w:rPr>
              <w:t>进入</w:t>
            </w:r>
            <w:r>
              <w:rPr>
                <w:rFonts w:hint="eastAsia"/>
                <w:color w:val="auto"/>
                <w:lang w:eastAsia="zh-CN"/>
              </w:rPr>
              <w:t>邵东市美桥城市污水处理厂</w:t>
            </w:r>
            <w:r>
              <w:rPr>
                <w:color w:val="auto"/>
              </w:rPr>
              <w:t>，</w:t>
            </w:r>
            <w:r>
              <w:rPr>
                <w:rFonts w:hint="eastAsia"/>
                <w:color w:val="auto"/>
              </w:rPr>
              <w:t>排放</w:t>
            </w:r>
            <w:r>
              <w:rPr>
                <w:color w:val="auto"/>
              </w:rPr>
              <w:t>执行</w:t>
            </w:r>
            <w:r>
              <w:rPr>
                <w:rFonts w:hint="eastAsia"/>
                <w:color w:val="auto"/>
              </w:rPr>
              <w:t>《污水综合排放标准》（GB8978-1996）</w:t>
            </w:r>
            <w:r>
              <w:rPr>
                <w:rFonts w:hint="eastAsia"/>
                <w:color w:val="auto"/>
                <w:lang w:eastAsia="zh-CN"/>
              </w:rPr>
              <w:t>三级标准及邵东市美桥城市污水处理厂进水水质要求</w:t>
            </w:r>
            <w:r>
              <w:rPr>
                <w:color w:val="auto"/>
              </w:rPr>
              <w:t>。</w:t>
            </w:r>
          </w:p>
          <w:p>
            <w:pPr>
              <w:jc w:val="center"/>
              <w:rPr>
                <w:b/>
                <w:color w:val="auto"/>
                <w:sz w:val="21"/>
                <w:szCs w:val="21"/>
              </w:rPr>
            </w:pPr>
            <w:r>
              <w:rPr>
                <w:b/>
                <w:color w:val="auto"/>
                <w:sz w:val="21"/>
                <w:szCs w:val="21"/>
              </w:rPr>
              <w:t>表</w:t>
            </w:r>
            <w:r>
              <w:rPr>
                <w:rFonts w:hint="eastAsia"/>
                <w:b/>
                <w:color w:val="auto"/>
                <w:sz w:val="21"/>
                <w:szCs w:val="21"/>
              </w:rPr>
              <w:t>3-</w:t>
            </w:r>
            <w:r>
              <w:rPr>
                <w:b/>
                <w:color w:val="auto"/>
                <w:sz w:val="21"/>
                <w:szCs w:val="21"/>
              </w:rPr>
              <w:t>8水污染物排放标准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702"/>
              <w:gridCol w:w="3064"/>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536"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序号</w:t>
                  </w:r>
                </w:p>
              </w:tc>
              <w:tc>
                <w:tcPr>
                  <w:tcW w:w="1702"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项目</w:t>
                  </w:r>
                </w:p>
              </w:tc>
              <w:tc>
                <w:tcPr>
                  <w:tcW w:w="3064"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《污水综合排放标准》（GB8978-1996）三级标准</w:t>
                  </w:r>
                </w:p>
              </w:tc>
              <w:tc>
                <w:tcPr>
                  <w:tcW w:w="2255" w:type="dxa"/>
                  <w:vAlign w:val="center"/>
                </w:tcPr>
                <w:p>
                  <w:pPr>
                    <w:autoSpaceDE w:val="0"/>
                    <w:autoSpaceDN w:val="0"/>
                    <w:adjustRightInd w:val="0"/>
                    <w:snapToGrid w:val="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邵东市美桥城市污水处理厂</w:t>
                  </w:r>
                  <w:r>
                    <w:rPr>
                      <w:rFonts w:hint="eastAsia" w:ascii="Times New Roman" w:hAnsi="Times New Roman" w:cs="Times New Roman"/>
                      <w:color w:val="auto"/>
                      <w:sz w:val="21"/>
                      <w:szCs w:val="21"/>
                    </w:rPr>
                    <w:t>进水水质</w:t>
                  </w:r>
                  <w:r>
                    <w:rPr>
                      <w:rFonts w:hint="eastAsia" w:ascii="Times New Roman" w:hAnsi="Times New Roman" w:cs="Times New Roman"/>
                      <w:color w:val="auto"/>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6"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w:t>
                  </w:r>
                </w:p>
              </w:tc>
              <w:tc>
                <w:tcPr>
                  <w:tcW w:w="1702"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color w:val="auto"/>
                      <w:sz w:val="21"/>
                      <w:szCs w:val="21"/>
                    </w:rPr>
                    <w:t>pH值</w:t>
                  </w:r>
                </w:p>
              </w:tc>
              <w:tc>
                <w:tcPr>
                  <w:tcW w:w="3064"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6-9</w:t>
                  </w:r>
                </w:p>
              </w:tc>
              <w:tc>
                <w:tcPr>
                  <w:tcW w:w="2255"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6"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2</w:t>
                  </w:r>
                </w:p>
              </w:tc>
              <w:tc>
                <w:tcPr>
                  <w:tcW w:w="1702"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color w:val="auto"/>
                      <w:sz w:val="21"/>
                      <w:szCs w:val="21"/>
                    </w:rPr>
                    <w:t>COD</w:t>
                  </w:r>
                </w:p>
              </w:tc>
              <w:tc>
                <w:tcPr>
                  <w:tcW w:w="3064"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500</w:t>
                  </w:r>
                </w:p>
              </w:tc>
              <w:tc>
                <w:tcPr>
                  <w:tcW w:w="2255" w:type="dxa"/>
                  <w:vAlign w:val="center"/>
                </w:tcPr>
                <w:p>
                  <w:pPr>
                    <w:autoSpaceDE w:val="0"/>
                    <w:autoSpaceDN w:val="0"/>
                    <w:adjustRightInd w:val="0"/>
                    <w:snapToGrid w:val="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36"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3</w:t>
                  </w:r>
                </w:p>
              </w:tc>
              <w:tc>
                <w:tcPr>
                  <w:tcW w:w="1702"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color w:val="auto"/>
                      <w:sz w:val="21"/>
                      <w:szCs w:val="21"/>
                    </w:rPr>
                    <w:t>BOD</w:t>
                  </w:r>
                </w:p>
              </w:tc>
              <w:tc>
                <w:tcPr>
                  <w:tcW w:w="3064"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300</w:t>
                  </w:r>
                </w:p>
              </w:tc>
              <w:tc>
                <w:tcPr>
                  <w:tcW w:w="2255" w:type="dxa"/>
                  <w:vAlign w:val="center"/>
                </w:tcPr>
                <w:p>
                  <w:pPr>
                    <w:autoSpaceDE w:val="0"/>
                    <w:autoSpaceDN w:val="0"/>
                    <w:adjustRightInd w:val="0"/>
                    <w:snapToGrid w:val="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6"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4</w:t>
                  </w:r>
                </w:p>
              </w:tc>
              <w:tc>
                <w:tcPr>
                  <w:tcW w:w="1702"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color w:val="auto"/>
                      <w:sz w:val="21"/>
                      <w:szCs w:val="21"/>
                    </w:rPr>
                    <w:t>SS</w:t>
                  </w:r>
                </w:p>
              </w:tc>
              <w:tc>
                <w:tcPr>
                  <w:tcW w:w="3064"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400</w:t>
                  </w:r>
                </w:p>
              </w:tc>
              <w:tc>
                <w:tcPr>
                  <w:tcW w:w="2255" w:type="dxa"/>
                  <w:vAlign w:val="center"/>
                </w:tcPr>
                <w:p>
                  <w:pPr>
                    <w:autoSpaceDE w:val="0"/>
                    <w:autoSpaceDN w:val="0"/>
                    <w:adjustRightInd w:val="0"/>
                    <w:snapToGrid w:val="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6"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5</w:t>
                  </w:r>
                </w:p>
              </w:tc>
              <w:tc>
                <w:tcPr>
                  <w:tcW w:w="1702"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color w:val="auto"/>
                      <w:sz w:val="21"/>
                      <w:szCs w:val="21"/>
                    </w:rPr>
                    <w:t>氨氮</w:t>
                  </w:r>
                </w:p>
              </w:tc>
              <w:tc>
                <w:tcPr>
                  <w:tcW w:w="3064" w:type="dxa"/>
                  <w:vAlign w:val="center"/>
                </w:tcPr>
                <w:p>
                  <w:pPr>
                    <w:autoSpaceDE w:val="0"/>
                    <w:autoSpaceDN w:val="0"/>
                    <w:adjustRightInd w:val="0"/>
                    <w:snapToGrid w:val="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c>
                <w:tcPr>
                  <w:tcW w:w="2255" w:type="dxa"/>
                  <w:vAlign w:val="center"/>
                </w:tcPr>
                <w:p>
                  <w:pPr>
                    <w:autoSpaceDE w:val="0"/>
                    <w:autoSpaceDN w:val="0"/>
                    <w:adjustRightInd w:val="0"/>
                    <w:snapToGrid w:val="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36" w:type="dxa"/>
                  <w:vAlign w:val="center"/>
                </w:tcPr>
                <w:p>
                  <w:pPr>
                    <w:autoSpaceDE w:val="0"/>
                    <w:autoSpaceDN w:val="0"/>
                    <w:adjustRightInd w:val="0"/>
                    <w:snapToGrid w:val="0"/>
                    <w:jc w:val="center"/>
                    <w:textAlignment w:val="baseline"/>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w:t>
                  </w:r>
                </w:p>
              </w:tc>
              <w:tc>
                <w:tcPr>
                  <w:tcW w:w="1702" w:type="dxa"/>
                  <w:vAlign w:val="center"/>
                </w:tcPr>
                <w:p>
                  <w:pPr>
                    <w:autoSpaceDE w:val="0"/>
                    <w:autoSpaceDN w:val="0"/>
                    <w:adjustRightInd w:val="0"/>
                    <w:snapToGrid w:val="0"/>
                    <w:jc w:val="center"/>
                    <w:textAlignment w:val="baseline"/>
                    <w:rPr>
                      <w:rFonts w:hint="eastAsia" w:ascii="Times New Roman" w:hAnsi="Times New Roman" w:eastAsia="宋体" w:cs="Times New Roman"/>
                      <w:color w:val="auto"/>
                      <w:sz w:val="21"/>
                      <w:szCs w:val="21"/>
                      <w:lang w:eastAsia="zh-CN"/>
                    </w:rPr>
                  </w:pPr>
                  <w:r>
                    <w:rPr>
                      <w:rFonts w:hint="eastAsia"/>
                      <w:color w:val="auto"/>
                      <w:sz w:val="21"/>
                      <w:szCs w:val="21"/>
                      <w:lang w:eastAsia="zh-CN"/>
                    </w:rPr>
                    <w:t>动植物油</w:t>
                  </w:r>
                </w:p>
              </w:tc>
              <w:tc>
                <w:tcPr>
                  <w:tcW w:w="3064" w:type="dxa"/>
                  <w:vAlign w:val="center"/>
                </w:tcPr>
                <w:p>
                  <w:pPr>
                    <w:autoSpaceDE w:val="0"/>
                    <w:autoSpaceDN w:val="0"/>
                    <w:adjustRightInd w:val="0"/>
                    <w:snapToGrid w:val="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100</w:t>
                  </w:r>
                </w:p>
              </w:tc>
              <w:tc>
                <w:tcPr>
                  <w:tcW w:w="2255" w:type="dxa"/>
                  <w:vAlign w:val="center"/>
                </w:tcPr>
                <w:p>
                  <w:pPr>
                    <w:autoSpaceDE w:val="0"/>
                    <w:autoSpaceDN w:val="0"/>
                    <w:adjustRightInd w:val="0"/>
                    <w:snapToGrid w:val="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bl>
          <w:p>
            <w:pPr>
              <w:pStyle w:val="31"/>
              <w:spacing w:line="480" w:lineRule="atLeast"/>
              <w:ind w:firstLine="0" w:firstLineChars="0"/>
              <w:rPr>
                <w:b/>
                <w:color w:val="auto"/>
                <w:sz w:val="24"/>
                <w:szCs w:val="24"/>
              </w:rPr>
            </w:pPr>
            <w:r>
              <w:rPr>
                <w:b/>
                <w:color w:val="auto"/>
                <w:sz w:val="24"/>
                <w:szCs w:val="24"/>
              </w:rPr>
              <w:t>2、噪声</w:t>
            </w:r>
          </w:p>
          <w:p>
            <w:pPr>
              <w:spacing w:line="360" w:lineRule="auto"/>
              <w:ind w:firstLine="480" w:firstLineChars="200"/>
              <w:rPr>
                <w:color w:val="auto"/>
              </w:rPr>
            </w:pPr>
            <w:r>
              <w:rPr>
                <w:color w:val="auto"/>
              </w:rPr>
              <w:t>施工期：施工期厂界噪声执行《建筑施工场界环境噪声排放标准》(GB12523-2011)规定的标准，具体取值见下表。</w:t>
            </w:r>
          </w:p>
          <w:p>
            <w:pPr>
              <w:pStyle w:val="10"/>
              <w:spacing w:before="60" w:beforeLines="25" w:after="60" w:afterLines="25" w:line="240" w:lineRule="auto"/>
              <w:ind w:firstLine="0"/>
              <w:jc w:val="center"/>
              <w:rPr>
                <w:b/>
                <w:bCs/>
                <w:color w:val="auto"/>
                <w:sz w:val="21"/>
                <w:szCs w:val="21"/>
              </w:rPr>
            </w:pPr>
            <w:r>
              <w:rPr>
                <w:b/>
                <w:bCs/>
                <w:color w:val="auto"/>
                <w:sz w:val="21"/>
                <w:szCs w:val="21"/>
              </w:rPr>
              <w:t>表3-9 建筑施工场界噪声限值</w:t>
            </w:r>
          </w:p>
          <w:tbl>
            <w:tblPr>
              <w:tblStyle w:val="34"/>
              <w:tblW w:w="7938"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2782"/>
              <w:gridCol w:w="2578"/>
              <w:gridCol w:w="2578"/>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782" w:type="dxa"/>
                  <w:vAlign w:val="center"/>
                </w:tcPr>
                <w:p>
                  <w:pPr>
                    <w:jc w:val="center"/>
                    <w:rPr>
                      <w:color w:val="auto"/>
                      <w:sz w:val="21"/>
                      <w:szCs w:val="21"/>
                    </w:rPr>
                  </w:pPr>
                  <w:r>
                    <w:rPr>
                      <w:color w:val="auto"/>
                      <w:sz w:val="21"/>
                      <w:szCs w:val="21"/>
                    </w:rPr>
                    <w:t>时段</w:t>
                  </w:r>
                </w:p>
              </w:tc>
              <w:tc>
                <w:tcPr>
                  <w:tcW w:w="2578" w:type="dxa"/>
                  <w:vAlign w:val="center"/>
                </w:tcPr>
                <w:p>
                  <w:pPr>
                    <w:jc w:val="center"/>
                    <w:rPr>
                      <w:color w:val="auto"/>
                      <w:sz w:val="21"/>
                      <w:szCs w:val="21"/>
                    </w:rPr>
                  </w:pPr>
                  <w:r>
                    <w:rPr>
                      <w:color w:val="auto"/>
                      <w:sz w:val="21"/>
                      <w:szCs w:val="21"/>
                    </w:rPr>
                    <w:t>昼间</w:t>
                  </w:r>
                </w:p>
              </w:tc>
              <w:tc>
                <w:tcPr>
                  <w:tcW w:w="2578" w:type="dxa"/>
                  <w:vAlign w:val="center"/>
                </w:tcPr>
                <w:p>
                  <w:pPr>
                    <w:jc w:val="center"/>
                    <w:rPr>
                      <w:color w:val="auto"/>
                      <w:sz w:val="21"/>
                      <w:szCs w:val="21"/>
                    </w:rPr>
                  </w:pPr>
                  <w:r>
                    <w:rPr>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2782" w:type="dxa"/>
                  <w:vAlign w:val="center"/>
                </w:tcPr>
                <w:p>
                  <w:pPr>
                    <w:jc w:val="center"/>
                    <w:rPr>
                      <w:color w:val="auto"/>
                      <w:sz w:val="21"/>
                      <w:szCs w:val="21"/>
                    </w:rPr>
                  </w:pPr>
                  <w:r>
                    <w:rPr>
                      <w:color w:val="auto"/>
                      <w:sz w:val="21"/>
                      <w:szCs w:val="21"/>
                    </w:rPr>
                    <w:t>噪声级[dB(A)]</w:t>
                  </w:r>
                </w:p>
              </w:tc>
              <w:tc>
                <w:tcPr>
                  <w:tcW w:w="2578" w:type="dxa"/>
                  <w:vAlign w:val="center"/>
                </w:tcPr>
                <w:p>
                  <w:pPr>
                    <w:jc w:val="center"/>
                    <w:rPr>
                      <w:color w:val="auto"/>
                      <w:sz w:val="21"/>
                      <w:szCs w:val="21"/>
                    </w:rPr>
                  </w:pPr>
                  <w:r>
                    <w:rPr>
                      <w:color w:val="auto"/>
                      <w:sz w:val="21"/>
                      <w:szCs w:val="21"/>
                    </w:rPr>
                    <w:t>70</w:t>
                  </w:r>
                </w:p>
              </w:tc>
              <w:tc>
                <w:tcPr>
                  <w:tcW w:w="2578" w:type="dxa"/>
                  <w:vAlign w:val="center"/>
                </w:tcPr>
                <w:p>
                  <w:pPr>
                    <w:jc w:val="center"/>
                    <w:rPr>
                      <w:color w:val="auto"/>
                      <w:sz w:val="21"/>
                      <w:szCs w:val="21"/>
                    </w:rPr>
                  </w:pPr>
                  <w:r>
                    <w:rPr>
                      <w:color w:val="auto"/>
                      <w:sz w:val="21"/>
                      <w:szCs w:val="21"/>
                    </w:rPr>
                    <w:t>55</w:t>
                  </w:r>
                </w:p>
              </w:tc>
            </w:tr>
          </w:tbl>
          <w:p>
            <w:pPr>
              <w:pStyle w:val="10"/>
              <w:spacing w:line="360" w:lineRule="auto"/>
              <w:ind w:firstLine="480" w:firstLineChars="200"/>
              <w:rPr>
                <w:color w:val="auto"/>
                <w:sz w:val="24"/>
                <w:szCs w:val="18"/>
              </w:rPr>
            </w:pPr>
            <w:r>
              <w:rPr>
                <w:color w:val="auto"/>
                <w:sz w:val="24"/>
                <w:szCs w:val="18"/>
              </w:rPr>
              <w:t>运行期：营运期厂界噪声执行《工业企业厂界环境噪声排放标准》(GB12348-2008)中</w:t>
            </w:r>
            <w:r>
              <w:rPr>
                <w:rFonts w:hint="eastAsia"/>
                <w:color w:val="auto"/>
                <w:sz w:val="24"/>
                <w:szCs w:val="18"/>
              </w:rPr>
              <w:t>3</w:t>
            </w:r>
            <w:r>
              <w:rPr>
                <w:color w:val="auto"/>
                <w:sz w:val="24"/>
                <w:szCs w:val="18"/>
              </w:rPr>
              <w:t>类标准。具体取值见下表。</w:t>
            </w:r>
          </w:p>
          <w:p>
            <w:pPr>
              <w:pStyle w:val="10"/>
              <w:spacing w:before="60" w:beforeLines="25" w:after="60" w:afterLines="25" w:line="240" w:lineRule="auto"/>
              <w:ind w:firstLine="0"/>
              <w:jc w:val="center"/>
              <w:rPr>
                <w:b/>
                <w:bCs/>
                <w:color w:val="auto"/>
                <w:sz w:val="21"/>
                <w:szCs w:val="21"/>
              </w:rPr>
            </w:pPr>
            <w:r>
              <w:rPr>
                <w:b/>
                <w:bCs/>
                <w:color w:val="auto"/>
                <w:sz w:val="21"/>
                <w:szCs w:val="21"/>
              </w:rPr>
              <w:t>表3-10  工业企业厂界环境噪声排放标准  dB(A)</w:t>
            </w:r>
          </w:p>
          <w:tbl>
            <w:tblPr>
              <w:tblStyle w:val="34"/>
              <w:tblW w:w="79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2167"/>
              <w:gridCol w:w="2869"/>
              <w:gridCol w:w="29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80" w:hRule="atLeast"/>
                <w:jc w:val="center"/>
              </w:trPr>
              <w:tc>
                <w:tcPr>
                  <w:tcW w:w="2167" w:type="dxa"/>
                  <w:vAlign w:val="center"/>
                </w:tcPr>
                <w:p>
                  <w:pPr>
                    <w:jc w:val="center"/>
                    <w:rPr>
                      <w:color w:val="auto"/>
                      <w:sz w:val="21"/>
                      <w:szCs w:val="21"/>
                    </w:rPr>
                  </w:pPr>
                  <w:r>
                    <w:rPr>
                      <w:color w:val="auto"/>
                      <w:sz w:val="21"/>
                      <w:szCs w:val="21"/>
                    </w:rPr>
                    <w:t>时段</w:t>
                  </w:r>
                </w:p>
              </w:tc>
              <w:tc>
                <w:tcPr>
                  <w:tcW w:w="2869" w:type="dxa"/>
                  <w:vAlign w:val="center"/>
                </w:tcPr>
                <w:p>
                  <w:pPr>
                    <w:jc w:val="center"/>
                    <w:rPr>
                      <w:color w:val="auto"/>
                      <w:sz w:val="21"/>
                      <w:szCs w:val="21"/>
                    </w:rPr>
                  </w:pPr>
                  <w:r>
                    <w:rPr>
                      <w:color w:val="auto"/>
                      <w:sz w:val="21"/>
                      <w:szCs w:val="21"/>
                    </w:rPr>
                    <w:t>昼间</w:t>
                  </w:r>
                </w:p>
              </w:tc>
              <w:tc>
                <w:tcPr>
                  <w:tcW w:w="2922" w:type="dxa"/>
                  <w:vAlign w:val="center"/>
                </w:tcPr>
                <w:p>
                  <w:pPr>
                    <w:jc w:val="center"/>
                    <w:rPr>
                      <w:color w:val="auto"/>
                      <w:sz w:val="21"/>
                      <w:szCs w:val="21"/>
                    </w:rPr>
                  </w:pPr>
                  <w:r>
                    <w:rPr>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10" w:hRule="atLeast"/>
                <w:jc w:val="center"/>
              </w:trPr>
              <w:tc>
                <w:tcPr>
                  <w:tcW w:w="2167" w:type="dxa"/>
                  <w:vAlign w:val="center"/>
                </w:tcPr>
                <w:p>
                  <w:pPr>
                    <w:jc w:val="center"/>
                    <w:rPr>
                      <w:color w:val="auto"/>
                      <w:sz w:val="21"/>
                      <w:szCs w:val="21"/>
                    </w:rPr>
                  </w:pPr>
                  <w:r>
                    <w:rPr>
                      <w:color w:val="auto"/>
                      <w:sz w:val="21"/>
                      <w:szCs w:val="21"/>
                    </w:rPr>
                    <w:t>标准</w:t>
                  </w:r>
                </w:p>
              </w:tc>
              <w:tc>
                <w:tcPr>
                  <w:tcW w:w="2869" w:type="dxa"/>
                  <w:vAlign w:val="center"/>
                </w:tcPr>
                <w:p>
                  <w:pPr>
                    <w:jc w:val="center"/>
                    <w:rPr>
                      <w:color w:val="auto"/>
                      <w:sz w:val="21"/>
                      <w:szCs w:val="21"/>
                    </w:rPr>
                  </w:pPr>
                  <w:r>
                    <w:rPr>
                      <w:color w:val="auto"/>
                      <w:sz w:val="21"/>
                      <w:szCs w:val="21"/>
                    </w:rPr>
                    <w:t>6</w:t>
                  </w:r>
                  <w:r>
                    <w:rPr>
                      <w:rFonts w:hint="eastAsia"/>
                      <w:color w:val="auto"/>
                      <w:sz w:val="21"/>
                      <w:szCs w:val="21"/>
                    </w:rPr>
                    <w:t>5</w:t>
                  </w:r>
                </w:p>
              </w:tc>
              <w:tc>
                <w:tcPr>
                  <w:tcW w:w="2922" w:type="dxa"/>
                  <w:vAlign w:val="center"/>
                </w:tcPr>
                <w:p>
                  <w:pPr>
                    <w:jc w:val="center"/>
                    <w:rPr>
                      <w:color w:val="auto"/>
                      <w:sz w:val="21"/>
                      <w:szCs w:val="21"/>
                    </w:rPr>
                  </w:pPr>
                  <w:r>
                    <w:rPr>
                      <w:color w:val="auto"/>
                      <w:sz w:val="21"/>
                      <w:szCs w:val="21"/>
                    </w:rPr>
                    <w:t>5</w:t>
                  </w:r>
                  <w:r>
                    <w:rPr>
                      <w:rFonts w:hint="eastAsia"/>
                      <w:color w:val="auto"/>
                      <w:sz w:val="21"/>
                      <w:szCs w:val="21"/>
                    </w:rPr>
                    <w:t>5</w:t>
                  </w:r>
                </w:p>
              </w:tc>
            </w:tr>
          </w:tbl>
          <w:p>
            <w:pPr>
              <w:pStyle w:val="31"/>
              <w:spacing w:line="480" w:lineRule="atLeast"/>
              <w:ind w:firstLine="0" w:firstLineChars="0"/>
              <w:rPr>
                <w:b/>
                <w:color w:val="auto"/>
                <w:sz w:val="24"/>
                <w:szCs w:val="24"/>
              </w:rPr>
            </w:pPr>
            <w:r>
              <w:rPr>
                <w:b/>
                <w:color w:val="auto"/>
                <w:sz w:val="24"/>
                <w:szCs w:val="24"/>
              </w:rPr>
              <w:t>3、固体废物</w:t>
            </w:r>
          </w:p>
          <w:p>
            <w:pPr>
              <w:spacing w:line="360" w:lineRule="auto"/>
              <w:ind w:firstLine="480" w:firstLineChars="200"/>
              <w:rPr>
                <w:color w:val="auto"/>
                <w:kern w:val="0"/>
                <w:szCs w:val="21"/>
              </w:rPr>
            </w:pPr>
            <w:r>
              <w:rPr>
                <w:color w:val="auto"/>
                <w:szCs w:val="22"/>
              </w:rPr>
              <w:t>运营期产生的固体废物的一般工业固体废物，执行</w:t>
            </w:r>
            <w:r>
              <w:rPr>
                <w:rFonts w:hint="eastAsia"/>
                <w:color w:val="auto"/>
                <w:szCs w:val="22"/>
                <w:lang w:eastAsia="zh-CN"/>
              </w:rPr>
              <w:t>《一般工业固体废物贮存和填埋污染控制标准》</w:t>
            </w:r>
            <w:r>
              <w:rPr>
                <w:rFonts w:hint="eastAsia"/>
                <w:color w:val="auto"/>
                <w:szCs w:val="22"/>
              </w:rPr>
              <w:t>（GB18599-2020）</w:t>
            </w:r>
            <w:r>
              <w:rPr>
                <w:color w:val="auto"/>
                <w:szCs w:val="22"/>
              </w:rPr>
              <w:t>，运营期产生的</w:t>
            </w:r>
            <w:r>
              <w:rPr>
                <w:rFonts w:hint="eastAsia"/>
                <w:color w:val="auto"/>
                <w:szCs w:val="22"/>
              </w:rPr>
              <w:t>危险</w:t>
            </w:r>
            <w:r>
              <w:rPr>
                <w:color w:val="auto"/>
                <w:szCs w:val="22"/>
              </w:rPr>
              <w:t>废物</w:t>
            </w:r>
            <w:r>
              <w:rPr>
                <w:rFonts w:hint="eastAsia"/>
                <w:color w:val="auto"/>
                <w:szCs w:val="22"/>
              </w:rPr>
              <w:t>执行</w:t>
            </w:r>
            <w:r>
              <w:rPr>
                <w:color w:val="auto"/>
                <w:szCs w:val="22"/>
              </w:rPr>
              <w:t>《危险废物贮存污染控制标准》（GB18597-2001）及修改单（环保部公告2013年第36号）。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800" w:type="dxa"/>
            <w:vAlign w:val="center"/>
          </w:tcPr>
          <w:p>
            <w:pPr>
              <w:adjustRightInd w:val="0"/>
              <w:snapToGrid w:val="0"/>
              <w:jc w:val="center"/>
              <w:rPr>
                <w:color w:val="auto"/>
                <w:kern w:val="0"/>
                <w:szCs w:val="21"/>
              </w:rPr>
            </w:pPr>
            <w:r>
              <w:rPr>
                <w:color w:val="auto"/>
                <w:kern w:val="0"/>
                <w:szCs w:val="21"/>
              </w:rPr>
              <w:t>总量</w:t>
            </w:r>
          </w:p>
          <w:p>
            <w:pPr>
              <w:adjustRightInd w:val="0"/>
              <w:snapToGrid w:val="0"/>
              <w:jc w:val="center"/>
              <w:rPr>
                <w:color w:val="auto"/>
                <w:kern w:val="0"/>
                <w:szCs w:val="21"/>
              </w:rPr>
            </w:pPr>
            <w:r>
              <w:rPr>
                <w:color w:val="auto"/>
                <w:kern w:val="0"/>
                <w:szCs w:val="21"/>
              </w:rPr>
              <w:t>控制</w:t>
            </w:r>
          </w:p>
          <w:p>
            <w:pPr>
              <w:adjustRightInd w:val="0"/>
              <w:snapToGrid w:val="0"/>
              <w:jc w:val="center"/>
              <w:rPr>
                <w:color w:val="auto"/>
                <w:kern w:val="0"/>
                <w:szCs w:val="21"/>
              </w:rPr>
            </w:pPr>
            <w:r>
              <w:rPr>
                <w:color w:val="auto"/>
                <w:kern w:val="0"/>
                <w:szCs w:val="21"/>
              </w:rPr>
              <w:t>指标</w:t>
            </w:r>
          </w:p>
        </w:tc>
        <w:tc>
          <w:tcPr>
            <w:tcW w:w="8190" w:type="dxa"/>
            <w:vAlign w:val="center"/>
          </w:tcPr>
          <w:p>
            <w:pPr>
              <w:widowControl/>
              <w:spacing w:line="360" w:lineRule="auto"/>
              <w:ind w:firstLine="482"/>
              <w:jc w:val="left"/>
              <w:rPr>
                <w:b/>
                <w:color w:val="auto"/>
              </w:rPr>
            </w:pPr>
            <w:r>
              <w:rPr>
                <w:rFonts w:hint="eastAsia"/>
                <w:b/>
                <w:color w:val="auto"/>
              </w:rPr>
              <w:t>1、废水</w:t>
            </w:r>
          </w:p>
          <w:p>
            <w:pPr>
              <w:widowControl/>
              <w:spacing w:line="360" w:lineRule="auto"/>
              <w:ind w:firstLine="482"/>
              <w:jc w:val="left"/>
              <w:rPr>
                <w:bCs/>
                <w:color w:val="auto"/>
              </w:rPr>
            </w:pPr>
            <w:r>
              <w:rPr>
                <w:rFonts w:hint="eastAsia"/>
                <w:bCs/>
                <w:color w:val="auto"/>
              </w:rPr>
              <w:t>本项目无生产废水外排。根据湖南省主要污染物排污权有偿使用和交易管理办法，项目生活污水产生量为</w:t>
            </w:r>
            <w:r>
              <w:rPr>
                <w:rFonts w:hint="eastAsia"/>
                <w:bCs/>
                <w:color w:val="auto"/>
                <w:lang w:eastAsia="zh-CN"/>
              </w:rPr>
              <w:t>608</w:t>
            </w:r>
            <w:r>
              <w:rPr>
                <w:rFonts w:hint="eastAsia"/>
                <w:bCs/>
                <w:color w:val="auto"/>
              </w:rPr>
              <w:t>m</w:t>
            </w:r>
            <w:r>
              <w:rPr>
                <w:rFonts w:hint="eastAsia"/>
                <w:bCs/>
                <w:color w:val="auto"/>
                <w:vertAlign w:val="superscript"/>
              </w:rPr>
              <w:t>3</w:t>
            </w:r>
            <w:r>
              <w:rPr>
                <w:rFonts w:hint="eastAsia"/>
                <w:bCs/>
                <w:color w:val="auto"/>
              </w:rPr>
              <w:t>/a，生活污水经污水管网进入</w:t>
            </w:r>
            <w:r>
              <w:rPr>
                <w:rFonts w:hint="eastAsia"/>
                <w:bCs/>
                <w:color w:val="auto"/>
                <w:lang w:eastAsia="zh-CN"/>
              </w:rPr>
              <w:t>邵东市美桥城市污水处理厂</w:t>
            </w:r>
            <w:r>
              <w:rPr>
                <w:rFonts w:hint="eastAsia"/>
                <w:bCs/>
                <w:color w:val="auto"/>
              </w:rPr>
              <w:t>处理。根据</w:t>
            </w:r>
            <w:r>
              <w:rPr>
                <w:rFonts w:hint="eastAsia"/>
                <w:bCs/>
                <w:color w:val="auto"/>
                <w:lang w:eastAsia="zh-CN"/>
              </w:rPr>
              <w:t>邵东市美桥城市污水处理厂</w:t>
            </w:r>
            <w:r>
              <w:rPr>
                <w:rFonts w:hint="eastAsia"/>
                <w:bCs/>
                <w:color w:val="auto"/>
              </w:rPr>
              <w:t>出水水质《城镇污水处理厂污染物排放标准》（GB18918-2002）一级A标（标准值为COD：50mg/L、NH</w:t>
            </w:r>
            <w:r>
              <w:rPr>
                <w:rFonts w:hint="eastAsia"/>
                <w:bCs/>
                <w:color w:val="auto"/>
                <w:vertAlign w:val="subscript"/>
              </w:rPr>
              <w:t>3</w:t>
            </w:r>
            <w:r>
              <w:rPr>
                <w:rFonts w:hint="eastAsia"/>
                <w:bCs/>
                <w:color w:val="auto"/>
              </w:rPr>
              <w:t>-N：5mg/L）核算，本项目污染物总量为COD：</w:t>
            </w:r>
            <w:r>
              <w:rPr>
                <w:rFonts w:hint="eastAsia"/>
                <w:bCs/>
                <w:color w:val="auto"/>
                <w:lang w:eastAsia="zh-CN"/>
              </w:rPr>
              <w:t>0.03t</w:t>
            </w:r>
            <w:r>
              <w:rPr>
                <w:rFonts w:hint="eastAsia"/>
                <w:bCs/>
                <w:color w:val="auto"/>
              </w:rPr>
              <w:t>/a ，NH</w:t>
            </w:r>
            <w:r>
              <w:rPr>
                <w:rFonts w:hint="eastAsia"/>
                <w:bCs/>
                <w:color w:val="auto"/>
                <w:vertAlign w:val="subscript"/>
              </w:rPr>
              <w:t>3</w:t>
            </w:r>
            <w:r>
              <w:rPr>
                <w:rFonts w:hint="eastAsia"/>
                <w:bCs/>
                <w:color w:val="auto"/>
              </w:rPr>
              <w:t>-N：</w:t>
            </w:r>
            <w:r>
              <w:rPr>
                <w:rFonts w:hint="eastAsia"/>
                <w:bCs/>
                <w:color w:val="auto"/>
                <w:lang w:eastAsia="zh-CN"/>
              </w:rPr>
              <w:t>0.003</w:t>
            </w:r>
            <w:r>
              <w:rPr>
                <w:rFonts w:hint="eastAsia"/>
                <w:bCs/>
                <w:color w:val="auto"/>
                <w:lang w:val="en-US" w:eastAsia="zh-CN"/>
              </w:rPr>
              <w:t>t</w:t>
            </w:r>
            <w:r>
              <w:rPr>
                <w:rFonts w:hint="eastAsia"/>
                <w:bCs/>
                <w:color w:val="auto"/>
              </w:rPr>
              <w:t>/a，纳入</w:t>
            </w:r>
            <w:r>
              <w:rPr>
                <w:rFonts w:hint="eastAsia"/>
                <w:bCs/>
                <w:color w:val="auto"/>
                <w:lang w:eastAsia="zh-CN"/>
              </w:rPr>
              <w:t>邵东市美桥城市污水处理厂</w:t>
            </w:r>
            <w:r>
              <w:rPr>
                <w:rFonts w:hint="eastAsia"/>
                <w:bCs/>
                <w:color w:val="auto"/>
              </w:rPr>
              <w:t>总量指标中。</w:t>
            </w:r>
          </w:p>
          <w:p>
            <w:pPr>
              <w:widowControl/>
              <w:spacing w:line="360" w:lineRule="auto"/>
              <w:ind w:firstLine="482"/>
              <w:jc w:val="left"/>
              <w:rPr>
                <w:b/>
                <w:color w:val="auto"/>
              </w:rPr>
            </w:pPr>
            <w:r>
              <w:rPr>
                <w:rFonts w:hint="eastAsia"/>
                <w:b/>
                <w:color w:val="auto"/>
              </w:rPr>
              <w:t>2、废气</w:t>
            </w:r>
          </w:p>
          <w:p>
            <w:pPr>
              <w:adjustRightInd w:val="0"/>
              <w:snapToGrid w:val="0"/>
              <w:spacing w:line="360" w:lineRule="auto"/>
              <w:ind w:firstLine="480"/>
              <w:jc w:val="left"/>
              <w:rPr>
                <w:color w:val="auto"/>
                <w:highlight w:val="none"/>
              </w:rPr>
            </w:pPr>
            <w:r>
              <w:rPr>
                <w:rFonts w:hint="eastAsia"/>
                <w:bCs/>
                <w:color w:val="auto"/>
              </w:rPr>
              <w:t>根据国家环保部要求对建设项目排放污染物实施总量控制的要求，针对本项目的具体排污情况，结合本项目排污特征，</w:t>
            </w:r>
            <w:r>
              <w:rPr>
                <w:rFonts w:hint="eastAsia"/>
                <w:bCs/>
                <w:color w:val="auto"/>
                <w:highlight w:val="none"/>
              </w:rPr>
              <w:t>本拟建项目大气污染物VOCs为</w:t>
            </w:r>
            <w:r>
              <w:rPr>
                <w:rFonts w:hint="eastAsia"/>
                <w:bCs/>
                <w:color w:val="auto"/>
                <w:highlight w:val="none"/>
                <w:lang w:eastAsia="zh-CN"/>
              </w:rPr>
              <w:t>1.85t</w:t>
            </w:r>
            <w:r>
              <w:rPr>
                <w:rFonts w:hint="eastAsia"/>
                <w:bCs/>
                <w:color w:val="auto"/>
                <w:highlight w:val="none"/>
              </w:rPr>
              <w:t>/a，</w:t>
            </w:r>
            <w:r>
              <w:rPr>
                <w:rFonts w:hint="eastAsia"/>
                <w:bCs/>
                <w:color w:val="auto"/>
                <w:highlight w:val="none"/>
                <w:lang w:val="zh-CN"/>
              </w:rPr>
              <w:t>废气总量控制指标</w:t>
            </w:r>
            <w:r>
              <w:rPr>
                <w:rFonts w:hint="eastAsia"/>
                <w:bCs/>
                <w:color w:val="auto"/>
                <w:highlight w:val="none"/>
                <w:lang w:val="en-US" w:eastAsia="zh-CN"/>
              </w:rPr>
              <w:t>为</w:t>
            </w:r>
            <w:r>
              <w:rPr>
                <w:rFonts w:hint="eastAsia"/>
                <w:bCs/>
                <w:color w:val="auto"/>
                <w:highlight w:val="none"/>
              </w:rPr>
              <w:t>VOCs</w:t>
            </w:r>
            <w:r>
              <w:rPr>
                <w:rFonts w:hint="eastAsia"/>
                <w:bCs/>
                <w:color w:val="auto"/>
                <w:highlight w:val="none"/>
                <w:lang w:val="en-US" w:eastAsia="zh-CN"/>
              </w:rPr>
              <w:t xml:space="preserve"> </w:t>
            </w:r>
            <w:r>
              <w:rPr>
                <w:rFonts w:hint="eastAsia"/>
                <w:bCs/>
                <w:color w:val="auto"/>
                <w:highlight w:val="none"/>
                <w:lang w:eastAsia="zh-CN"/>
              </w:rPr>
              <w:t>1.85t</w:t>
            </w:r>
            <w:r>
              <w:rPr>
                <w:rFonts w:hint="eastAsia"/>
                <w:bCs/>
                <w:color w:val="auto"/>
                <w:highlight w:val="none"/>
              </w:rPr>
              <w:t>/a。</w:t>
            </w:r>
          </w:p>
          <w:p>
            <w:pPr>
              <w:adjustRightInd w:val="0"/>
              <w:snapToGrid w:val="0"/>
              <w:spacing w:line="360" w:lineRule="auto"/>
              <w:ind w:firstLine="480"/>
              <w:jc w:val="left"/>
              <w:rPr>
                <w:color w:val="auto"/>
              </w:rPr>
            </w:pPr>
          </w:p>
          <w:p>
            <w:pPr>
              <w:adjustRightInd w:val="0"/>
              <w:snapToGrid w:val="0"/>
              <w:spacing w:line="360" w:lineRule="auto"/>
              <w:ind w:firstLine="480"/>
              <w:jc w:val="left"/>
              <w:rPr>
                <w:color w:val="auto"/>
                <w:szCs w:val="22"/>
              </w:rPr>
            </w:pPr>
          </w:p>
          <w:p>
            <w:pPr>
              <w:adjustRightInd w:val="0"/>
              <w:snapToGrid w:val="0"/>
              <w:spacing w:line="360" w:lineRule="auto"/>
              <w:ind w:firstLine="480"/>
              <w:jc w:val="left"/>
              <w:rPr>
                <w:color w:val="auto"/>
                <w:kern w:val="0"/>
                <w:szCs w:val="21"/>
              </w:rPr>
            </w:pPr>
          </w:p>
        </w:tc>
      </w:tr>
    </w:tbl>
    <w:p>
      <w:pPr>
        <w:pStyle w:val="29"/>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bookmarkStart w:id="11" w:name="_Toc71631404"/>
      <w:r>
        <w:rPr>
          <w:rStyle w:val="46"/>
          <w:rFonts w:ascii="Times New Roman" w:hAnsi="Times New Roman"/>
          <w:color w:val="auto"/>
        </w:rPr>
        <w:t>四、主要环境影响和保护措施</w:t>
      </w:r>
      <w:bookmarkEnd w:id="11"/>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83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746" w:type="dxa"/>
            <w:tcMar>
              <w:left w:w="28" w:type="dxa"/>
              <w:right w:w="28" w:type="dxa"/>
            </w:tcMar>
            <w:vAlign w:val="center"/>
          </w:tcPr>
          <w:p>
            <w:pPr>
              <w:pStyle w:val="29"/>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施工</w:t>
            </w:r>
          </w:p>
          <w:p>
            <w:pPr>
              <w:pStyle w:val="29"/>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期环</w:t>
            </w:r>
          </w:p>
          <w:p>
            <w:pPr>
              <w:pStyle w:val="29"/>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境保</w:t>
            </w:r>
          </w:p>
          <w:p>
            <w:pPr>
              <w:pStyle w:val="29"/>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护措</w:t>
            </w:r>
          </w:p>
          <w:p>
            <w:pPr>
              <w:pStyle w:val="29"/>
              <w:adjustRightInd w:val="0"/>
              <w:snapToGrid w:val="0"/>
              <w:spacing w:before="0" w:beforeAutospacing="0" w:after="0" w:afterAutospacing="0"/>
              <w:jc w:val="center"/>
              <w:rPr>
                <w:rFonts w:ascii="Times New Roman" w:hAnsi="Times New Roman"/>
                <w:bCs/>
                <w:color w:val="auto"/>
                <w:kern w:val="2"/>
                <w:sz w:val="21"/>
                <w:szCs w:val="21"/>
              </w:rPr>
            </w:pPr>
            <w:r>
              <w:rPr>
                <w:rFonts w:ascii="Times New Roman" w:hAnsi="Times New Roman"/>
                <w:color w:val="auto"/>
                <w:kern w:val="2"/>
                <w:sz w:val="21"/>
                <w:szCs w:val="21"/>
              </w:rPr>
              <w:t>施</w:t>
            </w:r>
          </w:p>
        </w:tc>
        <w:tc>
          <w:tcPr>
            <w:tcW w:w="8162" w:type="dxa"/>
            <w:vAlign w:val="center"/>
          </w:tcPr>
          <w:p>
            <w:pPr>
              <w:keepNext/>
              <w:overflowPunct w:val="0"/>
              <w:snapToGrid w:val="0"/>
              <w:spacing w:line="360" w:lineRule="auto"/>
              <w:ind w:left="432" w:hanging="432"/>
              <w:outlineLvl w:val="0"/>
              <w:rPr>
                <w:rFonts w:eastAsia="黑体"/>
                <w:b/>
                <w:bCs/>
                <w:color w:val="auto"/>
                <w:kern w:val="44"/>
              </w:rPr>
            </w:pPr>
            <w:bookmarkStart w:id="12" w:name="_Toc71631405"/>
            <w:r>
              <w:rPr>
                <w:rFonts w:eastAsia="黑体"/>
                <w:b/>
                <w:bCs/>
                <w:color w:val="auto"/>
                <w:kern w:val="44"/>
              </w:rPr>
              <w:t>4.1施工期环境影响分析：</w:t>
            </w:r>
            <w:bookmarkEnd w:id="12"/>
          </w:p>
          <w:p>
            <w:pPr>
              <w:keepNext w:val="0"/>
              <w:keepLines w:val="0"/>
              <w:widowControl/>
              <w:suppressLineNumbers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rPr>
            </w:pPr>
            <w:r>
              <w:rPr>
                <w:rFonts w:hint="default" w:ascii="Times New Roman" w:hAnsi="Times New Roman" w:cs="Times New Roman"/>
                <w:color w:val="auto"/>
              </w:rPr>
              <w:t>本项目施工期主要</w:t>
            </w:r>
            <w:r>
              <w:rPr>
                <w:rFonts w:hint="default" w:ascii="Times New Roman" w:hAnsi="Times New Roman" w:cs="Times New Roman"/>
                <w:color w:val="auto"/>
                <w:lang w:eastAsia="zh-CN"/>
              </w:rPr>
              <w:t>是</w:t>
            </w:r>
            <w:r>
              <w:rPr>
                <w:rFonts w:hint="default" w:ascii="Times New Roman" w:hAnsi="Times New Roman" w:cs="Times New Roman"/>
                <w:color w:val="auto"/>
              </w:rPr>
              <w:t>安装设备，施工期环境影响很小，因此施工期环境影响从略。</w:t>
            </w:r>
          </w:p>
          <w:p>
            <w:pPr>
              <w:adjustRightInd w:val="0"/>
              <w:snapToGrid w:val="0"/>
              <w:rPr>
                <w:bCs/>
                <w:color w:val="auto"/>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adjustRightInd w:val="0"/>
              <w:snapToGrid w:val="0"/>
              <w:jc w:val="center"/>
              <w:rPr>
                <w:bCs/>
                <w:color w:val="auto"/>
                <w:szCs w:val="21"/>
              </w:rPr>
            </w:pPr>
            <w:r>
              <w:rPr>
                <w:bCs/>
                <w:color w:val="auto"/>
                <w:szCs w:val="21"/>
              </w:rPr>
              <w:t>运营</w:t>
            </w:r>
          </w:p>
          <w:p>
            <w:pPr>
              <w:adjustRightInd w:val="0"/>
              <w:snapToGrid w:val="0"/>
              <w:jc w:val="center"/>
              <w:rPr>
                <w:bCs/>
                <w:color w:val="auto"/>
                <w:szCs w:val="21"/>
              </w:rPr>
            </w:pPr>
            <w:r>
              <w:rPr>
                <w:bCs/>
                <w:color w:val="auto"/>
                <w:szCs w:val="21"/>
              </w:rPr>
              <w:t>期环</w:t>
            </w:r>
          </w:p>
          <w:p>
            <w:pPr>
              <w:adjustRightInd w:val="0"/>
              <w:snapToGrid w:val="0"/>
              <w:jc w:val="center"/>
              <w:rPr>
                <w:bCs/>
                <w:color w:val="auto"/>
                <w:szCs w:val="21"/>
              </w:rPr>
            </w:pPr>
            <w:r>
              <w:rPr>
                <w:bCs/>
                <w:color w:val="auto"/>
                <w:szCs w:val="21"/>
              </w:rPr>
              <w:t>境影</w:t>
            </w:r>
          </w:p>
          <w:p>
            <w:pPr>
              <w:adjustRightInd w:val="0"/>
              <w:snapToGrid w:val="0"/>
              <w:jc w:val="center"/>
              <w:rPr>
                <w:bCs/>
                <w:color w:val="auto"/>
                <w:szCs w:val="21"/>
              </w:rPr>
            </w:pPr>
            <w:r>
              <w:rPr>
                <w:bCs/>
                <w:color w:val="auto"/>
                <w:szCs w:val="21"/>
              </w:rPr>
              <w:t>响和</w:t>
            </w:r>
          </w:p>
          <w:p>
            <w:pPr>
              <w:adjustRightInd w:val="0"/>
              <w:snapToGrid w:val="0"/>
              <w:jc w:val="center"/>
              <w:rPr>
                <w:bCs/>
                <w:color w:val="auto"/>
                <w:szCs w:val="21"/>
              </w:rPr>
            </w:pPr>
            <w:r>
              <w:rPr>
                <w:bCs/>
                <w:color w:val="auto"/>
                <w:szCs w:val="21"/>
              </w:rPr>
              <w:t>保护</w:t>
            </w:r>
          </w:p>
          <w:p>
            <w:pPr>
              <w:adjustRightInd w:val="0"/>
              <w:snapToGrid w:val="0"/>
              <w:jc w:val="center"/>
              <w:rPr>
                <w:bCs/>
                <w:color w:val="auto"/>
                <w:szCs w:val="21"/>
              </w:rPr>
            </w:pPr>
            <w:r>
              <w:rPr>
                <w:bCs/>
                <w:color w:val="auto"/>
                <w:szCs w:val="21"/>
              </w:rPr>
              <w:t>措施</w:t>
            </w:r>
          </w:p>
        </w:tc>
        <w:tc>
          <w:tcPr>
            <w:tcW w:w="8162" w:type="dxa"/>
            <w:vAlign w:val="center"/>
          </w:tcPr>
          <w:p>
            <w:pPr>
              <w:pStyle w:val="3"/>
              <w:rPr>
                <w:color w:val="auto"/>
              </w:rPr>
            </w:pPr>
            <w:bookmarkStart w:id="13" w:name="_Toc71631406"/>
            <w:r>
              <w:rPr>
                <w:color w:val="auto"/>
              </w:rPr>
              <w:t>4.2营运期环境影响分析：</w:t>
            </w:r>
            <w:bookmarkEnd w:id="13"/>
          </w:p>
          <w:p>
            <w:pPr>
              <w:pStyle w:val="4"/>
              <w:rPr>
                <w:color w:val="auto"/>
              </w:rPr>
            </w:pPr>
            <w:r>
              <w:rPr>
                <w:color w:val="auto"/>
              </w:rPr>
              <w:t>4.2.1环境空气影响分析</w:t>
            </w:r>
          </w:p>
          <w:p>
            <w:pPr>
              <w:adjustRightInd w:val="0"/>
              <w:snapToGrid w:val="0"/>
              <w:spacing w:line="360" w:lineRule="auto"/>
              <w:ind w:firstLine="480" w:firstLineChars="200"/>
              <w:rPr>
                <w:color w:val="auto"/>
                <w:sz w:val="24"/>
                <w:szCs w:val="24"/>
              </w:rPr>
            </w:pPr>
            <w:r>
              <w:rPr>
                <w:rFonts w:hint="eastAsia" w:cs="宋体"/>
                <w:color w:val="auto"/>
                <w:sz w:val="24"/>
                <w:szCs w:val="24"/>
              </w:rPr>
              <w:t>本项目搅拌罐</w:t>
            </w:r>
            <w:r>
              <w:rPr>
                <w:rFonts w:hint="eastAsia" w:cs="宋体"/>
                <w:color w:val="auto"/>
                <w:sz w:val="24"/>
                <w:szCs w:val="24"/>
                <w:lang w:eastAsia="zh-CN"/>
              </w:rPr>
              <w:t>、</w:t>
            </w:r>
            <w:r>
              <w:rPr>
                <w:rFonts w:hint="eastAsia" w:cs="宋体"/>
                <w:color w:val="auto"/>
                <w:sz w:val="24"/>
                <w:szCs w:val="24"/>
                <w:lang w:val="en-US" w:eastAsia="zh-CN"/>
              </w:rPr>
              <w:t>乳化罐</w:t>
            </w:r>
            <w:r>
              <w:rPr>
                <w:rFonts w:hint="eastAsia" w:cs="宋体"/>
                <w:color w:val="auto"/>
                <w:sz w:val="24"/>
                <w:szCs w:val="24"/>
              </w:rPr>
              <w:t>均为封闭式，搅拌过程粉尘产生量极少。营运过程中产生废气主要为</w:t>
            </w:r>
            <w:r>
              <w:rPr>
                <w:rFonts w:hint="eastAsia" w:cs="宋体"/>
                <w:color w:val="auto"/>
                <w:sz w:val="24"/>
                <w:szCs w:val="24"/>
                <w:lang w:eastAsia="zh-CN"/>
              </w:rPr>
              <w:t>水性环氧乳液、水性防火隔热材料</w:t>
            </w:r>
            <w:r>
              <w:rPr>
                <w:rFonts w:hint="eastAsia" w:cs="宋体"/>
                <w:color w:val="auto"/>
                <w:sz w:val="24"/>
                <w:szCs w:val="24"/>
              </w:rPr>
              <w:t>生产投料产生的粉尘，搅拌、分散、罐装工序产生的</w:t>
            </w:r>
            <w:r>
              <w:rPr>
                <w:color w:val="auto"/>
                <w:sz w:val="24"/>
                <w:szCs w:val="24"/>
              </w:rPr>
              <w:t>非甲烷总烃</w:t>
            </w:r>
            <w:r>
              <w:rPr>
                <w:rFonts w:hint="eastAsia" w:cs="宋体"/>
                <w:color w:val="auto"/>
                <w:sz w:val="24"/>
                <w:szCs w:val="24"/>
              </w:rPr>
              <w:t>，以及</w:t>
            </w:r>
            <w:r>
              <w:rPr>
                <w:rFonts w:hint="eastAsia" w:cs="宋体"/>
                <w:color w:val="auto"/>
                <w:sz w:val="24"/>
                <w:szCs w:val="24"/>
                <w:lang w:eastAsia="zh-CN"/>
              </w:rPr>
              <w:t>隔热砂浆</w:t>
            </w:r>
            <w:r>
              <w:rPr>
                <w:rFonts w:hint="eastAsia" w:cs="宋体"/>
                <w:color w:val="auto"/>
                <w:sz w:val="24"/>
                <w:szCs w:val="24"/>
              </w:rPr>
              <w:t>生产</w:t>
            </w:r>
            <w:r>
              <w:rPr>
                <w:rFonts w:hint="eastAsia" w:cs="宋体"/>
                <w:color w:val="auto"/>
                <w:sz w:val="24"/>
                <w:szCs w:val="24"/>
                <w:lang w:val="en-US" w:eastAsia="zh-CN"/>
              </w:rPr>
              <w:t>投料、</w:t>
            </w:r>
            <w:r>
              <w:rPr>
                <w:rFonts w:hint="eastAsia" w:cs="宋体"/>
                <w:color w:val="auto"/>
                <w:sz w:val="24"/>
                <w:szCs w:val="24"/>
              </w:rPr>
              <w:t>搅拌</w:t>
            </w:r>
            <w:r>
              <w:rPr>
                <w:rFonts w:hint="eastAsia" w:cs="宋体"/>
                <w:color w:val="auto"/>
                <w:sz w:val="24"/>
                <w:szCs w:val="24"/>
                <w:lang w:eastAsia="zh-CN"/>
              </w:rPr>
              <w:t>、</w:t>
            </w:r>
            <w:r>
              <w:rPr>
                <w:rFonts w:hint="eastAsia" w:cs="宋体"/>
                <w:color w:val="auto"/>
                <w:sz w:val="24"/>
                <w:szCs w:val="24"/>
                <w:lang w:val="en-US" w:eastAsia="zh-CN"/>
              </w:rPr>
              <w:t>包装过程中</w:t>
            </w:r>
            <w:r>
              <w:rPr>
                <w:rFonts w:hint="eastAsia" w:cs="宋体"/>
                <w:color w:val="auto"/>
                <w:sz w:val="24"/>
                <w:szCs w:val="24"/>
              </w:rPr>
              <w:t>产生的粉尘。</w:t>
            </w:r>
          </w:p>
          <w:p>
            <w:pPr>
              <w:adjustRightInd w:val="0"/>
              <w:snapToGrid w:val="0"/>
              <w:spacing w:line="360" w:lineRule="auto"/>
              <w:ind w:firstLine="480" w:firstLineChars="200"/>
              <w:rPr>
                <w:color w:val="auto"/>
                <w:sz w:val="24"/>
                <w:szCs w:val="24"/>
              </w:rPr>
            </w:pPr>
            <w:r>
              <w:rPr>
                <w:rFonts w:hint="eastAsia" w:cs="宋体"/>
                <w:color w:val="auto"/>
                <w:sz w:val="24"/>
                <w:szCs w:val="24"/>
              </w:rPr>
              <w:t>（</w:t>
            </w:r>
            <w:r>
              <w:rPr>
                <w:color w:val="auto"/>
                <w:sz w:val="24"/>
                <w:szCs w:val="24"/>
              </w:rPr>
              <w:t>1</w:t>
            </w:r>
            <w:r>
              <w:rPr>
                <w:rFonts w:hint="eastAsia" w:cs="宋体"/>
                <w:color w:val="auto"/>
                <w:sz w:val="24"/>
                <w:szCs w:val="24"/>
              </w:rPr>
              <w:t>）粉尘</w:t>
            </w:r>
          </w:p>
          <w:p>
            <w:pPr>
              <w:adjustRightInd w:val="0"/>
              <w:snapToGrid w:val="0"/>
              <w:spacing w:line="360" w:lineRule="auto"/>
              <w:ind w:firstLine="480" w:firstLineChars="200"/>
              <w:rPr>
                <w:rFonts w:hint="eastAsia" w:eastAsia="宋体"/>
                <w:color w:val="auto"/>
                <w:sz w:val="24"/>
                <w:szCs w:val="24"/>
                <w:lang w:val="en-US" w:eastAsia="zh-CN"/>
              </w:rPr>
            </w:pPr>
            <w:r>
              <w:rPr>
                <w:rFonts w:hint="eastAsia" w:cs="宋体"/>
                <w:color w:val="auto"/>
                <w:sz w:val="24"/>
                <w:szCs w:val="24"/>
              </w:rPr>
              <w:t>本项目在</w:t>
            </w:r>
            <w:r>
              <w:rPr>
                <w:rFonts w:hint="eastAsia" w:cs="宋体"/>
                <w:color w:val="auto"/>
                <w:sz w:val="24"/>
                <w:szCs w:val="24"/>
                <w:lang w:eastAsia="zh-CN"/>
              </w:rPr>
              <w:t>水性环氧乳液、水性防火隔热材料</w:t>
            </w:r>
            <w:r>
              <w:rPr>
                <w:rFonts w:hint="eastAsia" w:cs="宋体"/>
                <w:color w:val="auto"/>
                <w:sz w:val="24"/>
                <w:szCs w:val="24"/>
              </w:rPr>
              <w:t>生产过程中投料工序会产生粉尘，</w:t>
            </w:r>
            <w:r>
              <w:rPr>
                <w:rFonts w:hint="eastAsia" w:cs="宋体"/>
                <w:color w:val="auto"/>
                <w:sz w:val="24"/>
                <w:szCs w:val="24"/>
                <w:lang w:eastAsia="zh-CN"/>
              </w:rPr>
              <w:t>隔热砂浆</w:t>
            </w:r>
            <w:r>
              <w:rPr>
                <w:rFonts w:hint="eastAsia" w:cs="宋体"/>
                <w:color w:val="auto"/>
                <w:sz w:val="24"/>
                <w:szCs w:val="24"/>
              </w:rPr>
              <w:t>生产</w:t>
            </w:r>
            <w:r>
              <w:rPr>
                <w:rFonts w:hint="eastAsia" w:cs="宋体"/>
                <w:color w:val="auto"/>
                <w:sz w:val="24"/>
                <w:szCs w:val="24"/>
                <w:lang w:val="en-US" w:eastAsia="zh-CN"/>
              </w:rPr>
              <w:t>投料、</w:t>
            </w:r>
            <w:r>
              <w:rPr>
                <w:rFonts w:hint="eastAsia" w:cs="宋体"/>
                <w:color w:val="auto"/>
                <w:sz w:val="24"/>
                <w:szCs w:val="24"/>
              </w:rPr>
              <w:t>搅拌</w:t>
            </w:r>
            <w:r>
              <w:rPr>
                <w:rFonts w:hint="eastAsia" w:cs="宋体"/>
                <w:color w:val="auto"/>
                <w:sz w:val="24"/>
                <w:szCs w:val="24"/>
                <w:lang w:eastAsia="zh-CN"/>
              </w:rPr>
              <w:t>、</w:t>
            </w:r>
            <w:r>
              <w:rPr>
                <w:rFonts w:hint="eastAsia" w:cs="宋体"/>
                <w:color w:val="auto"/>
                <w:sz w:val="24"/>
                <w:szCs w:val="24"/>
                <w:lang w:val="en-US" w:eastAsia="zh-CN"/>
              </w:rPr>
              <w:t>包装过程中</w:t>
            </w:r>
            <w:r>
              <w:rPr>
                <w:rFonts w:hint="eastAsia" w:cs="宋体"/>
                <w:color w:val="auto"/>
                <w:sz w:val="24"/>
                <w:szCs w:val="24"/>
              </w:rPr>
              <w:t>会产生粉尘，根据《排放源统计调查产排污核算方法和系数手册2641涂料制造行业系数手册》，涂料制造业产排污系数表（水性涂料）中工业粉尘的产生量为</w:t>
            </w:r>
            <w:r>
              <w:rPr>
                <w:rFonts w:hint="eastAsia"/>
                <w:color w:val="auto"/>
                <w:sz w:val="24"/>
                <w:szCs w:val="24"/>
                <w:lang w:val="en-US" w:eastAsia="zh-CN"/>
              </w:rPr>
              <w:t>0.1</w:t>
            </w:r>
            <w:r>
              <w:rPr>
                <w:color w:val="auto"/>
                <w:sz w:val="24"/>
                <w:szCs w:val="24"/>
              </w:rPr>
              <w:t>kg/</w:t>
            </w:r>
            <w:r>
              <w:rPr>
                <w:rFonts w:hint="eastAsia" w:cs="宋体"/>
                <w:color w:val="auto"/>
                <w:sz w:val="24"/>
                <w:szCs w:val="24"/>
              </w:rPr>
              <w:t>吨产品，因此，通过计算得本项目在</w:t>
            </w:r>
            <w:r>
              <w:rPr>
                <w:rFonts w:hint="eastAsia" w:cs="宋体"/>
                <w:color w:val="auto"/>
                <w:sz w:val="24"/>
                <w:szCs w:val="24"/>
                <w:lang w:eastAsia="zh-CN"/>
              </w:rPr>
              <w:t>水性环氧乳液、水性防火隔热材料</w:t>
            </w:r>
            <w:r>
              <w:rPr>
                <w:rFonts w:hint="eastAsia" w:cs="宋体"/>
                <w:color w:val="auto"/>
                <w:sz w:val="24"/>
                <w:szCs w:val="24"/>
              </w:rPr>
              <w:t>生产过程中粉尘产生量为</w:t>
            </w:r>
            <w:r>
              <w:rPr>
                <w:rFonts w:hint="eastAsia" w:cs="宋体"/>
                <w:color w:val="auto"/>
                <w:sz w:val="24"/>
                <w:szCs w:val="24"/>
                <w:lang w:val="en-US" w:eastAsia="zh-CN"/>
              </w:rPr>
              <w:t>0.25t</w:t>
            </w:r>
            <w:r>
              <w:rPr>
                <w:color w:val="auto"/>
                <w:sz w:val="24"/>
                <w:szCs w:val="24"/>
              </w:rPr>
              <w:t>/a</w:t>
            </w:r>
            <w:r>
              <w:rPr>
                <w:rFonts w:hint="eastAsia"/>
                <w:color w:val="auto"/>
                <w:sz w:val="24"/>
                <w:szCs w:val="24"/>
                <w:lang w:eastAsia="zh-CN"/>
              </w:rPr>
              <w:t>。</w:t>
            </w:r>
            <w:r>
              <w:rPr>
                <w:rFonts w:hint="eastAsia" w:cs="宋体"/>
                <w:color w:val="auto"/>
                <w:sz w:val="24"/>
                <w:szCs w:val="24"/>
              </w:rPr>
              <w:t>本项目拟在投料口采用集气罩对粉尘进行收集，经过</w:t>
            </w:r>
            <w:r>
              <w:rPr>
                <w:rFonts w:hint="eastAsia" w:cs="宋体"/>
                <w:color w:val="auto"/>
                <w:sz w:val="24"/>
                <w:szCs w:val="24"/>
                <w:lang w:eastAsia="zh-CN"/>
              </w:rPr>
              <w:t>布袋除尘器</w:t>
            </w:r>
            <w:r>
              <w:rPr>
                <w:rFonts w:hint="eastAsia" w:cs="宋体"/>
                <w:color w:val="auto"/>
                <w:sz w:val="24"/>
                <w:szCs w:val="24"/>
              </w:rPr>
              <w:t>处理，然后通过</w:t>
            </w:r>
            <w:r>
              <w:rPr>
                <w:color w:val="auto"/>
                <w:sz w:val="24"/>
                <w:szCs w:val="24"/>
              </w:rPr>
              <w:t>15m</w:t>
            </w:r>
            <w:r>
              <w:rPr>
                <w:rFonts w:hint="eastAsia" w:cs="宋体"/>
                <w:color w:val="auto"/>
                <w:sz w:val="24"/>
                <w:szCs w:val="24"/>
              </w:rPr>
              <w:t>高排气筒排放，收集效率90%，处理效率</w:t>
            </w:r>
            <w:r>
              <w:rPr>
                <w:rFonts w:hint="eastAsia" w:cs="宋体"/>
                <w:color w:val="auto"/>
                <w:sz w:val="24"/>
                <w:szCs w:val="24"/>
                <w:lang w:val="en-US" w:eastAsia="zh-CN"/>
              </w:rPr>
              <w:t>99</w:t>
            </w:r>
            <w:r>
              <w:rPr>
                <w:rFonts w:hint="eastAsia" w:cs="宋体"/>
                <w:color w:val="auto"/>
                <w:sz w:val="24"/>
                <w:szCs w:val="24"/>
              </w:rPr>
              <w:t>%，风机风量以</w:t>
            </w:r>
            <w:r>
              <w:rPr>
                <w:rFonts w:hint="eastAsia"/>
                <w:color w:val="auto"/>
                <w:sz w:val="24"/>
                <w:szCs w:val="24"/>
                <w:lang w:val="en-US" w:eastAsia="zh-CN"/>
              </w:rPr>
              <w:t>2</w:t>
            </w:r>
            <w:r>
              <w:rPr>
                <w:rFonts w:hint="eastAsia"/>
                <w:color w:val="auto"/>
                <w:sz w:val="24"/>
                <w:szCs w:val="24"/>
              </w:rPr>
              <w:t>0</w:t>
            </w:r>
            <w:r>
              <w:rPr>
                <w:color w:val="auto"/>
                <w:sz w:val="24"/>
                <w:szCs w:val="24"/>
              </w:rPr>
              <w:t>00m</w:t>
            </w:r>
            <w:r>
              <w:rPr>
                <w:color w:val="auto"/>
                <w:sz w:val="24"/>
                <w:szCs w:val="24"/>
                <w:vertAlign w:val="superscript"/>
              </w:rPr>
              <w:t>3</w:t>
            </w:r>
            <w:r>
              <w:rPr>
                <w:color w:val="auto"/>
                <w:sz w:val="24"/>
                <w:szCs w:val="24"/>
              </w:rPr>
              <w:t>/h</w:t>
            </w:r>
            <w:r>
              <w:rPr>
                <w:rFonts w:hint="eastAsia" w:cs="宋体"/>
                <w:color w:val="auto"/>
                <w:sz w:val="24"/>
                <w:szCs w:val="24"/>
              </w:rPr>
              <w:t>计，</w:t>
            </w:r>
            <w:r>
              <w:rPr>
                <w:rFonts w:hint="eastAsia" w:cs="宋体"/>
                <w:color w:val="auto"/>
                <w:sz w:val="24"/>
                <w:szCs w:val="24"/>
                <w:lang w:val="en-US" w:eastAsia="zh-CN"/>
              </w:rPr>
              <w:t>投料时间每天按0.5h计，</w:t>
            </w:r>
            <w:r>
              <w:rPr>
                <w:rFonts w:hint="eastAsia" w:cs="宋体"/>
                <w:color w:val="auto"/>
                <w:sz w:val="24"/>
                <w:szCs w:val="24"/>
              </w:rPr>
              <w:t>则粉尘排放</w:t>
            </w:r>
            <w:r>
              <w:rPr>
                <w:rFonts w:hint="eastAsia" w:cs="宋体"/>
                <w:color w:val="auto"/>
                <w:sz w:val="24"/>
                <w:szCs w:val="24"/>
                <w:lang w:val="en-US" w:eastAsia="zh-CN"/>
              </w:rPr>
              <w:t>量为0.002t</w:t>
            </w:r>
            <w:r>
              <w:rPr>
                <w:color w:val="auto"/>
                <w:sz w:val="24"/>
                <w:szCs w:val="24"/>
              </w:rPr>
              <w:t>/a</w:t>
            </w:r>
            <w:r>
              <w:rPr>
                <w:rFonts w:hint="eastAsia" w:cs="宋体"/>
                <w:color w:val="auto"/>
                <w:sz w:val="24"/>
                <w:szCs w:val="24"/>
              </w:rPr>
              <w:t>，粉尘排放浓度为</w:t>
            </w:r>
            <w:r>
              <w:rPr>
                <w:rFonts w:hint="eastAsia"/>
                <w:color w:val="auto"/>
                <w:sz w:val="24"/>
                <w:szCs w:val="24"/>
                <w:lang w:val="en-US" w:eastAsia="zh-CN"/>
              </w:rPr>
              <w:t>7.5</w:t>
            </w:r>
            <w:r>
              <w:rPr>
                <w:color w:val="auto"/>
                <w:sz w:val="24"/>
                <w:szCs w:val="24"/>
              </w:rPr>
              <w:t>mg/m</w:t>
            </w:r>
            <w:r>
              <w:rPr>
                <w:color w:val="auto"/>
                <w:sz w:val="24"/>
                <w:szCs w:val="24"/>
                <w:vertAlign w:val="superscript"/>
              </w:rPr>
              <w:t>3</w:t>
            </w:r>
            <w:r>
              <w:rPr>
                <w:rFonts w:hint="eastAsia" w:cs="宋体"/>
                <w:color w:val="auto"/>
                <w:sz w:val="24"/>
                <w:szCs w:val="24"/>
              </w:rPr>
              <w:t>，排放速率为</w:t>
            </w:r>
            <w:r>
              <w:rPr>
                <w:rFonts w:hint="eastAsia"/>
                <w:color w:val="auto"/>
                <w:sz w:val="24"/>
                <w:szCs w:val="24"/>
                <w:lang w:val="en-US" w:eastAsia="zh-CN"/>
              </w:rPr>
              <w:t>0.015</w:t>
            </w:r>
            <w:r>
              <w:rPr>
                <w:color w:val="auto"/>
                <w:sz w:val="24"/>
                <w:szCs w:val="24"/>
              </w:rPr>
              <w:t>kg/h</w:t>
            </w:r>
            <w:r>
              <w:rPr>
                <w:rFonts w:hint="eastAsia" w:cs="宋体"/>
                <w:color w:val="auto"/>
                <w:sz w:val="24"/>
                <w:szCs w:val="24"/>
              </w:rPr>
              <w:t>，达到《涂料、油墨及胶粘剂工业大气污染物排放标准》（GB 37824-2019）表1涂料制造、油墨及类似产品制造标准要求。</w:t>
            </w:r>
            <w:r>
              <w:rPr>
                <w:rFonts w:hint="eastAsia" w:cs="宋体"/>
                <w:color w:val="auto"/>
                <w:sz w:val="24"/>
                <w:szCs w:val="24"/>
                <w:lang w:val="en-US" w:eastAsia="zh-CN"/>
              </w:rPr>
              <w:t>未收集粉尘排放量为0.025t</w:t>
            </w:r>
            <w:r>
              <w:rPr>
                <w:color w:val="auto"/>
                <w:sz w:val="24"/>
                <w:szCs w:val="24"/>
              </w:rPr>
              <w:t>/a</w:t>
            </w:r>
            <w:r>
              <w:rPr>
                <w:rFonts w:hint="eastAsia"/>
                <w:color w:val="auto"/>
                <w:sz w:val="24"/>
                <w:szCs w:val="24"/>
                <w:lang w:eastAsia="zh-CN"/>
              </w:rPr>
              <w:t>。</w:t>
            </w:r>
          </w:p>
          <w:p>
            <w:pPr>
              <w:adjustRightInd w:val="0"/>
              <w:snapToGrid w:val="0"/>
              <w:spacing w:line="360" w:lineRule="auto"/>
              <w:ind w:firstLine="480" w:firstLineChars="200"/>
              <w:rPr>
                <w:rFonts w:hint="eastAsia" w:eastAsia="宋体"/>
                <w:color w:val="auto"/>
                <w:sz w:val="24"/>
                <w:szCs w:val="24"/>
                <w:lang w:val="en-US" w:eastAsia="zh-CN"/>
              </w:rPr>
            </w:pPr>
            <w:r>
              <w:rPr>
                <w:rFonts w:hint="eastAsia" w:cs="宋体"/>
                <w:color w:val="auto"/>
                <w:sz w:val="24"/>
                <w:szCs w:val="24"/>
              </w:rPr>
              <w:t>涂料制造业产排污系数表（</w:t>
            </w:r>
            <w:r>
              <w:rPr>
                <w:rFonts w:hint="eastAsia" w:cs="宋体"/>
                <w:color w:val="auto"/>
                <w:sz w:val="24"/>
                <w:szCs w:val="24"/>
                <w:lang w:val="en-US" w:eastAsia="zh-CN"/>
              </w:rPr>
              <w:t>粉末</w:t>
            </w:r>
            <w:r>
              <w:rPr>
                <w:rFonts w:hint="eastAsia" w:cs="宋体"/>
                <w:color w:val="auto"/>
                <w:sz w:val="24"/>
                <w:szCs w:val="24"/>
              </w:rPr>
              <w:t>涂料）中工业粉尘的产生量为</w:t>
            </w:r>
            <w:r>
              <w:rPr>
                <w:rFonts w:hint="eastAsia"/>
                <w:color w:val="auto"/>
                <w:sz w:val="24"/>
                <w:szCs w:val="24"/>
                <w:lang w:val="en-US" w:eastAsia="zh-CN"/>
              </w:rPr>
              <w:t>24.8</w:t>
            </w:r>
            <w:r>
              <w:rPr>
                <w:color w:val="auto"/>
                <w:sz w:val="24"/>
                <w:szCs w:val="24"/>
              </w:rPr>
              <w:t>kg/</w:t>
            </w:r>
            <w:r>
              <w:rPr>
                <w:rFonts w:hint="eastAsia" w:cs="宋体"/>
                <w:color w:val="auto"/>
                <w:sz w:val="24"/>
                <w:szCs w:val="24"/>
              </w:rPr>
              <w:t>吨产品，因此，通过计算得本项目在</w:t>
            </w:r>
            <w:r>
              <w:rPr>
                <w:rFonts w:hint="eastAsia" w:cs="宋体"/>
                <w:color w:val="auto"/>
                <w:sz w:val="24"/>
                <w:szCs w:val="24"/>
                <w:lang w:eastAsia="zh-CN"/>
              </w:rPr>
              <w:t>隔热砂浆</w:t>
            </w:r>
            <w:r>
              <w:rPr>
                <w:rFonts w:hint="eastAsia" w:cs="宋体"/>
                <w:color w:val="auto"/>
                <w:sz w:val="24"/>
                <w:szCs w:val="24"/>
              </w:rPr>
              <w:t>生产过程中粉尘产生量为</w:t>
            </w:r>
            <w:r>
              <w:rPr>
                <w:rFonts w:hint="eastAsia" w:cs="宋体"/>
                <w:color w:val="auto"/>
                <w:sz w:val="24"/>
                <w:szCs w:val="24"/>
                <w:lang w:val="en-US" w:eastAsia="zh-CN"/>
              </w:rPr>
              <w:t>49.6t</w:t>
            </w:r>
            <w:r>
              <w:rPr>
                <w:color w:val="auto"/>
                <w:sz w:val="24"/>
                <w:szCs w:val="24"/>
              </w:rPr>
              <w:t>/a</w:t>
            </w:r>
            <w:r>
              <w:rPr>
                <w:rFonts w:hint="eastAsia"/>
                <w:color w:val="auto"/>
                <w:sz w:val="24"/>
                <w:szCs w:val="24"/>
                <w:lang w:eastAsia="zh-CN"/>
              </w:rPr>
              <w:t>。</w:t>
            </w:r>
            <w:r>
              <w:rPr>
                <w:rFonts w:hint="eastAsia" w:cs="宋体"/>
                <w:color w:val="auto"/>
                <w:sz w:val="24"/>
                <w:szCs w:val="24"/>
              </w:rPr>
              <w:t>本项目拟在投料、搅拌、包装</w:t>
            </w:r>
            <w:r>
              <w:rPr>
                <w:rFonts w:hint="eastAsia" w:cs="宋体"/>
                <w:color w:val="auto"/>
                <w:sz w:val="24"/>
                <w:szCs w:val="24"/>
                <w:lang w:val="en-US" w:eastAsia="zh-CN"/>
              </w:rPr>
              <w:t>等粉尘排放口</w:t>
            </w:r>
            <w:r>
              <w:rPr>
                <w:rFonts w:hint="eastAsia" w:cs="宋体"/>
                <w:color w:val="auto"/>
                <w:sz w:val="24"/>
                <w:szCs w:val="24"/>
              </w:rPr>
              <w:t>采用集气罩对粉尘进行收集，经过</w:t>
            </w:r>
            <w:r>
              <w:rPr>
                <w:rFonts w:hint="eastAsia" w:cs="宋体"/>
                <w:color w:val="auto"/>
                <w:sz w:val="24"/>
                <w:szCs w:val="24"/>
                <w:lang w:val="en-US" w:eastAsia="zh-CN"/>
              </w:rPr>
              <w:t>布袋除尘器</w:t>
            </w:r>
            <w:r>
              <w:rPr>
                <w:rFonts w:hint="eastAsia" w:cs="宋体"/>
                <w:color w:val="auto"/>
                <w:sz w:val="24"/>
                <w:szCs w:val="24"/>
              </w:rPr>
              <w:t>处理，然后通过</w:t>
            </w:r>
            <w:r>
              <w:rPr>
                <w:color w:val="auto"/>
                <w:sz w:val="24"/>
                <w:szCs w:val="24"/>
              </w:rPr>
              <w:t>15m</w:t>
            </w:r>
            <w:r>
              <w:rPr>
                <w:rFonts w:hint="eastAsia" w:cs="宋体"/>
                <w:color w:val="auto"/>
                <w:sz w:val="24"/>
                <w:szCs w:val="24"/>
              </w:rPr>
              <w:t>高排气筒排放，收集效率9</w:t>
            </w:r>
            <w:r>
              <w:rPr>
                <w:rFonts w:hint="eastAsia" w:cs="宋体"/>
                <w:color w:val="auto"/>
                <w:sz w:val="24"/>
                <w:szCs w:val="24"/>
                <w:lang w:val="en-US" w:eastAsia="zh-CN"/>
              </w:rPr>
              <w:t>0</w:t>
            </w:r>
            <w:r>
              <w:rPr>
                <w:rFonts w:hint="eastAsia" w:cs="宋体"/>
                <w:color w:val="auto"/>
                <w:sz w:val="24"/>
                <w:szCs w:val="24"/>
              </w:rPr>
              <w:t>%，处理效率</w:t>
            </w:r>
            <w:r>
              <w:rPr>
                <w:rFonts w:hint="eastAsia" w:cs="宋体"/>
                <w:color w:val="auto"/>
                <w:sz w:val="24"/>
                <w:szCs w:val="24"/>
                <w:lang w:val="en-US" w:eastAsia="zh-CN"/>
              </w:rPr>
              <w:t>99</w:t>
            </w:r>
            <w:r>
              <w:rPr>
                <w:rFonts w:hint="eastAsia" w:cs="宋体"/>
                <w:color w:val="auto"/>
                <w:sz w:val="24"/>
                <w:szCs w:val="24"/>
              </w:rPr>
              <w:t>%，风机风量以</w:t>
            </w:r>
            <w:r>
              <w:rPr>
                <w:rFonts w:hint="eastAsia"/>
                <w:color w:val="auto"/>
                <w:sz w:val="24"/>
                <w:szCs w:val="24"/>
                <w:lang w:val="en-US" w:eastAsia="zh-CN"/>
              </w:rPr>
              <w:t>10</w:t>
            </w:r>
            <w:r>
              <w:rPr>
                <w:rFonts w:hint="eastAsia"/>
                <w:color w:val="auto"/>
                <w:sz w:val="24"/>
                <w:szCs w:val="24"/>
              </w:rPr>
              <w:t>0</w:t>
            </w:r>
            <w:r>
              <w:rPr>
                <w:color w:val="auto"/>
                <w:sz w:val="24"/>
                <w:szCs w:val="24"/>
              </w:rPr>
              <w:t>00m</w:t>
            </w:r>
            <w:r>
              <w:rPr>
                <w:color w:val="auto"/>
                <w:sz w:val="24"/>
                <w:szCs w:val="24"/>
                <w:vertAlign w:val="superscript"/>
              </w:rPr>
              <w:t>3</w:t>
            </w:r>
            <w:r>
              <w:rPr>
                <w:color w:val="auto"/>
                <w:sz w:val="24"/>
                <w:szCs w:val="24"/>
              </w:rPr>
              <w:t>/h</w:t>
            </w:r>
            <w:r>
              <w:rPr>
                <w:rFonts w:hint="eastAsia" w:cs="宋体"/>
                <w:color w:val="auto"/>
                <w:sz w:val="24"/>
                <w:szCs w:val="24"/>
              </w:rPr>
              <w:t>计，</w:t>
            </w:r>
            <w:r>
              <w:rPr>
                <w:rFonts w:hint="eastAsia" w:cs="宋体"/>
                <w:color w:val="auto"/>
                <w:sz w:val="24"/>
                <w:szCs w:val="24"/>
                <w:lang w:val="en-US" w:eastAsia="zh-CN"/>
              </w:rPr>
              <w:t>生产时间每天按8h计，</w:t>
            </w:r>
            <w:r>
              <w:rPr>
                <w:rFonts w:hint="eastAsia" w:cs="宋体"/>
                <w:color w:val="auto"/>
                <w:sz w:val="24"/>
                <w:szCs w:val="24"/>
              </w:rPr>
              <w:t>则粉尘排放</w:t>
            </w:r>
            <w:r>
              <w:rPr>
                <w:rFonts w:hint="eastAsia" w:cs="宋体"/>
                <w:color w:val="auto"/>
                <w:sz w:val="24"/>
                <w:szCs w:val="24"/>
                <w:lang w:val="en-US" w:eastAsia="zh-CN"/>
              </w:rPr>
              <w:t>量为0.446t</w:t>
            </w:r>
            <w:r>
              <w:rPr>
                <w:color w:val="auto"/>
                <w:sz w:val="24"/>
                <w:szCs w:val="24"/>
              </w:rPr>
              <w:t>/a</w:t>
            </w:r>
            <w:r>
              <w:rPr>
                <w:rFonts w:hint="eastAsia" w:cs="宋体"/>
                <w:color w:val="auto"/>
                <w:sz w:val="24"/>
                <w:szCs w:val="24"/>
              </w:rPr>
              <w:t>，粉尘排放浓度为</w:t>
            </w:r>
            <w:r>
              <w:rPr>
                <w:rFonts w:hint="eastAsia"/>
                <w:color w:val="auto"/>
                <w:sz w:val="24"/>
                <w:szCs w:val="24"/>
                <w:lang w:val="en-US" w:eastAsia="zh-CN"/>
              </w:rPr>
              <w:t>18.6</w:t>
            </w:r>
            <w:r>
              <w:rPr>
                <w:color w:val="auto"/>
                <w:sz w:val="24"/>
                <w:szCs w:val="24"/>
              </w:rPr>
              <w:t>mg/m</w:t>
            </w:r>
            <w:r>
              <w:rPr>
                <w:color w:val="auto"/>
                <w:sz w:val="24"/>
                <w:szCs w:val="24"/>
                <w:vertAlign w:val="superscript"/>
              </w:rPr>
              <w:t>3</w:t>
            </w:r>
            <w:r>
              <w:rPr>
                <w:rFonts w:hint="eastAsia" w:cs="宋体"/>
                <w:color w:val="auto"/>
                <w:sz w:val="24"/>
                <w:szCs w:val="24"/>
              </w:rPr>
              <w:t>，排放速率为</w:t>
            </w:r>
            <w:r>
              <w:rPr>
                <w:rFonts w:hint="eastAsia"/>
                <w:color w:val="auto"/>
                <w:sz w:val="24"/>
                <w:szCs w:val="24"/>
                <w:lang w:val="en-US" w:eastAsia="zh-CN"/>
              </w:rPr>
              <w:t>0.186</w:t>
            </w:r>
            <w:r>
              <w:rPr>
                <w:color w:val="auto"/>
                <w:sz w:val="24"/>
                <w:szCs w:val="24"/>
              </w:rPr>
              <w:t>kg/h</w:t>
            </w:r>
            <w:r>
              <w:rPr>
                <w:rFonts w:hint="eastAsia" w:cs="宋体"/>
                <w:color w:val="auto"/>
                <w:sz w:val="24"/>
                <w:szCs w:val="24"/>
              </w:rPr>
              <w:t>，达到《涂料、油墨及胶粘剂工业大气污染物排放标准》（GB 37824-2019）表1涂料制造、油墨及类似产品制造标准要求。</w:t>
            </w:r>
            <w:r>
              <w:rPr>
                <w:rFonts w:hint="eastAsia" w:cs="宋体"/>
                <w:color w:val="auto"/>
                <w:sz w:val="24"/>
                <w:szCs w:val="24"/>
                <w:lang w:val="en-US" w:eastAsia="zh-CN"/>
              </w:rPr>
              <w:t>未收集粉尘量为4.96t</w:t>
            </w:r>
            <w:r>
              <w:rPr>
                <w:color w:val="auto"/>
                <w:sz w:val="24"/>
                <w:szCs w:val="24"/>
              </w:rPr>
              <w:t>/a</w:t>
            </w:r>
            <w:r>
              <w:rPr>
                <w:rFonts w:hint="eastAsia"/>
                <w:color w:val="auto"/>
                <w:sz w:val="24"/>
                <w:szCs w:val="24"/>
                <w:lang w:eastAsia="zh-CN"/>
              </w:rPr>
              <w:t>，</w:t>
            </w:r>
            <w:r>
              <w:rPr>
                <w:rFonts w:hint="eastAsia"/>
                <w:color w:val="auto"/>
                <w:sz w:val="24"/>
                <w:szCs w:val="24"/>
                <w:lang w:val="en-US" w:eastAsia="zh-CN"/>
              </w:rPr>
              <w:t>由于车间封闭，石英砂、重钙粉、水泥等比重较大，90%以上沉降在工位附近，及时收集后回用于生产，无组织排放量为0.50t</w:t>
            </w:r>
            <w:r>
              <w:rPr>
                <w:rFonts w:hint="eastAsia"/>
                <w:color w:val="auto"/>
                <w:sz w:val="24"/>
                <w:szCs w:val="24"/>
                <w:lang w:eastAsia="zh-CN"/>
              </w:rPr>
              <w:t>。</w:t>
            </w:r>
          </w:p>
          <w:p>
            <w:pPr>
              <w:adjustRightInd w:val="0"/>
              <w:snapToGrid w:val="0"/>
              <w:spacing w:line="360" w:lineRule="auto"/>
              <w:ind w:firstLine="480" w:firstLineChars="200"/>
              <w:rPr>
                <w:color w:val="auto"/>
                <w:sz w:val="24"/>
                <w:szCs w:val="24"/>
              </w:rPr>
            </w:pPr>
            <w:r>
              <w:rPr>
                <w:rFonts w:hint="eastAsia" w:cs="宋体"/>
                <w:color w:val="auto"/>
                <w:sz w:val="24"/>
                <w:szCs w:val="24"/>
              </w:rPr>
              <w:t>（</w:t>
            </w:r>
            <w:r>
              <w:rPr>
                <w:color w:val="auto"/>
                <w:sz w:val="24"/>
                <w:szCs w:val="24"/>
              </w:rPr>
              <w:t>2</w:t>
            </w:r>
            <w:r>
              <w:rPr>
                <w:rFonts w:hint="eastAsia" w:cs="宋体"/>
                <w:color w:val="auto"/>
                <w:sz w:val="24"/>
                <w:szCs w:val="24"/>
              </w:rPr>
              <w:t>）</w:t>
            </w:r>
            <w:r>
              <w:rPr>
                <w:color w:val="auto"/>
                <w:sz w:val="24"/>
                <w:szCs w:val="24"/>
              </w:rPr>
              <w:t>非甲烷总烃</w:t>
            </w:r>
          </w:p>
          <w:p>
            <w:pPr>
              <w:adjustRightInd w:val="0"/>
              <w:snapToGrid w:val="0"/>
              <w:spacing w:line="360" w:lineRule="auto"/>
              <w:ind w:firstLine="480" w:firstLineChars="200"/>
              <w:rPr>
                <w:color w:val="auto"/>
                <w:sz w:val="24"/>
                <w:szCs w:val="24"/>
              </w:rPr>
            </w:pPr>
            <w:r>
              <w:rPr>
                <w:rFonts w:hint="eastAsia" w:cs="宋体"/>
                <w:color w:val="auto"/>
                <w:sz w:val="24"/>
                <w:szCs w:val="24"/>
                <w:highlight w:val="none"/>
              </w:rPr>
              <w:t>本项目为水溶性涂料生产，乳液为水性丙烯酸树脂、水性环氧树脂，其大部分</w:t>
            </w:r>
            <w:r>
              <w:rPr>
                <w:rFonts w:hint="eastAsia" w:cs="宋体"/>
                <w:color w:val="auto"/>
                <w:sz w:val="24"/>
                <w:szCs w:val="24"/>
                <w:highlight w:val="none"/>
                <w:lang w:eastAsia="zh-CN"/>
              </w:rPr>
              <w:t>有机物</w:t>
            </w:r>
            <w:r>
              <w:rPr>
                <w:rFonts w:hint="eastAsia" w:cs="宋体"/>
                <w:color w:val="auto"/>
                <w:sz w:val="24"/>
                <w:szCs w:val="24"/>
                <w:highlight w:val="none"/>
              </w:rPr>
              <w:t>均以水代替，仅含少量的易挥发性醇类。根据《排放源统计调查产排污核算方法和系数手册2641涂料制造行业系数手册》，涂料制造业产排污系数表（水性涂料）中工业</w:t>
            </w:r>
            <w:r>
              <w:rPr>
                <w:rFonts w:hint="eastAsia" w:cs="宋体"/>
                <w:color w:val="auto"/>
                <w:sz w:val="24"/>
                <w:szCs w:val="24"/>
                <w:highlight w:val="none"/>
                <w:lang w:val="en-US" w:eastAsia="zh-CN"/>
              </w:rPr>
              <w:t>非甲烷总烃</w:t>
            </w:r>
            <w:r>
              <w:rPr>
                <w:rFonts w:hint="eastAsia" w:cs="宋体"/>
                <w:color w:val="auto"/>
                <w:sz w:val="24"/>
                <w:szCs w:val="24"/>
                <w:highlight w:val="none"/>
              </w:rPr>
              <w:t>的产生量为</w:t>
            </w:r>
            <w:r>
              <w:rPr>
                <w:rFonts w:hint="eastAsia"/>
                <w:color w:val="auto"/>
                <w:sz w:val="24"/>
                <w:szCs w:val="24"/>
                <w:highlight w:val="none"/>
                <w:lang w:val="en-US" w:eastAsia="zh-CN"/>
              </w:rPr>
              <w:t>2.0</w:t>
            </w:r>
            <w:r>
              <w:rPr>
                <w:color w:val="auto"/>
                <w:sz w:val="24"/>
                <w:szCs w:val="24"/>
                <w:highlight w:val="none"/>
              </w:rPr>
              <w:t>kg/</w:t>
            </w:r>
            <w:r>
              <w:rPr>
                <w:rFonts w:hint="eastAsia" w:cs="宋体"/>
                <w:color w:val="auto"/>
                <w:sz w:val="24"/>
                <w:szCs w:val="24"/>
                <w:highlight w:val="none"/>
              </w:rPr>
              <w:t>吨产品，因此，通过计算得本项目在</w:t>
            </w:r>
            <w:r>
              <w:rPr>
                <w:rFonts w:hint="eastAsia" w:cs="宋体"/>
                <w:color w:val="auto"/>
                <w:sz w:val="24"/>
                <w:szCs w:val="24"/>
                <w:highlight w:val="none"/>
                <w:lang w:eastAsia="zh-CN"/>
              </w:rPr>
              <w:t>水性环氧乳液、水性防火隔热材料</w:t>
            </w:r>
            <w:r>
              <w:rPr>
                <w:rFonts w:hint="eastAsia" w:cs="宋体"/>
                <w:color w:val="auto"/>
                <w:sz w:val="24"/>
                <w:szCs w:val="24"/>
                <w:highlight w:val="none"/>
              </w:rPr>
              <w:t>生产过程中</w:t>
            </w:r>
            <w:r>
              <w:rPr>
                <w:rFonts w:hint="eastAsia" w:cs="宋体"/>
                <w:color w:val="auto"/>
                <w:sz w:val="24"/>
                <w:szCs w:val="24"/>
                <w:highlight w:val="none"/>
                <w:lang w:val="en-US" w:eastAsia="zh-CN"/>
              </w:rPr>
              <w:t>非甲烷总烃</w:t>
            </w:r>
            <w:r>
              <w:rPr>
                <w:rFonts w:hint="eastAsia" w:cs="宋体"/>
                <w:color w:val="auto"/>
                <w:sz w:val="24"/>
                <w:szCs w:val="24"/>
                <w:highlight w:val="none"/>
              </w:rPr>
              <w:t>产生量为</w:t>
            </w:r>
            <w:r>
              <w:rPr>
                <w:rFonts w:hint="eastAsia" w:cs="宋体"/>
                <w:color w:val="auto"/>
                <w:sz w:val="24"/>
                <w:szCs w:val="24"/>
                <w:highlight w:val="none"/>
                <w:lang w:val="en-US" w:eastAsia="zh-CN"/>
              </w:rPr>
              <w:t>5t</w:t>
            </w:r>
            <w:r>
              <w:rPr>
                <w:color w:val="auto"/>
                <w:sz w:val="24"/>
                <w:szCs w:val="24"/>
                <w:highlight w:val="none"/>
              </w:rPr>
              <w:t>/a</w:t>
            </w:r>
            <w:r>
              <w:rPr>
                <w:rFonts w:hint="eastAsia"/>
                <w:color w:val="auto"/>
                <w:sz w:val="24"/>
                <w:szCs w:val="24"/>
                <w:highlight w:val="none"/>
                <w:lang w:eastAsia="zh-CN"/>
              </w:rPr>
              <w:t>。</w:t>
            </w:r>
            <w:r>
              <w:rPr>
                <w:rFonts w:hint="eastAsia" w:cs="宋体"/>
                <w:color w:val="auto"/>
                <w:sz w:val="24"/>
                <w:szCs w:val="24"/>
                <w:highlight w:val="none"/>
              </w:rPr>
              <w:t>本项目拟在</w:t>
            </w:r>
            <w:r>
              <w:rPr>
                <w:rFonts w:hint="eastAsia" w:cs="宋体"/>
                <w:color w:val="auto"/>
                <w:sz w:val="24"/>
                <w:szCs w:val="24"/>
                <w:highlight w:val="none"/>
                <w:lang w:val="en-US" w:eastAsia="zh-CN"/>
              </w:rPr>
              <w:t>搅拌罐、乳化罐上方</w:t>
            </w:r>
            <w:r>
              <w:rPr>
                <w:rFonts w:hint="eastAsia" w:cs="宋体"/>
                <w:color w:val="auto"/>
                <w:sz w:val="24"/>
                <w:szCs w:val="24"/>
                <w:highlight w:val="none"/>
              </w:rPr>
              <w:t>采用集气罩对</w:t>
            </w:r>
            <w:r>
              <w:rPr>
                <w:rFonts w:hint="eastAsia" w:cs="宋体"/>
                <w:color w:val="auto"/>
                <w:sz w:val="24"/>
                <w:szCs w:val="24"/>
                <w:highlight w:val="none"/>
                <w:lang w:val="en-US" w:eastAsia="zh-CN"/>
              </w:rPr>
              <w:t>非甲烷总烃</w:t>
            </w:r>
            <w:r>
              <w:rPr>
                <w:rFonts w:hint="eastAsia" w:cs="宋体"/>
                <w:color w:val="auto"/>
                <w:sz w:val="24"/>
                <w:szCs w:val="24"/>
                <w:highlight w:val="none"/>
              </w:rPr>
              <w:t>进行收集，经过</w:t>
            </w:r>
            <w:r>
              <w:rPr>
                <w:rFonts w:hint="eastAsia" w:cs="宋体"/>
                <w:color w:val="auto"/>
                <w:sz w:val="24"/>
                <w:szCs w:val="24"/>
                <w:highlight w:val="none"/>
                <w:lang w:val="en-US" w:eastAsia="zh-CN"/>
              </w:rPr>
              <w:t>活性炭吸附装置</w:t>
            </w:r>
            <w:r>
              <w:rPr>
                <w:rFonts w:hint="eastAsia" w:cs="宋体"/>
                <w:color w:val="auto"/>
                <w:sz w:val="24"/>
                <w:szCs w:val="24"/>
                <w:highlight w:val="none"/>
              </w:rPr>
              <w:t>处理，然后通过</w:t>
            </w:r>
            <w:r>
              <w:rPr>
                <w:color w:val="auto"/>
                <w:sz w:val="24"/>
                <w:szCs w:val="24"/>
                <w:highlight w:val="none"/>
              </w:rPr>
              <w:t>15m</w:t>
            </w:r>
            <w:r>
              <w:rPr>
                <w:rFonts w:hint="eastAsia" w:cs="宋体"/>
                <w:color w:val="auto"/>
                <w:sz w:val="24"/>
                <w:szCs w:val="24"/>
                <w:highlight w:val="none"/>
              </w:rPr>
              <w:t>高排气筒排放，收集效率90%，处理效率</w:t>
            </w:r>
            <w:r>
              <w:rPr>
                <w:rFonts w:hint="eastAsia" w:cs="宋体"/>
                <w:color w:val="auto"/>
                <w:sz w:val="24"/>
                <w:szCs w:val="24"/>
                <w:highlight w:val="none"/>
                <w:lang w:val="en-US" w:eastAsia="zh-CN"/>
              </w:rPr>
              <w:t>70</w:t>
            </w:r>
            <w:r>
              <w:rPr>
                <w:rFonts w:hint="eastAsia" w:cs="宋体"/>
                <w:color w:val="auto"/>
                <w:sz w:val="24"/>
                <w:szCs w:val="24"/>
                <w:highlight w:val="none"/>
              </w:rPr>
              <w:t>%，风机风量以</w:t>
            </w:r>
            <w:r>
              <w:rPr>
                <w:rFonts w:hint="eastAsia"/>
                <w:color w:val="auto"/>
                <w:sz w:val="24"/>
                <w:szCs w:val="24"/>
                <w:highlight w:val="none"/>
                <w:lang w:val="en-US" w:eastAsia="zh-CN"/>
              </w:rPr>
              <w:t>10</w:t>
            </w:r>
            <w:r>
              <w:rPr>
                <w:rFonts w:hint="eastAsia"/>
                <w:color w:val="auto"/>
                <w:sz w:val="24"/>
                <w:szCs w:val="24"/>
                <w:highlight w:val="none"/>
              </w:rPr>
              <w:t>0</w:t>
            </w:r>
            <w:r>
              <w:rPr>
                <w:color w:val="auto"/>
                <w:sz w:val="24"/>
                <w:szCs w:val="24"/>
                <w:highlight w:val="none"/>
              </w:rPr>
              <w:t>00m</w:t>
            </w:r>
            <w:r>
              <w:rPr>
                <w:color w:val="auto"/>
                <w:sz w:val="24"/>
                <w:szCs w:val="24"/>
                <w:highlight w:val="none"/>
                <w:vertAlign w:val="superscript"/>
              </w:rPr>
              <w:t>3</w:t>
            </w:r>
            <w:r>
              <w:rPr>
                <w:color w:val="auto"/>
                <w:sz w:val="24"/>
                <w:szCs w:val="24"/>
                <w:highlight w:val="none"/>
              </w:rPr>
              <w:t>/h</w:t>
            </w:r>
            <w:r>
              <w:rPr>
                <w:rFonts w:hint="eastAsia" w:cs="宋体"/>
                <w:color w:val="auto"/>
                <w:sz w:val="24"/>
                <w:szCs w:val="24"/>
                <w:highlight w:val="none"/>
              </w:rPr>
              <w:t>计，则</w:t>
            </w:r>
            <w:r>
              <w:rPr>
                <w:color w:val="auto"/>
                <w:sz w:val="24"/>
                <w:szCs w:val="24"/>
                <w:highlight w:val="none"/>
              </w:rPr>
              <w:t>非甲烷总烃</w:t>
            </w:r>
            <w:r>
              <w:rPr>
                <w:rFonts w:hint="eastAsia" w:cs="宋体"/>
                <w:color w:val="auto"/>
                <w:sz w:val="24"/>
                <w:szCs w:val="24"/>
                <w:highlight w:val="none"/>
              </w:rPr>
              <w:t>排放</w:t>
            </w:r>
            <w:r>
              <w:rPr>
                <w:rFonts w:hint="eastAsia" w:cs="宋体"/>
                <w:color w:val="auto"/>
                <w:sz w:val="24"/>
                <w:szCs w:val="24"/>
                <w:highlight w:val="none"/>
                <w:lang w:val="en-US" w:eastAsia="zh-CN"/>
              </w:rPr>
              <w:t>量为1.35t</w:t>
            </w:r>
            <w:r>
              <w:rPr>
                <w:color w:val="auto"/>
                <w:sz w:val="24"/>
                <w:szCs w:val="24"/>
                <w:highlight w:val="none"/>
              </w:rPr>
              <w:t>/a</w:t>
            </w:r>
            <w:r>
              <w:rPr>
                <w:rFonts w:hint="eastAsia" w:cs="宋体"/>
                <w:color w:val="auto"/>
                <w:sz w:val="24"/>
                <w:szCs w:val="24"/>
                <w:highlight w:val="none"/>
              </w:rPr>
              <w:t>，</w:t>
            </w:r>
            <w:r>
              <w:rPr>
                <w:color w:val="auto"/>
                <w:sz w:val="24"/>
                <w:szCs w:val="24"/>
                <w:highlight w:val="none"/>
              </w:rPr>
              <w:t>非甲烷总烃</w:t>
            </w:r>
            <w:r>
              <w:rPr>
                <w:rFonts w:hint="eastAsia" w:cs="宋体"/>
                <w:color w:val="auto"/>
                <w:sz w:val="24"/>
                <w:szCs w:val="24"/>
                <w:highlight w:val="none"/>
              </w:rPr>
              <w:t>排放浓度为</w:t>
            </w:r>
            <w:r>
              <w:rPr>
                <w:rFonts w:hint="eastAsia"/>
                <w:color w:val="auto"/>
                <w:sz w:val="24"/>
                <w:szCs w:val="24"/>
                <w:highlight w:val="none"/>
                <w:lang w:val="en-US" w:eastAsia="zh-CN"/>
              </w:rPr>
              <w:t>56.3</w:t>
            </w:r>
            <w:r>
              <w:rPr>
                <w:color w:val="auto"/>
                <w:sz w:val="24"/>
                <w:szCs w:val="24"/>
                <w:highlight w:val="none"/>
              </w:rPr>
              <w:t>mg/m</w:t>
            </w:r>
            <w:r>
              <w:rPr>
                <w:color w:val="auto"/>
                <w:sz w:val="24"/>
                <w:szCs w:val="24"/>
                <w:highlight w:val="none"/>
                <w:vertAlign w:val="superscript"/>
              </w:rPr>
              <w:t>3</w:t>
            </w:r>
            <w:r>
              <w:rPr>
                <w:rFonts w:hint="eastAsia" w:cs="宋体"/>
                <w:color w:val="auto"/>
                <w:sz w:val="24"/>
                <w:szCs w:val="24"/>
                <w:highlight w:val="none"/>
              </w:rPr>
              <w:t>，排放速率为</w:t>
            </w:r>
            <w:r>
              <w:rPr>
                <w:rFonts w:hint="eastAsia"/>
                <w:color w:val="auto"/>
                <w:sz w:val="24"/>
                <w:szCs w:val="24"/>
                <w:highlight w:val="none"/>
                <w:lang w:val="en-US" w:eastAsia="zh-CN"/>
              </w:rPr>
              <w:t>0.563</w:t>
            </w:r>
            <w:r>
              <w:rPr>
                <w:color w:val="auto"/>
                <w:sz w:val="24"/>
                <w:szCs w:val="24"/>
                <w:highlight w:val="none"/>
              </w:rPr>
              <w:t>kg/h</w:t>
            </w:r>
            <w:r>
              <w:rPr>
                <w:rFonts w:hint="eastAsia" w:cs="宋体"/>
                <w:color w:val="auto"/>
                <w:sz w:val="24"/>
                <w:szCs w:val="24"/>
                <w:highlight w:val="none"/>
              </w:rPr>
              <w:t>，达到《涂料、油墨及胶粘剂工业大气污染物排放标准》（GB 37824-2019）表1涂料制造、油墨及类似产品制造标准要求。</w:t>
            </w:r>
            <w:r>
              <w:rPr>
                <w:rFonts w:hint="eastAsia" w:cs="宋体"/>
                <w:color w:val="auto"/>
                <w:sz w:val="24"/>
                <w:szCs w:val="24"/>
                <w:highlight w:val="none"/>
                <w:lang w:val="en-US" w:eastAsia="zh-CN"/>
              </w:rPr>
              <w:t>未收集</w:t>
            </w:r>
            <w:r>
              <w:rPr>
                <w:color w:val="auto"/>
                <w:sz w:val="24"/>
                <w:szCs w:val="24"/>
                <w:highlight w:val="none"/>
              </w:rPr>
              <w:t>非甲烷总烃</w:t>
            </w:r>
            <w:r>
              <w:rPr>
                <w:rFonts w:hint="eastAsia"/>
                <w:color w:val="auto"/>
                <w:sz w:val="24"/>
                <w:szCs w:val="24"/>
                <w:highlight w:val="none"/>
                <w:lang w:val="en-US" w:eastAsia="zh-CN"/>
              </w:rPr>
              <w:t>无组织</w:t>
            </w:r>
            <w:r>
              <w:rPr>
                <w:rFonts w:hint="eastAsia" w:cs="宋体"/>
                <w:color w:val="auto"/>
                <w:sz w:val="24"/>
                <w:szCs w:val="24"/>
                <w:highlight w:val="none"/>
                <w:lang w:val="en-US" w:eastAsia="zh-CN"/>
              </w:rPr>
              <w:t>排放量为0.5t</w:t>
            </w:r>
            <w:r>
              <w:rPr>
                <w:color w:val="auto"/>
                <w:sz w:val="24"/>
                <w:szCs w:val="24"/>
                <w:highlight w:val="none"/>
              </w:rPr>
              <w:t>/a</w:t>
            </w:r>
            <w:r>
              <w:rPr>
                <w:rFonts w:hint="eastAsia"/>
                <w:color w:val="auto"/>
                <w:sz w:val="24"/>
                <w:szCs w:val="24"/>
                <w:highlight w:val="none"/>
                <w:lang w:eastAsia="zh-CN"/>
              </w:rPr>
              <w:t>。</w:t>
            </w:r>
          </w:p>
          <w:p>
            <w:pPr>
              <w:pStyle w:val="33"/>
              <w:spacing w:after="0" w:line="360" w:lineRule="auto"/>
              <w:ind w:firstLine="480" w:firstLineChars="200"/>
              <w:jc w:val="left"/>
              <w:rPr>
                <w:color w:val="auto"/>
              </w:rPr>
            </w:pPr>
            <w:r>
              <w:rPr>
                <w:rFonts w:hint="eastAsia"/>
                <w:color w:val="auto"/>
              </w:rPr>
              <w:t>活性炭吸附工作原理：活性炭是一种很细小的炭粒，有很大的表面积，而且炭粒中还有更细小的孔——毛细管，这种毛细管具有很强的吸附能力，由于炭粒的表面积很大，所以能与气体（杂质）充分接触，当这些气体（杂质）碰到毛细管就被吸附，起到进化作用。对于活性炭吸附有机废气的治理效率，参考《吸附法工业有机废气治理工程技术规范》（HJ2026-2013），活性炭吸附有机废气的处理效率基本在50%~90%之间。本项目在按照规范设计活性炭吸附装置前提下，环评认为采用活性炭装置可确保本项目有机废气污染物去除效率高于平均水平，即70%；因此本项目</w:t>
            </w:r>
            <w:r>
              <w:rPr>
                <w:rFonts w:hint="eastAsia"/>
                <w:color w:val="auto"/>
                <w:lang w:val="en-US" w:eastAsia="zh-CN"/>
              </w:rPr>
              <w:t>污染物防治措施可行</w:t>
            </w:r>
            <w:r>
              <w:rPr>
                <w:rFonts w:hint="eastAsia"/>
                <w:color w:val="auto"/>
              </w:rPr>
              <w:t>。</w:t>
            </w:r>
          </w:p>
          <w:p>
            <w:pPr>
              <w:pStyle w:val="33"/>
              <w:spacing w:after="0" w:line="360" w:lineRule="auto"/>
              <w:ind w:firstLine="480" w:firstLineChars="200"/>
              <w:jc w:val="center"/>
              <w:rPr>
                <w:rFonts w:hint="eastAsia"/>
                <w:color w:val="auto"/>
              </w:rPr>
            </w:pPr>
          </w:p>
          <w:p>
            <w:pPr>
              <w:pStyle w:val="33"/>
              <w:spacing w:after="0" w:line="360" w:lineRule="auto"/>
              <w:ind w:firstLine="480" w:firstLineChars="200"/>
              <w:jc w:val="center"/>
              <w:rPr>
                <w:rFonts w:hint="eastAsia"/>
                <w:color w:val="auto"/>
              </w:rPr>
            </w:pPr>
          </w:p>
          <w:p>
            <w:pPr>
              <w:pStyle w:val="33"/>
              <w:spacing w:after="0" w:line="360" w:lineRule="auto"/>
              <w:ind w:firstLine="480" w:firstLineChars="200"/>
              <w:jc w:val="center"/>
              <w:rPr>
                <w:rFonts w:hint="eastAsia"/>
                <w:color w:val="auto"/>
              </w:rPr>
            </w:pPr>
          </w:p>
          <w:p>
            <w:pPr>
              <w:pStyle w:val="33"/>
              <w:spacing w:after="0" w:line="360" w:lineRule="auto"/>
              <w:ind w:firstLine="480" w:firstLineChars="200"/>
              <w:jc w:val="center"/>
              <w:rPr>
                <w:rFonts w:hint="eastAsia"/>
                <w:color w:val="auto"/>
              </w:rPr>
            </w:pPr>
          </w:p>
          <w:p>
            <w:pPr>
              <w:pStyle w:val="33"/>
              <w:spacing w:after="0" w:line="360" w:lineRule="auto"/>
              <w:ind w:firstLine="480" w:firstLineChars="200"/>
              <w:jc w:val="center"/>
              <w:rPr>
                <w:rFonts w:hint="eastAsia"/>
                <w:color w:val="auto"/>
              </w:rPr>
            </w:pPr>
          </w:p>
          <w:p>
            <w:pPr>
              <w:pStyle w:val="33"/>
              <w:spacing w:after="0" w:line="360" w:lineRule="auto"/>
              <w:ind w:firstLine="480" w:firstLineChars="200"/>
              <w:jc w:val="center"/>
              <w:rPr>
                <w:rFonts w:hint="eastAsia"/>
                <w:color w:val="auto"/>
              </w:rPr>
            </w:pPr>
          </w:p>
          <w:p>
            <w:pPr>
              <w:pStyle w:val="33"/>
              <w:spacing w:after="0" w:line="360" w:lineRule="auto"/>
              <w:ind w:firstLine="480" w:firstLineChars="200"/>
              <w:jc w:val="center"/>
              <w:rPr>
                <w:rFonts w:hint="eastAsia"/>
                <w:color w:val="auto"/>
              </w:rPr>
            </w:pPr>
          </w:p>
          <w:p>
            <w:pPr>
              <w:pStyle w:val="33"/>
              <w:spacing w:after="0" w:line="360" w:lineRule="auto"/>
              <w:ind w:firstLine="480" w:firstLineChars="200"/>
              <w:jc w:val="center"/>
              <w:rPr>
                <w:rFonts w:hint="eastAsia"/>
                <w:color w:val="auto"/>
              </w:rPr>
            </w:pPr>
          </w:p>
          <w:p>
            <w:pPr>
              <w:pStyle w:val="33"/>
              <w:spacing w:after="0" w:line="360" w:lineRule="auto"/>
              <w:ind w:firstLine="480" w:firstLineChars="200"/>
              <w:jc w:val="center"/>
              <w:rPr>
                <w:rFonts w:hint="eastAsia"/>
                <w:color w:val="auto"/>
              </w:rPr>
            </w:pPr>
          </w:p>
          <w:p>
            <w:pPr>
              <w:pStyle w:val="33"/>
              <w:spacing w:after="0" w:line="360" w:lineRule="auto"/>
              <w:ind w:firstLine="480" w:firstLineChars="200"/>
              <w:jc w:val="center"/>
              <w:rPr>
                <w:color w:val="auto"/>
              </w:rPr>
            </w:pPr>
            <w:r>
              <w:rPr>
                <w:rFonts w:hint="eastAsia"/>
                <w:color w:val="auto"/>
              </w:rPr>
              <w:t>表4-</w:t>
            </w:r>
            <w:r>
              <w:rPr>
                <w:rFonts w:hint="eastAsia"/>
                <w:color w:val="auto"/>
                <w:lang w:val="en-US" w:eastAsia="zh-CN"/>
              </w:rPr>
              <w:t>1</w:t>
            </w:r>
            <w:r>
              <w:rPr>
                <w:rFonts w:hint="eastAsia"/>
                <w:color w:val="auto"/>
              </w:rPr>
              <w:t xml:space="preserve">  本项目有机废气产排情况一览表</w:t>
            </w:r>
          </w:p>
          <w:tbl>
            <w:tblPr>
              <w:tblStyle w:val="35"/>
              <w:tblW w:w="48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949"/>
              <w:gridCol w:w="951"/>
              <w:gridCol w:w="513"/>
              <w:gridCol w:w="408"/>
              <w:gridCol w:w="1047"/>
              <w:gridCol w:w="1365"/>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28" w:type="pct"/>
                  <w:vMerge w:val="restar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产生工序</w:t>
                  </w:r>
                </w:p>
              </w:tc>
              <w:tc>
                <w:tcPr>
                  <w:tcW w:w="3871" w:type="pct"/>
                  <w:gridSpan w:val="7"/>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28" w:type="pct"/>
                  <w:vMerge w:val="continue"/>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p>
              </w:tc>
              <w:tc>
                <w:tcPr>
                  <w:tcW w:w="3871" w:type="pct"/>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rPr>
                  </w:pPr>
                  <w:r>
                    <w:rPr>
                      <w:rFonts w:hint="eastAsia"/>
                      <w:color w:val="auto"/>
                      <w:sz w:val="21"/>
                      <w:szCs w:val="21"/>
                    </w:rPr>
                    <w:t>收集效率</w:t>
                  </w:r>
                  <w:r>
                    <w:rPr>
                      <w:rFonts w:hint="eastAsia"/>
                      <w:color w:val="auto"/>
                      <w:sz w:val="21"/>
                      <w:szCs w:val="21"/>
                      <w:lang w:val="en-US" w:eastAsia="zh-CN"/>
                    </w:rPr>
                    <w:t>9</w:t>
                  </w:r>
                  <w:r>
                    <w:rPr>
                      <w:rFonts w:hint="eastAsia"/>
                      <w:color w:val="auto"/>
                      <w:sz w:val="21"/>
                      <w:szCs w:val="21"/>
                    </w:rPr>
                    <w:t>0%，</w:t>
                  </w:r>
                  <w:r>
                    <w:rPr>
                      <w:rFonts w:hint="eastAsia"/>
                      <w:color w:val="auto"/>
                      <w:sz w:val="21"/>
                      <w:szCs w:val="21"/>
                      <w:lang w:eastAsia="zh-CN"/>
                    </w:rPr>
                    <w:t>活性炭吸附</w:t>
                  </w:r>
                  <w:r>
                    <w:rPr>
                      <w:rFonts w:hint="eastAsia"/>
                      <w:color w:val="auto"/>
                      <w:sz w:val="21"/>
                      <w:szCs w:val="21"/>
                    </w:rPr>
                    <w:t>处理效率</w:t>
                  </w:r>
                  <w:r>
                    <w:rPr>
                      <w:rFonts w:hint="eastAsia"/>
                      <w:color w:val="auto"/>
                      <w:sz w:val="21"/>
                      <w:szCs w:val="21"/>
                      <w:lang w:val="en-US" w:eastAsia="zh-CN"/>
                    </w:rPr>
                    <w:t>7</w:t>
                  </w: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Merge w:val="continue"/>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p>
              </w:tc>
              <w:tc>
                <w:tcPr>
                  <w:tcW w:w="605"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产生量</w:t>
                  </w:r>
                </w:p>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（t/a）</w:t>
                  </w:r>
                </w:p>
              </w:tc>
              <w:tc>
                <w:tcPr>
                  <w:tcW w:w="606"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收集量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rPr>
                  </w:pPr>
                  <w:r>
                    <w:rPr>
                      <w:rFonts w:hint="eastAsia"/>
                      <w:color w:val="auto"/>
                      <w:sz w:val="21"/>
                      <w:szCs w:val="21"/>
                    </w:rPr>
                    <w:t>（t/a）</w:t>
                  </w:r>
                </w:p>
              </w:tc>
              <w:tc>
                <w:tcPr>
                  <w:tcW w:w="587" w:type="pct"/>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排放量（t/a）</w:t>
                  </w:r>
                </w:p>
              </w:tc>
              <w:tc>
                <w:tcPr>
                  <w:tcW w:w="666"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排放速率（kg/h）</w:t>
                  </w:r>
                </w:p>
              </w:tc>
              <w:tc>
                <w:tcPr>
                  <w:tcW w:w="870"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排放浓度（mg/m</w:t>
                  </w:r>
                  <w:r>
                    <w:rPr>
                      <w:rFonts w:hint="eastAsia"/>
                      <w:color w:val="auto"/>
                      <w:sz w:val="21"/>
                      <w:szCs w:val="21"/>
                      <w:vertAlign w:val="superscript"/>
                    </w:rPr>
                    <w:t>3</w:t>
                  </w:r>
                  <w:r>
                    <w:rPr>
                      <w:rFonts w:hint="eastAsia"/>
                      <w:color w:val="auto"/>
                      <w:sz w:val="21"/>
                      <w:szCs w:val="21"/>
                    </w:rPr>
                    <w:t>）</w:t>
                  </w:r>
                </w:p>
              </w:tc>
              <w:tc>
                <w:tcPr>
                  <w:tcW w:w="535"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lang w:val="en-US" w:eastAsia="zh-CN"/>
                    </w:rPr>
                    <w:t>水性涂料生产</w:t>
                  </w:r>
                </w:p>
              </w:tc>
              <w:tc>
                <w:tcPr>
                  <w:tcW w:w="605"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5</w:t>
                  </w:r>
                </w:p>
              </w:tc>
              <w:tc>
                <w:tcPr>
                  <w:tcW w:w="606"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4.5</w:t>
                  </w:r>
                </w:p>
              </w:tc>
              <w:tc>
                <w:tcPr>
                  <w:tcW w:w="587" w:type="pct"/>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1.35</w:t>
                  </w:r>
                </w:p>
              </w:tc>
              <w:tc>
                <w:tcPr>
                  <w:tcW w:w="666"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0.563</w:t>
                  </w:r>
                </w:p>
              </w:tc>
              <w:tc>
                <w:tcPr>
                  <w:tcW w:w="870"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56.3</w:t>
                  </w:r>
                </w:p>
              </w:tc>
              <w:tc>
                <w:tcPr>
                  <w:tcW w:w="535"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eastAsia="宋体"/>
                      <w:color w:val="auto"/>
                      <w:sz w:val="21"/>
                      <w:szCs w:val="21"/>
                      <w:lang w:eastAsia="zh-CN"/>
                    </w:rPr>
                  </w:pPr>
                  <w:r>
                    <w:rPr>
                      <w:rFonts w:hint="eastAsia"/>
                      <w:color w:val="auto"/>
                      <w:sz w:val="21"/>
                      <w:szCs w:val="21"/>
                      <w:lang w:val="en-US" w:eastAsia="zh-CN"/>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Merge w:val="restar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rPr>
                    <w:t>产生工序</w:t>
                  </w:r>
                </w:p>
              </w:tc>
              <w:tc>
                <w:tcPr>
                  <w:tcW w:w="3871" w:type="pct"/>
                  <w:gridSpan w:val="7"/>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Merge w:val="continue"/>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p>
              </w:tc>
              <w:tc>
                <w:tcPr>
                  <w:tcW w:w="1538" w:type="pct"/>
                  <w:gridSpan w:val="3"/>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产生量（未收集量）（t/a）</w:t>
                  </w:r>
                </w:p>
              </w:tc>
              <w:tc>
                <w:tcPr>
                  <w:tcW w:w="927" w:type="pct"/>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排放量（t/a）</w:t>
                  </w:r>
                </w:p>
              </w:tc>
              <w:tc>
                <w:tcPr>
                  <w:tcW w:w="1405" w:type="pct"/>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lang w:val="en-US" w:eastAsia="zh-CN"/>
                    </w:rPr>
                    <w:t>水性涂料生产</w:t>
                  </w:r>
                </w:p>
              </w:tc>
              <w:tc>
                <w:tcPr>
                  <w:tcW w:w="1538" w:type="pct"/>
                  <w:gridSpan w:val="3"/>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0.5</w:t>
                  </w:r>
                </w:p>
              </w:tc>
              <w:tc>
                <w:tcPr>
                  <w:tcW w:w="927" w:type="pct"/>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0.5</w:t>
                  </w:r>
                </w:p>
              </w:tc>
              <w:tc>
                <w:tcPr>
                  <w:tcW w:w="1405" w:type="pct"/>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0.208</w:t>
                  </w:r>
                </w:p>
              </w:tc>
            </w:tr>
          </w:tbl>
          <w:p>
            <w:pPr>
              <w:pStyle w:val="33"/>
              <w:spacing w:after="0" w:line="360" w:lineRule="auto"/>
              <w:ind w:firstLine="480" w:firstLineChars="200"/>
              <w:jc w:val="center"/>
              <w:rPr>
                <w:color w:val="auto"/>
              </w:rPr>
            </w:pPr>
            <w:r>
              <w:rPr>
                <w:rFonts w:hint="eastAsia"/>
                <w:color w:val="auto"/>
              </w:rPr>
              <w:t>表4-</w:t>
            </w:r>
            <w:r>
              <w:rPr>
                <w:rFonts w:hint="eastAsia"/>
                <w:color w:val="auto"/>
                <w:lang w:val="en-US" w:eastAsia="zh-CN"/>
              </w:rPr>
              <w:t>2</w:t>
            </w:r>
            <w:r>
              <w:rPr>
                <w:rFonts w:hint="eastAsia"/>
                <w:color w:val="auto"/>
              </w:rPr>
              <w:t xml:space="preserve">  本项目</w:t>
            </w:r>
            <w:r>
              <w:rPr>
                <w:rFonts w:hint="eastAsia"/>
                <w:color w:val="auto"/>
                <w:lang w:val="en-US" w:eastAsia="zh-CN"/>
              </w:rPr>
              <w:t>颗粒物</w:t>
            </w:r>
            <w:r>
              <w:rPr>
                <w:rFonts w:hint="eastAsia"/>
                <w:color w:val="auto"/>
              </w:rPr>
              <w:t>产排情况一览表</w:t>
            </w:r>
          </w:p>
          <w:tbl>
            <w:tblPr>
              <w:tblStyle w:val="35"/>
              <w:tblW w:w="48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951"/>
              <w:gridCol w:w="951"/>
              <w:gridCol w:w="512"/>
              <w:gridCol w:w="410"/>
              <w:gridCol w:w="1045"/>
              <w:gridCol w:w="1365"/>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30" w:type="pct"/>
                  <w:vMerge w:val="restar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产生工序</w:t>
                  </w:r>
                </w:p>
              </w:tc>
              <w:tc>
                <w:tcPr>
                  <w:tcW w:w="3869" w:type="pct"/>
                  <w:gridSpan w:val="7"/>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30" w:type="pct"/>
                  <w:vMerge w:val="continue"/>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p>
              </w:tc>
              <w:tc>
                <w:tcPr>
                  <w:tcW w:w="3869" w:type="pct"/>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lang w:val="en-US" w:eastAsia="zh-CN"/>
                    </w:rPr>
                  </w:pPr>
                  <w:r>
                    <w:rPr>
                      <w:rFonts w:hint="eastAsia"/>
                      <w:color w:val="auto"/>
                      <w:sz w:val="21"/>
                      <w:szCs w:val="21"/>
                    </w:rPr>
                    <w:t>收集效率</w:t>
                  </w:r>
                  <w:r>
                    <w:rPr>
                      <w:rFonts w:hint="eastAsia"/>
                      <w:color w:val="auto"/>
                      <w:sz w:val="21"/>
                      <w:szCs w:val="21"/>
                      <w:lang w:val="en-US" w:eastAsia="zh-CN"/>
                    </w:rPr>
                    <w:t>9</w:t>
                  </w:r>
                  <w:r>
                    <w:rPr>
                      <w:rFonts w:hint="eastAsia"/>
                      <w:color w:val="auto"/>
                      <w:sz w:val="21"/>
                      <w:szCs w:val="21"/>
                    </w:rPr>
                    <w:t>0%，</w:t>
                  </w:r>
                  <w:r>
                    <w:rPr>
                      <w:rFonts w:hint="eastAsia"/>
                      <w:color w:val="auto"/>
                      <w:sz w:val="21"/>
                      <w:szCs w:val="21"/>
                      <w:lang w:val="en-US" w:eastAsia="zh-CN"/>
                    </w:rPr>
                    <w:t>布袋除尘器处理效率99%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Merge w:val="continue"/>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p>
              </w:tc>
              <w:tc>
                <w:tcPr>
                  <w:tcW w:w="606"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产生量</w:t>
                  </w:r>
                </w:p>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（t/a）</w:t>
                  </w:r>
                </w:p>
              </w:tc>
              <w:tc>
                <w:tcPr>
                  <w:tcW w:w="606"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收集量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rPr>
                  </w:pPr>
                  <w:r>
                    <w:rPr>
                      <w:rFonts w:hint="eastAsia"/>
                      <w:color w:val="auto"/>
                      <w:sz w:val="21"/>
                      <w:szCs w:val="21"/>
                    </w:rPr>
                    <w:t>（t/a）</w:t>
                  </w:r>
                </w:p>
              </w:tc>
              <w:tc>
                <w:tcPr>
                  <w:tcW w:w="587" w:type="pct"/>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排放量（t/a）</w:t>
                  </w:r>
                </w:p>
              </w:tc>
              <w:tc>
                <w:tcPr>
                  <w:tcW w:w="664"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排放速率（kg/h）</w:t>
                  </w:r>
                </w:p>
              </w:tc>
              <w:tc>
                <w:tcPr>
                  <w:tcW w:w="870"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排放浓度（mg/m</w:t>
                  </w:r>
                  <w:r>
                    <w:rPr>
                      <w:rFonts w:hint="eastAsia"/>
                      <w:color w:val="auto"/>
                      <w:sz w:val="21"/>
                      <w:szCs w:val="21"/>
                      <w:vertAlign w:val="superscript"/>
                    </w:rPr>
                    <w:t>3</w:t>
                  </w:r>
                  <w:r>
                    <w:rPr>
                      <w:rFonts w:hint="eastAsia"/>
                      <w:color w:val="auto"/>
                      <w:sz w:val="21"/>
                      <w:szCs w:val="21"/>
                    </w:rPr>
                    <w:t>）</w:t>
                  </w:r>
                </w:p>
              </w:tc>
              <w:tc>
                <w:tcPr>
                  <w:tcW w:w="532"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水性涂料生产</w:t>
                  </w:r>
                </w:p>
              </w:tc>
              <w:tc>
                <w:tcPr>
                  <w:tcW w:w="606"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0.25</w:t>
                  </w:r>
                </w:p>
              </w:tc>
              <w:tc>
                <w:tcPr>
                  <w:tcW w:w="606"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0.225</w:t>
                  </w:r>
                </w:p>
              </w:tc>
              <w:tc>
                <w:tcPr>
                  <w:tcW w:w="587" w:type="pct"/>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0.002</w:t>
                  </w:r>
                </w:p>
              </w:tc>
              <w:tc>
                <w:tcPr>
                  <w:tcW w:w="664"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0.015</w:t>
                  </w:r>
                </w:p>
              </w:tc>
              <w:tc>
                <w:tcPr>
                  <w:tcW w:w="870"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7.5</w:t>
                  </w:r>
                </w:p>
              </w:tc>
              <w:tc>
                <w:tcPr>
                  <w:tcW w:w="532"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auto"/>
                      <w:sz w:val="21"/>
                      <w:szCs w:val="21"/>
                      <w:lang w:val="en-US" w:eastAsia="zh-CN"/>
                    </w:rPr>
                  </w:pPr>
                  <w:r>
                    <w:rPr>
                      <w:rFonts w:hint="eastAsia" w:ascii="Times New Roman" w:hAnsi="Times New Roman" w:eastAsia="宋体" w:cs="Times New Roman"/>
                      <w:color w:val="auto"/>
                      <w:kern w:val="2"/>
                      <w:sz w:val="21"/>
                      <w:szCs w:val="21"/>
                      <w:lang w:val="en-US" w:eastAsia="zh-CN" w:bidi="ar-SA"/>
                    </w:rPr>
                    <w:t>隔热砂浆</w:t>
                  </w:r>
                  <w:r>
                    <w:rPr>
                      <w:rFonts w:hint="eastAsia" w:cs="Times New Roman"/>
                      <w:color w:val="auto"/>
                      <w:kern w:val="2"/>
                      <w:sz w:val="21"/>
                      <w:szCs w:val="21"/>
                      <w:lang w:val="en-US" w:eastAsia="zh-CN" w:bidi="ar-SA"/>
                    </w:rPr>
                    <w:t>生产</w:t>
                  </w:r>
                </w:p>
              </w:tc>
              <w:tc>
                <w:tcPr>
                  <w:tcW w:w="606"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auto"/>
                      <w:sz w:val="21"/>
                      <w:szCs w:val="21"/>
                      <w:lang w:val="en-US" w:eastAsia="zh-CN"/>
                    </w:rPr>
                  </w:pPr>
                  <w:r>
                    <w:rPr>
                      <w:rFonts w:hint="eastAsia"/>
                      <w:color w:val="auto"/>
                      <w:sz w:val="21"/>
                      <w:szCs w:val="21"/>
                      <w:lang w:val="en-US" w:eastAsia="zh-CN"/>
                    </w:rPr>
                    <w:t>49.6</w:t>
                  </w:r>
                </w:p>
              </w:tc>
              <w:tc>
                <w:tcPr>
                  <w:tcW w:w="606"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auto"/>
                      <w:sz w:val="21"/>
                      <w:szCs w:val="21"/>
                      <w:lang w:val="en-US" w:eastAsia="zh-CN"/>
                    </w:rPr>
                  </w:pPr>
                  <w:r>
                    <w:rPr>
                      <w:rFonts w:hint="eastAsia"/>
                      <w:color w:val="auto"/>
                      <w:sz w:val="21"/>
                      <w:szCs w:val="21"/>
                      <w:lang w:val="en-US" w:eastAsia="zh-CN"/>
                    </w:rPr>
                    <w:t>44.64</w:t>
                  </w:r>
                </w:p>
              </w:tc>
              <w:tc>
                <w:tcPr>
                  <w:tcW w:w="587" w:type="pct"/>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auto"/>
                      <w:sz w:val="21"/>
                      <w:szCs w:val="21"/>
                      <w:lang w:val="en-US" w:eastAsia="zh-CN"/>
                    </w:rPr>
                  </w:pPr>
                  <w:r>
                    <w:rPr>
                      <w:rFonts w:hint="eastAsia"/>
                      <w:color w:val="auto"/>
                      <w:sz w:val="21"/>
                      <w:szCs w:val="21"/>
                      <w:lang w:val="en-US" w:eastAsia="zh-CN"/>
                    </w:rPr>
                    <w:t>0.446</w:t>
                  </w:r>
                </w:p>
              </w:tc>
              <w:tc>
                <w:tcPr>
                  <w:tcW w:w="664"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auto"/>
                      <w:sz w:val="21"/>
                      <w:szCs w:val="21"/>
                      <w:lang w:val="en-US" w:eastAsia="zh-CN"/>
                    </w:rPr>
                  </w:pPr>
                  <w:r>
                    <w:rPr>
                      <w:rFonts w:hint="eastAsia"/>
                      <w:color w:val="auto"/>
                      <w:sz w:val="21"/>
                      <w:szCs w:val="21"/>
                      <w:lang w:val="en-US" w:eastAsia="zh-CN"/>
                    </w:rPr>
                    <w:t>0.186</w:t>
                  </w:r>
                </w:p>
              </w:tc>
              <w:tc>
                <w:tcPr>
                  <w:tcW w:w="870"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auto"/>
                      <w:sz w:val="21"/>
                      <w:szCs w:val="21"/>
                      <w:lang w:val="en-US" w:eastAsia="zh-CN"/>
                    </w:rPr>
                  </w:pPr>
                  <w:r>
                    <w:rPr>
                      <w:rFonts w:hint="eastAsia"/>
                      <w:color w:val="auto"/>
                      <w:sz w:val="21"/>
                      <w:szCs w:val="21"/>
                      <w:lang w:val="en-US" w:eastAsia="zh-CN"/>
                    </w:rPr>
                    <w:t>18.6</w:t>
                  </w:r>
                </w:p>
              </w:tc>
              <w:tc>
                <w:tcPr>
                  <w:tcW w:w="532"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auto"/>
                      <w:sz w:val="21"/>
                      <w:szCs w:val="21"/>
                      <w:lang w:val="en-US" w:eastAsia="zh-CN"/>
                    </w:rPr>
                  </w:pPr>
                  <w:r>
                    <w:rPr>
                      <w:rFonts w:hint="eastAsia"/>
                      <w:color w:val="auto"/>
                      <w:sz w:val="21"/>
                      <w:szCs w:val="21"/>
                      <w:lang w:val="en-US" w:eastAsia="zh-CN"/>
                    </w:rPr>
                    <w:t>DA003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小计</w:t>
                  </w:r>
                </w:p>
              </w:tc>
              <w:tc>
                <w:tcPr>
                  <w:tcW w:w="951" w:type="dxa"/>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1"/>
                      <w:szCs w:val="21"/>
                      <w:lang w:val="en-US" w:eastAsia="zh-CN"/>
                    </w:rPr>
                  </w:pPr>
                  <w:r>
                    <w:rPr>
                      <w:rFonts w:hint="eastAsia"/>
                      <w:color w:val="auto"/>
                      <w:sz w:val="21"/>
                      <w:szCs w:val="21"/>
                      <w:lang w:val="en-US" w:eastAsia="zh-CN"/>
                    </w:rPr>
                    <w:t>49.85</w:t>
                  </w:r>
                </w:p>
              </w:tc>
              <w:tc>
                <w:tcPr>
                  <w:tcW w:w="951" w:type="dxa"/>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1"/>
                      <w:szCs w:val="21"/>
                      <w:lang w:val="en-US" w:eastAsia="zh-CN"/>
                    </w:rPr>
                  </w:pPr>
                  <w:r>
                    <w:rPr>
                      <w:rFonts w:hint="eastAsia"/>
                      <w:color w:val="auto"/>
                      <w:sz w:val="21"/>
                      <w:szCs w:val="21"/>
                      <w:lang w:val="en-US" w:eastAsia="zh-CN"/>
                    </w:rPr>
                    <w:t>44.865</w:t>
                  </w:r>
                </w:p>
              </w:tc>
              <w:tc>
                <w:tcPr>
                  <w:tcW w:w="922" w:type="dxa"/>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1"/>
                      <w:szCs w:val="21"/>
                      <w:lang w:val="en-US" w:eastAsia="zh-CN"/>
                    </w:rPr>
                  </w:pPr>
                  <w:r>
                    <w:rPr>
                      <w:rFonts w:hint="eastAsia"/>
                      <w:color w:val="auto"/>
                      <w:sz w:val="21"/>
                      <w:szCs w:val="21"/>
                      <w:lang w:val="en-US" w:eastAsia="zh-CN"/>
                    </w:rPr>
                    <w:t>0.448</w:t>
                  </w:r>
                </w:p>
              </w:tc>
              <w:tc>
                <w:tcPr>
                  <w:tcW w:w="1045" w:type="dxa"/>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1"/>
                      <w:szCs w:val="21"/>
                      <w:lang w:val="en-US" w:eastAsia="zh-CN"/>
                    </w:rPr>
                  </w:pPr>
                  <w:r>
                    <w:rPr>
                      <w:rFonts w:hint="eastAsia"/>
                      <w:color w:val="auto"/>
                      <w:sz w:val="21"/>
                      <w:szCs w:val="21"/>
                      <w:lang w:val="en-US" w:eastAsia="zh-CN"/>
                    </w:rPr>
                    <w:t>0.201</w:t>
                  </w:r>
                </w:p>
              </w:tc>
              <w:tc>
                <w:tcPr>
                  <w:tcW w:w="870"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532"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Merge w:val="restar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rPr>
                    <w:t>产生工序</w:t>
                  </w:r>
                </w:p>
              </w:tc>
              <w:tc>
                <w:tcPr>
                  <w:tcW w:w="3869" w:type="pct"/>
                  <w:gridSpan w:val="7"/>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Merge w:val="continue"/>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p>
              </w:tc>
              <w:tc>
                <w:tcPr>
                  <w:tcW w:w="1538" w:type="pct"/>
                  <w:gridSpan w:val="3"/>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产生量（未收集量）（t/a）</w:t>
                  </w:r>
                </w:p>
              </w:tc>
              <w:tc>
                <w:tcPr>
                  <w:tcW w:w="927" w:type="pct"/>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排放量（t/a）</w:t>
                  </w:r>
                </w:p>
              </w:tc>
              <w:tc>
                <w:tcPr>
                  <w:tcW w:w="1402" w:type="pct"/>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auto"/>
                      <w:sz w:val="21"/>
                      <w:szCs w:val="21"/>
                    </w:rPr>
                  </w:pPr>
                  <w:r>
                    <w:rPr>
                      <w:rFonts w:hint="eastAsia"/>
                      <w:color w:val="auto"/>
                      <w:sz w:val="21"/>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color w:val="auto"/>
                      <w:sz w:val="21"/>
                      <w:szCs w:val="21"/>
                    </w:rPr>
                  </w:pPr>
                  <w:r>
                    <w:rPr>
                      <w:rFonts w:hint="eastAsia"/>
                      <w:color w:val="auto"/>
                      <w:sz w:val="21"/>
                      <w:szCs w:val="21"/>
                      <w:lang w:val="en-US" w:eastAsia="zh-CN"/>
                    </w:rPr>
                    <w:t>水性涂料生产</w:t>
                  </w:r>
                </w:p>
              </w:tc>
              <w:tc>
                <w:tcPr>
                  <w:tcW w:w="1538" w:type="pct"/>
                  <w:gridSpan w:val="3"/>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0.025</w:t>
                  </w:r>
                </w:p>
              </w:tc>
              <w:tc>
                <w:tcPr>
                  <w:tcW w:w="927" w:type="pct"/>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0.025</w:t>
                  </w:r>
                </w:p>
              </w:tc>
              <w:tc>
                <w:tcPr>
                  <w:tcW w:w="1402" w:type="pct"/>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color w:val="auto"/>
                      <w:sz w:val="21"/>
                      <w:szCs w:val="21"/>
                      <w:lang w:eastAsia="zh-CN"/>
                    </w:rPr>
                  </w:pPr>
                  <w:r>
                    <w:rPr>
                      <w:rFonts w:hint="eastAsia" w:ascii="Times New Roman" w:hAnsi="Times New Roman" w:eastAsia="宋体" w:cs="Times New Roman"/>
                      <w:color w:val="auto"/>
                      <w:kern w:val="2"/>
                      <w:sz w:val="21"/>
                      <w:szCs w:val="21"/>
                      <w:lang w:val="en-US" w:eastAsia="zh-CN" w:bidi="ar-SA"/>
                    </w:rPr>
                    <w:t>隔热砂浆</w:t>
                  </w:r>
                  <w:r>
                    <w:rPr>
                      <w:rFonts w:hint="eastAsia" w:cs="Times New Roman"/>
                      <w:color w:val="auto"/>
                      <w:kern w:val="2"/>
                      <w:sz w:val="21"/>
                      <w:szCs w:val="21"/>
                      <w:lang w:val="en-US" w:eastAsia="zh-CN" w:bidi="ar-SA"/>
                    </w:rPr>
                    <w:t>生产</w:t>
                  </w:r>
                </w:p>
              </w:tc>
              <w:tc>
                <w:tcPr>
                  <w:tcW w:w="1538" w:type="pct"/>
                  <w:gridSpan w:val="3"/>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auto"/>
                      <w:sz w:val="21"/>
                      <w:szCs w:val="21"/>
                      <w:lang w:val="en-US" w:eastAsia="zh-CN"/>
                    </w:rPr>
                  </w:pPr>
                  <w:r>
                    <w:rPr>
                      <w:rFonts w:hint="eastAsia"/>
                      <w:color w:val="auto"/>
                      <w:sz w:val="21"/>
                      <w:szCs w:val="21"/>
                      <w:lang w:val="en-US" w:eastAsia="zh-CN"/>
                    </w:rPr>
                    <w:t>4.96</w:t>
                  </w:r>
                </w:p>
              </w:tc>
              <w:tc>
                <w:tcPr>
                  <w:tcW w:w="927" w:type="pct"/>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auto"/>
                      <w:sz w:val="21"/>
                      <w:szCs w:val="21"/>
                      <w:lang w:val="en-US" w:eastAsia="zh-CN"/>
                    </w:rPr>
                  </w:pPr>
                  <w:r>
                    <w:rPr>
                      <w:rFonts w:hint="eastAsia"/>
                      <w:color w:val="auto"/>
                      <w:sz w:val="21"/>
                      <w:szCs w:val="21"/>
                      <w:lang w:val="en-US" w:eastAsia="zh-CN"/>
                    </w:rPr>
                    <w:t>0.50</w:t>
                  </w:r>
                </w:p>
              </w:tc>
              <w:tc>
                <w:tcPr>
                  <w:tcW w:w="1402" w:type="pct"/>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auto"/>
                      <w:sz w:val="21"/>
                      <w:szCs w:val="21"/>
                      <w:lang w:val="en-US" w:eastAsia="zh-CN"/>
                    </w:rPr>
                  </w:pPr>
                  <w:r>
                    <w:rPr>
                      <w:rFonts w:hint="eastAsia"/>
                      <w:color w:val="auto"/>
                      <w:sz w:val="21"/>
                      <w:szCs w:val="21"/>
                      <w:lang w:val="en-US" w:eastAsia="zh-CN"/>
                    </w:rPr>
                    <w:t>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小计</w:t>
                  </w:r>
                </w:p>
              </w:tc>
              <w:tc>
                <w:tcPr>
                  <w:tcW w:w="2414" w:type="dxa"/>
                  <w:gridSpan w:val="3"/>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auto"/>
                      <w:sz w:val="21"/>
                      <w:szCs w:val="21"/>
                      <w:lang w:val="en-US" w:eastAsia="zh-CN"/>
                    </w:rPr>
                  </w:pPr>
                  <w:r>
                    <w:rPr>
                      <w:rFonts w:hint="eastAsia"/>
                      <w:color w:val="auto"/>
                      <w:sz w:val="21"/>
                      <w:szCs w:val="21"/>
                      <w:lang w:val="en-US" w:eastAsia="zh-CN"/>
                    </w:rPr>
                    <w:t>4.985</w:t>
                  </w:r>
                </w:p>
              </w:tc>
              <w:tc>
                <w:tcPr>
                  <w:tcW w:w="1455" w:type="dxa"/>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auto"/>
                      <w:sz w:val="21"/>
                      <w:szCs w:val="21"/>
                      <w:lang w:val="en-US" w:eastAsia="zh-CN"/>
                    </w:rPr>
                  </w:pPr>
                  <w:r>
                    <w:rPr>
                      <w:rFonts w:hint="eastAsia"/>
                      <w:color w:val="auto"/>
                      <w:sz w:val="21"/>
                      <w:szCs w:val="21"/>
                      <w:lang w:val="en-US" w:eastAsia="zh-CN"/>
                    </w:rPr>
                    <w:t>0.525</w:t>
                  </w:r>
                </w:p>
              </w:tc>
              <w:tc>
                <w:tcPr>
                  <w:tcW w:w="2203" w:type="dxa"/>
                  <w:gridSpan w:val="2"/>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auto"/>
                      <w:sz w:val="21"/>
                      <w:szCs w:val="21"/>
                      <w:lang w:val="en-US" w:eastAsia="zh-CN"/>
                    </w:rPr>
                  </w:pPr>
                  <w:r>
                    <w:rPr>
                      <w:rFonts w:hint="eastAsia"/>
                      <w:color w:val="auto"/>
                      <w:sz w:val="21"/>
                      <w:szCs w:val="21"/>
                      <w:lang w:val="en-US" w:eastAsia="zh-CN"/>
                    </w:rPr>
                    <w:t>0.29</w:t>
                  </w:r>
                </w:p>
              </w:tc>
            </w:tr>
          </w:tbl>
          <w:p>
            <w:pPr>
              <w:spacing w:line="360" w:lineRule="auto"/>
              <w:ind w:firstLine="480" w:firstLineChars="200"/>
              <w:jc w:val="left"/>
              <w:rPr>
                <w:color w:val="auto"/>
                <w:kern w:val="0"/>
                <w:szCs w:val="20"/>
              </w:rPr>
            </w:pPr>
            <w:r>
              <w:rPr>
                <w:color w:val="auto"/>
                <w:kern w:val="0"/>
                <w:szCs w:val="20"/>
              </w:rPr>
              <w:t>大气排放口基本情况</w:t>
            </w:r>
            <w:r>
              <w:rPr>
                <w:rFonts w:hint="eastAsia"/>
                <w:color w:val="auto"/>
                <w:kern w:val="0"/>
                <w:szCs w:val="20"/>
              </w:rPr>
              <w:t>如下：</w:t>
            </w:r>
          </w:p>
          <w:p>
            <w:pPr>
              <w:spacing w:line="360" w:lineRule="auto"/>
              <w:ind w:firstLine="420" w:firstLineChars="200"/>
              <w:jc w:val="center"/>
              <w:rPr>
                <w:color w:val="auto"/>
                <w:kern w:val="0"/>
                <w:sz w:val="21"/>
                <w:szCs w:val="21"/>
              </w:rPr>
            </w:pPr>
            <w:r>
              <w:rPr>
                <w:color w:val="auto"/>
                <w:kern w:val="0"/>
                <w:sz w:val="21"/>
                <w:szCs w:val="21"/>
              </w:rPr>
              <w:t>表4-</w:t>
            </w:r>
            <w:r>
              <w:rPr>
                <w:rFonts w:hint="eastAsia"/>
                <w:color w:val="auto"/>
                <w:kern w:val="0"/>
                <w:sz w:val="21"/>
                <w:szCs w:val="21"/>
                <w:lang w:val="en-US" w:eastAsia="zh-CN"/>
              </w:rPr>
              <w:t>3</w:t>
            </w:r>
            <w:r>
              <w:rPr>
                <w:color w:val="auto"/>
                <w:kern w:val="0"/>
                <w:sz w:val="21"/>
                <w:szCs w:val="21"/>
              </w:rPr>
              <w:t xml:space="preserve"> 大气排放口基本情况表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956"/>
              <w:gridCol w:w="956"/>
              <w:gridCol w:w="956"/>
              <w:gridCol w:w="958"/>
              <w:gridCol w:w="958"/>
              <w:gridCol w:w="958"/>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pPr>
                    <w:jc w:val="center"/>
                    <w:rPr>
                      <w:color w:val="auto"/>
                      <w:kern w:val="0"/>
                      <w:sz w:val="21"/>
                      <w:szCs w:val="21"/>
                    </w:rPr>
                  </w:pPr>
                  <w:r>
                    <w:rPr>
                      <w:color w:val="auto"/>
                      <w:kern w:val="0"/>
                      <w:sz w:val="21"/>
                      <w:szCs w:val="21"/>
                    </w:rPr>
                    <w:t>序号</w:t>
                  </w:r>
                </w:p>
              </w:tc>
              <w:tc>
                <w:tcPr>
                  <w:tcW w:w="956" w:type="dxa"/>
                  <w:vAlign w:val="center"/>
                </w:tcPr>
                <w:p>
                  <w:pPr>
                    <w:adjustRightInd w:val="0"/>
                    <w:snapToGrid w:val="0"/>
                    <w:jc w:val="center"/>
                    <w:rPr>
                      <w:color w:val="auto"/>
                      <w:sz w:val="21"/>
                      <w:szCs w:val="21"/>
                    </w:rPr>
                  </w:pPr>
                  <w:r>
                    <w:rPr>
                      <w:color w:val="auto"/>
                      <w:sz w:val="21"/>
                      <w:szCs w:val="21"/>
                    </w:rPr>
                    <w:t>排放口编号</w:t>
                  </w:r>
                </w:p>
              </w:tc>
              <w:tc>
                <w:tcPr>
                  <w:tcW w:w="956" w:type="dxa"/>
                  <w:vAlign w:val="center"/>
                </w:tcPr>
                <w:p>
                  <w:pPr>
                    <w:adjustRightInd w:val="0"/>
                    <w:snapToGrid w:val="0"/>
                    <w:jc w:val="center"/>
                    <w:rPr>
                      <w:color w:val="auto"/>
                      <w:sz w:val="21"/>
                      <w:szCs w:val="21"/>
                    </w:rPr>
                  </w:pPr>
                  <w:r>
                    <w:rPr>
                      <w:color w:val="auto"/>
                      <w:sz w:val="21"/>
                      <w:szCs w:val="21"/>
                    </w:rPr>
                    <w:t>排放口名称</w:t>
                  </w:r>
                </w:p>
              </w:tc>
              <w:tc>
                <w:tcPr>
                  <w:tcW w:w="956" w:type="dxa"/>
                  <w:vAlign w:val="center"/>
                </w:tcPr>
                <w:p>
                  <w:pPr>
                    <w:adjustRightInd w:val="0"/>
                    <w:snapToGrid w:val="0"/>
                    <w:jc w:val="center"/>
                    <w:rPr>
                      <w:color w:val="auto"/>
                      <w:sz w:val="21"/>
                      <w:szCs w:val="21"/>
                    </w:rPr>
                  </w:pPr>
                  <w:r>
                    <w:rPr>
                      <w:color w:val="auto"/>
                      <w:sz w:val="21"/>
                      <w:szCs w:val="21"/>
                    </w:rPr>
                    <w:t>污染物种类</w:t>
                  </w:r>
                </w:p>
              </w:tc>
              <w:tc>
                <w:tcPr>
                  <w:tcW w:w="958" w:type="dxa"/>
                  <w:vAlign w:val="center"/>
                </w:tcPr>
                <w:p>
                  <w:pPr>
                    <w:adjustRightInd w:val="0"/>
                    <w:snapToGrid w:val="0"/>
                    <w:jc w:val="center"/>
                    <w:rPr>
                      <w:color w:val="auto"/>
                      <w:sz w:val="21"/>
                      <w:szCs w:val="21"/>
                    </w:rPr>
                  </w:pPr>
                  <w:r>
                    <w:rPr>
                      <w:color w:val="auto"/>
                      <w:sz w:val="21"/>
                      <w:szCs w:val="21"/>
                    </w:rPr>
                    <w:t>排气筒高度（m）</w:t>
                  </w:r>
                </w:p>
              </w:tc>
              <w:tc>
                <w:tcPr>
                  <w:tcW w:w="958" w:type="dxa"/>
                  <w:vAlign w:val="center"/>
                </w:tcPr>
                <w:p>
                  <w:pPr>
                    <w:adjustRightInd w:val="0"/>
                    <w:snapToGrid w:val="0"/>
                    <w:jc w:val="center"/>
                    <w:rPr>
                      <w:color w:val="auto"/>
                      <w:sz w:val="21"/>
                      <w:szCs w:val="21"/>
                    </w:rPr>
                  </w:pPr>
                  <w:r>
                    <w:rPr>
                      <w:color w:val="auto"/>
                      <w:sz w:val="21"/>
                      <w:szCs w:val="21"/>
                    </w:rPr>
                    <w:t>排气筒出口内径（m）</w:t>
                  </w:r>
                </w:p>
              </w:tc>
              <w:tc>
                <w:tcPr>
                  <w:tcW w:w="958" w:type="dxa"/>
                  <w:vAlign w:val="center"/>
                </w:tcPr>
                <w:p>
                  <w:pPr>
                    <w:adjustRightInd w:val="0"/>
                    <w:snapToGrid w:val="0"/>
                    <w:jc w:val="center"/>
                    <w:rPr>
                      <w:color w:val="auto"/>
                      <w:sz w:val="21"/>
                      <w:szCs w:val="21"/>
                    </w:rPr>
                  </w:pPr>
                  <w:r>
                    <w:rPr>
                      <w:color w:val="auto"/>
                      <w:sz w:val="21"/>
                      <w:szCs w:val="21"/>
                    </w:rPr>
                    <w:t>排气温度（℃）</w:t>
                  </w:r>
                </w:p>
              </w:tc>
              <w:tc>
                <w:tcPr>
                  <w:tcW w:w="1157" w:type="dxa"/>
                  <w:vAlign w:val="center"/>
                </w:tcPr>
                <w:p>
                  <w:pPr>
                    <w:adjustRightInd w:val="0"/>
                    <w:snapToGrid w:val="0"/>
                    <w:jc w:val="center"/>
                    <w:rPr>
                      <w:color w:val="auto"/>
                      <w:sz w:val="21"/>
                      <w:szCs w:val="21"/>
                    </w:rPr>
                  </w:pPr>
                  <w:r>
                    <w:rPr>
                      <w:color w:val="auto"/>
                      <w:sz w:val="21"/>
                      <w:szCs w:val="21"/>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pPr>
                    <w:jc w:val="center"/>
                    <w:rPr>
                      <w:color w:val="auto"/>
                      <w:kern w:val="0"/>
                      <w:sz w:val="21"/>
                      <w:szCs w:val="21"/>
                    </w:rPr>
                  </w:pPr>
                  <w:r>
                    <w:rPr>
                      <w:rFonts w:hint="eastAsia"/>
                      <w:color w:val="auto"/>
                      <w:kern w:val="0"/>
                      <w:sz w:val="21"/>
                      <w:szCs w:val="21"/>
                    </w:rPr>
                    <w:t>1</w:t>
                  </w:r>
                </w:p>
              </w:tc>
              <w:tc>
                <w:tcPr>
                  <w:tcW w:w="956" w:type="dxa"/>
                  <w:vAlign w:val="center"/>
                </w:tcPr>
                <w:p>
                  <w:pPr>
                    <w:jc w:val="center"/>
                    <w:rPr>
                      <w:rFonts w:hint="eastAsia" w:eastAsia="宋体"/>
                      <w:color w:val="auto"/>
                      <w:kern w:val="0"/>
                      <w:sz w:val="21"/>
                      <w:szCs w:val="21"/>
                      <w:lang w:eastAsia="zh-CN"/>
                    </w:rPr>
                  </w:pPr>
                  <w:r>
                    <w:rPr>
                      <w:rFonts w:hint="eastAsia"/>
                      <w:color w:val="auto"/>
                      <w:kern w:val="0"/>
                      <w:sz w:val="21"/>
                      <w:szCs w:val="21"/>
                      <w:lang w:val="en-US" w:eastAsia="zh-CN"/>
                    </w:rPr>
                    <w:t>DA001</w:t>
                  </w:r>
                </w:p>
              </w:tc>
              <w:tc>
                <w:tcPr>
                  <w:tcW w:w="956" w:type="dxa"/>
                  <w:vAlign w:val="center"/>
                </w:tcPr>
                <w:p>
                  <w:pPr>
                    <w:jc w:val="center"/>
                    <w:rPr>
                      <w:color w:val="auto"/>
                      <w:kern w:val="0"/>
                      <w:sz w:val="21"/>
                      <w:szCs w:val="21"/>
                    </w:rPr>
                  </w:pPr>
                  <w:r>
                    <w:rPr>
                      <w:rFonts w:hint="eastAsia"/>
                      <w:color w:val="auto"/>
                      <w:kern w:val="0"/>
                      <w:sz w:val="21"/>
                      <w:szCs w:val="21"/>
                    </w:rPr>
                    <w:t>有机废气排气筒</w:t>
                  </w:r>
                </w:p>
              </w:tc>
              <w:tc>
                <w:tcPr>
                  <w:tcW w:w="956" w:type="dxa"/>
                  <w:vAlign w:val="center"/>
                </w:tcPr>
                <w:p>
                  <w:pPr>
                    <w:jc w:val="center"/>
                    <w:rPr>
                      <w:rFonts w:hint="default" w:eastAsia="宋体"/>
                      <w:color w:val="auto"/>
                      <w:kern w:val="0"/>
                      <w:sz w:val="21"/>
                      <w:szCs w:val="21"/>
                      <w:lang w:val="en-US" w:eastAsia="zh-CN"/>
                    </w:rPr>
                  </w:pPr>
                  <w:r>
                    <w:rPr>
                      <w:rFonts w:hint="eastAsia"/>
                      <w:color w:val="auto"/>
                      <w:kern w:val="0"/>
                      <w:sz w:val="21"/>
                      <w:szCs w:val="21"/>
                      <w:lang w:val="en-US" w:eastAsia="zh-CN"/>
                    </w:rPr>
                    <w:t>非甲烷总烃</w:t>
                  </w:r>
                </w:p>
              </w:tc>
              <w:tc>
                <w:tcPr>
                  <w:tcW w:w="958" w:type="dxa"/>
                  <w:vAlign w:val="center"/>
                </w:tcPr>
                <w:p>
                  <w:pPr>
                    <w:jc w:val="center"/>
                    <w:rPr>
                      <w:color w:val="auto"/>
                      <w:kern w:val="0"/>
                      <w:sz w:val="21"/>
                      <w:szCs w:val="21"/>
                    </w:rPr>
                  </w:pPr>
                  <w:r>
                    <w:rPr>
                      <w:rFonts w:hint="eastAsia"/>
                      <w:color w:val="auto"/>
                      <w:kern w:val="0"/>
                      <w:sz w:val="21"/>
                      <w:szCs w:val="21"/>
                    </w:rPr>
                    <w:t>15</w:t>
                  </w:r>
                </w:p>
              </w:tc>
              <w:tc>
                <w:tcPr>
                  <w:tcW w:w="958" w:type="dxa"/>
                  <w:vAlign w:val="center"/>
                </w:tcPr>
                <w:p>
                  <w:pPr>
                    <w:jc w:val="center"/>
                    <w:rPr>
                      <w:color w:val="auto"/>
                      <w:kern w:val="0"/>
                      <w:sz w:val="21"/>
                      <w:szCs w:val="21"/>
                    </w:rPr>
                  </w:pPr>
                  <w:r>
                    <w:rPr>
                      <w:rFonts w:hint="eastAsia"/>
                      <w:color w:val="auto"/>
                      <w:kern w:val="0"/>
                      <w:sz w:val="21"/>
                      <w:szCs w:val="21"/>
                    </w:rPr>
                    <w:t>0.4</w:t>
                  </w:r>
                </w:p>
              </w:tc>
              <w:tc>
                <w:tcPr>
                  <w:tcW w:w="958" w:type="dxa"/>
                  <w:vAlign w:val="center"/>
                </w:tcPr>
                <w:p>
                  <w:pPr>
                    <w:jc w:val="center"/>
                    <w:rPr>
                      <w:rFonts w:hint="default" w:eastAsia="宋体"/>
                      <w:color w:val="auto"/>
                      <w:kern w:val="0"/>
                      <w:sz w:val="21"/>
                      <w:szCs w:val="21"/>
                      <w:lang w:val="en-US" w:eastAsia="zh-CN"/>
                    </w:rPr>
                  </w:pPr>
                  <w:r>
                    <w:rPr>
                      <w:rFonts w:hint="eastAsia"/>
                      <w:color w:val="auto"/>
                      <w:kern w:val="0"/>
                      <w:sz w:val="21"/>
                      <w:szCs w:val="21"/>
                      <w:lang w:val="en-US" w:eastAsia="zh-CN"/>
                    </w:rPr>
                    <w:t>25</w:t>
                  </w:r>
                </w:p>
              </w:tc>
              <w:tc>
                <w:tcPr>
                  <w:tcW w:w="1157" w:type="dxa"/>
                  <w:vAlign w:val="center"/>
                </w:tcPr>
                <w:p>
                  <w:pPr>
                    <w:jc w:val="center"/>
                    <w:rPr>
                      <w:color w:val="auto"/>
                      <w:kern w:val="0"/>
                      <w:sz w:val="21"/>
                      <w:szCs w:val="21"/>
                    </w:rPr>
                  </w:pPr>
                  <w:r>
                    <w:rPr>
                      <w:rFonts w:hint="eastAsia"/>
                      <w:color w:val="auto"/>
                      <w:kern w:val="0"/>
                      <w:sz w:val="21"/>
                      <w:szCs w:val="21"/>
                      <w:lang w:eastAsia="zh-CN"/>
                    </w:rPr>
                    <w:t>涂料搅拌分散过程中产生的</w:t>
                  </w:r>
                  <w:r>
                    <w:rPr>
                      <w:rFonts w:hint="eastAsia"/>
                      <w:color w:val="auto"/>
                      <w:kern w:val="0"/>
                      <w:sz w:val="21"/>
                      <w:szCs w:val="21"/>
                    </w:rPr>
                    <w:t>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pPr>
                    <w:jc w:val="center"/>
                    <w:rPr>
                      <w:rFonts w:hint="eastAsia" w:eastAsia="宋体"/>
                      <w:color w:val="auto"/>
                      <w:kern w:val="0"/>
                      <w:sz w:val="21"/>
                      <w:szCs w:val="21"/>
                      <w:lang w:eastAsia="zh-CN"/>
                    </w:rPr>
                  </w:pPr>
                  <w:r>
                    <w:rPr>
                      <w:rFonts w:hint="eastAsia"/>
                      <w:color w:val="auto"/>
                      <w:kern w:val="0"/>
                      <w:sz w:val="21"/>
                      <w:szCs w:val="21"/>
                      <w:lang w:val="en-US" w:eastAsia="zh-CN"/>
                    </w:rPr>
                    <w:t>2</w:t>
                  </w:r>
                </w:p>
              </w:tc>
              <w:tc>
                <w:tcPr>
                  <w:tcW w:w="956" w:type="dxa"/>
                  <w:vAlign w:val="center"/>
                </w:tcPr>
                <w:p>
                  <w:pPr>
                    <w:jc w:val="center"/>
                    <w:rPr>
                      <w:rFonts w:hint="eastAsia"/>
                      <w:color w:val="auto"/>
                      <w:kern w:val="0"/>
                      <w:sz w:val="21"/>
                      <w:szCs w:val="21"/>
                      <w:lang w:val="en-US" w:eastAsia="zh-CN"/>
                    </w:rPr>
                  </w:pPr>
                  <w:r>
                    <w:rPr>
                      <w:rFonts w:hint="eastAsia"/>
                      <w:color w:val="auto"/>
                      <w:kern w:val="0"/>
                      <w:sz w:val="21"/>
                      <w:szCs w:val="21"/>
                      <w:lang w:val="en-US" w:eastAsia="zh-CN"/>
                    </w:rPr>
                    <w:t>DA002</w:t>
                  </w:r>
                </w:p>
              </w:tc>
              <w:tc>
                <w:tcPr>
                  <w:tcW w:w="956" w:type="dxa"/>
                  <w:vAlign w:val="center"/>
                </w:tcPr>
                <w:p>
                  <w:pPr>
                    <w:jc w:val="center"/>
                    <w:rPr>
                      <w:rFonts w:hint="eastAsia"/>
                      <w:color w:val="auto"/>
                      <w:kern w:val="0"/>
                      <w:sz w:val="21"/>
                      <w:szCs w:val="21"/>
                    </w:rPr>
                  </w:pPr>
                  <w:r>
                    <w:rPr>
                      <w:rFonts w:hint="eastAsia"/>
                      <w:color w:val="auto"/>
                      <w:kern w:val="0"/>
                      <w:sz w:val="21"/>
                      <w:szCs w:val="21"/>
                      <w:lang w:val="en-US" w:eastAsia="zh-CN"/>
                    </w:rPr>
                    <w:t>布袋除尘器</w:t>
                  </w:r>
                  <w:r>
                    <w:rPr>
                      <w:rFonts w:hint="eastAsia"/>
                      <w:color w:val="auto"/>
                      <w:kern w:val="0"/>
                      <w:sz w:val="21"/>
                      <w:szCs w:val="21"/>
                    </w:rPr>
                    <w:t>排气筒</w:t>
                  </w:r>
                </w:p>
              </w:tc>
              <w:tc>
                <w:tcPr>
                  <w:tcW w:w="956" w:type="dxa"/>
                  <w:vAlign w:val="center"/>
                </w:tcPr>
                <w:p>
                  <w:pPr>
                    <w:jc w:val="center"/>
                    <w:rPr>
                      <w:rFonts w:hint="eastAsia" w:eastAsia="宋体"/>
                      <w:color w:val="auto"/>
                      <w:kern w:val="0"/>
                      <w:sz w:val="21"/>
                      <w:szCs w:val="21"/>
                      <w:lang w:eastAsia="zh-CN"/>
                    </w:rPr>
                  </w:pPr>
                  <w:r>
                    <w:rPr>
                      <w:rFonts w:hint="eastAsia"/>
                      <w:color w:val="auto"/>
                      <w:kern w:val="0"/>
                      <w:sz w:val="21"/>
                      <w:szCs w:val="21"/>
                      <w:lang w:val="en-US" w:eastAsia="zh-CN"/>
                    </w:rPr>
                    <w:t>颗粒物</w:t>
                  </w:r>
                </w:p>
              </w:tc>
              <w:tc>
                <w:tcPr>
                  <w:tcW w:w="958" w:type="dxa"/>
                  <w:vAlign w:val="center"/>
                </w:tcPr>
                <w:p>
                  <w:pPr>
                    <w:jc w:val="center"/>
                    <w:rPr>
                      <w:rFonts w:hint="eastAsia"/>
                      <w:color w:val="auto"/>
                      <w:kern w:val="0"/>
                      <w:sz w:val="21"/>
                      <w:szCs w:val="21"/>
                    </w:rPr>
                  </w:pPr>
                  <w:r>
                    <w:rPr>
                      <w:rFonts w:hint="eastAsia"/>
                      <w:color w:val="auto"/>
                      <w:kern w:val="0"/>
                      <w:sz w:val="21"/>
                      <w:szCs w:val="21"/>
                    </w:rPr>
                    <w:t>15</w:t>
                  </w:r>
                </w:p>
              </w:tc>
              <w:tc>
                <w:tcPr>
                  <w:tcW w:w="958" w:type="dxa"/>
                  <w:vAlign w:val="center"/>
                </w:tcPr>
                <w:p>
                  <w:pPr>
                    <w:jc w:val="center"/>
                    <w:rPr>
                      <w:rFonts w:hint="eastAsia" w:eastAsia="宋体"/>
                      <w:color w:val="auto"/>
                      <w:kern w:val="0"/>
                      <w:sz w:val="21"/>
                      <w:szCs w:val="21"/>
                      <w:lang w:eastAsia="zh-CN"/>
                    </w:rPr>
                  </w:pPr>
                  <w:r>
                    <w:rPr>
                      <w:rFonts w:hint="eastAsia"/>
                      <w:color w:val="auto"/>
                      <w:kern w:val="0"/>
                      <w:sz w:val="21"/>
                      <w:szCs w:val="21"/>
                    </w:rPr>
                    <w:t>0.</w:t>
                  </w:r>
                  <w:r>
                    <w:rPr>
                      <w:rFonts w:hint="eastAsia"/>
                      <w:color w:val="auto"/>
                      <w:kern w:val="0"/>
                      <w:sz w:val="21"/>
                      <w:szCs w:val="21"/>
                      <w:lang w:val="en-US" w:eastAsia="zh-CN"/>
                    </w:rPr>
                    <w:t>2</w:t>
                  </w:r>
                </w:p>
              </w:tc>
              <w:tc>
                <w:tcPr>
                  <w:tcW w:w="958" w:type="dxa"/>
                  <w:vAlign w:val="center"/>
                </w:tcPr>
                <w:p>
                  <w:pPr>
                    <w:jc w:val="center"/>
                    <w:rPr>
                      <w:rFonts w:hint="default"/>
                      <w:color w:val="auto"/>
                      <w:kern w:val="0"/>
                      <w:sz w:val="21"/>
                      <w:szCs w:val="21"/>
                      <w:lang w:val="en-US" w:eastAsia="zh-CN"/>
                    </w:rPr>
                  </w:pPr>
                  <w:r>
                    <w:rPr>
                      <w:rFonts w:hint="eastAsia"/>
                      <w:color w:val="auto"/>
                      <w:kern w:val="0"/>
                      <w:sz w:val="21"/>
                      <w:szCs w:val="21"/>
                      <w:lang w:val="en-US" w:eastAsia="zh-CN"/>
                    </w:rPr>
                    <w:t>25</w:t>
                  </w:r>
                </w:p>
              </w:tc>
              <w:tc>
                <w:tcPr>
                  <w:tcW w:w="1157" w:type="dxa"/>
                  <w:vAlign w:val="center"/>
                </w:tcPr>
                <w:p>
                  <w:pPr>
                    <w:jc w:val="center"/>
                    <w:rPr>
                      <w:rFonts w:hint="eastAsia" w:eastAsia="宋体"/>
                      <w:color w:val="auto"/>
                      <w:kern w:val="0"/>
                      <w:sz w:val="21"/>
                      <w:szCs w:val="21"/>
                      <w:lang w:val="en-US" w:eastAsia="zh-CN"/>
                    </w:rPr>
                  </w:pPr>
                  <w:r>
                    <w:rPr>
                      <w:rFonts w:hint="eastAsia"/>
                      <w:color w:val="auto"/>
                      <w:kern w:val="0"/>
                      <w:sz w:val="21"/>
                      <w:szCs w:val="21"/>
                      <w:lang w:val="en-US" w:eastAsia="zh-CN"/>
                    </w:rPr>
                    <w:t>水性涂料投料</w:t>
                  </w:r>
                  <w:r>
                    <w:rPr>
                      <w:rFonts w:hint="eastAsia"/>
                      <w:color w:val="auto"/>
                      <w:kern w:val="0"/>
                      <w:sz w:val="21"/>
                      <w:szCs w:val="21"/>
                    </w:rPr>
                    <w:t>过程中产生的</w:t>
                  </w:r>
                  <w:r>
                    <w:rPr>
                      <w:rFonts w:hint="eastAsia"/>
                      <w:color w:val="auto"/>
                      <w:kern w:val="0"/>
                      <w:sz w:val="21"/>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pPr>
                    <w:jc w:val="center"/>
                    <w:rPr>
                      <w:rFonts w:hint="default"/>
                      <w:color w:val="auto"/>
                      <w:kern w:val="0"/>
                      <w:sz w:val="21"/>
                      <w:szCs w:val="21"/>
                      <w:lang w:val="en-US" w:eastAsia="zh-CN"/>
                    </w:rPr>
                  </w:pPr>
                  <w:r>
                    <w:rPr>
                      <w:rFonts w:hint="eastAsia"/>
                      <w:color w:val="auto"/>
                      <w:kern w:val="0"/>
                      <w:sz w:val="21"/>
                      <w:szCs w:val="21"/>
                      <w:lang w:val="en-US" w:eastAsia="zh-CN"/>
                    </w:rPr>
                    <w:t>3</w:t>
                  </w:r>
                </w:p>
              </w:tc>
              <w:tc>
                <w:tcPr>
                  <w:tcW w:w="956" w:type="dxa"/>
                  <w:vAlign w:val="center"/>
                </w:tcPr>
                <w:p>
                  <w:pPr>
                    <w:jc w:val="center"/>
                    <w:rPr>
                      <w:rFonts w:hint="default"/>
                      <w:color w:val="auto"/>
                      <w:kern w:val="0"/>
                      <w:sz w:val="21"/>
                      <w:szCs w:val="21"/>
                      <w:lang w:val="en-US" w:eastAsia="zh-CN"/>
                    </w:rPr>
                  </w:pPr>
                  <w:r>
                    <w:rPr>
                      <w:rFonts w:hint="eastAsia"/>
                      <w:color w:val="auto"/>
                      <w:kern w:val="0"/>
                      <w:sz w:val="21"/>
                      <w:szCs w:val="21"/>
                      <w:lang w:val="en-US" w:eastAsia="zh-CN"/>
                    </w:rPr>
                    <w:t>DA003</w:t>
                  </w:r>
                </w:p>
              </w:tc>
              <w:tc>
                <w:tcPr>
                  <w:tcW w:w="956" w:type="dxa"/>
                  <w:vAlign w:val="center"/>
                </w:tcPr>
                <w:p>
                  <w:pPr>
                    <w:jc w:val="center"/>
                    <w:rPr>
                      <w:rFonts w:hint="default"/>
                      <w:color w:val="auto"/>
                      <w:kern w:val="0"/>
                      <w:sz w:val="21"/>
                      <w:szCs w:val="21"/>
                      <w:lang w:val="en-US" w:eastAsia="zh-CN"/>
                    </w:rPr>
                  </w:pPr>
                  <w:r>
                    <w:rPr>
                      <w:rFonts w:hint="eastAsia"/>
                      <w:color w:val="auto"/>
                      <w:kern w:val="0"/>
                      <w:sz w:val="21"/>
                      <w:szCs w:val="21"/>
                      <w:lang w:val="en-US" w:eastAsia="zh-CN"/>
                    </w:rPr>
                    <w:t>布袋除尘器排气筒</w:t>
                  </w:r>
                </w:p>
              </w:tc>
              <w:tc>
                <w:tcPr>
                  <w:tcW w:w="956" w:type="dxa"/>
                  <w:vAlign w:val="center"/>
                </w:tcPr>
                <w:p>
                  <w:pPr>
                    <w:jc w:val="center"/>
                    <w:rPr>
                      <w:rFonts w:hint="eastAsia"/>
                      <w:color w:val="auto"/>
                      <w:kern w:val="0"/>
                      <w:sz w:val="21"/>
                      <w:szCs w:val="21"/>
                    </w:rPr>
                  </w:pPr>
                  <w:r>
                    <w:rPr>
                      <w:rFonts w:hint="eastAsia"/>
                      <w:color w:val="auto"/>
                      <w:kern w:val="0"/>
                      <w:sz w:val="21"/>
                      <w:szCs w:val="21"/>
                      <w:lang w:val="en-US" w:eastAsia="zh-CN"/>
                    </w:rPr>
                    <w:t>颗粒物</w:t>
                  </w:r>
                </w:p>
              </w:tc>
              <w:tc>
                <w:tcPr>
                  <w:tcW w:w="958" w:type="dxa"/>
                  <w:vAlign w:val="center"/>
                </w:tcPr>
                <w:p>
                  <w:pPr>
                    <w:jc w:val="center"/>
                    <w:rPr>
                      <w:rFonts w:hint="default" w:eastAsia="宋体"/>
                      <w:color w:val="auto"/>
                      <w:kern w:val="0"/>
                      <w:sz w:val="21"/>
                      <w:szCs w:val="21"/>
                      <w:lang w:val="en-US" w:eastAsia="zh-CN"/>
                    </w:rPr>
                  </w:pPr>
                  <w:r>
                    <w:rPr>
                      <w:rFonts w:hint="eastAsia"/>
                      <w:color w:val="auto"/>
                      <w:kern w:val="0"/>
                      <w:sz w:val="21"/>
                      <w:szCs w:val="21"/>
                      <w:lang w:val="en-US" w:eastAsia="zh-CN"/>
                    </w:rPr>
                    <w:t>15</w:t>
                  </w:r>
                </w:p>
              </w:tc>
              <w:tc>
                <w:tcPr>
                  <w:tcW w:w="958" w:type="dxa"/>
                  <w:vAlign w:val="center"/>
                </w:tcPr>
                <w:p>
                  <w:pPr>
                    <w:jc w:val="center"/>
                    <w:rPr>
                      <w:rFonts w:hint="default" w:eastAsia="宋体"/>
                      <w:color w:val="auto"/>
                      <w:kern w:val="0"/>
                      <w:sz w:val="21"/>
                      <w:szCs w:val="21"/>
                      <w:lang w:val="en-US" w:eastAsia="zh-CN"/>
                    </w:rPr>
                  </w:pPr>
                  <w:r>
                    <w:rPr>
                      <w:rFonts w:hint="eastAsia"/>
                      <w:color w:val="auto"/>
                      <w:kern w:val="0"/>
                      <w:sz w:val="21"/>
                      <w:szCs w:val="21"/>
                      <w:lang w:val="en-US" w:eastAsia="zh-CN"/>
                    </w:rPr>
                    <w:t>0.4</w:t>
                  </w:r>
                </w:p>
              </w:tc>
              <w:tc>
                <w:tcPr>
                  <w:tcW w:w="958" w:type="dxa"/>
                  <w:vAlign w:val="center"/>
                </w:tcPr>
                <w:p>
                  <w:pPr>
                    <w:jc w:val="center"/>
                    <w:rPr>
                      <w:rFonts w:hint="default"/>
                      <w:color w:val="auto"/>
                      <w:kern w:val="0"/>
                      <w:sz w:val="21"/>
                      <w:szCs w:val="21"/>
                      <w:lang w:val="en-US" w:eastAsia="zh-CN"/>
                    </w:rPr>
                  </w:pPr>
                  <w:r>
                    <w:rPr>
                      <w:rFonts w:hint="eastAsia"/>
                      <w:color w:val="auto"/>
                      <w:kern w:val="0"/>
                      <w:sz w:val="21"/>
                      <w:szCs w:val="21"/>
                      <w:lang w:val="en-US" w:eastAsia="zh-CN"/>
                    </w:rPr>
                    <w:t>25</w:t>
                  </w:r>
                </w:p>
              </w:tc>
              <w:tc>
                <w:tcPr>
                  <w:tcW w:w="1157" w:type="dxa"/>
                  <w:vAlign w:val="center"/>
                </w:tcPr>
                <w:p>
                  <w:pPr>
                    <w:jc w:val="center"/>
                    <w:rPr>
                      <w:rFonts w:hint="eastAsia"/>
                      <w:color w:val="auto"/>
                      <w:kern w:val="0"/>
                      <w:sz w:val="21"/>
                      <w:szCs w:val="21"/>
                      <w:lang w:val="en-US" w:eastAsia="zh-CN"/>
                    </w:rPr>
                  </w:pPr>
                  <w:r>
                    <w:rPr>
                      <w:rFonts w:hint="eastAsia" w:ascii="Times New Roman" w:hAnsi="Times New Roman" w:eastAsia="宋体" w:cs="Times New Roman"/>
                      <w:color w:val="auto"/>
                      <w:kern w:val="2"/>
                      <w:sz w:val="21"/>
                      <w:szCs w:val="21"/>
                      <w:lang w:val="en-US" w:eastAsia="zh-CN" w:bidi="ar-SA"/>
                    </w:rPr>
                    <w:t>隔热砂浆</w:t>
                  </w:r>
                  <w:r>
                    <w:rPr>
                      <w:rFonts w:hint="eastAsia"/>
                      <w:color w:val="auto"/>
                      <w:kern w:val="0"/>
                      <w:sz w:val="21"/>
                      <w:szCs w:val="21"/>
                      <w:lang w:val="en-US" w:eastAsia="zh-CN"/>
                    </w:rPr>
                    <w:t>投料、搅拌、包装</w:t>
                  </w:r>
                  <w:r>
                    <w:rPr>
                      <w:rFonts w:hint="eastAsia"/>
                      <w:color w:val="auto"/>
                      <w:kern w:val="0"/>
                      <w:sz w:val="21"/>
                      <w:szCs w:val="21"/>
                    </w:rPr>
                    <w:t>过程中产生的</w:t>
                  </w:r>
                  <w:r>
                    <w:rPr>
                      <w:rFonts w:hint="eastAsia"/>
                      <w:color w:val="auto"/>
                      <w:kern w:val="0"/>
                      <w:sz w:val="21"/>
                      <w:szCs w:val="21"/>
                      <w:lang w:val="en-US" w:eastAsia="zh-CN"/>
                    </w:rPr>
                    <w:t>颗粒物</w:t>
                  </w:r>
                </w:p>
              </w:tc>
            </w:tr>
          </w:tbl>
          <w:p>
            <w:pPr>
              <w:autoSpaceDE w:val="0"/>
              <w:autoSpaceDN w:val="0"/>
              <w:spacing w:line="360" w:lineRule="auto"/>
              <w:ind w:firstLine="480" w:firstLineChars="200"/>
              <w:jc w:val="left"/>
              <w:rPr>
                <w:color w:val="auto"/>
              </w:rPr>
            </w:pPr>
            <w:r>
              <w:rPr>
                <w:rFonts w:hint="eastAsia"/>
                <w:color w:val="auto"/>
              </w:rPr>
              <w:t>排气筒高度设置合理性分析：本项目挥发性有机废气</w:t>
            </w:r>
            <w:r>
              <w:rPr>
                <w:rFonts w:hint="eastAsia"/>
                <w:color w:val="auto"/>
                <w:lang w:eastAsia="zh-CN"/>
              </w:rPr>
              <w:t>、</w:t>
            </w:r>
            <w:r>
              <w:rPr>
                <w:rFonts w:hint="eastAsia"/>
                <w:color w:val="auto"/>
                <w:lang w:val="en-US" w:eastAsia="zh-CN"/>
              </w:rPr>
              <w:t>颗粒物废气</w:t>
            </w:r>
            <w:r>
              <w:rPr>
                <w:rFonts w:hint="eastAsia"/>
                <w:color w:val="auto"/>
              </w:rPr>
              <w:t>排放筒高度设置为15m</w:t>
            </w:r>
            <w:r>
              <w:rPr>
                <w:rFonts w:hint="eastAsia"/>
                <w:color w:val="auto"/>
                <w:lang w:eastAsia="zh-CN"/>
              </w:rPr>
              <w:t>。《涂料、油墨及胶粘剂工业大气污染物排放标准》（GB 37824—2019）</w:t>
            </w:r>
            <w:r>
              <w:rPr>
                <w:rFonts w:hint="eastAsia"/>
                <w:color w:val="auto"/>
              </w:rPr>
              <w:t>中</w:t>
            </w:r>
            <w:r>
              <w:rPr>
                <w:rFonts w:hint="eastAsia"/>
                <w:color w:val="auto"/>
                <w:lang w:eastAsia="zh-CN"/>
              </w:rPr>
              <w:t>“</w:t>
            </w:r>
            <w:r>
              <w:rPr>
                <w:rFonts w:hint="eastAsia"/>
                <w:color w:val="auto"/>
                <w:lang w:val="en-US" w:eastAsia="zh-CN"/>
              </w:rPr>
              <w:t>4.7、排气筒高度不低于15m</w:t>
            </w:r>
            <w:r>
              <w:rPr>
                <w:rFonts w:hint="eastAsia"/>
                <w:color w:val="auto"/>
                <w:lang w:eastAsia="zh-CN"/>
              </w:rPr>
              <w:t>”，</w:t>
            </w:r>
            <w:r>
              <w:rPr>
                <w:rFonts w:hint="eastAsia"/>
                <w:color w:val="auto"/>
                <w:lang w:val="en-US" w:eastAsia="zh-CN"/>
              </w:rPr>
              <w:t>因此本项目</w:t>
            </w:r>
            <w:r>
              <w:rPr>
                <w:rFonts w:hint="eastAsia"/>
                <w:color w:val="auto"/>
              </w:rPr>
              <w:t>排气筒设置</w:t>
            </w:r>
            <w:r>
              <w:rPr>
                <w:rFonts w:hint="eastAsia"/>
                <w:color w:val="auto"/>
                <w:lang w:val="en-US" w:eastAsia="zh-CN"/>
              </w:rPr>
              <w:t>高度符合</w:t>
            </w:r>
            <w:r>
              <w:rPr>
                <w:rFonts w:hint="eastAsia"/>
                <w:color w:val="auto"/>
              </w:rPr>
              <w:t>要求。</w:t>
            </w:r>
          </w:p>
          <w:p>
            <w:pPr>
              <w:autoSpaceDE w:val="0"/>
              <w:autoSpaceDN w:val="0"/>
              <w:spacing w:line="360" w:lineRule="auto"/>
              <w:ind w:firstLine="480" w:firstLineChars="200"/>
              <w:jc w:val="left"/>
              <w:rPr>
                <w:color w:val="auto"/>
              </w:rPr>
            </w:pPr>
            <w:r>
              <w:rPr>
                <w:rFonts w:hint="eastAsia"/>
                <w:color w:val="auto"/>
              </w:rPr>
              <w:t>综上所述，本项目有机废气经收集处理后，通过排气筒排放的</w:t>
            </w:r>
            <w:r>
              <w:rPr>
                <w:rFonts w:hint="eastAsia"/>
                <w:color w:val="auto"/>
                <w:lang w:val="en-US" w:eastAsia="zh-CN"/>
              </w:rPr>
              <w:t>非甲烷总烃</w:t>
            </w:r>
            <w:r>
              <w:rPr>
                <w:rFonts w:hint="eastAsia"/>
                <w:color w:val="auto"/>
              </w:rPr>
              <w:t>的排放浓度可达到</w:t>
            </w:r>
            <w:r>
              <w:rPr>
                <w:rFonts w:hint="eastAsia"/>
                <w:color w:val="auto"/>
                <w:lang w:eastAsia="zh-CN"/>
              </w:rPr>
              <w:t>《涂料、油墨及胶粘剂工业大气污染物排放标准》（GB 37824—2019）表1中排放限值要求</w:t>
            </w:r>
            <w:r>
              <w:rPr>
                <w:rFonts w:hint="eastAsia"/>
                <w:color w:val="auto"/>
              </w:rPr>
              <w:t>，且排气筒高度设置合理；无组织排放的VOCs可满足</w:t>
            </w:r>
            <w:r>
              <w:rPr>
                <w:rFonts w:hint="eastAsia"/>
                <w:color w:val="auto"/>
                <w:lang w:eastAsia="zh-CN"/>
              </w:rPr>
              <w:t>《涂料、油墨及胶粘剂工业大气污染物排放标准》（GB 37824—2019）附录B表B1中无组织排放浓度限值要求</w:t>
            </w:r>
            <w:r>
              <w:rPr>
                <w:rFonts w:hint="eastAsia"/>
                <w:color w:val="auto"/>
              </w:rPr>
              <w:t>，因此本项目产生的有机废气经处理后对周围环境影响较小。</w:t>
            </w:r>
          </w:p>
          <w:p>
            <w:pPr>
              <w:pStyle w:val="99"/>
              <w:adjustRightInd w:val="0"/>
              <w:snapToGrid w:val="0"/>
              <w:ind w:firstLine="482" w:firstLineChars="200"/>
              <w:rPr>
                <w:rFonts w:hint="default" w:ascii="Times New Roman" w:hAnsi="Times New Roman" w:cs="Times New Roman"/>
                <w:color w:val="auto"/>
              </w:rPr>
            </w:pPr>
            <w:r>
              <w:rPr>
                <w:rFonts w:hint="default" w:ascii="Times New Roman" w:hAnsi="Times New Roman" w:cs="Times New Roman"/>
                <w:color w:val="auto"/>
              </w:rPr>
              <w:t>监测要求</w:t>
            </w:r>
          </w:p>
          <w:p>
            <w:pPr>
              <w:adjustRightInd w:val="0"/>
              <w:snapToGrid w:val="0"/>
              <w:spacing w:line="360" w:lineRule="auto"/>
              <w:ind w:firstLine="480" w:firstLineChars="200"/>
              <w:rPr>
                <w:rFonts w:hint="eastAsia" w:ascii="Times New Roman" w:hAnsi="Times New Roman" w:eastAsia="宋体" w:cs="Times New Roman"/>
                <w:b w:val="0"/>
                <w:bCs/>
                <w:color w:val="auto"/>
                <w:kern w:val="2"/>
                <w:sz w:val="24"/>
                <w:szCs w:val="24"/>
                <w:lang w:val="en-US" w:eastAsia="zh-CN" w:bidi="ar-SA"/>
              </w:rPr>
            </w:pPr>
            <w:r>
              <w:rPr>
                <w:rFonts w:hint="eastAsia" w:ascii="Times New Roman" w:hAnsi="Times New Roman" w:eastAsia="宋体" w:cs="Times New Roman"/>
                <w:b w:val="0"/>
                <w:bCs/>
                <w:color w:val="auto"/>
                <w:kern w:val="2"/>
                <w:sz w:val="24"/>
                <w:szCs w:val="24"/>
                <w:lang w:val="en-US" w:eastAsia="zh-CN" w:bidi="ar-SA"/>
              </w:rPr>
              <w:t>根据《排污单位自行监测技术指南 总则》（</w:t>
            </w:r>
            <w:r>
              <w:rPr>
                <w:rFonts w:hint="default" w:ascii="Times New Roman" w:hAnsi="Times New Roman" w:eastAsia="宋体" w:cs="Times New Roman"/>
                <w:b w:val="0"/>
                <w:bCs/>
                <w:color w:val="auto"/>
                <w:kern w:val="2"/>
                <w:sz w:val="24"/>
                <w:szCs w:val="24"/>
                <w:lang w:val="en-US" w:eastAsia="zh-CN" w:bidi="ar-SA"/>
              </w:rPr>
              <w:t>HJ819-2017</w:t>
            </w:r>
            <w:r>
              <w:rPr>
                <w:rFonts w:hint="eastAsia" w:ascii="Times New Roman" w:hAnsi="Times New Roman" w:eastAsia="宋体" w:cs="Times New Roman"/>
                <w:b w:val="0"/>
                <w:bCs/>
                <w:color w:val="auto"/>
                <w:kern w:val="2"/>
                <w:sz w:val="24"/>
                <w:szCs w:val="24"/>
                <w:lang w:val="en-US" w:eastAsia="zh-CN" w:bidi="ar-SA"/>
              </w:rPr>
              <w:t>）、《</w:t>
            </w:r>
            <w:r>
              <w:rPr>
                <w:rFonts w:hint="eastAsia" w:cs="Times New Roman"/>
                <w:b w:val="0"/>
                <w:bCs/>
                <w:color w:val="auto"/>
                <w:kern w:val="2"/>
                <w:sz w:val="24"/>
                <w:szCs w:val="24"/>
                <w:lang w:val="en-US" w:eastAsia="zh-CN" w:bidi="ar-SA"/>
              </w:rPr>
              <w:t>排污许可证申请与核发技术规范 涂料、油墨、原料及类似产品制造业</w:t>
            </w:r>
            <w:r>
              <w:rPr>
                <w:rFonts w:hint="eastAsia" w:ascii="Times New Roman" w:hAnsi="Times New Roman" w:eastAsia="宋体" w:cs="Times New Roman"/>
                <w:b w:val="0"/>
                <w:bCs/>
                <w:color w:val="auto"/>
                <w:kern w:val="2"/>
                <w:sz w:val="24"/>
                <w:szCs w:val="24"/>
                <w:lang w:val="en-US" w:eastAsia="zh-CN" w:bidi="ar-SA"/>
              </w:rPr>
              <w:t>》（</w:t>
            </w:r>
            <w:r>
              <w:rPr>
                <w:rFonts w:hint="eastAsia" w:cs="Times New Roman"/>
                <w:b w:val="0"/>
                <w:bCs/>
                <w:color w:val="auto"/>
                <w:kern w:val="2"/>
                <w:sz w:val="24"/>
                <w:szCs w:val="24"/>
                <w:lang w:val="en-US" w:eastAsia="zh-CN" w:bidi="ar-SA"/>
              </w:rPr>
              <w:t>HJ1116</w:t>
            </w:r>
            <w:r>
              <w:rPr>
                <w:rFonts w:hint="eastAsia" w:ascii="Times New Roman" w:hAnsi="Times New Roman" w:eastAsia="宋体" w:cs="Times New Roman"/>
                <w:b w:val="0"/>
                <w:bCs/>
                <w:color w:val="auto"/>
                <w:kern w:val="2"/>
                <w:sz w:val="24"/>
                <w:szCs w:val="24"/>
                <w:lang w:val="en-US" w:eastAsia="zh-CN" w:bidi="ar-SA"/>
              </w:rPr>
              <w:t>-2020），企业在运营期的大气环境监测计划如下：</w:t>
            </w:r>
          </w:p>
          <w:p>
            <w:pPr>
              <w:pStyle w:val="99"/>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表4-</w:t>
            </w:r>
            <w:r>
              <w:rPr>
                <w:rFonts w:hint="eastAsia" w:cs="Times New Roman"/>
                <w:color w:val="auto"/>
                <w:lang w:val="en-US" w:eastAsia="zh-CN"/>
              </w:rPr>
              <w:t>4</w:t>
            </w:r>
            <w:r>
              <w:rPr>
                <w:rFonts w:hint="default" w:ascii="Times New Roman" w:hAnsi="Times New Roman" w:cs="Times New Roman"/>
                <w:color w:val="auto"/>
              </w:rPr>
              <w:t xml:space="preserve"> 废气污染物监测情况一览表</w:t>
            </w:r>
          </w:p>
          <w:tbl>
            <w:tblPr>
              <w:tblStyle w:val="34"/>
              <w:tblW w:w="8123"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76"/>
              <w:gridCol w:w="1438"/>
              <w:gridCol w:w="3478"/>
              <w:gridCol w:w="203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123" w:type="dxa"/>
                  <w:gridSpan w:val="4"/>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176" w:type="dxa"/>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监测点位</w:t>
                  </w:r>
                </w:p>
              </w:tc>
              <w:tc>
                <w:tcPr>
                  <w:tcW w:w="1438" w:type="dxa"/>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监测指标</w:t>
                  </w:r>
                </w:p>
              </w:tc>
              <w:tc>
                <w:tcPr>
                  <w:tcW w:w="3478" w:type="dxa"/>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执行标准</w:t>
                  </w:r>
                </w:p>
              </w:tc>
              <w:tc>
                <w:tcPr>
                  <w:tcW w:w="2031" w:type="dxa"/>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最低监测频次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176" w:type="dxa"/>
                  <w:noWrap w:val="0"/>
                  <w:vAlign w:val="center"/>
                </w:tcPr>
                <w:p>
                  <w:pPr>
                    <w:pStyle w:val="99"/>
                    <w:adjustRightInd w:val="0"/>
                    <w:spacing w:line="240" w:lineRule="auto"/>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DA001</w:t>
                  </w:r>
                </w:p>
              </w:tc>
              <w:tc>
                <w:tcPr>
                  <w:tcW w:w="1438" w:type="dxa"/>
                  <w:noWrap w:val="0"/>
                  <w:vAlign w:val="center"/>
                </w:tcPr>
                <w:p>
                  <w:pPr>
                    <w:pStyle w:val="99"/>
                    <w:adjustRightInd w:val="0"/>
                    <w:spacing w:line="240" w:lineRule="auto"/>
                    <w:jc w:val="center"/>
                    <w:rPr>
                      <w:rFonts w:hint="eastAsia" w:ascii="Times New Roman" w:hAnsi="Times New Roman" w:eastAsia="宋体" w:cs="Times New Roman"/>
                      <w:b w:val="0"/>
                      <w:bCs/>
                      <w:color w:val="auto"/>
                      <w:sz w:val="21"/>
                      <w:szCs w:val="21"/>
                      <w:lang w:eastAsia="zh-CN"/>
                    </w:rPr>
                  </w:pPr>
                  <w:r>
                    <w:rPr>
                      <w:rFonts w:hint="eastAsia" w:ascii="Times New Roman" w:hAnsi="Times New Roman" w:cs="Times New Roman"/>
                      <w:b w:val="0"/>
                      <w:bCs/>
                      <w:color w:val="auto"/>
                      <w:sz w:val="21"/>
                      <w:szCs w:val="21"/>
                      <w:lang w:eastAsia="zh-CN"/>
                    </w:rPr>
                    <w:t>非甲烷总烃</w:t>
                  </w:r>
                </w:p>
              </w:tc>
              <w:tc>
                <w:tcPr>
                  <w:tcW w:w="3478" w:type="dxa"/>
                  <w:vMerge w:val="restart"/>
                  <w:noWrap w:val="0"/>
                  <w:vAlign w:val="center"/>
                </w:tcPr>
                <w:p>
                  <w:pPr>
                    <w:pStyle w:val="99"/>
                    <w:adjustRightInd w:val="0"/>
                    <w:spacing w:line="240" w:lineRule="auto"/>
                    <w:jc w:val="center"/>
                    <w:rPr>
                      <w:rFonts w:hint="eastAsia" w:ascii="Times New Roman" w:hAnsi="Times New Roman" w:eastAsia="宋体" w:cs="Times New Roman"/>
                      <w:b w:val="0"/>
                      <w:bCs/>
                      <w:color w:val="auto"/>
                      <w:sz w:val="21"/>
                      <w:szCs w:val="21"/>
                      <w:lang w:eastAsia="zh-CN"/>
                    </w:rPr>
                  </w:pPr>
                  <w:r>
                    <w:rPr>
                      <w:rFonts w:hint="default" w:ascii="Times New Roman" w:hAnsi="Times New Roman" w:cs="Times New Roman"/>
                      <w:b w:val="0"/>
                      <w:bCs/>
                      <w:color w:val="auto"/>
                      <w:sz w:val="21"/>
                      <w:szCs w:val="21"/>
                    </w:rPr>
                    <w:t>《</w:t>
                  </w:r>
                  <w:r>
                    <w:rPr>
                      <w:rFonts w:hint="eastAsia" w:cs="Times New Roman"/>
                      <w:b w:val="0"/>
                      <w:bCs/>
                      <w:color w:val="auto"/>
                      <w:sz w:val="21"/>
                      <w:szCs w:val="21"/>
                      <w:lang w:eastAsia="zh-CN"/>
                    </w:rPr>
                    <w:t>涂料、油墨及胶粘剂工业大气污染物排放标准</w:t>
                  </w:r>
                  <w:r>
                    <w:rPr>
                      <w:rFonts w:hint="default" w:ascii="Times New Roman" w:hAnsi="Times New Roman" w:cs="Times New Roman"/>
                      <w:b w:val="0"/>
                      <w:bCs/>
                      <w:color w:val="auto"/>
                      <w:sz w:val="21"/>
                      <w:szCs w:val="21"/>
                    </w:rPr>
                    <w:t>》</w:t>
                  </w:r>
                  <w:r>
                    <w:rPr>
                      <w:rFonts w:hint="eastAsia" w:cs="Times New Roman"/>
                      <w:b w:val="0"/>
                      <w:bCs/>
                      <w:color w:val="auto"/>
                      <w:sz w:val="21"/>
                      <w:szCs w:val="21"/>
                      <w:lang w:eastAsia="zh-CN"/>
                    </w:rPr>
                    <w:t>（GB 37824—2019）</w:t>
                  </w:r>
                </w:p>
              </w:tc>
              <w:tc>
                <w:tcPr>
                  <w:tcW w:w="2031" w:type="dxa"/>
                  <w:vMerge w:val="restart"/>
                  <w:noWrap w:val="0"/>
                  <w:vAlign w:val="center"/>
                </w:tcPr>
                <w:p>
                  <w:pPr>
                    <w:pStyle w:val="99"/>
                    <w:adjustRightInd w:val="0"/>
                    <w:spacing w:line="240" w:lineRule="auto"/>
                    <w:jc w:val="center"/>
                    <w:rPr>
                      <w:rFonts w:hint="eastAsia" w:ascii="Times New Roman" w:hAnsi="Times New Roman" w:eastAsia="宋体" w:cs="Times New Roman"/>
                      <w:b w:val="0"/>
                      <w:bCs/>
                      <w:color w:val="auto"/>
                      <w:sz w:val="21"/>
                      <w:szCs w:val="21"/>
                      <w:lang w:eastAsia="zh-CN"/>
                    </w:rPr>
                  </w:pPr>
                  <w:r>
                    <w:rPr>
                      <w:rFonts w:hint="eastAsia" w:ascii="Times New Roman" w:hAnsi="Times New Roman" w:cs="Times New Roman"/>
                      <w:b w:val="0"/>
                      <w:bCs/>
                      <w:color w:val="auto"/>
                      <w:sz w:val="21"/>
                      <w:szCs w:val="21"/>
                      <w:lang w:eastAsia="zh-CN"/>
                    </w:rPr>
                    <w:t>半年监测一次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1" w:hRule="atLeast"/>
              </w:trPr>
              <w:tc>
                <w:tcPr>
                  <w:tcW w:w="1176" w:type="dxa"/>
                  <w:tcBorders>
                    <w:bottom w:val="single" w:color="auto" w:sz="4" w:space="0"/>
                  </w:tcBorders>
                  <w:noWrap w:val="0"/>
                  <w:vAlign w:val="center"/>
                </w:tcPr>
                <w:p>
                  <w:pPr>
                    <w:pStyle w:val="99"/>
                    <w:adjustRightInd w:val="0"/>
                    <w:spacing w:line="240" w:lineRule="auto"/>
                    <w:jc w:val="center"/>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DA00</w:t>
                  </w:r>
                  <w:r>
                    <w:rPr>
                      <w:rFonts w:hint="eastAsia" w:cs="Times New Roman"/>
                      <w:b w:val="0"/>
                      <w:bCs/>
                      <w:color w:val="auto"/>
                      <w:sz w:val="21"/>
                      <w:szCs w:val="21"/>
                      <w:lang w:val="en-US" w:eastAsia="zh-CN"/>
                    </w:rPr>
                    <w:t>2</w:t>
                  </w:r>
                </w:p>
              </w:tc>
              <w:tc>
                <w:tcPr>
                  <w:tcW w:w="1438" w:type="dxa"/>
                  <w:vMerge w:val="restart"/>
                  <w:noWrap w:val="0"/>
                  <w:vAlign w:val="center"/>
                </w:tcPr>
                <w:p>
                  <w:pPr>
                    <w:pStyle w:val="99"/>
                    <w:adjustRightInd w:val="0"/>
                    <w:spacing w:line="240" w:lineRule="auto"/>
                    <w:jc w:val="center"/>
                    <w:rPr>
                      <w:rFonts w:hint="default" w:ascii="Times New Roman" w:hAnsi="Times New Roman" w:cs="Times New Roman"/>
                      <w:b w:val="0"/>
                      <w:bCs/>
                      <w:color w:val="auto"/>
                      <w:sz w:val="21"/>
                      <w:szCs w:val="21"/>
                      <w:lang w:val="en-US" w:eastAsia="zh-CN"/>
                    </w:rPr>
                  </w:pPr>
                  <w:r>
                    <w:rPr>
                      <w:rFonts w:hint="eastAsia" w:cs="Times New Roman"/>
                      <w:b w:val="0"/>
                      <w:bCs/>
                      <w:color w:val="auto"/>
                      <w:sz w:val="21"/>
                      <w:szCs w:val="21"/>
                      <w:lang w:val="en-US" w:eastAsia="zh-CN"/>
                    </w:rPr>
                    <w:t>颗粒物</w:t>
                  </w:r>
                </w:p>
              </w:tc>
              <w:tc>
                <w:tcPr>
                  <w:tcW w:w="3478" w:type="dxa"/>
                  <w:vMerge w:val="continue"/>
                  <w:noWrap w:val="0"/>
                  <w:vAlign w:val="center"/>
                </w:tcPr>
                <w:p>
                  <w:pPr>
                    <w:pStyle w:val="99"/>
                    <w:adjustRightInd w:val="0"/>
                    <w:spacing w:line="240" w:lineRule="auto"/>
                    <w:jc w:val="center"/>
                    <w:rPr>
                      <w:rFonts w:hint="default" w:ascii="Times New Roman" w:hAnsi="Times New Roman" w:cs="Times New Roman"/>
                      <w:b w:val="0"/>
                      <w:bCs/>
                      <w:color w:val="auto"/>
                      <w:sz w:val="21"/>
                      <w:szCs w:val="21"/>
                    </w:rPr>
                  </w:pPr>
                </w:p>
              </w:tc>
              <w:tc>
                <w:tcPr>
                  <w:tcW w:w="2031" w:type="dxa"/>
                  <w:vMerge w:val="continue"/>
                  <w:noWrap w:val="0"/>
                  <w:vAlign w:val="center"/>
                </w:tcPr>
                <w:p>
                  <w:pPr>
                    <w:pStyle w:val="99"/>
                    <w:adjustRightInd w:val="0"/>
                    <w:spacing w:line="240" w:lineRule="auto"/>
                    <w:jc w:val="center"/>
                    <w:rPr>
                      <w:rFonts w:hint="eastAsia" w:ascii="Times New Roman" w:hAnsi="Times New Roman" w:cs="Times New Roman"/>
                      <w:b w:val="0"/>
                      <w:bCs/>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1176" w:type="dxa"/>
                  <w:tcBorders>
                    <w:top w:val="single" w:color="auto" w:sz="4" w:space="0"/>
                  </w:tcBorders>
                  <w:noWrap w:val="0"/>
                  <w:vAlign w:val="center"/>
                </w:tcPr>
                <w:p>
                  <w:pPr>
                    <w:pStyle w:val="99"/>
                    <w:adjustRightInd w:val="0"/>
                    <w:spacing w:line="240" w:lineRule="auto"/>
                    <w:jc w:val="center"/>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DA00</w:t>
                  </w:r>
                  <w:r>
                    <w:rPr>
                      <w:rFonts w:hint="eastAsia" w:cs="Times New Roman"/>
                      <w:b w:val="0"/>
                      <w:bCs/>
                      <w:color w:val="auto"/>
                      <w:sz w:val="21"/>
                      <w:szCs w:val="21"/>
                      <w:lang w:val="en-US" w:eastAsia="zh-CN"/>
                    </w:rPr>
                    <w:t>3</w:t>
                  </w:r>
                </w:p>
              </w:tc>
              <w:tc>
                <w:tcPr>
                  <w:tcW w:w="1438" w:type="dxa"/>
                  <w:vMerge w:val="continue"/>
                  <w:noWrap w:val="0"/>
                  <w:vAlign w:val="center"/>
                </w:tcPr>
                <w:p>
                  <w:pPr>
                    <w:pStyle w:val="99"/>
                    <w:adjustRightInd w:val="0"/>
                    <w:spacing w:line="240" w:lineRule="auto"/>
                    <w:jc w:val="center"/>
                    <w:rPr>
                      <w:rFonts w:hint="eastAsia" w:cs="Times New Roman"/>
                      <w:b w:val="0"/>
                      <w:bCs/>
                      <w:color w:val="auto"/>
                      <w:sz w:val="21"/>
                      <w:szCs w:val="21"/>
                      <w:lang w:val="en-US" w:eastAsia="zh-CN"/>
                    </w:rPr>
                  </w:pPr>
                </w:p>
              </w:tc>
              <w:tc>
                <w:tcPr>
                  <w:tcW w:w="3478" w:type="dxa"/>
                  <w:vMerge w:val="continue"/>
                  <w:noWrap w:val="0"/>
                  <w:vAlign w:val="center"/>
                </w:tcPr>
                <w:p>
                  <w:pPr>
                    <w:pStyle w:val="99"/>
                    <w:adjustRightInd w:val="0"/>
                    <w:spacing w:line="240" w:lineRule="auto"/>
                    <w:jc w:val="center"/>
                    <w:rPr>
                      <w:rFonts w:hint="default" w:ascii="Times New Roman" w:hAnsi="Times New Roman" w:cs="Times New Roman"/>
                      <w:b w:val="0"/>
                      <w:bCs/>
                      <w:color w:val="auto"/>
                      <w:sz w:val="21"/>
                      <w:szCs w:val="21"/>
                    </w:rPr>
                  </w:pPr>
                </w:p>
              </w:tc>
              <w:tc>
                <w:tcPr>
                  <w:tcW w:w="2031" w:type="dxa"/>
                  <w:vMerge w:val="continue"/>
                  <w:noWrap w:val="0"/>
                  <w:vAlign w:val="center"/>
                </w:tcPr>
                <w:p>
                  <w:pPr>
                    <w:pStyle w:val="99"/>
                    <w:adjustRightInd w:val="0"/>
                    <w:spacing w:line="240" w:lineRule="auto"/>
                    <w:jc w:val="center"/>
                    <w:rPr>
                      <w:rFonts w:hint="eastAsia" w:ascii="Times New Roman" w:hAnsi="Times New Roman" w:cs="Times New Roman"/>
                      <w:b w:val="0"/>
                      <w:bCs/>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123" w:type="dxa"/>
                  <w:gridSpan w:val="4"/>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176" w:type="dxa"/>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监测点位</w:t>
                  </w:r>
                </w:p>
              </w:tc>
              <w:tc>
                <w:tcPr>
                  <w:tcW w:w="1438" w:type="dxa"/>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监测指标</w:t>
                  </w:r>
                </w:p>
              </w:tc>
              <w:tc>
                <w:tcPr>
                  <w:tcW w:w="3478" w:type="dxa"/>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执行标准</w:t>
                  </w:r>
                </w:p>
              </w:tc>
              <w:tc>
                <w:tcPr>
                  <w:tcW w:w="2031" w:type="dxa"/>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最低监测频次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176" w:type="dxa"/>
                  <w:noWrap w:val="0"/>
                  <w:vAlign w:val="center"/>
                </w:tcPr>
                <w:p>
                  <w:pPr>
                    <w:pStyle w:val="99"/>
                    <w:adjustRightInd w:val="0"/>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厂界</w:t>
                  </w:r>
                </w:p>
              </w:tc>
              <w:tc>
                <w:tcPr>
                  <w:tcW w:w="1438" w:type="dxa"/>
                  <w:noWrap w:val="0"/>
                  <w:vAlign w:val="center"/>
                </w:tcPr>
                <w:p>
                  <w:pPr>
                    <w:pStyle w:val="99"/>
                    <w:adjustRightInd w:val="0"/>
                    <w:spacing w:line="240" w:lineRule="auto"/>
                    <w:jc w:val="center"/>
                    <w:rPr>
                      <w:rFonts w:hint="eastAsia" w:ascii="Times New Roman" w:hAnsi="Times New Roman" w:eastAsia="宋体" w:cs="Times New Roman"/>
                      <w:b w:val="0"/>
                      <w:bCs/>
                      <w:color w:val="auto"/>
                      <w:sz w:val="21"/>
                      <w:szCs w:val="21"/>
                      <w:lang w:eastAsia="zh-CN"/>
                    </w:rPr>
                  </w:pPr>
                  <w:r>
                    <w:rPr>
                      <w:rFonts w:hint="eastAsia" w:ascii="Times New Roman" w:hAnsi="Times New Roman" w:cs="Times New Roman"/>
                      <w:b w:val="0"/>
                      <w:bCs/>
                      <w:color w:val="auto"/>
                      <w:sz w:val="21"/>
                      <w:szCs w:val="21"/>
                      <w:lang w:eastAsia="zh-CN"/>
                    </w:rPr>
                    <w:t>非甲烷总烃</w:t>
                  </w:r>
                </w:p>
              </w:tc>
              <w:tc>
                <w:tcPr>
                  <w:tcW w:w="3478" w:type="dxa"/>
                  <w:noWrap w:val="0"/>
                  <w:vAlign w:val="center"/>
                </w:tcPr>
                <w:p>
                  <w:pPr>
                    <w:pStyle w:val="99"/>
                    <w:adjustRightInd w:val="0"/>
                    <w:spacing w:line="240" w:lineRule="auto"/>
                    <w:jc w:val="center"/>
                    <w:rPr>
                      <w:rFonts w:hint="eastAsia" w:ascii="Times New Roman" w:hAnsi="Times New Roman" w:eastAsia="宋体" w:cs="Times New Roman"/>
                      <w:b w:val="0"/>
                      <w:bCs/>
                      <w:color w:val="auto"/>
                      <w:sz w:val="21"/>
                      <w:szCs w:val="21"/>
                      <w:lang w:eastAsia="zh-CN"/>
                    </w:rPr>
                  </w:pPr>
                  <w:r>
                    <w:rPr>
                      <w:rFonts w:hint="default" w:ascii="Times New Roman" w:hAnsi="Times New Roman" w:cs="Times New Roman"/>
                      <w:b w:val="0"/>
                      <w:bCs/>
                      <w:color w:val="auto"/>
                      <w:sz w:val="21"/>
                      <w:szCs w:val="21"/>
                    </w:rPr>
                    <w:t>《</w:t>
                  </w:r>
                  <w:r>
                    <w:rPr>
                      <w:rFonts w:hint="eastAsia" w:cs="Times New Roman"/>
                      <w:b w:val="0"/>
                      <w:bCs/>
                      <w:color w:val="auto"/>
                      <w:sz w:val="21"/>
                      <w:szCs w:val="21"/>
                      <w:lang w:eastAsia="zh-CN"/>
                    </w:rPr>
                    <w:t>涂料、油墨及胶粘剂工业大气污染物排放标准</w:t>
                  </w:r>
                  <w:r>
                    <w:rPr>
                      <w:rFonts w:hint="default" w:ascii="Times New Roman" w:hAnsi="Times New Roman" w:cs="Times New Roman"/>
                      <w:b w:val="0"/>
                      <w:bCs/>
                      <w:color w:val="auto"/>
                      <w:sz w:val="21"/>
                      <w:szCs w:val="21"/>
                    </w:rPr>
                    <w:t>》</w:t>
                  </w:r>
                  <w:r>
                    <w:rPr>
                      <w:rFonts w:hint="eastAsia" w:cs="Times New Roman"/>
                      <w:b w:val="0"/>
                      <w:bCs/>
                      <w:color w:val="auto"/>
                      <w:sz w:val="21"/>
                      <w:szCs w:val="21"/>
                      <w:lang w:eastAsia="zh-CN"/>
                    </w:rPr>
                    <w:t>（GB 37824—2019）</w:t>
                  </w:r>
                </w:p>
              </w:tc>
              <w:tc>
                <w:tcPr>
                  <w:tcW w:w="2031" w:type="dxa"/>
                  <w:noWrap w:val="0"/>
                  <w:vAlign w:val="center"/>
                </w:tcPr>
                <w:p>
                  <w:pPr>
                    <w:pStyle w:val="99"/>
                    <w:adjustRightInd w:val="0"/>
                    <w:spacing w:line="240" w:lineRule="auto"/>
                    <w:jc w:val="center"/>
                    <w:rPr>
                      <w:rFonts w:hint="eastAsia" w:ascii="Times New Roman" w:hAnsi="Times New Roman" w:eastAsia="宋体" w:cs="Times New Roman"/>
                      <w:b w:val="0"/>
                      <w:bCs/>
                      <w:color w:val="auto"/>
                      <w:sz w:val="21"/>
                      <w:szCs w:val="21"/>
                      <w:lang w:eastAsia="zh-CN"/>
                    </w:rPr>
                  </w:pPr>
                  <w:r>
                    <w:rPr>
                      <w:rFonts w:hint="eastAsia" w:ascii="Times New Roman" w:hAnsi="Times New Roman" w:cs="Times New Roman"/>
                      <w:b w:val="0"/>
                      <w:bCs/>
                      <w:color w:val="auto"/>
                      <w:sz w:val="21"/>
                      <w:szCs w:val="21"/>
                      <w:lang w:eastAsia="zh-CN"/>
                    </w:rPr>
                    <w:t>半年监测一次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176" w:type="dxa"/>
                  <w:noWrap w:val="0"/>
                  <w:vAlign w:val="center"/>
                </w:tcPr>
                <w:p>
                  <w:pPr>
                    <w:pStyle w:val="99"/>
                    <w:adjustRightInd w:val="0"/>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厂界</w:t>
                  </w:r>
                </w:p>
              </w:tc>
              <w:tc>
                <w:tcPr>
                  <w:tcW w:w="1438" w:type="dxa"/>
                  <w:noWrap w:val="0"/>
                  <w:vAlign w:val="center"/>
                </w:tcPr>
                <w:p>
                  <w:pPr>
                    <w:pStyle w:val="99"/>
                    <w:adjustRightInd w:val="0"/>
                    <w:spacing w:line="240" w:lineRule="auto"/>
                    <w:jc w:val="center"/>
                    <w:rPr>
                      <w:rFonts w:hint="default" w:ascii="Times New Roman" w:hAnsi="Times New Roman" w:cs="Times New Roman"/>
                      <w:b w:val="0"/>
                      <w:bCs/>
                      <w:color w:val="auto"/>
                      <w:sz w:val="21"/>
                      <w:szCs w:val="21"/>
                      <w:lang w:val="en-US" w:eastAsia="zh-CN"/>
                    </w:rPr>
                  </w:pPr>
                  <w:r>
                    <w:rPr>
                      <w:rFonts w:hint="eastAsia" w:cs="Times New Roman"/>
                      <w:b w:val="0"/>
                      <w:bCs/>
                      <w:color w:val="auto"/>
                      <w:sz w:val="21"/>
                      <w:szCs w:val="21"/>
                      <w:lang w:val="en-US" w:eastAsia="zh-CN"/>
                    </w:rPr>
                    <w:t>颗粒物</w:t>
                  </w:r>
                </w:p>
              </w:tc>
              <w:tc>
                <w:tcPr>
                  <w:tcW w:w="3478" w:type="dxa"/>
                  <w:noWrap w:val="0"/>
                  <w:vAlign w:val="center"/>
                </w:tcPr>
                <w:p>
                  <w:pPr>
                    <w:pStyle w:val="99"/>
                    <w:adjustRightInd w:val="0"/>
                    <w:spacing w:line="240" w:lineRule="auto"/>
                    <w:jc w:val="center"/>
                    <w:rPr>
                      <w:rFonts w:hint="eastAsia" w:ascii="Times New Roman" w:hAnsi="Times New Roman" w:eastAsia="宋体" w:cs="Times New Roman"/>
                      <w:b w:val="0"/>
                      <w:bCs/>
                      <w:color w:val="auto"/>
                      <w:sz w:val="21"/>
                      <w:szCs w:val="21"/>
                      <w:lang w:eastAsia="zh-CN"/>
                    </w:rPr>
                  </w:pPr>
                  <w:r>
                    <w:rPr>
                      <w:rFonts w:hint="eastAsia" w:cs="Times New Roman"/>
                      <w:b w:val="0"/>
                      <w:bCs/>
                      <w:color w:val="auto"/>
                      <w:sz w:val="21"/>
                      <w:szCs w:val="21"/>
                      <w:lang w:eastAsia="zh-CN"/>
                    </w:rPr>
                    <w:t>《</w:t>
                  </w:r>
                  <w:r>
                    <w:rPr>
                      <w:rFonts w:hint="eastAsia" w:cs="Times New Roman"/>
                      <w:b w:val="0"/>
                      <w:bCs/>
                      <w:color w:val="auto"/>
                      <w:sz w:val="21"/>
                      <w:szCs w:val="21"/>
                      <w:lang w:val="en-US" w:eastAsia="zh-CN"/>
                    </w:rPr>
                    <w:t>大气污染物综合排放标准</w:t>
                  </w:r>
                  <w:r>
                    <w:rPr>
                      <w:rFonts w:hint="eastAsia" w:cs="Times New Roman"/>
                      <w:b w:val="0"/>
                      <w:bCs/>
                      <w:color w:val="auto"/>
                      <w:sz w:val="21"/>
                      <w:szCs w:val="21"/>
                      <w:lang w:eastAsia="zh-CN"/>
                    </w:rPr>
                    <w:t>》（GB16297-1996）</w:t>
                  </w:r>
                </w:p>
              </w:tc>
              <w:tc>
                <w:tcPr>
                  <w:tcW w:w="2031" w:type="dxa"/>
                  <w:noWrap w:val="0"/>
                  <w:vAlign w:val="center"/>
                </w:tcPr>
                <w:p>
                  <w:pPr>
                    <w:pStyle w:val="99"/>
                    <w:adjustRightInd w:val="0"/>
                    <w:spacing w:line="240" w:lineRule="auto"/>
                    <w:jc w:val="center"/>
                    <w:rPr>
                      <w:rFonts w:hint="eastAsia" w:ascii="Times New Roman" w:hAnsi="Times New Roman" w:cs="Times New Roman"/>
                      <w:b w:val="0"/>
                      <w:bCs/>
                      <w:color w:val="auto"/>
                      <w:sz w:val="21"/>
                      <w:szCs w:val="21"/>
                      <w:lang w:eastAsia="zh-CN"/>
                    </w:rPr>
                  </w:pPr>
                  <w:r>
                    <w:rPr>
                      <w:rFonts w:hint="eastAsia" w:ascii="Times New Roman" w:hAnsi="Times New Roman" w:cs="Times New Roman"/>
                      <w:b w:val="0"/>
                      <w:bCs/>
                      <w:color w:val="auto"/>
                      <w:sz w:val="21"/>
                      <w:szCs w:val="21"/>
                      <w:lang w:eastAsia="zh-CN"/>
                    </w:rPr>
                    <w:t>半年监测一次</w:t>
                  </w:r>
                </w:p>
              </w:tc>
            </w:tr>
          </w:tbl>
          <w:p>
            <w:pPr>
              <w:pStyle w:val="4"/>
              <w:rPr>
                <w:color w:val="auto"/>
              </w:rPr>
            </w:pPr>
            <w:r>
              <w:rPr>
                <w:color w:val="auto"/>
              </w:rPr>
              <w:t>4.2.2地表水环境影响分析</w:t>
            </w:r>
          </w:p>
          <w:p>
            <w:pPr>
              <w:spacing w:line="360" w:lineRule="auto"/>
              <w:ind w:firstLine="480" w:firstLineChars="200"/>
              <w:rPr>
                <w:rFonts w:hint="eastAsia" w:eastAsia="宋体"/>
                <w:color w:val="auto"/>
                <w:lang w:val="en-US" w:eastAsia="zh-CN"/>
              </w:rPr>
            </w:pPr>
            <w:r>
              <w:rPr>
                <w:rFonts w:hint="eastAsia"/>
                <w:color w:val="auto"/>
              </w:rPr>
              <w:t>项目生产用水主要为</w:t>
            </w:r>
            <w:r>
              <w:rPr>
                <w:rFonts w:hint="eastAsia"/>
                <w:color w:val="auto"/>
                <w:lang w:val="en-US" w:eastAsia="zh-CN"/>
              </w:rPr>
              <w:t>产品用水产品用水，产品用水使用去离子水。</w:t>
            </w:r>
          </w:p>
          <w:p>
            <w:pPr>
              <w:spacing w:line="360" w:lineRule="auto"/>
              <w:ind w:firstLine="480" w:firstLineChars="200"/>
              <w:rPr>
                <w:rFonts w:hint="eastAsia" w:eastAsia="宋体"/>
                <w:color w:val="auto"/>
                <w:highlight w:val="none"/>
                <w:lang w:val="en-US" w:eastAsia="zh-CN"/>
              </w:rPr>
            </w:pPr>
            <w:r>
              <w:rPr>
                <w:rFonts w:hint="eastAsia"/>
                <w:color w:val="auto"/>
                <w:lang w:val="en-US" w:eastAsia="zh-CN"/>
              </w:rPr>
              <w:t>本项目产品水性隔热防火材料需要用水，用水量为35</w:t>
            </w:r>
            <w:r>
              <w:rPr>
                <w:rFonts w:hint="eastAsia"/>
                <w:color w:val="auto"/>
                <w:lang w:eastAsia="zh-CN"/>
              </w:rPr>
              <w:t>m</w:t>
            </w:r>
            <w:r>
              <w:rPr>
                <w:rFonts w:hint="eastAsia"/>
                <w:color w:val="auto"/>
                <w:vertAlign w:val="superscript"/>
              </w:rPr>
              <w:t>3</w:t>
            </w:r>
            <w:r>
              <w:rPr>
                <w:rFonts w:hint="eastAsia"/>
                <w:color w:val="auto"/>
              </w:rPr>
              <w:t>/a</w:t>
            </w:r>
            <w:r>
              <w:rPr>
                <w:rFonts w:hint="eastAsia"/>
                <w:color w:val="auto"/>
                <w:highlight w:val="none"/>
              </w:rPr>
              <w:t>，</w:t>
            </w:r>
            <w:r>
              <w:rPr>
                <w:rFonts w:hint="eastAsia"/>
                <w:color w:val="auto"/>
                <w:highlight w:val="none"/>
                <w:lang w:val="en-US" w:eastAsia="zh-CN"/>
              </w:rPr>
              <w:t>废水产生量为0.271</w:t>
            </w:r>
            <w:r>
              <w:rPr>
                <w:rFonts w:hint="eastAsia"/>
                <w:color w:val="auto"/>
                <w:highlight w:val="none"/>
              </w:rPr>
              <w:t>m</w:t>
            </w:r>
            <w:r>
              <w:rPr>
                <w:rFonts w:hint="eastAsia"/>
                <w:color w:val="auto"/>
                <w:highlight w:val="none"/>
                <w:vertAlign w:val="superscript"/>
              </w:rPr>
              <w:t>3</w:t>
            </w:r>
            <w:r>
              <w:rPr>
                <w:rFonts w:hint="eastAsia"/>
                <w:color w:val="auto"/>
                <w:highlight w:val="none"/>
              </w:rPr>
              <w:t>/</w:t>
            </w:r>
            <w:r>
              <w:rPr>
                <w:rFonts w:hint="eastAsia"/>
                <w:color w:val="auto"/>
                <w:highlight w:val="none"/>
                <w:lang w:val="en-US" w:eastAsia="zh-CN"/>
              </w:rPr>
              <w:t>吨产品</w:t>
            </w:r>
            <w:r>
              <w:rPr>
                <w:rFonts w:hint="eastAsia"/>
                <w:color w:val="auto"/>
                <w:highlight w:val="none"/>
                <w:lang w:eastAsia="zh-CN"/>
              </w:rPr>
              <w:t>，</w:t>
            </w:r>
            <w:r>
              <w:rPr>
                <w:rFonts w:hint="eastAsia"/>
                <w:color w:val="auto"/>
                <w:highlight w:val="none"/>
                <w:lang w:val="en-US" w:eastAsia="zh-CN"/>
              </w:rPr>
              <w:t>则去离子水生产过程新鲜</w:t>
            </w:r>
            <w:r>
              <w:rPr>
                <w:rFonts w:hint="eastAsia"/>
                <w:color w:val="auto"/>
                <w:highlight w:val="none"/>
              </w:rPr>
              <w:t>水量约为</w:t>
            </w:r>
            <w:r>
              <w:rPr>
                <w:rFonts w:hint="eastAsia"/>
                <w:color w:val="auto"/>
                <w:highlight w:val="none"/>
                <w:lang w:val="en-US" w:eastAsia="zh-CN"/>
              </w:rPr>
              <w:t>44.5</w:t>
            </w:r>
            <w:r>
              <w:rPr>
                <w:rFonts w:hint="eastAsia"/>
                <w:color w:val="auto"/>
                <w:highlight w:val="none"/>
              </w:rPr>
              <w:t>m</w:t>
            </w:r>
            <w:r>
              <w:rPr>
                <w:rFonts w:hint="eastAsia"/>
                <w:color w:val="auto"/>
                <w:highlight w:val="none"/>
                <w:vertAlign w:val="superscript"/>
              </w:rPr>
              <w:t>3</w:t>
            </w:r>
            <w:r>
              <w:rPr>
                <w:rFonts w:hint="eastAsia"/>
                <w:color w:val="auto"/>
                <w:highlight w:val="none"/>
              </w:rPr>
              <w:t>/</w:t>
            </w:r>
            <w:r>
              <w:rPr>
                <w:rFonts w:hint="eastAsia"/>
                <w:color w:val="auto"/>
                <w:highlight w:val="none"/>
                <w:lang w:val="en-US" w:eastAsia="zh-CN"/>
              </w:rPr>
              <w:t>a。本项目水性环氧乳液生产过程中需要使用去离子水，水性环氧乳液生产用水量为480t/a，废水产生量为0.271</w:t>
            </w:r>
            <w:r>
              <w:rPr>
                <w:rFonts w:hint="eastAsia"/>
                <w:color w:val="auto"/>
                <w:highlight w:val="none"/>
              </w:rPr>
              <w:t>m</w:t>
            </w:r>
            <w:r>
              <w:rPr>
                <w:rFonts w:hint="eastAsia"/>
                <w:color w:val="auto"/>
                <w:highlight w:val="none"/>
                <w:vertAlign w:val="superscript"/>
              </w:rPr>
              <w:t>3</w:t>
            </w:r>
            <w:r>
              <w:rPr>
                <w:rFonts w:hint="eastAsia"/>
                <w:color w:val="auto"/>
                <w:highlight w:val="none"/>
              </w:rPr>
              <w:t>/</w:t>
            </w:r>
            <w:r>
              <w:rPr>
                <w:rFonts w:hint="eastAsia"/>
                <w:color w:val="auto"/>
                <w:highlight w:val="none"/>
                <w:lang w:val="en-US" w:eastAsia="zh-CN"/>
              </w:rPr>
              <w:t>吨产品</w:t>
            </w:r>
            <w:r>
              <w:rPr>
                <w:rFonts w:hint="eastAsia"/>
                <w:color w:val="auto"/>
                <w:highlight w:val="none"/>
                <w:lang w:eastAsia="zh-CN"/>
              </w:rPr>
              <w:t>，</w:t>
            </w:r>
            <w:r>
              <w:rPr>
                <w:rFonts w:hint="eastAsia"/>
                <w:color w:val="auto"/>
                <w:highlight w:val="none"/>
                <w:lang w:val="en-US" w:eastAsia="zh-CN"/>
              </w:rPr>
              <w:t>则去离子水生产过程新鲜</w:t>
            </w:r>
            <w:r>
              <w:rPr>
                <w:rFonts w:hint="eastAsia"/>
                <w:color w:val="auto"/>
                <w:highlight w:val="none"/>
              </w:rPr>
              <w:t>水量约为</w:t>
            </w:r>
            <w:r>
              <w:rPr>
                <w:rFonts w:hint="eastAsia"/>
                <w:color w:val="auto"/>
                <w:highlight w:val="none"/>
                <w:lang w:val="en-US" w:eastAsia="zh-CN"/>
              </w:rPr>
              <w:t>610m</w:t>
            </w:r>
            <w:r>
              <w:rPr>
                <w:rFonts w:hint="eastAsia"/>
                <w:color w:val="auto"/>
                <w:highlight w:val="none"/>
                <w:vertAlign w:val="superscript"/>
              </w:rPr>
              <w:t>3</w:t>
            </w:r>
            <w:r>
              <w:rPr>
                <w:rFonts w:hint="eastAsia"/>
                <w:color w:val="auto"/>
                <w:highlight w:val="none"/>
              </w:rPr>
              <w:t>/</w:t>
            </w:r>
            <w:r>
              <w:rPr>
                <w:rFonts w:hint="eastAsia"/>
                <w:color w:val="auto"/>
                <w:highlight w:val="none"/>
                <w:lang w:val="en-US" w:eastAsia="zh-CN"/>
              </w:rPr>
              <w:t>a</w:t>
            </w:r>
            <w:r>
              <w:rPr>
                <w:rFonts w:hint="eastAsia"/>
                <w:color w:val="auto"/>
                <w:highlight w:val="none"/>
              </w:rPr>
              <w:t>。</w:t>
            </w:r>
          </w:p>
          <w:p>
            <w:pPr>
              <w:spacing w:line="360" w:lineRule="auto"/>
              <w:ind w:firstLine="480" w:firstLineChars="200"/>
              <w:rPr>
                <w:rFonts w:hint="default"/>
                <w:color w:val="auto"/>
                <w:highlight w:val="none"/>
                <w:lang w:val="en-US"/>
              </w:rPr>
            </w:pPr>
            <w:r>
              <w:rPr>
                <w:rFonts w:hint="eastAsia"/>
                <w:color w:val="auto"/>
                <w:highlight w:val="none"/>
                <w:lang w:val="en-US" w:eastAsia="zh-CN"/>
              </w:rPr>
              <w:t>本项目生产过程中新鲜</w:t>
            </w:r>
            <w:r>
              <w:rPr>
                <w:rFonts w:hint="eastAsia"/>
                <w:color w:val="auto"/>
                <w:highlight w:val="none"/>
              </w:rPr>
              <w:t>水</w:t>
            </w:r>
            <w:r>
              <w:rPr>
                <w:rFonts w:hint="eastAsia"/>
                <w:color w:val="auto"/>
                <w:highlight w:val="none"/>
                <w:lang w:val="en-US" w:eastAsia="zh-CN"/>
              </w:rPr>
              <w:t>用量为654.5m</w:t>
            </w:r>
            <w:r>
              <w:rPr>
                <w:rFonts w:hint="eastAsia"/>
                <w:color w:val="auto"/>
                <w:highlight w:val="none"/>
                <w:vertAlign w:val="superscript"/>
              </w:rPr>
              <w:t>3</w:t>
            </w:r>
            <w:r>
              <w:rPr>
                <w:rFonts w:hint="eastAsia"/>
                <w:color w:val="auto"/>
                <w:highlight w:val="none"/>
              </w:rPr>
              <w:t>/</w:t>
            </w:r>
            <w:r>
              <w:rPr>
                <w:rFonts w:hint="eastAsia"/>
                <w:color w:val="auto"/>
                <w:highlight w:val="none"/>
                <w:lang w:val="en-US" w:eastAsia="zh-CN"/>
              </w:rPr>
              <w:t>a</w:t>
            </w:r>
            <w:r>
              <w:rPr>
                <w:rFonts w:hint="eastAsia"/>
                <w:color w:val="auto"/>
                <w:highlight w:val="none"/>
                <w:lang w:eastAsia="zh-CN"/>
              </w:rPr>
              <w:t>，</w:t>
            </w:r>
            <w:r>
              <w:rPr>
                <w:rFonts w:hint="eastAsia"/>
                <w:color w:val="auto"/>
                <w:highlight w:val="none"/>
                <w:lang w:val="en-US" w:eastAsia="zh-CN"/>
              </w:rPr>
              <w:t>其中645</w:t>
            </w:r>
            <w:r>
              <w:rPr>
                <w:rFonts w:hint="eastAsia"/>
                <w:color w:val="auto"/>
                <w:highlight w:val="none"/>
              </w:rPr>
              <w:t>m</w:t>
            </w:r>
            <w:r>
              <w:rPr>
                <w:rFonts w:hint="eastAsia"/>
                <w:color w:val="auto"/>
                <w:highlight w:val="none"/>
                <w:vertAlign w:val="superscript"/>
              </w:rPr>
              <w:t>3</w:t>
            </w:r>
            <w:r>
              <w:rPr>
                <w:rFonts w:hint="eastAsia"/>
                <w:color w:val="auto"/>
                <w:highlight w:val="none"/>
                <w:lang w:val="en-US" w:eastAsia="zh-CN"/>
              </w:rPr>
              <w:t>进入产品中。去离子水生产过程产生高浓废水，主要污染物为COD及硬度，该部分废水用于邵东东创鞋底厂的绿化，综合利用，无生产废水外排。邵东东创鞋底厂厂区及周边有约300m</w:t>
            </w:r>
            <w:r>
              <w:rPr>
                <w:rFonts w:hint="eastAsia"/>
                <w:color w:val="auto"/>
                <w:highlight w:val="none"/>
                <w:vertAlign w:val="superscript"/>
                <w:lang w:val="en-US" w:eastAsia="zh-CN"/>
              </w:rPr>
              <w:t>2</w:t>
            </w:r>
            <w:r>
              <w:rPr>
                <w:rFonts w:hint="eastAsia"/>
                <w:color w:val="auto"/>
                <w:highlight w:val="none"/>
                <w:lang w:val="en-US" w:eastAsia="zh-CN"/>
              </w:rPr>
              <w:t>的绿地，根据《湖南省用水定额》（DB43T388-2020），绿地用水定额为60L/m</w:t>
            </w:r>
            <w:r>
              <w:rPr>
                <w:rFonts w:hint="eastAsia"/>
                <w:color w:val="auto"/>
                <w:highlight w:val="none"/>
                <w:vertAlign w:val="superscript"/>
                <w:lang w:val="en-US" w:eastAsia="zh-CN"/>
              </w:rPr>
              <w:t>2</w:t>
            </w:r>
            <w:r>
              <w:rPr>
                <w:rFonts w:hint="eastAsia"/>
                <w:color w:val="auto"/>
                <w:highlight w:val="none"/>
                <w:lang w:val="en-US" w:eastAsia="zh-CN"/>
              </w:rPr>
              <w:t>.月，全年绿化用水量为216m</w:t>
            </w:r>
            <w:r>
              <w:rPr>
                <w:rFonts w:hint="eastAsia"/>
                <w:color w:val="auto"/>
                <w:highlight w:val="none"/>
                <w:vertAlign w:val="superscript"/>
                <w:lang w:val="en-US" w:eastAsia="zh-CN"/>
              </w:rPr>
              <w:t>3</w:t>
            </w:r>
            <w:r>
              <w:rPr>
                <w:rFonts w:hint="eastAsia"/>
                <w:color w:val="auto"/>
                <w:highlight w:val="none"/>
                <w:lang w:val="en-US" w:eastAsia="zh-CN"/>
              </w:rPr>
              <w:t>，因此本项目废水用于邵东东创鞋底厂的绿化可行。</w:t>
            </w:r>
          </w:p>
          <w:p>
            <w:pPr>
              <w:spacing w:line="360" w:lineRule="auto"/>
              <w:ind w:firstLine="480" w:firstLineChars="200"/>
              <w:rPr>
                <w:color w:val="auto"/>
              </w:rPr>
            </w:pPr>
            <w:r>
              <w:rPr>
                <w:color w:val="auto"/>
              </w:rPr>
              <w:t>根据《环境影响评价技术导则 地表水环境》（HJ 2.3</w:t>
            </w:r>
            <w:r>
              <w:rPr>
                <w:rFonts w:hint="eastAsia"/>
                <w:color w:val="auto"/>
                <w:lang w:val="en-US" w:eastAsia="zh-CN"/>
              </w:rPr>
              <w:t>-</w:t>
            </w:r>
            <w:r>
              <w:rPr>
                <w:color w:val="auto"/>
              </w:rPr>
              <w:t>2018）中的相关规定，本项目运营期间产生无生产废水外排，生活污水经化粪池处理后排入园区管网，进入</w:t>
            </w:r>
            <w:r>
              <w:rPr>
                <w:rFonts w:hint="eastAsia"/>
                <w:color w:val="auto"/>
                <w:lang w:eastAsia="zh-CN"/>
              </w:rPr>
              <w:t>邵东市美桥城市污水处理厂</w:t>
            </w:r>
            <w:r>
              <w:rPr>
                <w:color w:val="auto"/>
              </w:rPr>
              <w:t>进一步处理。所以评价等级为三级B。因此主要分析生活污水排入</w:t>
            </w:r>
            <w:r>
              <w:rPr>
                <w:rFonts w:hint="eastAsia"/>
                <w:color w:val="auto"/>
                <w:lang w:eastAsia="zh-CN"/>
              </w:rPr>
              <w:t>邵东市美桥城市污水处理厂</w:t>
            </w:r>
            <w:r>
              <w:rPr>
                <w:color w:val="auto"/>
              </w:rPr>
              <w:t>进一步处理的可行性。</w:t>
            </w:r>
          </w:p>
          <w:p>
            <w:pPr>
              <w:spacing w:line="360" w:lineRule="auto"/>
              <w:ind w:firstLine="480" w:firstLineChars="200"/>
              <w:rPr>
                <w:color w:val="auto"/>
              </w:rPr>
            </w:pPr>
            <w:r>
              <w:rPr>
                <w:color w:val="auto"/>
              </w:rPr>
              <w:t>本次项目</w:t>
            </w:r>
            <w:r>
              <w:rPr>
                <w:rFonts w:hint="eastAsia"/>
                <w:color w:val="auto"/>
              </w:rPr>
              <w:t>员工人数为</w:t>
            </w:r>
            <w:r>
              <w:rPr>
                <w:rFonts w:hint="eastAsia"/>
                <w:color w:val="auto"/>
                <w:lang w:val="en-US" w:eastAsia="zh-CN"/>
              </w:rPr>
              <w:t>20人</w:t>
            </w:r>
            <w:r>
              <w:rPr>
                <w:color w:val="auto"/>
              </w:rPr>
              <w:t>，用水量为</w:t>
            </w:r>
            <w:r>
              <w:rPr>
                <w:rFonts w:hint="eastAsia"/>
                <w:color w:val="auto"/>
                <w:lang w:eastAsia="zh-CN"/>
              </w:rPr>
              <w:t>760m</w:t>
            </w:r>
            <w:r>
              <w:rPr>
                <w:color w:val="auto"/>
                <w:vertAlign w:val="superscript"/>
              </w:rPr>
              <w:t>3</w:t>
            </w:r>
            <w:r>
              <w:rPr>
                <w:color w:val="auto"/>
              </w:rPr>
              <w:t>/</w:t>
            </w:r>
            <w:r>
              <w:rPr>
                <w:rFonts w:hint="eastAsia"/>
                <w:color w:val="auto"/>
              </w:rPr>
              <w:t>a，</w:t>
            </w:r>
            <w:r>
              <w:rPr>
                <w:color w:val="auto"/>
              </w:rPr>
              <w:t>生活污水量</w:t>
            </w:r>
            <w:r>
              <w:rPr>
                <w:rFonts w:hint="eastAsia"/>
                <w:color w:val="auto"/>
                <w:lang w:eastAsia="zh-CN"/>
              </w:rPr>
              <w:t>608</w:t>
            </w:r>
            <w:r>
              <w:rPr>
                <w:color w:val="auto"/>
              </w:rPr>
              <w:t>m</w:t>
            </w:r>
            <w:r>
              <w:rPr>
                <w:color w:val="auto"/>
                <w:vertAlign w:val="superscript"/>
              </w:rPr>
              <w:t>3</w:t>
            </w:r>
            <w:r>
              <w:rPr>
                <w:color w:val="auto"/>
              </w:rPr>
              <w:t>/a。</w:t>
            </w:r>
          </w:p>
          <w:p>
            <w:pPr>
              <w:tabs>
                <w:tab w:val="left" w:pos="0"/>
              </w:tabs>
              <w:spacing w:before="60" w:beforeLines="25" w:after="60" w:afterLines="25"/>
              <w:jc w:val="center"/>
              <w:rPr>
                <w:color w:val="auto"/>
              </w:rPr>
            </w:pPr>
            <w:r>
              <w:rPr>
                <w:color w:val="auto"/>
              </w:rPr>
              <w:t>表4-</w:t>
            </w:r>
            <w:r>
              <w:rPr>
                <w:rFonts w:hint="eastAsia"/>
                <w:color w:val="auto"/>
                <w:lang w:val="en-US" w:eastAsia="zh-CN"/>
              </w:rPr>
              <w:t>5</w:t>
            </w:r>
            <w:r>
              <w:rPr>
                <w:color w:val="auto"/>
              </w:rPr>
              <w:t xml:space="preserve">  拟建项目污水产生及排放情况一览表</w:t>
            </w:r>
          </w:p>
          <w:tbl>
            <w:tblPr>
              <w:tblStyle w:val="34"/>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950"/>
              <w:gridCol w:w="1360"/>
              <w:gridCol w:w="820"/>
              <w:gridCol w:w="866"/>
              <w:gridCol w:w="741"/>
              <w:gridCol w:w="741"/>
              <w:gridCol w:w="74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3310" w:type="dxa"/>
                  <w:gridSpan w:val="2"/>
                  <w:vAlign w:val="center"/>
                </w:tcPr>
                <w:p>
                  <w:pPr>
                    <w:widowControl/>
                    <w:jc w:val="center"/>
                    <w:rPr>
                      <w:color w:val="auto"/>
                      <w:sz w:val="21"/>
                      <w:szCs w:val="21"/>
                    </w:rPr>
                  </w:pPr>
                  <w:r>
                    <w:rPr>
                      <w:color w:val="auto"/>
                      <w:sz w:val="21"/>
                      <w:szCs w:val="21"/>
                    </w:rPr>
                    <w:t>废水性质</w:t>
                  </w:r>
                </w:p>
              </w:tc>
              <w:tc>
                <w:tcPr>
                  <w:tcW w:w="820" w:type="dxa"/>
                  <w:vAlign w:val="center"/>
                </w:tcPr>
                <w:p>
                  <w:pPr>
                    <w:widowControl/>
                    <w:jc w:val="center"/>
                    <w:rPr>
                      <w:color w:val="auto"/>
                      <w:sz w:val="21"/>
                      <w:szCs w:val="21"/>
                    </w:rPr>
                  </w:pPr>
                  <w:r>
                    <w:rPr>
                      <w:color w:val="auto"/>
                      <w:sz w:val="21"/>
                      <w:szCs w:val="21"/>
                    </w:rPr>
                    <w:t>废水量（t/a）</w:t>
                  </w:r>
                </w:p>
              </w:tc>
              <w:tc>
                <w:tcPr>
                  <w:tcW w:w="866" w:type="dxa"/>
                  <w:vAlign w:val="center"/>
                </w:tcPr>
                <w:p>
                  <w:pPr>
                    <w:widowControl/>
                    <w:jc w:val="center"/>
                    <w:rPr>
                      <w:color w:val="auto"/>
                      <w:sz w:val="21"/>
                      <w:szCs w:val="21"/>
                    </w:rPr>
                  </w:pPr>
                  <w:r>
                    <w:rPr>
                      <w:color w:val="auto"/>
                      <w:sz w:val="21"/>
                      <w:szCs w:val="21"/>
                    </w:rPr>
                    <w:t>COD</w:t>
                  </w:r>
                </w:p>
              </w:tc>
              <w:tc>
                <w:tcPr>
                  <w:tcW w:w="741" w:type="dxa"/>
                  <w:vAlign w:val="center"/>
                </w:tcPr>
                <w:p>
                  <w:pPr>
                    <w:widowControl/>
                    <w:jc w:val="center"/>
                    <w:rPr>
                      <w:color w:val="auto"/>
                      <w:sz w:val="21"/>
                      <w:szCs w:val="21"/>
                    </w:rPr>
                  </w:pPr>
                  <w:r>
                    <w:rPr>
                      <w:color w:val="auto"/>
                      <w:sz w:val="21"/>
                      <w:szCs w:val="21"/>
                    </w:rPr>
                    <w:t>BOD</w:t>
                  </w:r>
                </w:p>
              </w:tc>
              <w:tc>
                <w:tcPr>
                  <w:tcW w:w="741" w:type="dxa"/>
                  <w:vAlign w:val="center"/>
                </w:tcPr>
                <w:p>
                  <w:pPr>
                    <w:widowControl/>
                    <w:jc w:val="center"/>
                    <w:rPr>
                      <w:color w:val="auto"/>
                      <w:sz w:val="21"/>
                      <w:szCs w:val="21"/>
                    </w:rPr>
                  </w:pPr>
                  <w:r>
                    <w:rPr>
                      <w:color w:val="auto"/>
                      <w:sz w:val="21"/>
                      <w:szCs w:val="21"/>
                    </w:rPr>
                    <w:t>SS</w:t>
                  </w:r>
                </w:p>
              </w:tc>
              <w:tc>
                <w:tcPr>
                  <w:tcW w:w="740" w:type="dxa"/>
                  <w:vAlign w:val="center"/>
                </w:tcPr>
                <w:p>
                  <w:pPr>
                    <w:widowControl/>
                    <w:jc w:val="center"/>
                    <w:rPr>
                      <w:color w:val="auto"/>
                      <w:sz w:val="21"/>
                      <w:szCs w:val="21"/>
                    </w:rPr>
                  </w:pPr>
                  <w:r>
                    <w:rPr>
                      <w:color w:val="auto"/>
                      <w:sz w:val="21"/>
                      <w:szCs w:val="21"/>
                    </w:rPr>
                    <w:t>氨氮</w:t>
                  </w:r>
                </w:p>
              </w:tc>
              <w:tc>
                <w:tcPr>
                  <w:tcW w:w="740" w:type="dxa"/>
                  <w:vAlign w:val="center"/>
                </w:tcPr>
                <w:p>
                  <w:pPr>
                    <w:widowControl/>
                    <w:jc w:val="center"/>
                    <w:rPr>
                      <w:color w:val="auto"/>
                      <w:sz w:val="21"/>
                      <w:szCs w:val="21"/>
                    </w:rPr>
                  </w:pPr>
                  <w:r>
                    <w:rPr>
                      <w:color w:val="auto"/>
                      <w:sz w:val="21"/>
                      <w:szCs w:val="21"/>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950" w:type="dxa"/>
                  <w:vMerge w:val="restart"/>
                  <w:tcBorders>
                    <w:right w:val="single" w:color="auto" w:sz="2" w:space="0"/>
                  </w:tcBorders>
                  <w:vAlign w:val="center"/>
                </w:tcPr>
                <w:p>
                  <w:pPr>
                    <w:widowControl/>
                    <w:jc w:val="center"/>
                    <w:rPr>
                      <w:color w:val="auto"/>
                      <w:sz w:val="21"/>
                      <w:szCs w:val="21"/>
                    </w:rPr>
                  </w:pPr>
                  <w:r>
                    <w:rPr>
                      <w:color w:val="auto"/>
                      <w:sz w:val="21"/>
                      <w:szCs w:val="21"/>
                    </w:rPr>
                    <w:t>生活污水</w:t>
                  </w:r>
                </w:p>
              </w:tc>
              <w:tc>
                <w:tcPr>
                  <w:tcW w:w="1360" w:type="dxa"/>
                  <w:tcBorders>
                    <w:left w:val="single" w:color="auto" w:sz="2" w:space="0"/>
                  </w:tcBorders>
                  <w:vAlign w:val="center"/>
                </w:tcPr>
                <w:p>
                  <w:pPr>
                    <w:jc w:val="center"/>
                    <w:rPr>
                      <w:color w:val="auto"/>
                      <w:sz w:val="21"/>
                      <w:szCs w:val="21"/>
                    </w:rPr>
                  </w:pPr>
                  <w:r>
                    <w:rPr>
                      <w:color w:val="auto"/>
                      <w:sz w:val="21"/>
                      <w:szCs w:val="21"/>
                    </w:rPr>
                    <w:t>产生浓度(mg/L)</w:t>
                  </w:r>
                </w:p>
              </w:tc>
              <w:tc>
                <w:tcPr>
                  <w:tcW w:w="820" w:type="dxa"/>
                  <w:vMerge w:val="restart"/>
                  <w:vAlign w:val="center"/>
                </w:tcPr>
                <w:p>
                  <w:pPr>
                    <w:widowControl/>
                    <w:jc w:val="center"/>
                    <w:textAlignment w:val="center"/>
                    <w:rPr>
                      <w:rFonts w:hint="eastAsia" w:eastAsia="宋体"/>
                      <w:color w:val="auto"/>
                      <w:sz w:val="21"/>
                      <w:szCs w:val="21"/>
                      <w:lang w:eastAsia="zh-CN"/>
                    </w:rPr>
                  </w:pPr>
                  <w:r>
                    <w:rPr>
                      <w:rFonts w:hint="eastAsia"/>
                      <w:color w:val="auto"/>
                      <w:sz w:val="21"/>
                      <w:szCs w:val="21"/>
                      <w:lang w:eastAsia="zh-CN"/>
                    </w:rPr>
                    <w:t>608</w:t>
                  </w:r>
                </w:p>
              </w:tc>
              <w:tc>
                <w:tcPr>
                  <w:tcW w:w="866"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741" w:type="dxa"/>
                  <w:vAlign w:val="center"/>
                </w:tcPr>
                <w:p>
                  <w:pPr>
                    <w:keepNext w:val="0"/>
                    <w:keepLines w:val="0"/>
                    <w:widowControl/>
                    <w:suppressLineNumbers w:val="0"/>
                    <w:jc w:val="center"/>
                    <w:textAlignment w:val="center"/>
                    <w:rPr>
                      <w:rFonts w:hint="default"/>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180</w:t>
                  </w:r>
                </w:p>
              </w:tc>
              <w:tc>
                <w:tcPr>
                  <w:tcW w:w="741"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740"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30</w:t>
                  </w:r>
                </w:p>
              </w:tc>
              <w:tc>
                <w:tcPr>
                  <w:tcW w:w="740"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950" w:type="dxa"/>
                  <w:vMerge w:val="continue"/>
                  <w:tcBorders>
                    <w:right w:val="single" w:color="auto" w:sz="2" w:space="0"/>
                  </w:tcBorders>
                  <w:vAlign w:val="center"/>
                </w:tcPr>
                <w:p>
                  <w:pPr>
                    <w:widowControl/>
                    <w:jc w:val="center"/>
                    <w:rPr>
                      <w:color w:val="auto"/>
                      <w:sz w:val="21"/>
                      <w:szCs w:val="21"/>
                    </w:rPr>
                  </w:pPr>
                </w:p>
              </w:tc>
              <w:tc>
                <w:tcPr>
                  <w:tcW w:w="1360" w:type="dxa"/>
                  <w:tcBorders>
                    <w:left w:val="single" w:color="auto" w:sz="2" w:space="0"/>
                  </w:tcBorders>
                  <w:vAlign w:val="center"/>
                </w:tcPr>
                <w:p>
                  <w:pPr>
                    <w:widowControl/>
                    <w:jc w:val="center"/>
                    <w:rPr>
                      <w:color w:val="auto"/>
                      <w:sz w:val="21"/>
                      <w:szCs w:val="21"/>
                    </w:rPr>
                  </w:pPr>
                  <w:r>
                    <w:rPr>
                      <w:color w:val="auto"/>
                      <w:sz w:val="21"/>
                      <w:szCs w:val="21"/>
                    </w:rPr>
                    <w:t>产生量（t/a）</w:t>
                  </w:r>
                </w:p>
              </w:tc>
              <w:tc>
                <w:tcPr>
                  <w:tcW w:w="820" w:type="dxa"/>
                  <w:vMerge w:val="continue"/>
                  <w:vAlign w:val="center"/>
                </w:tcPr>
                <w:p>
                  <w:pPr>
                    <w:jc w:val="center"/>
                    <w:rPr>
                      <w:color w:val="auto"/>
                      <w:sz w:val="21"/>
                      <w:szCs w:val="21"/>
                    </w:rPr>
                  </w:pPr>
                </w:p>
              </w:tc>
              <w:tc>
                <w:tcPr>
                  <w:tcW w:w="866"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0.182 </w:t>
                  </w:r>
                </w:p>
              </w:tc>
              <w:tc>
                <w:tcPr>
                  <w:tcW w:w="741"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0.109 </w:t>
                  </w:r>
                </w:p>
              </w:tc>
              <w:tc>
                <w:tcPr>
                  <w:tcW w:w="741"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0.122 </w:t>
                  </w:r>
                </w:p>
              </w:tc>
              <w:tc>
                <w:tcPr>
                  <w:tcW w:w="740"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0.018 </w:t>
                  </w:r>
                </w:p>
              </w:tc>
              <w:tc>
                <w:tcPr>
                  <w:tcW w:w="740"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950" w:type="dxa"/>
                  <w:vMerge w:val="continue"/>
                  <w:tcBorders>
                    <w:right w:val="single" w:color="auto" w:sz="2" w:space="0"/>
                  </w:tcBorders>
                  <w:vAlign w:val="center"/>
                </w:tcPr>
                <w:p>
                  <w:pPr>
                    <w:widowControl/>
                    <w:jc w:val="center"/>
                    <w:rPr>
                      <w:color w:val="auto"/>
                      <w:sz w:val="21"/>
                      <w:szCs w:val="21"/>
                    </w:rPr>
                  </w:pPr>
                </w:p>
              </w:tc>
              <w:tc>
                <w:tcPr>
                  <w:tcW w:w="1360" w:type="dxa"/>
                  <w:tcBorders>
                    <w:left w:val="single" w:color="auto" w:sz="2" w:space="0"/>
                  </w:tcBorders>
                  <w:vAlign w:val="center"/>
                </w:tcPr>
                <w:p>
                  <w:pPr>
                    <w:widowControl/>
                    <w:jc w:val="center"/>
                    <w:rPr>
                      <w:color w:val="auto"/>
                      <w:sz w:val="21"/>
                      <w:szCs w:val="21"/>
                    </w:rPr>
                  </w:pPr>
                  <w:r>
                    <w:rPr>
                      <w:color w:val="auto"/>
                      <w:sz w:val="21"/>
                      <w:szCs w:val="21"/>
                    </w:rPr>
                    <w:t>排放浓度(mg/L)</w:t>
                  </w:r>
                </w:p>
              </w:tc>
              <w:tc>
                <w:tcPr>
                  <w:tcW w:w="820" w:type="dxa"/>
                  <w:vMerge w:val="continue"/>
                  <w:vAlign w:val="center"/>
                </w:tcPr>
                <w:p>
                  <w:pPr>
                    <w:jc w:val="center"/>
                    <w:rPr>
                      <w:color w:val="auto"/>
                      <w:sz w:val="21"/>
                      <w:szCs w:val="21"/>
                    </w:rPr>
                  </w:pPr>
                </w:p>
              </w:tc>
              <w:tc>
                <w:tcPr>
                  <w:tcW w:w="866"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255</w:t>
                  </w:r>
                </w:p>
              </w:tc>
              <w:tc>
                <w:tcPr>
                  <w:tcW w:w="741" w:type="dxa"/>
                  <w:vAlign w:val="center"/>
                </w:tcPr>
                <w:p>
                  <w:pPr>
                    <w:keepNext w:val="0"/>
                    <w:keepLines w:val="0"/>
                    <w:widowControl/>
                    <w:suppressLineNumbers w:val="0"/>
                    <w:jc w:val="center"/>
                    <w:textAlignment w:val="center"/>
                    <w:rPr>
                      <w:rFonts w:hint="default"/>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741"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140</w:t>
                  </w:r>
                </w:p>
              </w:tc>
              <w:tc>
                <w:tcPr>
                  <w:tcW w:w="740"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25</w:t>
                  </w:r>
                </w:p>
              </w:tc>
              <w:tc>
                <w:tcPr>
                  <w:tcW w:w="740"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950" w:type="dxa"/>
                  <w:vMerge w:val="continue"/>
                  <w:tcBorders>
                    <w:right w:val="single" w:color="auto" w:sz="2" w:space="0"/>
                  </w:tcBorders>
                  <w:vAlign w:val="center"/>
                </w:tcPr>
                <w:p>
                  <w:pPr>
                    <w:widowControl/>
                    <w:jc w:val="center"/>
                    <w:rPr>
                      <w:color w:val="auto"/>
                      <w:sz w:val="21"/>
                      <w:szCs w:val="21"/>
                    </w:rPr>
                  </w:pPr>
                </w:p>
              </w:tc>
              <w:tc>
                <w:tcPr>
                  <w:tcW w:w="1360" w:type="dxa"/>
                  <w:tcBorders>
                    <w:left w:val="single" w:color="auto" w:sz="2" w:space="0"/>
                  </w:tcBorders>
                  <w:vAlign w:val="center"/>
                </w:tcPr>
                <w:p>
                  <w:pPr>
                    <w:widowControl/>
                    <w:jc w:val="center"/>
                    <w:rPr>
                      <w:color w:val="auto"/>
                      <w:sz w:val="21"/>
                      <w:szCs w:val="21"/>
                    </w:rPr>
                  </w:pPr>
                  <w:r>
                    <w:rPr>
                      <w:color w:val="auto"/>
                      <w:sz w:val="21"/>
                      <w:szCs w:val="21"/>
                    </w:rPr>
                    <w:t>排放量（t/a）</w:t>
                  </w:r>
                </w:p>
              </w:tc>
              <w:tc>
                <w:tcPr>
                  <w:tcW w:w="820" w:type="dxa"/>
                  <w:vMerge w:val="continue"/>
                  <w:vAlign w:val="center"/>
                </w:tcPr>
                <w:p>
                  <w:pPr>
                    <w:jc w:val="center"/>
                    <w:rPr>
                      <w:color w:val="auto"/>
                      <w:sz w:val="21"/>
                      <w:szCs w:val="21"/>
                    </w:rPr>
                  </w:pPr>
                </w:p>
              </w:tc>
              <w:tc>
                <w:tcPr>
                  <w:tcW w:w="866"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0.155 </w:t>
                  </w:r>
                </w:p>
              </w:tc>
              <w:tc>
                <w:tcPr>
                  <w:tcW w:w="741"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0.091 </w:t>
                  </w:r>
                </w:p>
              </w:tc>
              <w:tc>
                <w:tcPr>
                  <w:tcW w:w="741"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0.085 </w:t>
                  </w:r>
                </w:p>
              </w:tc>
              <w:tc>
                <w:tcPr>
                  <w:tcW w:w="740"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0.015 </w:t>
                  </w:r>
                </w:p>
              </w:tc>
              <w:tc>
                <w:tcPr>
                  <w:tcW w:w="740"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1950" w:type="dxa"/>
                  <w:tcBorders>
                    <w:right w:val="single" w:color="auto" w:sz="2" w:space="0"/>
                  </w:tcBorders>
                  <w:vAlign w:val="center"/>
                </w:tcPr>
                <w:p>
                  <w:pPr>
                    <w:widowControl/>
                    <w:jc w:val="center"/>
                    <w:rPr>
                      <w:color w:val="auto"/>
                      <w:sz w:val="21"/>
                      <w:szCs w:val="21"/>
                    </w:rPr>
                  </w:pPr>
                  <w:r>
                    <w:rPr>
                      <w:color w:val="auto"/>
                      <w:sz w:val="21"/>
                      <w:szCs w:val="21"/>
                    </w:rPr>
                    <w:t>污水综合排放标准</w:t>
                  </w:r>
                </w:p>
                <w:p>
                  <w:pPr>
                    <w:widowControl/>
                    <w:jc w:val="center"/>
                    <w:rPr>
                      <w:color w:val="auto"/>
                      <w:sz w:val="21"/>
                      <w:szCs w:val="21"/>
                    </w:rPr>
                  </w:pPr>
                  <w:r>
                    <w:rPr>
                      <w:color w:val="auto"/>
                      <w:sz w:val="21"/>
                      <w:szCs w:val="21"/>
                    </w:rPr>
                    <w:t>（三级）</w:t>
                  </w:r>
                </w:p>
              </w:tc>
              <w:tc>
                <w:tcPr>
                  <w:tcW w:w="1360" w:type="dxa"/>
                  <w:tcBorders>
                    <w:left w:val="single" w:color="auto" w:sz="2" w:space="0"/>
                  </w:tcBorders>
                  <w:vAlign w:val="center"/>
                </w:tcPr>
                <w:p>
                  <w:pPr>
                    <w:jc w:val="center"/>
                    <w:rPr>
                      <w:color w:val="auto"/>
                      <w:sz w:val="21"/>
                      <w:szCs w:val="21"/>
                    </w:rPr>
                  </w:pPr>
                  <w:r>
                    <w:rPr>
                      <w:color w:val="auto"/>
                      <w:sz w:val="21"/>
                      <w:szCs w:val="21"/>
                    </w:rPr>
                    <w:t>浓度(mg/L)</w:t>
                  </w:r>
                </w:p>
              </w:tc>
              <w:tc>
                <w:tcPr>
                  <w:tcW w:w="820" w:type="dxa"/>
                  <w:vMerge w:val="continue"/>
                  <w:vAlign w:val="center"/>
                </w:tcPr>
                <w:p>
                  <w:pPr>
                    <w:widowControl/>
                    <w:jc w:val="center"/>
                    <w:textAlignment w:val="center"/>
                    <w:rPr>
                      <w:color w:val="auto"/>
                      <w:sz w:val="21"/>
                      <w:szCs w:val="21"/>
                    </w:rPr>
                  </w:pPr>
                </w:p>
              </w:tc>
              <w:tc>
                <w:tcPr>
                  <w:tcW w:w="866"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741"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741"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740"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740"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950" w:type="dxa"/>
                  <w:tcBorders>
                    <w:right w:val="single" w:color="auto" w:sz="2" w:space="0"/>
                  </w:tcBorders>
                  <w:vAlign w:val="center"/>
                </w:tcPr>
                <w:p>
                  <w:pPr>
                    <w:widowControl/>
                    <w:jc w:val="center"/>
                    <w:rPr>
                      <w:rFonts w:hint="eastAsia" w:eastAsia="宋体"/>
                      <w:color w:val="auto"/>
                      <w:sz w:val="21"/>
                      <w:szCs w:val="21"/>
                      <w:lang w:eastAsia="zh-CN"/>
                    </w:rPr>
                  </w:pPr>
                  <w:r>
                    <w:rPr>
                      <w:color w:val="auto"/>
                      <w:sz w:val="21"/>
                      <w:szCs w:val="21"/>
                    </w:rPr>
                    <w:t>污水处理厂</w:t>
                  </w:r>
                  <w:r>
                    <w:rPr>
                      <w:rFonts w:hint="eastAsia"/>
                      <w:color w:val="auto"/>
                      <w:sz w:val="21"/>
                      <w:szCs w:val="21"/>
                      <w:lang w:eastAsia="zh-CN"/>
                    </w:rPr>
                    <w:t>进水水质要求</w:t>
                  </w:r>
                </w:p>
              </w:tc>
              <w:tc>
                <w:tcPr>
                  <w:tcW w:w="1360" w:type="dxa"/>
                  <w:tcBorders>
                    <w:left w:val="single" w:color="auto" w:sz="2" w:space="0"/>
                  </w:tcBorders>
                  <w:vAlign w:val="center"/>
                </w:tcPr>
                <w:p>
                  <w:pPr>
                    <w:widowControl/>
                    <w:jc w:val="center"/>
                    <w:rPr>
                      <w:color w:val="auto"/>
                      <w:sz w:val="21"/>
                      <w:szCs w:val="21"/>
                    </w:rPr>
                  </w:pPr>
                  <w:r>
                    <w:rPr>
                      <w:color w:val="auto"/>
                      <w:sz w:val="21"/>
                      <w:szCs w:val="21"/>
                    </w:rPr>
                    <w:t>浓度(mg/L)</w:t>
                  </w:r>
                </w:p>
              </w:tc>
              <w:tc>
                <w:tcPr>
                  <w:tcW w:w="820" w:type="dxa"/>
                  <w:vMerge w:val="continue"/>
                  <w:vAlign w:val="center"/>
                </w:tcPr>
                <w:p>
                  <w:pPr>
                    <w:widowControl/>
                    <w:jc w:val="center"/>
                    <w:rPr>
                      <w:color w:val="auto"/>
                      <w:sz w:val="21"/>
                      <w:szCs w:val="21"/>
                    </w:rPr>
                  </w:pPr>
                </w:p>
              </w:tc>
              <w:tc>
                <w:tcPr>
                  <w:tcW w:w="866" w:type="dxa"/>
                  <w:vAlign w:val="center"/>
                </w:tcPr>
                <w:p>
                  <w:pPr>
                    <w:keepNext w:val="0"/>
                    <w:keepLines w:val="0"/>
                    <w:widowControl/>
                    <w:suppressLineNumbers w:val="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350</w:t>
                  </w:r>
                </w:p>
              </w:tc>
              <w:tc>
                <w:tcPr>
                  <w:tcW w:w="741" w:type="dxa"/>
                  <w:vAlign w:val="center"/>
                </w:tcPr>
                <w:p>
                  <w:pPr>
                    <w:keepNext w:val="0"/>
                    <w:keepLines w:val="0"/>
                    <w:widowControl/>
                    <w:suppressLineNumbers w:val="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110</w:t>
                  </w:r>
                </w:p>
              </w:tc>
              <w:tc>
                <w:tcPr>
                  <w:tcW w:w="741" w:type="dxa"/>
                  <w:vAlign w:val="center"/>
                </w:tcPr>
                <w:p>
                  <w:pPr>
                    <w:keepNext w:val="0"/>
                    <w:keepLines w:val="0"/>
                    <w:widowControl/>
                    <w:suppressLineNumbers w:val="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260</w:t>
                  </w:r>
                </w:p>
              </w:tc>
              <w:tc>
                <w:tcPr>
                  <w:tcW w:w="740" w:type="dxa"/>
                  <w:vAlign w:val="center"/>
                </w:tcPr>
                <w:p>
                  <w:pPr>
                    <w:keepNext w:val="0"/>
                    <w:keepLines w:val="0"/>
                    <w:widowControl/>
                    <w:suppressLineNumbers w:val="0"/>
                    <w:jc w:val="center"/>
                    <w:textAlignment w:val="center"/>
                    <w:rPr>
                      <w:rFonts w:hint="default"/>
                      <w:color w:val="auto"/>
                      <w:sz w:val="21"/>
                      <w:szCs w:val="21"/>
                      <w:lang w:val="en-US"/>
                    </w:rPr>
                  </w:pPr>
                  <w:r>
                    <w:rPr>
                      <w:rFonts w:hint="eastAsia" w:cs="Times New Roman"/>
                      <w:i w:val="0"/>
                      <w:iCs w:val="0"/>
                      <w:color w:val="auto"/>
                      <w:kern w:val="0"/>
                      <w:sz w:val="21"/>
                      <w:szCs w:val="21"/>
                      <w:u w:val="none"/>
                      <w:lang w:val="en-US" w:eastAsia="zh-CN" w:bidi="ar"/>
                    </w:rPr>
                    <w:t>40</w:t>
                  </w:r>
                </w:p>
              </w:tc>
              <w:tc>
                <w:tcPr>
                  <w:tcW w:w="740"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950" w:type="dxa"/>
                  <w:vMerge w:val="restart"/>
                  <w:tcBorders>
                    <w:right w:val="single" w:color="auto" w:sz="2" w:space="0"/>
                  </w:tcBorders>
                  <w:vAlign w:val="center"/>
                </w:tcPr>
                <w:p>
                  <w:pPr>
                    <w:widowControl/>
                    <w:jc w:val="center"/>
                    <w:rPr>
                      <w:color w:val="auto"/>
                      <w:sz w:val="21"/>
                      <w:szCs w:val="21"/>
                    </w:rPr>
                  </w:pPr>
                  <w:r>
                    <w:rPr>
                      <w:color w:val="auto"/>
                      <w:sz w:val="21"/>
                      <w:szCs w:val="21"/>
                    </w:rPr>
                    <w:t>污水处理厂达标排放</w:t>
                  </w:r>
                </w:p>
              </w:tc>
              <w:tc>
                <w:tcPr>
                  <w:tcW w:w="1360" w:type="dxa"/>
                  <w:tcBorders>
                    <w:left w:val="single" w:color="auto" w:sz="2" w:space="0"/>
                  </w:tcBorders>
                  <w:vAlign w:val="center"/>
                </w:tcPr>
                <w:p>
                  <w:pPr>
                    <w:jc w:val="center"/>
                    <w:rPr>
                      <w:color w:val="auto"/>
                      <w:sz w:val="21"/>
                      <w:szCs w:val="21"/>
                    </w:rPr>
                  </w:pPr>
                  <w:r>
                    <w:rPr>
                      <w:color w:val="auto"/>
                      <w:sz w:val="21"/>
                      <w:szCs w:val="21"/>
                    </w:rPr>
                    <w:t>浓度(mg/L)</w:t>
                  </w:r>
                </w:p>
              </w:tc>
              <w:tc>
                <w:tcPr>
                  <w:tcW w:w="820" w:type="dxa"/>
                  <w:vMerge w:val="continue"/>
                  <w:vAlign w:val="center"/>
                </w:tcPr>
                <w:p>
                  <w:pPr>
                    <w:widowControl/>
                    <w:jc w:val="center"/>
                    <w:textAlignment w:val="center"/>
                    <w:rPr>
                      <w:color w:val="auto"/>
                      <w:sz w:val="21"/>
                      <w:szCs w:val="21"/>
                    </w:rPr>
                  </w:pPr>
                </w:p>
              </w:tc>
              <w:tc>
                <w:tcPr>
                  <w:tcW w:w="866"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50</w:t>
                  </w:r>
                </w:p>
              </w:tc>
              <w:tc>
                <w:tcPr>
                  <w:tcW w:w="741"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10</w:t>
                  </w:r>
                </w:p>
              </w:tc>
              <w:tc>
                <w:tcPr>
                  <w:tcW w:w="741"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10</w:t>
                  </w:r>
                </w:p>
              </w:tc>
              <w:tc>
                <w:tcPr>
                  <w:tcW w:w="740"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w:t>
                  </w:r>
                </w:p>
              </w:tc>
              <w:tc>
                <w:tcPr>
                  <w:tcW w:w="740"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1950" w:type="dxa"/>
                  <w:vMerge w:val="continue"/>
                  <w:tcBorders>
                    <w:right w:val="single" w:color="auto" w:sz="2" w:space="0"/>
                  </w:tcBorders>
                  <w:vAlign w:val="center"/>
                </w:tcPr>
                <w:p>
                  <w:pPr>
                    <w:widowControl/>
                    <w:jc w:val="center"/>
                    <w:rPr>
                      <w:color w:val="auto"/>
                      <w:sz w:val="21"/>
                      <w:szCs w:val="21"/>
                    </w:rPr>
                  </w:pPr>
                </w:p>
              </w:tc>
              <w:tc>
                <w:tcPr>
                  <w:tcW w:w="1360" w:type="dxa"/>
                  <w:tcBorders>
                    <w:left w:val="single" w:color="auto" w:sz="2" w:space="0"/>
                  </w:tcBorders>
                  <w:vAlign w:val="center"/>
                </w:tcPr>
                <w:p>
                  <w:pPr>
                    <w:widowControl/>
                    <w:jc w:val="center"/>
                    <w:rPr>
                      <w:color w:val="auto"/>
                      <w:sz w:val="21"/>
                      <w:szCs w:val="21"/>
                    </w:rPr>
                  </w:pPr>
                  <w:r>
                    <w:rPr>
                      <w:color w:val="auto"/>
                      <w:sz w:val="21"/>
                      <w:szCs w:val="21"/>
                    </w:rPr>
                    <w:t>排放量（t/a）</w:t>
                  </w:r>
                </w:p>
              </w:tc>
              <w:tc>
                <w:tcPr>
                  <w:tcW w:w="820" w:type="dxa"/>
                  <w:vMerge w:val="continue"/>
                  <w:vAlign w:val="center"/>
                </w:tcPr>
                <w:p>
                  <w:pPr>
                    <w:widowControl/>
                    <w:jc w:val="center"/>
                    <w:textAlignment w:val="center"/>
                    <w:rPr>
                      <w:color w:val="auto"/>
                      <w:sz w:val="21"/>
                      <w:szCs w:val="21"/>
                    </w:rPr>
                  </w:pPr>
                </w:p>
              </w:tc>
              <w:tc>
                <w:tcPr>
                  <w:tcW w:w="866"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0.030 </w:t>
                  </w:r>
                </w:p>
              </w:tc>
              <w:tc>
                <w:tcPr>
                  <w:tcW w:w="741"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0.006 </w:t>
                  </w:r>
                </w:p>
              </w:tc>
              <w:tc>
                <w:tcPr>
                  <w:tcW w:w="741"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0.006 </w:t>
                  </w:r>
                </w:p>
              </w:tc>
              <w:tc>
                <w:tcPr>
                  <w:tcW w:w="740"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0.003 </w:t>
                  </w:r>
                </w:p>
              </w:tc>
              <w:tc>
                <w:tcPr>
                  <w:tcW w:w="740"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0.001 </w:t>
                  </w:r>
                </w:p>
              </w:tc>
            </w:tr>
          </w:tbl>
          <w:p>
            <w:pPr>
              <w:autoSpaceDE w:val="0"/>
              <w:autoSpaceDN w:val="0"/>
              <w:adjustRightInd w:val="0"/>
              <w:spacing w:line="360" w:lineRule="auto"/>
              <w:ind w:firstLine="480" w:firstLineChars="200"/>
              <w:jc w:val="left"/>
              <w:rPr>
                <w:color w:val="auto"/>
              </w:rPr>
            </w:pPr>
            <w:r>
              <w:rPr>
                <w:color w:val="auto"/>
              </w:rPr>
              <w:t>废水接管可行性分析：</w:t>
            </w:r>
          </w:p>
          <w:p>
            <w:pPr>
              <w:autoSpaceDE w:val="0"/>
              <w:autoSpaceDN w:val="0"/>
              <w:adjustRightInd w:val="0"/>
              <w:spacing w:line="360" w:lineRule="auto"/>
              <w:ind w:firstLine="480" w:firstLineChars="200"/>
              <w:jc w:val="left"/>
              <w:rPr>
                <w:color w:val="auto"/>
              </w:rPr>
            </w:pPr>
            <w:r>
              <w:rPr>
                <w:color w:val="auto"/>
              </w:rPr>
              <w:t>邵东市城市生活污水处理厂位于邵东市西南的软塘村，设计处理能力为日处理污水8万m</w:t>
            </w:r>
            <w:r>
              <w:rPr>
                <w:color w:val="auto"/>
                <w:vertAlign w:val="superscript"/>
              </w:rPr>
              <w:t>3</w:t>
            </w:r>
            <w:r>
              <w:rPr>
                <w:color w:val="auto"/>
              </w:rPr>
              <w:t>。位于本项目西南面</w:t>
            </w:r>
            <w:r>
              <w:rPr>
                <w:rFonts w:hint="eastAsia"/>
                <w:color w:val="auto"/>
              </w:rPr>
              <w:t>8</w:t>
            </w:r>
            <w:r>
              <w:rPr>
                <w:color w:val="auto"/>
              </w:rPr>
              <w:t>km处</w:t>
            </w:r>
            <w:r>
              <w:rPr>
                <w:rFonts w:hint="eastAsia"/>
                <w:color w:val="auto"/>
              </w:rPr>
              <w:t>，邵东市包装印刷、塑料制品、新材料工业园（原邵东市黑田铺印刷产业园）的污水经园区至宋家塘的主管，通过宋家塘的污水泵站将污水排放至</w:t>
            </w:r>
            <w:r>
              <w:rPr>
                <w:rFonts w:hint="eastAsia"/>
                <w:color w:val="auto"/>
                <w:lang w:eastAsia="zh-CN"/>
              </w:rPr>
              <w:t>邵东市美桥城市污水处理厂</w:t>
            </w:r>
            <w:r>
              <w:rPr>
                <w:rFonts w:hint="eastAsia"/>
                <w:color w:val="auto"/>
              </w:rPr>
              <w:t>进行处理。</w:t>
            </w:r>
          </w:p>
          <w:p>
            <w:pPr>
              <w:autoSpaceDE w:val="0"/>
              <w:autoSpaceDN w:val="0"/>
              <w:adjustRightInd w:val="0"/>
              <w:spacing w:line="360" w:lineRule="auto"/>
              <w:ind w:firstLine="480" w:firstLineChars="200"/>
              <w:jc w:val="left"/>
              <w:rPr>
                <w:color w:val="auto"/>
              </w:rPr>
            </w:pPr>
            <w:r>
              <w:rPr>
                <w:color w:val="auto"/>
              </w:rPr>
              <w:t>根据工程分析，本项目的废水主要为员工的如厕、洗手等生活废水等，该项目排放的废水是典型的城市生活污水，废水的主要污染物是COD</w:t>
            </w:r>
            <w:r>
              <w:rPr>
                <w:color w:val="auto"/>
                <w:vertAlign w:val="subscript"/>
              </w:rPr>
              <w:t>Cr</w:t>
            </w:r>
            <w:r>
              <w:rPr>
                <w:color w:val="auto"/>
              </w:rPr>
              <w:t>、BOD</w:t>
            </w:r>
            <w:r>
              <w:rPr>
                <w:color w:val="auto"/>
                <w:vertAlign w:val="subscript"/>
              </w:rPr>
              <w:t>5</w:t>
            </w:r>
            <w:r>
              <w:rPr>
                <w:color w:val="auto"/>
              </w:rPr>
              <w:t>、SS、NH3-N和动植物油等，污染物成分简单，无有毒有害物质。项目污水量约为</w:t>
            </w:r>
            <w:r>
              <w:rPr>
                <w:rFonts w:hint="eastAsia"/>
                <w:color w:val="auto"/>
                <w:lang w:val="en-US" w:eastAsia="zh-CN"/>
              </w:rPr>
              <w:t>2.03</w:t>
            </w:r>
            <w:r>
              <w:rPr>
                <w:rFonts w:hint="eastAsia"/>
                <w:color w:val="auto"/>
              </w:rPr>
              <w:t>m</w:t>
            </w:r>
            <w:r>
              <w:rPr>
                <w:color w:val="auto"/>
                <w:vertAlign w:val="superscript"/>
              </w:rPr>
              <w:t>3</w:t>
            </w:r>
            <w:r>
              <w:rPr>
                <w:color w:val="auto"/>
              </w:rPr>
              <w:t>/d，占邵东市城市生活污水处理厂处理水量的</w:t>
            </w:r>
            <w:r>
              <w:rPr>
                <w:rFonts w:hint="eastAsia"/>
                <w:color w:val="auto"/>
              </w:rPr>
              <w:t>0.0025%</w:t>
            </w:r>
            <w:r>
              <w:rPr>
                <w:color w:val="auto"/>
              </w:rPr>
              <w:t>，所占比例很小，其经化粪池</w:t>
            </w:r>
            <w:r>
              <w:rPr>
                <w:rFonts w:hint="eastAsia"/>
                <w:color w:val="auto"/>
              </w:rPr>
              <w:t>、隔油池</w:t>
            </w:r>
            <w:r>
              <w:rPr>
                <w:rFonts w:hint="eastAsia"/>
                <w:color w:val="auto"/>
                <w:lang w:eastAsia="zh-CN"/>
              </w:rPr>
              <w:t>处理后</w:t>
            </w:r>
            <w:r>
              <w:rPr>
                <w:color w:val="auto"/>
              </w:rPr>
              <w:t>可达到</w:t>
            </w:r>
            <w:r>
              <w:rPr>
                <w:rFonts w:hint="eastAsia"/>
                <w:color w:val="auto"/>
                <w:lang w:eastAsia="zh-CN"/>
              </w:rPr>
              <w:t>邵东市城市生活污水处理厂</w:t>
            </w:r>
            <w:r>
              <w:rPr>
                <w:color w:val="auto"/>
              </w:rPr>
              <w:t>进水水质要求。因此，项目外排的生活污水对邵东市城市生活污水处理厂的进水量不会产生冲击影响，污水纳入该城污水处理厂处理不会超过污水处理厂的处理负荷。项目区的生活污水经过化粪池、隔油池</w:t>
            </w:r>
            <w:r>
              <w:rPr>
                <w:rFonts w:hint="eastAsia"/>
                <w:color w:val="auto"/>
                <w:lang w:eastAsia="zh-CN"/>
              </w:rPr>
              <w:t>处理后</w:t>
            </w:r>
            <w:r>
              <w:rPr>
                <w:color w:val="auto"/>
              </w:rPr>
              <w:t>接市政污水管网进入邵东市城市生活污水处理厂，经污水处理厂处理达标后外排。项目废水经污水处理厂处理后外排的主要污染物量为COD：</w:t>
            </w:r>
            <w:r>
              <w:rPr>
                <w:rFonts w:hint="eastAsia"/>
                <w:color w:val="auto"/>
                <w:lang w:eastAsia="zh-CN"/>
              </w:rPr>
              <w:t>0.03t</w:t>
            </w:r>
            <w:r>
              <w:rPr>
                <w:color w:val="auto"/>
              </w:rPr>
              <w:t>/a；BOD：</w:t>
            </w:r>
            <w:r>
              <w:rPr>
                <w:rFonts w:hint="eastAsia"/>
                <w:color w:val="auto"/>
                <w:lang w:val="en-US" w:eastAsia="zh-CN"/>
              </w:rPr>
              <w:t>0.006</w:t>
            </w:r>
            <w:r>
              <w:rPr>
                <w:color w:val="auto"/>
              </w:rPr>
              <w:t xml:space="preserve"> t/a；SS：</w:t>
            </w:r>
            <w:r>
              <w:rPr>
                <w:rFonts w:hint="eastAsia"/>
                <w:color w:val="auto"/>
                <w:lang w:eastAsia="zh-CN"/>
              </w:rPr>
              <w:t>0.006 t</w:t>
            </w:r>
            <w:r>
              <w:rPr>
                <w:color w:val="auto"/>
              </w:rPr>
              <w:t>/a；NH3-N：</w:t>
            </w:r>
            <w:r>
              <w:rPr>
                <w:rFonts w:hint="eastAsia"/>
                <w:color w:val="auto"/>
                <w:lang w:val="en-US" w:eastAsia="zh-CN"/>
              </w:rPr>
              <w:t>0.003</w:t>
            </w:r>
            <w:r>
              <w:rPr>
                <w:color w:val="auto"/>
              </w:rPr>
              <w:t>t/a。本项目外排的污水水质满足《城镇污水处理厂污染物排放标准》（GB18918-2002）中一级A标准，对项目区水环境影响较小。</w:t>
            </w:r>
          </w:p>
          <w:p>
            <w:pPr>
              <w:autoSpaceDE w:val="0"/>
              <w:autoSpaceDN w:val="0"/>
              <w:adjustRightInd w:val="0"/>
              <w:spacing w:line="360" w:lineRule="auto"/>
              <w:ind w:firstLine="480" w:firstLineChars="200"/>
              <w:jc w:val="left"/>
              <w:rPr>
                <w:color w:val="auto"/>
              </w:rPr>
            </w:pPr>
            <w:r>
              <w:rPr>
                <w:color w:val="auto"/>
              </w:rPr>
              <w:t>因此项目生活污水经化粪池</w:t>
            </w:r>
            <w:r>
              <w:rPr>
                <w:rFonts w:hint="eastAsia"/>
                <w:color w:val="auto"/>
              </w:rPr>
              <w:t>、隔油池</w:t>
            </w:r>
            <w:r>
              <w:rPr>
                <w:color w:val="auto"/>
              </w:rPr>
              <w:t>处理后排入园区管网，进入</w:t>
            </w:r>
            <w:r>
              <w:rPr>
                <w:rFonts w:hint="eastAsia"/>
                <w:color w:val="auto"/>
                <w:lang w:eastAsia="zh-CN"/>
              </w:rPr>
              <w:t>邵东市美桥城市污水处理厂</w:t>
            </w:r>
            <w:r>
              <w:rPr>
                <w:color w:val="auto"/>
              </w:rPr>
              <w:t>进一步处理是可行的。</w:t>
            </w:r>
          </w:p>
          <w:p>
            <w:pPr>
              <w:pStyle w:val="4"/>
              <w:rPr>
                <w:color w:val="auto"/>
              </w:rPr>
            </w:pPr>
            <w:r>
              <w:rPr>
                <w:color w:val="auto"/>
              </w:rPr>
              <w:t>4.2.3地下水</w:t>
            </w:r>
            <w:r>
              <w:rPr>
                <w:rFonts w:hint="eastAsia"/>
                <w:color w:val="auto"/>
                <w:lang w:eastAsia="zh-CN"/>
              </w:rPr>
              <w:t>、</w:t>
            </w:r>
            <w:r>
              <w:rPr>
                <w:rFonts w:hint="eastAsia"/>
                <w:color w:val="auto"/>
                <w:lang w:val="en-US" w:eastAsia="zh-CN"/>
              </w:rPr>
              <w:t>土壤</w:t>
            </w:r>
            <w:r>
              <w:rPr>
                <w:color w:val="auto"/>
              </w:rPr>
              <w:t>环境影响分析</w:t>
            </w:r>
          </w:p>
          <w:p>
            <w:pPr>
              <w:pStyle w:val="42"/>
              <w:snapToGrid w:val="0"/>
              <w:spacing w:line="360" w:lineRule="auto"/>
              <w:ind w:firstLine="482" w:firstLineChars="200"/>
              <w:rPr>
                <w:rFonts w:ascii="Times New Roman" w:eastAsia="宋体" w:cs="Times New Roman"/>
                <w:b/>
                <w:bCs/>
                <w:color w:val="auto"/>
              </w:rPr>
            </w:pPr>
            <w:r>
              <w:rPr>
                <w:rFonts w:hint="eastAsia" w:ascii="Times New Roman" w:eastAsia="宋体" w:cs="Times New Roman"/>
                <w:b/>
                <w:bCs/>
                <w:color w:val="auto"/>
              </w:rPr>
              <w:t>1、污染源、污染类型及污染途径</w:t>
            </w:r>
          </w:p>
          <w:p>
            <w:pPr>
              <w:adjustRightInd w:val="0"/>
              <w:snapToGrid w:val="0"/>
              <w:spacing w:line="360" w:lineRule="auto"/>
              <w:ind w:firstLine="465"/>
              <w:rPr>
                <w:bCs/>
                <w:color w:val="auto"/>
                <w:sz w:val="24"/>
              </w:rPr>
            </w:pPr>
            <w:r>
              <w:rPr>
                <w:rFonts w:hint="eastAsia"/>
                <w:bCs/>
                <w:color w:val="auto"/>
                <w:sz w:val="24"/>
              </w:rPr>
              <w:t>本</w:t>
            </w:r>
            <w:r>
              <w:rPr>
                <w:bCs/>
                <w:color w:val="auto"/>
                <w:sz w:val="24"/>
              </w:rPr>
              <w:t>项目对地下水和土壤环境可能造成影响的是</w:t>
            </w:r>
            <w:r>
              <w:rPr>
                <w:rFonts w:hint="eastAsia"/>
                <w:bCs/>
                <w:color w:val="auto"/>
                <w:sz w:val="24"/>
              </w:rPr>
              <w:t>原料间</w:t>
            </w:r>
            <w:r>
              <w:rPr>
                <w:rFonts w:hint="eastAsia"/>
                <w:bCs/>
                <w:color w:val="auto"/>
                <w:sz w:val="24"/>
                <w:lang w:eastAsia="zh-CN"/>
              </w:rPr>
              <w:t>有机物</w:t>
            </w:r>
            <w:r>
              <w:rPr>
                <w:bCs/>
                <w:color w:val="auto"/>
                <w:sz w:val="24"/>
              </w:rPr>
              <w:t>泄露</w:t>
            </w:r>
            <w:r>
              <w:rPr>
                <w:rFonts w:hint="eastAsia"/>
                <w:bCs/>
                <w:color w:val="auto"/>
                <w:sz w:val="24"/>
              </w:rPr>
              <w:t>及危废间废桶罐中沾染的危险废物</w:t>
            </w:r>
            <w:r>
              <w:rPr>
                <w:bCs/>
                <w:color w:val="auto"/>
                <w:sz w:val="24"/>
              </w:rPr>
              <w:t>泄露，主要污染物为</w:t>
            </w:r>
            <w:r>
              <w:rPr>
                <w:rFonts w:hint="eastAsia"/>
                <w:bCs/>
                <w:color w:val="auto"/>
                <w:sz w:val="24"/>
                <w:lang w:eastAsia="zh-CN"/>
              </w:rPr>
              <w:t>有机物</w:t>
            </w:r>
            <w:r>
              <w:rPr>
                <w:bCs/>
                <w:color w:val="auto"/>
                <w:sz w:val="24"/>
              </w:rPr>
              <w:t>，泄露后以渗透为主，可能进入地下水层造成地下水水质污染和土壤污染的可能。</w:t>
            </w:r>
          </w:p>
          <w:p>
            <w:pPr>
              <w:adjustRightInd w:val="0"/>
              <w:snapToGrid w:val="0"/>
              <w:spacing w:line="360" w:lineRule="auto"/>
              <w:ind w:firstLine="465"/>
              <w:rPr>
                <w:bCs/>
                <w:color w:val="auto"/>
                <w:sz w:val="24"/>
              </w:rPr>
            </w:pPr>
            <w:r>
              <w:rPr>
                <w:bCs/>
                <w:color w:val="auto"/>
                <w:sz w:val="24"/>
              </w:rPr>
              <w:t>本项目对地下水和土壤产生污染的途径主要为渗透污染。</w:t>
            </w:r>
          </w:p>
          <w:p>
            <w:pPr>
              <w:pStyle w:val="42"/>
              <w:snapToGrid w:val="0"/>
              <w:spacing w:line="360" w:lineRule="auto"/>
              <w:ind w:firstLine="482" w:firstLineChars="200"/>
              <w:rPr>
                <w:rFonts w:ascii="Times New Roman" w:eastAsia="宋体" w:cs="Times New Roman"/>
                <w:b/>
                <w:bCs/>
                <w:color w:val="auto"/>
              </w:rPr>
            </w:pPr>
            <w:r>
              <w:rPr>
                <w:rFonts w:hint="eastAsia" w:ascii="Times New Roman" w:eastAsia="宋体" w:cs="Times New Roman"/>
                <w:b/>
                <w:bCs/>
                <w:color w:val="auto"/>
              </w:rPr>
              <w:t>2、</w:t>
            </w:r>
            <w:r>
              <w:rPr>
                <w:rFonts w:ascii="Times New Roman" w:eastAsia="宋体" w:cs="Times New Roman"/>
                <w:b/>
                <w:bCs/>
                <w:color w:val="auto"/>
              </w:rPr>
              <w:t>分区防控措施</w:t>
            </w:r>
          </w:p>
          <w:p>
            <w:pPr>
              <w:adjustRightInd w:val="0"/>
              <w:snapToGrid w:val="0"/>
              <w:spacing w:line="360" w:lineRule="auto"/>
              <w:ind w:firstLine="465"/>
              <w:rPr>
                <w:bCs/>
                <w:color w:val="auto"/>
                <w:sz w:val="24"/>
              </w:rPr>
            </w:pPr>
            <w:r>
              <w:rPr>
                <w:rFonts w:hint="eastAsia"/>
                <w:bCs/>
                <w:color w:val="auto"/>
                <w:sz w:val="24"/>
              </w:rPr>
              <w:t>根据本项目厂区可能泄漏至地面区域污染物的性质和生产单元的构筑方式，将厂区划分为重点污染防治区、一般污染防治区和非污染防治区。针对不同的区域提出相应的防渗要求。</w:t>
            </w:r>
          </w:p>
          <w:p>
            <w:pPr>
              <w:pStyle w:val="42"/>
              <w:snapToGrid w:val="0"/>
              <w:spacing w:line="360" w:lineRule="auto"/>
              <w:ind w:firstLine="482" w:firstLineChars="200"/>
              <w:rPr>
                <w:rFonts w:ascii="Times New Roman" w:eastAsia="宋体" w:cs="Times New Roman"/>
                <w:b/>
                <w:bCs/>
                <w:color w:val="auto"/>
              </w:rPr>
            </w:pPr>
            <w:r>
              <w:rPr>
                <w:rFonts w:ascii="Times New Roman" w:eastAsia="宋体" w:cs="Times New Roman"/>
                <w:b/>
                <w:bCs/>
                <w:color w:val="auto"/>
              </w:rPr>
              <w:fldChar w:fldCharType="begin"/>
            </w:r>
            <w:r>
              <w:rPr>
                <w:rFonts w:ascii="Times New Roman" w:eastAsia="宋体" w:cs="Times New Roman"/>
                <w:b/>
                <w:bCs/>
                <w:color w:val="auto"/>
              </w:rPr>
              <w:instrText xml:space="preserve"> = 1 \* GB3 \* MERGEFORMAT </w:instrText>
            </w:r>
            <w:r>
              <w:rPr>
                <w:rFonts w:ascii="Times New Roman" w:eastAsia="宋体" w:cs="Times New Roman"/>
                <w:b/>
                <w:bCs/>
                <w:color w:val="auto"/>
              </w:rPr>
              <w:fldChar w:fldCharType="separate"/>
            </w:r>
            <w:r>
              <w:rPr>
                <w:rFonts w:hint="eastAsia" w:ascii="宋体" w:hAnsi="宋体" w:eastAsia="宋体" w:cs="宋体"/>
                <w:b/>
                <w:bCs/>
                <w:color w:val="auto"/>
              </w:rPr>
              <w:t>①</w:t>
            </w:r>
            <w:r>
              <w:rPr>
                <w:rFonts w:ascii="Times New Roman" w:eastAsia="宋体" w:cs="Times New Roman"/>
                <w:b/>
                <w:bCs/>
                <w:color w:val="auto"/>
              </w:rPr>
              <w:fldChar w:fldCharType="end"/>
            </w:r>
            <w:r>
              <w:rPr>
                <w:rFonts w:ascii="Times New Roman" w:eastAsia="宋体" w:cs="Times New Roman"/>
                <w:b/>
                <w:bCs/>
                <w:color w:val="auto"/>
              </w:rPr>
              <w:t>重点污染防治区：</w:t>
            </w:r>
          </w:p>
          <w:p>
            <w:pPr>
              <w:adjustRightInd w:val="0"/>
              <w:snapToGrid w:val="0"/>
              <w:spacing w:line="360" w:lineRule="auto"/>
              <w:ind w:firstLine="465"/>
              <w:rPr>
                <w:bCs/>
                <w:color w:val="auto"/>
                <w:sz w:val="24"/>
              </w:rPr>
            </w:pPr>
            <w:r>
              <w:rPr>
                <w:rFonts w:hint="eastAsia"/>
                <w:bCs/>
                <w:color w:val="auto"/>
                <w:sz w:val="24"/>
              </w:rPr>
              <w:t>本项目重点防渗区为</w:t>
            </w:r>
            <w:r>
              <w:rPr>
                <w:rFonts w:hint="eastAsia"/>
                <w:bCs/>
                <w:color w:val="auto"/>
                <w:sz w:val="24"/>
                <w:lang w:eastAsia="zh-CN"/>
              </w:rPr>
              <w:t>有机原料库区</w:t>
            </w:r>
            <w:r>
              <w:rPr>
                <w:rFonts w:hint="eastAsia"/>
                <w:bCs/>
                <w:color w:val="auto"/>
                <w:sz w:val="24"/>
              </w:rPr>
              <w:t>及危废暂存间。</w:t>
            </w:r>
          </w:p>
          <w:p>
            <w:pPr>
              <w:adjustRightInd w:val="0"/>
              <w:snapToGrid w:val="0"/>
              <w:spacing w:line="360" w:lineRule="auto"/>
              <w:ind w:firstLine="465"/>
              <w:rPr>
                <w:bCs/>
                <w:color w:val="auto"/>
                <w:sz w:val="24"/>
              </w:rPr>
            </w:pPr>
            <w:r>
              <w:rPr>
                <w:bCs/>
                <w:color w:val="auto"/>
                <w:sz w:val="24"/>
              </w:rPr>
              <w:t>对于重点污染防治区，参照《危险废物贮存污染控制标准》 (GB18597-2001) 及其修改单“原环境保护部公告2013 年第36 号的要求进行防渗设计。并有防风、防雨、防晒等功能，现场配备灭火器、消防砂等消防器材。</w:t>
            </w:r>
          </w:p>
          <w:p>
            <w:pPr>
              <w:adjustRightInd w:val="0"/>
              <w:snapToGrid w:val="0"/>
              <w:spacing w:line="360" w:lineRule="auto"/>
              <w:ind w:firstLine="480" w:firstLineChars="200"/>
              <w:rPr>
                <w:color w:val="auto"/>
                <w:sz w:val="24"/>
              </w:rPr>
            </w:pPr>
            <w:r>
              <w:rPr>
                <w:rFonts w:hint="eastAsia"/>
                <w:bCs/>
                <w:color w:val="auto"/>
                <w:sz w:val="24"/>
                <w:lang w:eastAsia="zh-CN"/>
              </w:rPr>
              <w:t>有机原料库区</w:t>
            </w:r>
            <w:r>
              <w:rPr>
                <w:bCs/>
                <w:color w:val="auto"/>
                <w:sz w:val="24"/>
              </w:rPr>
              <w:t>及危废暂存间</w:t>
            </w:r>
            <w:r>
              <w:rPr>
                <w:rFonts w:hint="eastAsia"/>
                <w:bCs/>
                <w:color w:val="auto"/>
                <w:sz w:val="24"/>
              </w:rPr>
              <w:t>防渗要求</w:t>
            </w:r>
            <w:r>
              <w:rPr>
                <w:color w:val="auto"/>
                <w:sz w:val="24"/>
              </w:rPr>
              <w:t>：基础必须防渗，防渗层为至少1m厚粘土层（渗透系数≤10</w:t>
            </w:r>
            <w:r>
              <w:rPr>
                <w:color w:val="auto"/>
                <w:sz w:val="24"/>
                <w:vertAlign w:val="superscript"/>
              </w:rPr>
              <w:t>-7</w:t>
            </w:r>
            <w:r>
              <w:rPr>
                <w:color w:val="auto"/>
                <w:sz w:val="24"/>
              </w:rPr>
              <w:t>cm/s），或者2mm厚高密度聚乙烯，或至少2mm的其他人工材料（渗透系数≤10</w:t>
            </w:r>
            <w:r>
              <w:rPr>
                <w:color w:val="auto"/>
                <w:sz w:val="24"/>
                <w:vertAlign w:val="superscript"/>
              </w:rPr>
              <w:t>-10</w:t>
            </w:r>
            <w:r>
              <w:rPr>
                <w:color w:val="auto"/>
                <w:sz w:val="24"/>
              </w:rPr>
              <w:t>cm/s）。</w:t>
            </w:r>
          </w:p>
          <w:p>
            <w:pPr>
              <w:pStyle w:val="42"/>
              <w:snapToGrid w:val="0"/>
              <w:spacing w:line="360" w:lineRule="auto"/>
              <w:ind w:firstLine="482" w:firstLineChars="200"/>
              <w:rPr>
                <w:rFonts w:ascii="Times New Roman" w:eastAsia="宋体" w:cs="Times New Roman"/>
                <w:b/>
                <w:bCs/>
                <w:color w:val="auto"/>
              </w:rPr>
            </w:pPr>
            <w:r>
              <w:rPr>
                <w:rFonts w:ascii="Times New Roman" w:eastAsia="宋体" w:cs="Times New Roman"/>
                <w:b/>
                <w:bCs/>
                <w:color w:val="auto"/>
              </w:rPr>
              <w:fldChar w:fldCharType="begin"/>
            </w:r>
            <w:r>
              <w:rPr>
                <w:rFonts w:ascii="Times New Roman" w:eastAsia="宋体" w:cs="Times New Roman"/>
                <w:b/>
                <w:bCs/>
                <w:color w:val="auto"/>
              </w:rPr>
              <w:instrText xml:space="preserve"> = 2 \* GB3 \* MERGEFORMAT </w:instrText>
            </w:r>
            <w:r>
              <w:rPr>
                <w:rFonts w:ascii="Times New Roman" w:eastAsia="宋体" w:cs="Times New Roman"/>
                <w:b/>
                <w:bCs/>
                <w:color w:val="auto"/>
              </w:rPr>
              <w:fldChar w:fldCharType="separate"/>
            </w:r>
            <w:r>
              <w:rPr>
                <w:rFonts w:hint="eastAsia" w:ascii="宋体" w:hAnsi="宋体" w:eastAsia="宋体" w:cs="宋体"/>
                <w:b/>
                <w:bCs/>
                <w:color w:val="auto"/>
              </w:rPr>
              <w:t>②</w:t>
            </w:r>
            <w:r>
              <w:rPr>
                <w:rFonts w:ascii="Times New Roman" w:eastAsia="宋体" w:cs="Times New Roman"/>
                <w:b/>
                <w:bCs/>
                <w:color w:val="auto"/>
              </w:rPr>
              <w:fldChar w:fldCharType="end"/>
            </w:r>
            <w:r>
              <w:rPr>
                <w:rFonts w:hint="eastAsia" w:ascii="Times New Roman" w:eastAsia="宋体" w:cs="Times New Roman"/>
                <w:b/>
                <w:bCs/>
                <w:color w:val="auto"/>
              </w:rPr>
              <w:t>一般污染防治区：</w:t>
            </w:r>
          </w:p>
          <w:p>
            <w:pPr>
              <w:adjustRightInd w:val="0"/>
              <w:snapToGrid w:val="0"/>
              <w:spacing w:line="360" w:lineRule="auto"/>
              <w:ind w:firstLine="465"/>
              <w:rPr>
                <w:bCs/>
                <w:color w:val="auto"/>
                <w:sz w:val="24"/>
              </w:rPr>
            </w:pPr>
            <w:r>
              <w:rPr>
                <w:rFonts w:hint="eastAsia"/>
                <w:bCs/>
                <w:color w:val="auto"/>
                <w:sz w:val="24"/>
              </w:rPr>
              <w:t>本项目一般污染防治区为生产车间其他生产区域及一般固废暂存间。</w:t>
            </w:r>
          </w:p>
          <w:p>
            <w:pPr>
              <w:adjustRightInd w:val="0"/>
              <w:snapToGrid w:val="0"/>
              <w:spacing w:line="360" w:lineRule="auto"/>
              <w:ind w:firstLine="465"/>
              <w:rPr>
                <w:bCs/>
                <w:color w:val="auto"/>
                <w:sz w:val="24"/>
              </w:rPr>
            </w:pPr>
            <w:r>
              <w:rPr>
                <w:rFonts w:hint="eastAsia"/>
                <w:bCs/>
                <w:color w:val="auto"/>
                <w:sz w:val="24"/>
              </w:rPr>
              <w:t>对于一般污染防治区，参照《一般工业固体废物贮存、处置场污染控制标准》（GB18599-2001）Ⅱ类场进行设计。</w:t>
            </w:r>
          </w:p>
          <w:p>
            <w:pPr>
              <w:adjustRightInd w:val="0"/>
              <w:snapToGrid w:val="0"/>
              <w:spacing w:line="360" w:lineRule="auto"/>
              <w:ind w:firstLine="465"/>
              <w:rPr>
                <w:color w:val="auto"/>
                <w:szCs w:val="21"/>
              </w:rPr>
            </w:pPr>
            <w:r>
              <w:rPr>
                <w:bCs/>
                <w:color w:val="auto"/>
                <w:sz w:val="24"/>
              </w:rPr>
              <w:t>生产车间其他生产区域及一般固废暂存间防渗要求：当天然基础层的渗透系数大于1.0×10</w:t>
            </w:r>
            <w:r>
              <w:rPr>
                <w:bCs/>
                <w:color w:val="auto"/>
                <w:sz w:val="24"/>
                <w:vertAlign w:val="superscript"/>
              </w:rPr>
              <w:t>-7</w:t>
            </w:r>
            <w:r>
              <w:rPr>
                <w:bCs/>
                <w:color w:val="auto"/>
                <w:sz w:val="24"/>
              </w:rPr>
              <w:t>cm/s 时，应采用天然或人工材料构筑防渗层，防渗层的防渗性能应相当于渗透系数1.0×10</w:t>
            </w:r>
            <w:r>
              <w:rPr>
                <w:bCs/>
                <w:color w:val="auto"/>
                <w:sz w:val="24"/>
                <w:vertAlign w:val="superscript"/>
              </w:rPr>
              <w:t>-7</w:t>
            </w:r>
            <w:r>
              <w:rPr>
                <w:bCs/>
                <w:color w:val="auto"/>
                <w:sz w:val="24"/>
              </w:rPr>
              <w:t>cm/s和厚度1.5m的粘土层的防渗性能。防渗层的渗透量，防渗能力与般工业固体废物贮存、处置场污染控制标准》</w:t>
            </w:r>
            <w:r>
              <w:rPr>
                <w:rFonts w:hint="eastAsia"/>
                <w:bCs/>
                <w:color w:val="auto"/>
                <w:sz w:val="24"/>
              </w:rPr>
              <w:t>（</w:t>
            </w:r>
            <w:r>
              <w:rPr>
                <w:bCs/>
                <w:color w:val="auto"/>
                <w:sz w:val="24"/>
              </w:rPr>
              <w:t>GB18599-2001</w:t>
            </w:r>
            <w:r>
              <w:rPr>
                <w:rFonts w:hint="eastAsia"/>
                <w:bCs/>
                <w:color w:val="auto"/>
                <w:sz w:val="24"/>
              </w:rPr>
              <w:t>）</w:t>
            </w:r>
            <w:r>
              <w:rPr>
                <w:bCs/>
                <w:color w:val="auto"/>
                <w:sz w:val="24"/>
              </w:rPr>
              <w:t>第6.2.1条等效。</w:t>
            </w:r>
          </w:p>
          <w:p>
            <w:pPr>
              <w:pStyle w:val="42"/>
              <w:snapToGrid w:val="0"/>
              <w:spacing w:line="360" w:lineRule="auto"/>
              <w:ind w:firstLine="482" w:firstLineChars="200"/>
              <w:rPr>
                <w:rFonts w:ascii="Times New Roman" w:eastAsia="宋体" w:cs="Times New Roman"/>
                <w:b/>
                <w:bCs/>
                <w:color w:val="auto"/>
              </w:rPr>
            </w:pPr>
            <w:r>
              <w:rPr>
                <w:rFonts w:ascii="Times New Roman" w:eastAsia="宋体" w:cs="Times New Roman"/>
                <w:b/>
                <w:bCs/>
                <w:color w:val="auto"/>
              </w:rPr>
              <w:fldChar w:fldCharType="begin"/>
            </w:r>
            <w:r>
              <w:rPr>
                <w:rFonts w:ascii="Times New Roman" w:eastAsia="宋体" w:cs="Times New Roman"/>
                <w:b/>
                <w:bCs/>
                <w:color w:val="auto"/>
              </w:rPr>
              <w:instrText xml:space="preserve"> = 3 \* GB3 \* MERGEFORMAT </w:instrText>
            </w:r>
            <w:r>
              <w:rPr>
                <w:rFonts w:ascii="Times New Roman" w:eastAsia="宋体" w:cs="Times New Roman"/>
                <w:b/>
                <w:bCs/>
                <w:color w:val="auto"/>
              </w:rPr>
              <w:fldChar w:fldCharType="separate"/>
            </w:r>
            <w:r>
              <w:rPr>
                <w:rFonts w:hint="eastAsia" w:ascii="宋体" w:hAnsi="宋体" w:eastAsia="宋体" w:cs="宋体"/>
                <w:b/>
                <w:bCs/>
                <w:color w:val="auto"/>
              </w:rPr>
              <w:t>③</w:t>
            </w:r>
            <w:r>
              <w:rPr>
                <w:rFonts w:ascii="Times New Roman" w:eastAsia="宋体" w:cs="Times New Roman"/>
                <w:b/>
                <w:bCs/>
                <w:color w:val="auto"/>
              </w:rPr>
              <w:fldChar w:fldCharType="end"/>
            </w:r>
            <w:r>
              <w:rPr>
                <w:rFonts w:hint="eastAsia" w:ascii="Times New Roman" w:eastAsia="宋体" w:cs="Times New Roman"/>
                <w:b/>
                <w:bCs/>
                <w:color w:val="auto"/>
              </w:rPr>
              <w:t>非污染防治区:</w:t>
            </w:r>
          </w:p>
          <w:p>
            <w:pPr>
              <w:adjustRightInd w:val="0"/>
              <w:snapToGrid w:val="0"/>
              <w:spacing w:line="360" w:lineRule="auto"/>
              <w:ind w:firstLine="465"/>
              <w:rPr>
                <w:bCs/>
                <w:color w:val="auto"/>
                <w:sz w:val="24"/>
              </w:rPr>
            </w:pPr>
            <w:r>
              <w:rPr>
                <w:rFonts w:hint="eastAsia"/>
                <w:bCs/>
                <w:color w:val="auto"/>
                <w:sz w:val="24"/>
              </w:rPr>
              <w:t>本项目非污染防治区是指不会对土壤和地下水造成污染的区域，主要包括生产车间内办公区。</w:t>
            </w:r>
          </w:p>
          <w:p>
            <w:pPr>
              <w:adjustRightInd w:val="0"/>
              <w:snapToGrid w:val="0"/>
              <w:spacing w:line="360" w:lineRule="auto"/>
              <w:ind w:firstLine="465"/>
              <w:rPr>
                <w:bCs/>
                <w:color w:val="auto"/>
                <w:sz w:val="24"/>
              </w:rPr>
            </w:pPr>
            <w:r>
              <w:rPr>
                <w:rFonts w:hint="eastAsia"/>
                <w:bCs/>
                <w:color w:val="auto"/>
                <w:sz w:val="24"/>
              </w:rPr>
              <w:t>对于基本上不产生污染物的非污染防治区，不采取专门针对地下水污染的防治措施。</w:t>
            </w:r>
          </w:p>
          <w:p>
            <w:pPr>
              <w:adjustRightInd w:val="0"/>
              <w:snapToGrid w:val="0"/>
              <w:spacing w:line="360" w:lineRule="auto"/>
              <w:ind w:firstLine="465"/>
              <w:rPr>
                <w:bCs/>
                <w:color w:val="auto"/>
                <w:sz w:val="24"/>
              </w:rPr>
            </w:pPr>
            <w:r>
              <w:rPr>
                <w:bCs/>
                <w:color w:val="auto"/>
                <w:sz w:val="24"/>
              </w:rPr>
              <w:t>本项目对可能造成地下水、土壤污染影响的区域进行分类识别、分区防渗，见下表。</w:t>
            </w:r>
          </w:p>
          <w:p>
            <w:pPr>
              <w:adjustRightInd w:val="0"/>
              <w:snapToGrid w:val="0"/>
              <w:jc w:val="center"/>
              <w:rPr>
                <w:rFonts w:ascii="宋体" w:cs="宋体"/>
                <w:b/>
                <w:color w:val="auto"/>
                <w:sz w:val="21"/>
                <w:szCs w:val="21"/>
              </w:rPr>
            </w:pPr>
            <w:r>
              <w:rPr>
                <w:b/>
                <w:color w:val="auto"/>
                <w:sz w:val="21"/>
                <w:szCs w:val="21"/>
              </w:rPr>
              <w:t>表</w:t>
            </w:r>
            <w:r>
              <w:rPr>
                <w:rFonts w:hint="eastAsia"/>
                <w:b/>
                <w:color w:val="auto"/>
                <w:sz w:val="21"/>
                <w:szCs w:val="21"/>
              </w:rPr>
              <w:t>4-</w:t>
            </w:r>
            <w:r>
              <w:rPr>
                <w:rFonts w:hint="eastAsia"/>
                <w:b/>
                <w:color w:val="auto"/>
                <w:sz w:val="21"/>
                <w:szCs w:val="21"/>
                <w:lang w:val="en-US" w:eastAsia="zh-CN"/>
              </w:rPr>
              <w:t>6</w:t>
            </w:r>
            <w:r>
              <w:rPr>
                <w:b/>
                <w:color w:val="auto"/>
                <w:sz w:val="21"/>
                <w:szCs w:val="21"/>
              </w:rPr>
              <w:t xml:space="preserve"> </w:t>
            </w:r>
            <w:r>
              <w:rPr>
                <w:rFonts w:hint="eastAsia"/>
                <w:b/>
                <w:color w:val="auto"/>
                <w:sz w:val="21"/>
                <w:szCs w:val="21"/>
              </w:rPr>
              <w:t>本</w:t>
            </w:r>
            <w:r>
              <w:rPr>
                <w:rFonts w:hint="eastAsia" w:ascii="宋体" w:cs="宋体"/>
                <w:b/>
                <w:color w:val="auto"/>
                <w:sz w:val="21"/>
                <w:szCs w:val="21"/>
              </w:rPr>
              <w:t>项目防渗分区识别表</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323"/>
              <w:gridCol w:w="1069"/>
              <w:gridCol w:w="926"/>
              <w:gridCol w:w="39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dxa"/>
                  <w:tcBorders>
                    <w:bottom w:val="single" w:color="auto" w:sz="4" w:space="0"/>
                  </w:tcBorders>
                  <w:noWrap w:val="0"/>
                  <w:vAlign w:val="center"/>
                </w:tcPr>
                <w:p>
                  <w:pPr>
                    <w:widowControl/>
                    <w:adjustRightInd w:val="0"/>
                    <w:snapToGrid w:val="0"/>
                    <w:jc w:val="center"/>
                    <w:rPr>
                      <w:b/>
                      <w:color w:val="auto"/>
                      <w:sz w:val="21"/>
                      <w:szCs w:val="21"/>
                    </w:rPr>
                  </w:pPr>
                  <w:r>
                    <w:rPr>
                      <w:b/>
                      <w:color w:val="auto"/>
                      <w:sz w:val="21"/>
                      <w:szCs w:val="21"/>
                    </w:rPr>
                    <w:t>序号</w:t>
                  </w:r>
                </w:p>
              </w:tc>
              <w:tc>
                <w:tcPr>
                  <w:tcW w:w="1323" w:type="dxa"/>
                  <w:tcBorders>
                    <w:bottom w:val="single" w:color="auto" w:sz="4" w:space="0"/>
                  </w:tcBorders>
                  <w:noWrap w:val="0"/>
                  <w:vAlign w:val="center"/>
                </w:tcPr>
                <w:p>
                  <w:pPr>
                    <w:widowControl/>
                    <w:adjustRightInd w:val="0"/>
                    <w:snapToGrid w:val="0"/>
                    <w:jc w:val="center"/>
                    <w:rPr>
                      <w:b/>
                      <w:color w:val="auto"/>
                      <w:sz w:val="21"/>
                      <w:szCs w:val="21"/>
                    </w:rPr>
                  </w:pPr>
                  <w:r>
                    <w:rPr>
                      <w:b/>
                      <w:color w:val="auto"/>
                      <w:sz w:val="21"/>
                      <w:szCs w:val="21"/>
                    </w:rPr>
                    <w:t>装置（单元、设施）名称</w:t>
                  </w:r>
                </w:p>
              </w:tc>
              <w:tc>
                <w:tcPr>
                  <w:tcW w:w="1069" w:type="dxa"/>
                  <w:tcBorders>
                    <w:bottom w:val="single" w:color="auto" w:sz="4" w:space="0"/>
                  </w:tcBorders>
                  <w:noWrap w:val="0"/>
                  <w:vAlign w:val="center"/>
                </w:tcPr>
                <w:p>
                  <w:pPr>
                    <w:widowControl/>
                    <w:adjustRightInd w:val="0"/>
                    <w:snapToGrid w:val="0"/>
                    <w:jc w:val="center"/>
                    <w:rPr>
                      <w:b/>
                      <w:color w:val="auto"/>
                      <w:sz w:val="21"/>
                      <w:szCs w:val="21"/>
                    </w:rPr>
                  </w:pPr>
                  <w:r>
                    <w:rPr>
                      <w:b/>
                      <w:color w:val="auto"/>
                      <w:sz w:val="21"/>
                      <w:szCs w:val="21"/>
                    </w:rPr>
                    <w:t>防渗区域及部位</w:t>
                  </w:r>
                </w:p>
              </w:tc>
              <w:tc>
                <w:tcPr>
                  <w:tcW w:w="926" w:type="dxa"/>
                  <w:tcBorders>
                    <w:bottom w:val="single" w:color="auto" w:sz="4" w:space="0"/>
                  </w:tcBorders>
                  <w:noWrap w:val="0"/>
                  <w:vAlign w:val="center"/>
                </w:tcPr>
                <w:p>
                  <w:pPr>
                    <w:widowControl/>
                    <w:adjustRightInd w:val="0"/>
                    <w:snapToGrid w:val="0"/>
                    <w:jc w:val="center"/>
                    <w:rPr>
                      <w:b/>
                      <w:color w:val="auto"/>
                      <w:sz w:val="21"/>
                      <w:szCs w:val="21"/>
                    </w:rPr>
                  </w:pPr>
                  <w:r>
                    <w:rPr>
                      <w:b/>
                      <w:color w:val="auto"/>
                      <w:sz w:val="21"/>
                      <w:szCs w:val="21"/>
                    </w:rPr>
                    <w:t>识别结果</w:t>
                  </w:r>
                </w:p>
              </w:tc>
              <w:tc>
                <w:tcPr>
                  <w:tcW w:w="3972" w:type="dxa"/>
                  <w:tcBorders>
                    <w:bottom w:val="single" w:color="auto" w:sz="4" w:space="0"/>
                  </w:tcBorders>
                  <w:noWrap w:val="0"/>
                  <w:vAlign w:val="center"/>
                </w:tcPr>
                <w:p>
                  <w:pPr>
                    <w:widowControl/>
                    <w:adjustRightInd w:val="0"/>
                    <w:snapToGrid w:val="0"/>
                    <w:jc w:val="center"/>
                    <w:rPr>
                      <w:b/>
                      <w:color w:val="auto"/>
                      <w:sz w:val="21"/>
                      <w:szCs w:val="21"/>
                    </w:rPr>
                  </w:pPr>
                  <w:r>
                    <w:rPr>
                      <w:b/>
                      <w:color w:val="auto"/>
                      <w:sz w:val="21"/>
                      <w:szCs w:val="21"/>
                    </w:rPr>
                    <w:t>防渗措施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dxa"/>
                  <w:tcBorders>
                    <w:top w:val="single" w:color="auto" w:sz="4" w:space="0"/>
                    <w:bottom w:val="single" w:color="auto" w:sz="4" w:space="0"/>
                  </w:tcBorders>
                  <w:noWrap w:val="0"/>
                  <w:vAlign w:val="center"/>
                </w:tcPr>
                <w:p>
                  <w:pPr>
                    <w:widowControl/>
                    <w:adjustRightInd w:val="0"/>
                    <w:snapToGrid w:val="0"/>
                    <w:jc w:val="center"/>
                    <w:rPr>
                      <w:color w:val="auto"/>
                      <w:sz w:val="21"/>
                      <w:szCs w:val="21"/>
                    </w:rPr>
                  </w:pPr>
                  <w:r>
                    <w:rPr>
                      <w:rFonts w:hint="eastAsia"/>
                      <w:color w:val="auto"/>
                      <w:sz w:val="21"/>
                      <w:szCs w:val="21"/>
                    </w:rPr>
                    <w:t>1</w:t>
                  </w:r>
                </w:p>
              </w:tc>
              <w:tc>
                <w:tcPr>
                  <w:tcW w:w="1323" w:type="dxa"/>
                  <w:tcBorders>
                    <w:top w:val="single" w:color="auto" w:sz="4" w:space="0"/>
                    <w:bottom w:val="single" w:color="auto" w:sz="4" w:space="0"/>
                  </w:tcBorders>
                  <w:noWrap w:val="0"/>
                  <w:vAlign w:val="center"/>
                </w:tcPr>
                <w:p>
                  <w:pPr>
                    <w:widowControl/>
                    <w:adjustRightInd w:val="0"/>
                    <w:snapToGrid w:val="0"/>
                    <w:jc w:val="center"/>
                    <w:rPr>
                      <w:color w:val="auto"/>
                      <w:sz w:val="21"/>
                      <w:szCs w:val="21"/>
                    </w:rPr>
                  </w:pPr>
                  <w:r>
                    <w:rPr>
                      <w:rFonts w:hint="eastAsia"/>
                      <w:color w:val="auto"/>
                      <w:sz w:val="21"/>
                      <w:szCs w:val="21"/>
                      <w:lang w:eastAsia="zh-CN"/>
                    </w:rPr>
                    <w:t>有机原料库区</w:t>
                  </w:r>
                  <w:r>
                    <w:rPr>
                      <w:rFonts w:hint="eastAsia"/>
                      <w:color w:val="auto"/>
                      <w:sz w:val="21"/>
                      <w:szCs w:val="21"/>
                    </w:rPr>
                    <w:t>、</w:t>
                  </w:r>
                  <w:r>
                    <w:rPr>
                      <w:color w:val="auto"/>
                      <w:sz w:val="21"/>
                      <w:szCs w:val="21"/>
                    </w:rPr>
                    <w:t>危废暂存间</w:t>
                  </w:r>
                </w:p>
              </w:tc>
              <w:tc>
                <w:tcPr>
                  <w:tcW w:w="1069" w:type="dxa"/>
                  <w:tcBorders>
                    <w:top w:val="single" w:color="auto" w:sz="4" w:space="0"/>
                    <w:bottom w:val="single" w:color="auto" w:sz="4" w:space="0"/>
                  </w:tcBorders>
                  <w:noWrap w:val="0"/>
                  <w:vAlign w:val="center"/>
                </w:tcPr>
                <w:p>
                  <w:pPr>
                    <w:widowControl/>
                    <w:adjustRightInd w:val="0"/>
                    <w:snapToGrid w:val="0"/>
                    <w:jc w:val="center"/>
                    <w:rPr>
                      <w:color w:val="auto"/>
                      <w:sz w:val="21"/>
                      <w:szCs w:val="21"/>
                    </w:rPr>
                  </w:pPr>
                  <w:r>
                    <w:rPr>
                      <w:color w:val="auto"/>
                      <w:sz w:val="21"/>
                      <w:szCs w:val="21"/>
                    </w:rPr>
                    <w:t>地面</w:t>
                  </w:r>
                  <w:r>
                    <w:rPr>
                      <w:rFonts w:hint="eastAsia"/>
                      <w:color w:val="auto"/>
                      <w:sz w:val="21"/>
                      <w:szCs w:val="21"/>
                    </w:rPr>
                    <w:t>、</w:t>
                  </w:r>
                  <w:r>
                    <w:rPr>
                      <w:color w:val="auto"/>
                      <w:sz w:val="21"/>
                      <w:szCs w:val="21"/>
                    </w:rPr>
                    <w:t>裙角</w:t>
                  </w:r>
                </w:p>
              </w:tc>
              <w:tc>
                <w:tcPr>
                  <w:tcW w:w="926" w:type="dxa"/>
                  <w:tcBorders>
                    <w:top w:val="single" w:color="auto" w:sz="4" w:space="0"/>
                    <w:bottom w:val="single" w:color="auto" w:sz="4" w:space="0"/>
                  </w:tcBorders>
                  <w:noWrap w:val="0"/>
                  <w:vAlign w:val="center"/>
                </w:tcPr>
                <w:p>
                  <w:pPr>
                    <w:widowControl/>
                    <w:adjustRightInd w:val="0"/>
                    <w:snapToGrid w:val="0"/>
                    <w:jc w:val="center"/>
                    <w:rPr>
                      <w:color w:val="auto"/>
                      <w:sz w:val="21"/>
                      <w:szCs w:val="21"/>
                    </w:rPr>
                  </w:pPr>
                  <w:r>
                    <w:rPr>
                      <w:color w:val="auto"/>
                      <w:sz w:val="21"/>
                      <w:szCs w:val="21"/>
                    </w:rPr>
                    <w:t>重点污染防治区</w:t>
                  </w:r>
                </w:p>
              </w:tc>
              <w:tc>
                <w:tcPr>
                  <w:tcW w:w="3972" w:type="dxa"/>
                  <w:tcBorders>
                    <w:top w:val="single" w:color="auto" w:sz="4" w:space="0"/>
                    <w:bottom w:val="single" w:color="auto" w:sz="4" w:space="0"/>
                  </w:tcBorders>
                  <w:noWrap w:val="0"/>
                  <w:vAlign w:val="center"/>
                </w:tcPr>
                <w:p>
                  <w:pPr>
                    <w:widowControl/>
                    <w:adjustRightInd w:val="0"/>
                    <w:snapToGrid w:val="0"/>
                    <w:jc w:val="center"/>
                    <w:rPr>
                      <w:color w:val="auto"/>
                      <w:sz w:val="21"/>
                      <w:szCs w:val="21"/>
                    </w:rPr>
                  </w:pPr>
                  <w:r>
                    <w:rPr>
                      <w:rFonts w:hint="eastAsia"/>
                      <w:color w:val="auto"/>
                      <w:sz w:val="21"/>
                      <w:szCs w:val="21"/>
                    </w:rPr>
                    <w:t>至少</w:t>
                  </w:r>
                  <w:r>
                    <w:rPr>
                      <w:color w:val="auto"/>
                      <w:sz w:val="21"/>
                      <w:szCs w:val="21"/>
                    </w:rPr>
                    <w:t>1m</w:t>
                  </w:r>
                  <w:r>
                    <w:rPr>
                      <w:rFonts w:hint="eastAsia"/>
                      <w:color w:val="auto"/>
                      <w:sz w:val="21"/>
                      <w:szCs w:val="21"/>
                    </w:rPr>
                    <w:t>厚粘土层（渗透系数≤</w:t>
                  </w:r>
                  <w:r>
                    <w:rPr>
                      <w:color w:val="auto"/>
                      <w:sz w:val="21"/>
                      <w:szCs w:val="21"/>
                    </w:rPr>
                    <w:t>10</w:t>
                  </w:r>
                  <w:r>
                    <w:rPr>
                      <w:color w:val="auto"/>
                      <w:sz w:val="21"/>
                      <w:szCs w:val="21"/>
                      <w:vertAlign w:val="superscript"/>
                    </w:rPr>
                    <w:t>-7</w:t>
                  </w:r>
                  <w:r>
                    <w:rPr>
                      <w:color w:val="auto"/>
                      <w:sz w:val="21"/>
                      <w:szCs w:val="21"/>
                    </w:rPr>
                    <w:t>cm/s</w:t>
                  </w:r>
                  <w:r>
                    <w:rPr>
                      <w:rFonts w:hint="eastAsia"/>
                      <w:color w:val="auto"/>
                      <w:sz w:val="21"/>
                      <w:szCs w:val="21"/>
                    </w:rPr>
                    <w:t>），或者</w:t>
                  </w:r>
                  <w:r>
                    <w:rPr>
                      <w:color w:val="auto"/>
                      <w:sz w:val="21"/>
                      <w:szCs w:val="21"/>
                    </w:rPr>
                    <w:t>2mm</w:t>
                  </w:r>
                  <w:r>
                    <w:rPr>
                      <w:rFonts w:hint="eastAsia"/>
                      <w:color w:val="auto"/>
                      <w:sz w:val="21"/>
                      <w:szCs w:val="21"/>
                    </w:rPr>
                    <w:t>厚高密度聚乙烯，或至少</w:t>
                  </w:r>
                  <w:r>
                    <w:rPr>
                      <w:color w:val="auto"/>
                      <w:sz w:val="21"/>
                      <w:szCs w:val="21"/>
                    </w:rPr>
                    <w:t>2mm</w:t>
                  </w:r>
                  <w:r>
                    <w:rPr>
                      <w:rFonts w:hint="eastAsia"/>
                      <w:color w:val="auto"/>
                      <w:sz w:val="21"/>
                      <w:szCs w:val="21"/>
                    </w:rPr>
                    <w:t>的其他人工材料（渗透系数≤</w:t>
                  </w:r>
                  <w:r>
                    <w:rPr>
                      <w:color w:val="auto"/>
                      <w:sz w:val="21"/>
                      <w:szCs w:val="21"/>
                    </w:rPr>
                    <w:t>10</w:t>
                  </w:r>
                  <w:r>
                    <w:rPr>
                      <w:color w:val="auto"/>
                      <w:sz w:val="21"/>
                      <w:szCs w:val="21"/>
                      <w:vertAlign w:val="superscript"/>
                    </w:rPr>
                    <w:t>-10</w:t>
                  </w:r>
                  <w:r>
                    <w:rPr>
                      <w:color w:val="auto"/>
                      <w:sz w:val="21"/>
                      <w:szCs w:val="21"/>
                    </w:rPr>
                    <w:t>cm/s</w:t>
                  </w:r>
                  <w:r>
                    <w:rPr>
                      <w:rFonts w:hint="eastAsia"/>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dxa"/>
                  <w:tcBorders>
                    <w:top w:val="single" w:color="auto" w:sz="4" w:space="0"/>
                    <w:bottom w:val="single" w:color="auto" w:sz="4" w:space="0"/>
                  </w:tcBorders>
                  <w:noWrap w:val="0"/>
                  <w:vAlign w:val="center"/>
                </w:tcPr>
                <w:p>
                  <w:pPr>
                    <w:widowControl/>
                    <w:adjustRightInd w:val="0"/>
                    <w:snapToGrid w:val="0"/>
                    <w:jc w:val="center"/>
                    <w:rPr>
                      <w:color w:val="auto"/>
                      <w:sz w:val="21"/>
                      <w:szCs w:val="21"/>
                    </w:rPr>
                  </w:pPr>
                  <w:r>
                    <w:rPr>
                      <w:rFonts w:hint="eastAsia"/>
                      <w:color w:val="auto"/>
                      <w:sz w:val="21"/>
                      <w:szCs w:val="21"/>
                    </w:rPr>
                    <w:t>2</w:t>
                  </w:r>
                </w:p>
              </w:tc>
              <w:tc>
                <w:tcPr>
                  <w:tcW w:w="1323" w:type="dxa"/>
                  <w:tcBorders>
                    <w:top w:val="single" w:color="auto" w:sz="4" w:space="0"/>
                    <w:bottom w:val="single" w:color="auto" w:sz="4" w:space="0"/>
                  </w:tcBorders>
                  <w:noWrap w:val="0"/>
                  <w:vAlign w:val="center"/>
                </w:tcPr>
                <w:p>
                  <w:pPr>
                    <w:widowControl/>
                    <w:adjustRightInd w:val="0"/>
                    <w:snapToGrid w:val="0"/>
                    <w:jc w:val="center"/>
                    <w:rPr>
                      <w:color w:val="auto"/>
                      <w:sz w:val="21"/>
                      <w:szCs w:val="21"/>
                    </w:rPr>
                  </w:pPr>
                  <w:r>
                    <w:rPr>
                      <w:color w:val="auto"/>
                      <w:sz w:val="21"/>
                      <w:szCs w:val="21"/>
                    </w:rPr>
                    <w:t>生产车间其他生产区域及一般固废暂存间</w:t>
                  </w:r>
                </w:p>
              </w:tc>
              <w:tc>
                <w:tcPr>
                  <w:tcW w:w="1069" w:type="dxa"/>
                  <w:tcBorders>
                    <w:top w:val="single" w:color="auto" w:sz="4" w:space="0"/>
                    <w:bottom w:val="single" w:color="auto" w:sz="4" w:space="0"/>
                  </w:tcBorders>
                  <w:noWrap w:val="0"/>
                  <w:vAlign w:val="center"/>
                </w:tcPr>
                <w:p>
                  <w:pPr>
                    <w:widowControl/>
                    <w:adjustRightInd w:val="0"/>
                    <w:snapToGrid w:val="0"/>
                    <w:jc w:val="center"/>
                    <w:rPr>
                      <w:color w:val="auto"/>
                      <w:sz w:val="21"/>
                      <w:szCs w:val="21"/>
                    </w:rPr>
                  </w:pPr>
                  <w:r>
                    <w:rPr>
                      <w:color w:val="auto"/>
                      <w:sz w:val="21"/>
                      <w:szCs w:val="21"/>
                    </w:rPr>
                    <w:t>地面</w:t>
                  </w:r>
                </w:p>
              </w:tc>
              <w:tc>
                <w:tcPr>
                  <w:tcW w:w="926" w:type="dxa"/>
                  <w:tcBorders>
                    <w:top w:val="single" w:color="auto" w:sz="4" w:space="0"/>
                    <w:bottom w:val="single" w:color="auto" w:sz="4" w:space="0"/>
                  </w:tcBorders>
                  <w:noWrap w:val="0"/>
                  <w:vAlign w:val="center"/>
                </w:tcPr>
                <w:p>
                  <w:pPr>
                    <w:widowControl/>
                    <w:adjustRightInd w:val="0"/>
                    <w:snapToGrid w:val="0"/>
                    <w:jc w:val="center"/>
                    <w:rPr>
                      <w:color w:val="auto"/>
                      <w:sz w:val="21"/>
                      <w:szCs w:val="21"/>
                    </w:rPr>
                  </w:pPr>
                  <w:r>
                    <w:rPr>
                      <w:color w:val="auto"/>
                      <w:sz w:val="21"/>
                      <w:szCs w:val="21"/>
                    </w:rPr>
                    <w:t>一般污染防治区</w:t>
                  </w:r>
                </w:p>
              </w:tc>
              <w:tc>
                <w:tcPr>
                  <w:tcW w:w="3972" w:type="dxa"/>
                  <w:tcBorders>
                    <w:top w:val="single" w:color="auto" w:sz="4" w:space="0"/>
                    <w:bottom w:val="single" w:color="auto" w:sz="4" w:space="0"/>
                  </w:tcBorders>
                  <w:noWrap w:val="0"/>
                  <w:vAlign w:val="center"/>
                </w:tcPr>
                <w:p>
                  <w:pPr>
                    <w:widowControl/>
                    <w:adjustRightInd w:val="0"/>
                    <w:snapToGrid w:val="0"/>
                    <w:jc w:val="center"/>
                    <w:rPr>
                      <w:color w:val="auto"/>
                      <w:sz w:val="21"/>
                      <w:szCs w:val="21"/>
                    </w:rPr>
                  </w:pPr>
                  <w:r>
                    <w:rPr>
                      <w:rFonts w:hint="eastAsia" w:ascii="宋体" w:cs="宋体"/>
                      <w:color w:val="auto"/>
                      <w:spacing w:val="16"/>
                      <w:sz w:val="21"/>
                      <w:szCs w:val="21"/>
                    </w:rPr>
                    <w:t>等效黏土防渗层</w:t>
                  </w:r>
                  <w:r>
                    <w:rPr>
                      <w:rFonts w:ascii="宋体" w:cs="宋体"/>
                      <w:color w:val="auto"/>
                      <w:spacing w:val="16"/>
                      <w:sz w:val="21"/>
                      <w:szCs w:val="21"/>
                    </w:rPr>
                    <w:t xml:space="preserve"> </w:t>
                  </w:r>
                  <w:r>
                    <w:rPr>
                      <w:color w:val="auto"/>
                      <w:sz w:val="21"/>
                      <w:szCs w:val="21"/>
                    </w:rPr>
                    <w:t>Mb≥1.5m</w:t>
                  </w:r>
                  <w:r>
                    <w:rPr>
                      <w:rFonts w:hint="eastAsia" w:ascii="宋体" w:cs="宋体"/>
                      <w:color w:val="auto"/>
                      <w:sz w:val="21"/>
                      <w:szCs w:val="21"/>
                    </w:rPr>
                    <w:t>，</w:t>
                  </w:r>
                  <w:r>
                    <w:rPr>
                      <w:rFonts w:ascii="宋体" w:cs="宋体"/>
                      <w:color w:val="auto"/>
                      <w:sz w:val="21"/>
                      <w:szCs w:val="21"/>
                    </w:rPr>
                    <w:t xml:space="preserve"> </w:t>
                  </w:r>
                  <w:r>
                    <w:rPr>
                      <w:color w:val="auto"/>
                      <w:sz w:val="21"/>
                      <w:szCs w:val="21"/>
                    </w:rPr>
                    <w:t>K≤1×10</w:t>
                  </w:r>
                  <w:r>
                    <w:rPr>
                      <w:color w:val="auto"/>
                      <w:sz w:val="21"/>
                      <w:szCs w:val="21"/>
                      <w:vertAlign w:val="superscript"/>
                    </w:rPr>
                    <w:t>-7</w:t>
                  </w:r>
                  <w:r>
                    <w:rPr>
                      <w:color w:val="auto"/>
                      <w:sz w:val="21"/>
                      <w:szCs w:val="21"/>
                    </w:rPr>
                    <w:t>cm/s</w:t>
                  </w:r>
                  <w:r>
                    <w:rPr>
                      <w:rFonts w:hint="eastAsia" w:ascii="宋体" w:cs="宋体"/>
                      <w:color w:val="auto"/>
                      <w:sz w:val="21"/>
                      <w:szCs w:val="21"/>
                    </w:rPr>
                    <w:t>（</w:t>
                  </w:r>
                  <w:r>
                    <w:rPr>
                      <w:rFonts w:hint="eastAsia" w:ascii="宋体" w:cs="宋体"/>
                      <w:color w:val="auto"/>
                      <w:spacing w:val="-4"/>
                      <w:sz w:val="21"/>
                      <w:szCs w:val="21"/>
                    </w:rPr>
                    <w:t>或参照</w:t>
                  </w:r>
                  <w:r>
                    <w:rPr>
                      <w:rFonts w:ascii="宋体" w:cs="宋体"/>
                      <w:color w:val="auto"/>
                      <w:spacing w:val="-4"/>
                      <w:sz w:val="21"/>
                      <w:szCs w:val="21"/>
                    </w:rPr>
                    <w:t xml:space="preserve"> </w:t>
                  </w:r>
                  <w:r>
                    <w:rPr>
                      <w:color w:val="auto"/>
                      <w:sz w:val="21"/>
                      <w:szCs w:val="21"/>
                    </w:rPr>
                    <w:t xml:space="preserve">GB16889 </w:t>
                  </w:r>
                  <w:r>
                    <w:rPr>
                      <w:rFonts w:hint="eastAsia" w:ascii="宋体" w:cs="宋体"/>
                      <w:color w:val="auto"/>
                      <w:spacing w:val="-2"/>
                      <w:sz w:val="21"/>
                      <w:szCs w:val="21"/>
                    </w:rPr>
                    <w:t>执行</w:t>
                  </w:r>
                  <w:r>
                    <w:rPr>
                      <w:rFonts w:hint="eastAsia" w:ascii="宋体" w:cs="宋体"/>
                      <w:color w:val="auto"/>
                      <w:spacing w:val="-3"/>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dxa"/>
                  <w:tcBorders>
                    <w:top w:val="single" w:color="auto" w:sz="4" w:space="0"/>
                  </w:tcBorders>
                  <w:noWrap w:val="0"/>
                  <w:vAlign w:val="center"/>
                </w:tcPr>
                <w:p>
                  <w:pPr>
                    <w:widowControl/>
                    <w:adjustRightInd w:val="0"/>
                    <w:snapToGrid w:val="0"/>
                    <w:jc w:val="center"/>
                    <w:rPr>
                      <w:color w:val="auto"/>
                      <w:sz w:val="21"/>
                      <w:szCs w:val="21"/>
                    </w:rPr>
                  </w:pPr>
                  <w:r>
                    <w:rPr>
                      <w:rFonts w:hint="eastAsia"/>
                      <w:color w:val="auto"/>
                      <w:sz w:val="21"/>
                      <w:szCs w:val="21"/>
                    </w:rPr>
                    <w:t>3</w:t>
                  </w:r>
                </w:p>
              </w:tc>
              <w:tc>
                <w:tcPr>
                  <w:tcW w:w="1323" w:type="dxa"/>
                  <w:tcBorders>
                    <w:top w:val="single" w:color="auto" w:sz="4" w:space="0"/>
                  </w:tcBorders>
                  <w:noWrap w:val="0"/>
                  <w:vAlign w:val="center"/>
                </w:tcPr>
                <w:p>
                  <w:pPr>
                    <w:widowControl/>
                    <w:adjustRightInd w:val="0"/>
                    <w:snapToGrid w:val="0"/>
                    <w:jc w:val="center"/>
                    <w:rPr>
                      <w:color w:val="auto"/>
                      <w:sz w:val="21"/>
                      <w:szCs w:val="21"/>
                    </w:rPr>
                  </w:pPr>
                  <w:r>
                    <w:rPr>
                      <w:color w:val="auto"/>
                      <w:sz w:val="21"/>
                      <w:szCs w:val="21"/>
                    </w:rPr>
                    <w:t>办公区</w:t>
                  </w:r>
                </w:p>
              </w:tc>
              <w:tc>
                <w:tcPr>
                  <w:tcW w:w="1069" w:type="dxa"/>
                  <w:tcBorders>
                    <w:top w:val="single" w:color="auto" w:sz="4" w:space="0"/>
                  </w:tcBorders>
                  <w:noWrap w:val="0"/>
                  <w:vAlign w:val="center"/>
                </w:tcPr>
                <w:p>
                  <w:pPr>
                    <w:widowControl/>
                    <w:adjustRightInd w:val="0"/>
                    <w:snapToGrid w:val="0"/>
                    <w:jc w:val="center"/>
                    <w:rPr>
                      <w:color w:val="auto"/>
                      <w:sz w:val="21"/>
                      <w:szCs w:val="21"/>
                    </w:rPr>
                  </w:pPr>
                  <w:r>
                    <w:rPr>
                      <w:color w:val="auto"/>
                      <w:sz w:val="21"/>
                      <w:szCs w:val="21"/>
                    </w:rPr>
                    <w:t>地面</w:t>
                  </w:r>
                </w:p>
              </w:tc>
              <w:tc>
                <w:tcPr>
                  <w:tcW w:w="926" w:type="dxa"/>
                  <w:tcBorders>
                    <w:top w:val="single" w:color="auto" w:sz="4" w:space="0"/>
                  </w:tcBorders>
                  <w:noWrap w:val="0"/>
                  <w:vAlign w:val="center"/>
                </w:tcPr>
                <w:p>
                  <w:pPr>
                    <w:widowControl/>
                    <w:adjustRightInd w:val="0"/>
                    <w:snapToGrid w:val="0"/>
                    <w:jc w:val="center"/>
                    <w:rPr>
                      <w:color w:val="auto"/>
                      <w:sz w:val="21"/>
                      <w:szCs w:val="21"/>
                    </w:rPr>
                  </w:pPr>
                  <w:r>
                    <w:rPr>
                      <w:color w:val="auto"/>
                      <w:sz w:val="21"/>
                      <w:szCs w:val="21"/>
                    </w:rPr>
                    <w:t>非污染防治区</w:t>
                  </w:r>
                </w:p>
              </w:tc>
              <w:tc>
                <w:tcPr>
                  <w:tcW w:w="3972" w:type="dxa"/>
                  <w:tcBorders>
                    <w:top w:val="single" w:color="auto" w:sz="4" w:space="0"/>
                  </w:tcBorders>
                  <w:noWrap w:val="0"/>
                  <w:vAlign w:val="center"/>
                </w:tcPr>
                <w:p>
                  <w:pPr>
                    <w:widowControl/>
                    <w:adjustRightInd w:val="0"/>
                    <w:snapToGrid w:val="0"/>
                    <w:jc w:val="center"/>
                    <w:rPr>
                      <w:color w:val="auto"/>
                      <w:sz w:val="21"/>
                      <w:szCs w:val="21"/>
                    </w:rPr>
                  </w:pPr>
                  <w:r>
                    <w:rPr>
                      <w:color w:val="auto"/>
                      <w:sz w:val="21"/>
                      <w:szCs w:val="21"/>
                    </w:rPr>
                    <w:t>一般地面硬化</w:t>
                  </w:r>
                </w:p>
              </w:tc>
            </w:tr>
          </w:tbl>
          <w:p>
            <w:pPr>
              <w:pStyle w:val="42"/>
              <w:snapToGrid w:val="0"/>
              <w:spacing w:before="120" w:beforeLines="50" w:line="360" w:lineRule="auto"/>
              <w:ind w:firstLine="482" w:firstLineChars="200"/>
              <w:rPr>
                <w:rFonts w:ascii="Times New Roman" w:eastAsia="宋体" w:cs="Times New Roman"/>
                <w:b/>
                <w:bCs/>
                <w:color w:val="auto"/>
              </w:rPr>
            </w:pPr>
            <w:r>
              <w:rPr>
                <w:rFonts w:hint="eastAsia" w:ascii="Times New Roman" w:eastAsia="宋体" w:cs="Times New Roman"/>
                <w:b/>
                <w:bCs/>
                <w:color w:val="auto"/>
              </w:rPr>
              <w:t>3、跟踪监测要求</w:t>
            </w:r>
          </w:p>
          <w:p>
            <w:pPr>
              <w:adjustRightInd w:val="0"/>
              <w:snapToGrid w:val="0"/>
              <w:spacing w:line="360" w:lineRule="auto"/>
              <w:ind w:firstLine="465"/>
              <w:rPr>
                <w:bCs/>
                <w:color w:val="auto"/>
                <w:sz w:val="24"/>
              </w:rPr>
            </w:pPr>
            <w:r>
              <w:rPr>
                <w:rFonts w:hint="eastAsia"/>
                <w:bCs/>
                <w:color w:val="auto"/>
                <w:sz w:val="24"/>
              </w:rPr>
              <w:t>参照《排污单位自行监测技术指南 总则》（HJ 819-2017），涉重金属、难降解类有机污染物等重点排污单位排污单位厂界周边的土壤、地下水每年至少监测一次。</w:t>
            </w:r>
          </w:p>
          <w:p>
            <w:pPr>
              <w:adjustRightInd w:val="0"/>
              <w:snapToGrid w:val="0"/>
              <w:spacing w:line="360" w:lineRule="auto"/>
              <w:ind w:firstLine="465"/>
              <w:rPr>
                <w:bCs/>
                <w:color w:val="auto"/>
                <w:sz w:val="24"/>
              </w:rPr>
            </w:pPr>
            <w:r>
              <w:rPr>
                <w:bCs/>
                <w:color w:val="auto"/>
                <w:sz w:val="24"/>
              </w:rPr>
              <w:t>本项目</w:t>
            </w:r>
            <w:r>
              <w:rPr>
                <w:rFonts w:hint="eastAsia"/>
                <w:bCs/>
                <w:color w:val="auto"/>
                <w:sz w:val="24"/>
              </w:rPr>
              <w:t>经防渗处理后，泄漏污染影响极少，生产加工</w:t>
            </w:r>
            <w:r>
              <w:rPr>
                <w:bCs/>
                <w:color w:val="auto"/>
                <w:sz w:val="24"/>
              </w:rPr>
              <w:t>工序产生的有机废气通过干湿沉降进入土壤环境。大气沉降主要考虑重点重金属、持久性有机污染物（特别是二噁英，典型行业有铅蓄电池和危废焚烧等）、难降解有机污染物（苯系物等）以及最高法司法解释中规定的（主要有危废、剧毒化合物、重金属、农药等持久性有机污染物）。由于本项目使用的原辅材料污染程度较低，不涉及重金属、持久性有机污染物</w:t>
            </w:r>
            <w:r>
              <w:rPr>
                <w:rFonts w:hint="eastAsia"/>
                <w:bCs/>
                <w:color w:val="auto"/>
                <w:sz w:val="24"/>
              </w:rPr>
              <w:t>、</w:t>
            </w:r>
            <w:r>
              <w:rPr>
                <w:bCs/>
                <w:color w:val="auto"/>
                <w:sz w:val="24"/>
              </w:rPr>
              <w:t>苯系物或其他难分解、高毒性有机物等污染物质及不涉及（GB36600-2018）中表1建设用地土壤污染风险筛选值和管控值（基本项目）中挥发性有机物及半挥发性有机物污染项目，故可认为本项目排放的有机废气不涉及污染土壤环境的因子。</w:t>
            </w:r>
            <w:r>
              <w:rPr>
                <w:rFonts w:hint="eastAsia"/>
                <w:bCs/>
                <w:color w:val="auto"/>
                <w:sz w:val="24"/>
              </w:rPr>
              <w:t>同时，本项目位于</w:t>
            </w:r>
            <w:r>
              <w:rPr>
                <w:rFonts w:hint="eastAsia"/>
                <w:color w:val="auto"/>
                <w:sz w:val="24"/>
                <w:lang w:val="en-US" w:eastAsia="zh-CN"/>
              </w:rPr>
              <w:t>黑田铺印刷</w:t>
            </w:r>
            <w:r>
              <w:rPr>
                <w:rFonts w:hint="eastAsia"/>
                <w:color w:val="auto"/>
                <w:sz w:val="24"/>
              </w:rPr>
              <w:t>工业园</w:t>
            </w:r>
            <w:r>
              <w:rPr>
                <w:rFonts w:hint="eastAsia"/>
                <w:bCs/>
                <w:color w:val="auto"/>
                <w:sz w:val="24"/>
              </w:rPr>
              <w:t>内，可认为本项目所在周边的土壤敏感程度为“不敏感”。</w:t>
            </w:r>
          </w:p>
          <w:p>
            <w:pPr>
              <w:spacing w:line="360" w:lineRule="auto"/>
              <w:ind w:firstLine="480" w:firstLineChars="200"/>
              <w:rPr>
                <w:color w:val="auto"/>
              </w:rPr>
            </w:pPr>
            <w:r>
              <w:rPr>
                <w:rFonts w:hint="eastAsia"/>
                <w:bCs/>
                <w:color w:val="auto"/>
                <w:sz w:val="24"/>
              </w:rPr>
              <w:t>综上，本项目非涉重金属、难降解类有机污染物重点排污单位，暂且无开展跟踪监测要求</w:t>
            </w:r>
            <w:r>
              <w:rPr>
                <w:color w:val="auto"/>
              </w:rPr>
              <w:t>。</w:t>
            </w:r>
          </w:p>
          <w:p>
            <w:pPr>
              <w:pStyle w:val="4"/>
              <w:rPr>
                <w:color w:val="auto"/>
              </w:rPr>
            </w:pPr>
            <w:r>
              <w:rPr>
                <w:color w:val="auto"/>
              </w:rPr>
              <w:t>4.2.4固体废物环境影响分析</w:t>
            </w:r>
          </w:p>
          <w:p>
            <w:pPr>
              <w:widowControl/>
              <w:adjustRightInd w:val="0"/>
              <w:snapToGrid w:val="0"/>
              <w:spacing w:line="360" w:lineRule="auto"/>
              <w:ind w:firstLine="480" w:firstLineChars="200"/>
              <w:rPr>
                <w:color w:val="auto"/>
              </w:rPr>
            </w:pPr>
            <w:r>
              <w:rPr>
                <w:color w:val="auto"/>
              </w:rPr>
              <w:t>本项目固废包括</w:t>
            </w:r>
            <w:r>
              <w:rPr>
                <w:rFonts w:hint="eastAsia"/>
                <w:color w:val="auto"/>
              </w:rPr>
              <w:t>废包装袋、</w:t>
            </w:r>
            <w:r>
              <w:rPr>
                <w:rFonts w:hint="eastAsia"/>
                <w:color w:val="auto"/>
                <w:lang w:val="en-US" w:eastAsia="zh-CN"/>
              </w:rPr>
              <w:t>废包装桶、布袋除尘器粉尘、反渗透膜、有机废气</w:t>
            </w:r>
            <w:r>
              <w:rPr>
                <w:rFonts w:hint="eastAsia"/>
                <w:color w:val="auto"/>
              </w:rPr>
              <w:t>处理过程中产生的废活性炭以及生活垃圾。其中一般固体废物为废包装袋、</w:t>
            </w:r>
            <w:r>
              <w:rPr>
                <w:rFonts w:hint="eastAsia"/>
                <w:color w:val="auto"/>
                <w:lang w:val="en-US" w:eastAsia="zh-CN"/>
              </w:rPr>
              <w:t>废包装桶、布袋除尘器粉尘、反渗透膜</w:t>
            </w:r>
            <w:r>
              <w:rPr>
                <w:rFonts w:hint="eastAsia"/>
                <w:color w:val="auto"/>
                <w:lang w:eastAsia="zh-CN"/>
              </w:rPr>
              <w:t>，</w:t>
            </w:r>
            <w:r>
              <w:rPr>
                <w:rFonts w:hint="eastAsia"/>
                <w:color w:val="auto"/>
                <w:lang w:val="en-US" w:eastAsia="zh-CN"/>
              </w:rPr>
              <w:t>危险废物为</w:t>
            </w:r>
            <w:r>
              <w:rPr>
                <w:rFonts w:hint="eastAsia"/>
                <w:color w:val="auto"/>
                <w:lang w:eastAsia="zh-CN"/>
              </w:rPr>
              <w:t>废活性炭</w:t>
            </w:r>
            <w:r>
              <w:rPr>
                <w:color w:val="auto"/>
              </w:rPr>
              <w:t>。</w:t>
            </w:r>
          </w:p>
          <w:p>
            <w:pPr>
              <w:widowControl/>
              <w:numPr>
                <w:ilvl w:val="0"/>
                <w:numId w:val="2"/>
              </w:numPr>
              <w:adjustRightInd w:val="0"/>
              <w:snapToGrid w:val="0"/>
              <w:spacing w:line="360" w:lineRule="auto"/>
              <w:ind w:firstLine="480" w:firstLineChars="200"/>
              <w:rPr>
                <w:color w:val="auto"/>
              </w:rPr>
            </w:pPr>
            <w:r>
              <w:rPr>
                <w:color w:val="auto"/>
              </w:rPr>
              <w:t>生活垃圾</w:t>
            </w:r>
          </w:p>
          <w:p>
            <w:pPr>
              <w:widowControl/>
              <w:adjustRightInd w:val="0"/>
              <w:snapToGrid w:val="0"/>
              <w:spacing w:line="360" w:lineRule="auto"/>
              <w:rPr>
                <w:color w:val="auto"/>
              </w:rPr>
            </w:pPr>
            <w:r>
              <w:rPr>
                <w:color w:val="auto"/>
              </w:rPr>
              <w:t xml:space="preserve">     生活垃圾产生量住宿人员按</w:t>
            </w:r>
            <w:r>
              <w:rPr>
                <w:rFonts w:hint="eastAsia"/>
                <w:color w:val="auto"/>
                <w:lang w:val="en-US" w:eastAsia="zh-CN"/>
              </w:rPr>
              <w:t>0.54</w:t>
            </w:r>
            <w:r>
              <w:rPr>
                <w:color w:val="auto"/>
              </w:rPr>
              <w:t>kg/人·d计，项目定员</w:t>
            </w:r>
            <w:r>
              <w:rPr>
                <w:rFonts w:hint="eastAsia"/>
                <w:color w:val="auto"/>
                <w:lang w:val="en-US" w:eastAsia="zh-CN"/>
              </w:rPr>
              <w:t>20人</w:t>
            </w:r>
            <w:r>
              <w:rPr>
                <w:rFonts w:hint="eastAsia"/>
                <w:color w:val="auto"/>
                <w:lang w:eastAsia="zh-CN"/>
              </w:rPr>
              <w:t>，</w:t>
            </w:r>
            <w:r>
              <w:rPr>
                <w:color w:val="auto"/>
              </w:rPr>
              <w:t>年运行</w:t>
            </w:r>
            <w:r>
              <w:rPr>
                <w:rFonts w:hint="eastAsia"/>
                <w:color w:val="auto"/>
                <w:lang w:val="en-US" w:eastAsia="zh-CN"/>
              </w:rPr>
              <w:t>30</w:t>
            </w:r>
            <w:r>
              <w:rPr>
                <w:color w:val="auto"/>
              </w:rPr>
              <w:t>0天，经计算，项目运营期职工生活垃圾产生量为</w:t>
            </w:r>
            <w:r>
              <w:rPr>
                <w:rFonts w:hint="eastAsia"/>
                <w:color w:val="auto"/>
                <w:lang w:eastAsia="zh-CN"/>
              </w:rPr>
              <w:t>3.24t</w:t>
            </w:r>
            <w:r>
              <w:rPr>
                <w:color w:val="auto"/>
              </w:rPr>
              <w:t>/a，统一收集由环卫部门定期清运处理。</w:t>
            </w:r>
          </w:p>
          <w:p>
            <w:pPr>
              <w:spacing w:line="360" w:lineRule="auto"/>
              <w:ind w:firstLine="480" w:firstLineChars="200"/>
              <w:rPr>
                <w:color w:val="auto"/>
              </w:rPr>
            </w:pPr>
            <w:r>
              <w:rPr>
                <w:color w:val="auto"/>
              </w:rPr>
              <w:t>（2）一般固体废物</w:t>
            </w:r>
          </w:p>
          <w:p>
            <w:pPr>
              <w:widowControl/>
              <w:adjustRightInd w:val="0"/>
              <w:snapToGrid w:val="0"/>
              <w:spacing w:line="360" w:lineRule="auto"/>
              <w:ind w:firstLine="480" w:firstLineChars="200"/>
              <w:rPr>
                <w:rFonts w:hint="default"/>
                <w:color w:val="auto"/>
                <w:lang w:val="en-US" w:eastAsia="zh-CN"/>
              </w:rPr>
            </w:pPr>
            <w:r>
              <w:rPr>
                <w:rFonts w:hint="eastAsia"/>
                <w:color w:val="auto"/>
              </w:rPr>
              <w:t>本项目产生的一般固体废物为</w:t>
            </w:r>
            <w:r>
              <w:rPr>
                <w:rFonts w:hint="eastAsia"/>
                <w:color w:val="auto"/>
                <w:lang w:eastAsia="zh-CN"/>
              </w:rPr>
              <w:t>废包装袋、废包装桶、布袋除尘器粉尘、反渗透膜</w:t>
            </w:r>
            <w:r>
              <w:rPr>
                <w:rFonts w:hint="eastAsia"/>
                <w:color w:val="auto"/>
              </w:rPr>
              <w:t>，</w:t>
            </w:r>
            <w:r>
              <w:rPr>
                <w:color w:val="auto"/>
              </w:rPr>
              <w:t>根据</w:t>
            </w:r>
            <w:r>
              <w:rPr>
                <w:rFonts w:hint="eastAsia"/>
                <w:color w:val="auto"/>
              </w:rPr>
              <w:t>建设单位提供的资料，项目产生的</w:t>
            </w:r>
            <w:r>
              <w:rPr>
                <w:rFonts w:hint="eastAsia"/>
                <w:color w:val="auto"/>
                <w:lang w:eastAsia="zh-CN"/>
              </w:rPr>
              <w:t>废包装袋</w:t>
            </w:r>
            <w:r>
              <w:rPr>
                <w:rFonts w:hint="eastAsia"/>
                <w:color w:val="auto"/>
                <w:lang w:val="en-US" w:eastAsia="zh-CN"/>
              </w:rPr>
              <w:t>为0.5t/a，</w:t>
            </w:r>
            <w:r>
              <w:rPr>
                <w:rFonts w:hint="eastAsia"/>
                <w:color w:val="auto"/>
                <w:lang w:eastAsia="zh-CN"/>
              </w:rPr>
              <w:t>废包装桶</w:t>
            </w:r>
            <w:r>
              <w:rPr>
                <w:rFonts w:hint="eastAsia"/>
                <w:color w:val="auto"/>
                <w:lang w:val="en-US" w:eastAsia="zh-CN"/>
              </w:rPr>
              <w:t>为2t/a。</w:t>
            </w:r>
            <w:r>
              <w:rPr>
                <w:rFonts w:hint="eastAsia"/>
                <w:color w:val="auto"/>
                <w:lang w:eastAsia="zh-CN"/>
              </w:rPr>
              <w:t>废包装袋</w:t>
            </w:r>
            <w:r>
              <w:rPr>
                <w:rFonts w:hint="eastAsia"/>
                <w:color w:val="auto"/>
                <w:lang w:val="en-US" w:eastAsia="zh-CN"/>
              </w:rPr>
              <w:t>外售废品回收点回收利用。水性涂料</w:t>
            </w:r>
            <w:r>
              <w:rPr>
                <w:rFonts w:hint="eastAsia"/>
                <w:color w:val="auto"/>
                <w:lang w:eastAsia="zh-CN"/>
              </w:rPr>
              <w:t>废包装桶</w:t>
            </w:r>
            <w:r>
              <w:rPr>
                <w:rFonts w:hint="eastAsia"/>
                <w:color w:val="auto"/>
                <w:lang w:val="en-US" w:eastAsia="zh-CN"/>
              </w:rPr>
              <w:t>为一般固体废物，由厂商回收后回用于原料包装。布袋除尘器粉尘收集量约为44t/a，集中收集后回用于生产；去离子水制备生产过程中使用反渗透膜，当反渗透膜失效后需要更换，本项目去离子水生产量较小，反渗透膜损耗量也较小，约为0.03t/a。根据《一般固体废物分类与代码》（GB/T 39198-2020）反渗透膜为一般固体废物，类别代码99，反渗透膜交厂家回收利用。</w:t>
            </w:r>
          </w:p>
          <w:p>
            <w:pPr>
              <w:spacing w:line="360" w:lineRule="auto"/>
              <w:ind w:firstLine="480" w:firstLineChars="200"/>
              <w:rPr>
                <w:color w:val="auto"/>
              </w:rPr>
            </w:pPr>
            <w:r>
              <w:rPr>
                <w:color w:val="auto"/>
              </w:rPr>
              <w:t>（</w:t>
            </w:r>
            <w:r>
              <w:rPr>
                <w:rFonts w:hint="eastAsia"/>
                <w:color w:val="auto"/>
              </w:rPr>
              <w:t>3</w:t>
            </w:r>
            <w:r>
              <w:rPr>
                <w:color w:val="auto"/>
              </w:rPr>
              <w:t>）危险废物</w:t>
            </w:r>
          </w:p>
          <w:p>
            <w:pPr>
              <w:spacing w:line="360" w:lineRule="auto"/>
              <w:ind w:firstLine="480" w:firstLineChars="200"/>
              <w:rPr>
                <w:color w:val="auto"/>
              </w:rPr>
            </w:pPr>
            <w:r>
              <w:rPr>
                <w:rFonts w:hint="eastAsia"/>
                <w:color w:val="auto"/>
              </w:rPr>
              <w:t>本项目在处理有机废气的过程中产生废活性炭，有机废气去除量为</w:t>
            </w:r>
            <w:r>
              <w:rPr>
                <w:rFonts w:hint="eastAsia"/>
                <w:color w:val="auto"/>
                <w:lang w:val="en-US" w:eastAsia="zh-CN"/>
              </w:rPr>
              <w:t>3.15</w:t>
            </w:r>
            <w:r>
              <w:rPr>
                <w:color w:val="auto"/>
              </w:rPr>
              <w:t>t/a</w:t>
            </w:r>
            <w:r>
              <w:rPr>
                <w:rFonts w:hint="eastAsia"/>
                <w:color w:val="auto"/>
              </w:rPr>
              <w:t>。活性炭的吸附容量约为0.3kg</w:t>
            </w:r>
            <w:r>
              <w:rPr>
                <w:color w:val="auto"/>
              </w:rPr>
              <w:t>/</w:t>
            </w:r>
            <w:r>
              <w:rPr>
                <w:rFonts w:hint="eastAsia"/>
                <w:color w:val="auto"/>
              </w:rPr>
              <w:t>kg活性炭，因此产生的废活性炭约为</w:t>
            </w:r>
            <w:r>
              <w:rPr>
                <w:rFonts w:hint="eastAsia"/>
                <w:color w:val="auto"/>
                <w:lang w:val="en-US" w:eastAsia="zh-CN"/>
              </w:rPr>
              <w:t>10.5t</w:t>
            </w:r>
            <w:r>
              <w:rPr>
                <w:color w:val="auto"/>
              </w:rPr>
              <w:t>/a</w:t>
            </w:r>
            <w:r>
              <w:rPr>
                <w:rFonts w:hint="eastAsia"/>
                <w:color w:val="auto"/>
              </w:rPr>
              <w:t>。</w:t>
            </w:r>
            <w:r>
              <w:rPr>
                <w:color w:val="auto"/>
              </w:rPr>
              <w:t>危险废物类别</w:t>
            </w:r>
            <w:r>
              <w:rPr>
                <w:rFonts w:hint="eastAsia"/>
                <w:color w:val="auto"/>
              </w:rPr>
              <w:t>为</w:t>
            </w:r>
            <w:r>
              <w:rPr>
                <w:color w:val="auto"/>
              </w:rPr>
              <w:t>HW49其他废物</w:t>
            </w:r>
            <w:r>
              <w:rPr>
                <w:rFonts w:hint="eastAsia"/>
                <w:color w:val="auto"/>
              </w:rPr>
              <w:t>、</w:t>
            </w:r>
            <w:r>
              <w:rPr>
                <w:color w:val="auto"/>
              </w:rPr>
              <w:t>代码</w:t>
            </w:r>
            <w:r>
              <w:rPr>
                <w:rFonts w:hint="eastAsia"/>
                <w:color w:val="auto"/>
              </w:rPr>
              <w:t>为</w:t>
            </w:r>
            <w:r>
              <w:rPr>
                <w:color w:val="auto"/>
              </w:rPr>
              <w:t>900-039-49</w:t>
            </w:r>
            <w:r>
              <w:rPr>
                <w:rFonts w:hint="eastAsia"/>
                <w:color w:val="auto"/>
              </w:rPr>
              <w:t>。</w:t>
            </w:r>
          </w:p>
          <w:p>
            <w:pPr>
              <w:spacing w:line="360" w:lineRule="auto"/>
              <w:ind w:firstLine="480" w:firstLineChars="200"/>
              <w:rPr>
                <w:color w:val="auto"/>
              </w:rPr>
            </w:pPr>
            <w:r>
              <w:rPr>
                <w:rFonts w:hint="eastAsia"/>
                <w:color w:val="auto"/>
              </w:rPr>
              <w:t>4</w:t>
            </w:r>
            <w:r>
              <w:rPr>
                <w:color w:val="auto"/>
              </w:rPr>
              <w:t>）危险废物属性判定</w:t>
            </w:r>
          </w:p>
          <w:p>
            <w:pPr>
              <w:spacing w:line="360" w:lineRule="auto"/>
              <w:ind w:firstLine="480" w:firstLineChars="200"/>
              <w:rPr>
                <w:color w:val="auto"/>
              </w:rPr>
            </w:pPr>
            <w:r>
              <w:rPr>
                <w:color w:val="auto"/>
              </w:rPr>
              <w:t>根据《国家危险废物名录》和《危险废物鉴别标准 通则》（GB5085.7），判定项目产生的</w:t>
            </w:r>
            <w:r>
              <w:rPr>
                <w:rFonts w:hint="eastAsia"/>
                <w:color w:val="auto"/>
              </w:rPr>
              <w:t>废</w:t>
            </w:r>
            <w:r>
              <w:rPr>
                <w:rFonts w:hint="eastAsia"/>
                <w:color w:val="auto"/>
                <w:lang w:eastAsia="zh-CN"/>
              </w:rPr>
              <w:t>胶水</w:t>
            </w:r>
            <w:r>
              <w:rPr>
                <w:rFonts w:hint="eastAsia"/>
                <w:color w:val="auto"/>
                <w:lang w:val="en-US" w:eastAsia="zh-CN"/>
              </w:rPr>
              <w:t>、</w:t>
            </w:r>
            <w:r>
              <w:rPr>
                <w:rFonts w:hint="eastAsia"/>
                <w:color w:val="auto"/>
              </w:rPr>
              <w:t>废</w:t>
            </w:r>
            <w:r>
              <w:rPr>
                <w:rFonts w:hint="eastAsia"/>
                <w:color w:val="auto"/>
                <w:lang w:eastAsia="zh-CN"/>
              </w:rPr>
              <w:t>胶水</w:t>
            </w:r>
            <w:r>
              <w:rPr>
                <w:rFonts w:hint="eastAsia"/>
                <w:color w:val="auto"/>
              </w:rPr>
              <w:t>桶和废活性炭</w:t>
            </w:r>
            <w:r>
              <w:rPr>
                <w:color w:val="auto"/>
              </w:rPr>
              <w:t>属于危险废物。</w:t>
            </w:r>
          </w:p>
          <w:p>
            <w:pPr>
              <w:snapToGrid w:val="0"/>
              <w:spacing w:before="60" w:beforeLines="25" w:after="60" w:afterLines="25"/>
              <w:jc w:val="center"/>
              <w:rPr>
                <w:color w:val="auto"/>
              </w:rPr>
            </w:pPr>
            <w:r>
              <w:rPr>
                <w:color w:val="auto"/>
              </w:rPr>
              <w:t>表4-</w:t>
            </w:r>
            <w:r>
              <w:rPr>
                <w:rFonts w:hint="eastAsia"/>
                <w:color w:val="auto"/>
                <w:lang w:val="en-US" w:eastAsia="zh-CN"/>
              </w:rPr>
              <w:t>7</w:t>
            </w:r>
            <w:r>
              <w:rPr>
                <w:color w:val="auto"/>
              </w:rPr>
              <w:t xml:space="preserve">  危险废物汇总表</w:t>
            </w:r>
          </w:p>
          <w:tbl>
            <w:tblPr>
              <w:tblStyle w:val="34"/>
              <w:tblW w:w="811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36"/>
              <w:gridCol w:w="1260"/>
              <w:gridCol w:w="999"/>
              <w:gridCol w:w="947"/>
              <w:gridCol w:w="469"/>
              <w:gridCol w:w="742"/>
              <w:gridCol w:w="550"/>
              <w:gridCol w:w="510"/>
              <w:gridCol w:w="636"/>
              <w:gridCol w:w="9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6"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636"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危险废物名称</w:t>
                  </w:r>
                </w:p>
              </w:tc>
              <w:tc>
                <w:tcPr>
                  <w:tcW w:w="1260"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危险废物类别及代码</w:t>
                  </w:r>
                </w:p>
              </w:tc>
              <w:tc>
                <w:tcPr>
                  <w:tcW w:w="999"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w:t>
                  </w:r>
                </w:p>
              </w:tc>
              <w:tc>
                <w:tcPr>
                  <w:tcW w:w="947"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产生工序及装置</w:t>
                  </w:r>
                </w:p>
              </w:tc>
              <w:tc>
                <w:tcPr>
                  <w:tcW w:w="469"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形态</w:t>
                  </w:r>
                </w:p>
              </w:tc>
              <w:tc>
                <w:tcPr>
                  <w:tcW w:w="742"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主要成分</w:t>
                  </w:r>
                </w:p>
              </w:tc>
              <w:tc>
                <w:tcPr>
                  <w:tcW w:w="550"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有害成分</w:t>
                  </w:r>
                </w:p>
              </w:tc>
              <w:tc>
                <w:tcPr>
                  <w:tcW w:w="510"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产废周期</w:t>
                  </w:r>
                </w:p>
              </w:tc>
              <w:tc>
                <w:tcPr>
                  <w:tcW w:w="636"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w:t>
                  </w:r>
                </w:p>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特性</w:t>
                  </w:r>
                </w:p>
              </w:tc>
              <w:tc>
                <w:tcPr>
                  <w:tcW w:w="939"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426" w:type="dxa"/>
                  <w:vAlign w:val="center"/>
                </w:tcPr>
                <w:p>
                  <w:pPr>
                    <w:pStyle w:val="29"/>
                    <w:spacing w:before="0" w:beforeAutospacing="0" w:after="0" w:afterAutospacing="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w:t>
                  </w:r>
                </w:p>
              </w:tc>
              <w:tc>
                <w:tcPr>
                  <w:tcW w:w="636"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废活性炭</w:t>
                  </w:r>
                </w:p>
              </w:tc>
              <w:tc>
                <w:tcPr>
                  <w:tcW w:w="1260" w:type="dxa"/>
                  <w:vAlign w:val="center"/>
                </w:tcPr>
                <w:p>
                  <w:pPr>
                    <w:pStyle w:val="29"/>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HW49</w:t>
                  </w:r>
                </w:p>
                <w:p>
                  <w:pPr>
                    <w:pStyle w:val="29"/>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其他废物</w:t>
                  </w:r>
                </w:p>
                <w:p>
                  <w:pPr>
                    <w:pStyle w:val="29"/>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900-039-49</w:t>
                  </w:r>
                </w:p>
              </w:tc>
              <w:tc>
                <w:tcPr>
                  <w:tcW w:w="999"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10.5t</w:t>
                  </w:r>
                  <w:r>
                    <w:rPr>
                      <w:rFonts w:hint="default" w:ascii="Times New Roman" w:hAnsi="Times New Roman" w:cs="Times New Roman"/>
                      <w:color w:val="auto"/>
                      <w:sz w:val="21"/>
                      <w:szCs w:val="21"/>
                    </w:rPr>
                    <w:t>/a</w:t>
                  </w:r>
                </w:p>
              </w:tc>
              <w:tc>
                <w:tcPr>
                  <w:tcW w:w="947"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有机废气处理</w:t>
                  </w:r>
                </w:p>
              </w:tc>
              <w:tc>
                <w:tcPr>
                  <w:tcW w:w="469" w:type="dxa"/>
                  <w:vAlign w:val="center"/>
                </w:tcPr>
                <w:p>
                  <w:pPr>
                    <w:pStyle w:val="29"/>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固态</w:t>
                  </w:r>
                </w:p>
              </w:tc>
              <w:tc>
                <w:tcPr>
                  <w:tcW w:w="742"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VOCs 治理过程产生的废活性炭</w:t>
                  </w:r>
                </w:p>
              </w:tc>
              <w:tc>
                <w:tcPr>
                  <w:tcW w:w="550"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有机</w:t>
                  </w:r>
                </w:p>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w:t>
                  </w:r>
                </w:p>
              </w:tc>
              <w:tc>
                <w:tcPr>
                  <w:tcW w:w="510"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36" w:type="dxa"/>
                  <w:vAlign w:val="center"/>
                </w:tcPr>
                <w:p>
                  <w:pPr>
                    <w:pStyle w:val="29"/>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I（有毒）</w:t>
                  </w:r>
                </w:p>
              </w:tc>
              <w:tc>
                <w:tcPr>
                  <w:tcW w:w="939" w:type="dxa"/>
                  <w:vAlign w:val="center"/>
                </w:tcPr>
                <w:p>
                  <w:pPr>
                    <w:pStyle w:val="29"/>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设一座危废暂存间，定期交由有资质单位处置</w:t>
                  </w:r>
                </w:p>
              </w:tc>
            </w:tr>
          </w:tbl>
          <w:p>
            <w:pPr>
              <w:spacing w:line="360" w:lineRule="auto"/>
              <w:ind w:firstLine="480" w:firstLineChars="200"/>
              <w:rPr>
                <w:color w:val="auto"/>
              </w:rPr>
            </w:pPr>
            <w:r>
              <w:rPr>
                <w:color w:val="auto"/>
              </w:rPr>
              <w:t>2）污染防治措施</w:t>
            </w:r>
          </w:p>
          <w:p>
            <w:pPr>
              <w:spacing w:line="360" w:lineRule="auto"/>
              <w:ind w:firstLine="480" w:firstLineChars="200"/>
              <w:rPr>
                <w:color w:val="auto"/>
              </w:rPr>
            </w:pPr>
            <w:r>
              <w:rPr>
                <w:color w:val="auto"/>
              </w:rPr>
              <w:fldChar w:fldCharType="begin"/>
            </w:r>
            <w:r>
              <w:rPr>
                <w:color w:val="auto"/>
              </w:rPr>
              <w:instrText xml:space="preserve"> = 1 \* GB3 </w:instrText>
            </w:r>
            <w:r>
              <w:rPr>
                <w:color w:val="auto"/>
              </w:rPr>
              <w:fldChar w:fldCharType="separate"/>
            </w:r>
            <w:r>
              <w:rPr>
                <w:color w:val="auto"/>
              </w:rPr>
              <w:t>①</w:t>
            </w:r>
            <w:r>
              <w:rPr>
                <w:color w:val="auto"/>
              </w:rPr>
              <w:fldChar w:fldCharType="end"/>
            </w:r>
            <w:r>
              <w:rPr>
                <w:color w:val="auto"/>
              </w:rPr>
              <w:t>按照《危险废物贮存污染控制标准》（GB18597-2001）（2013年修改单），结合区域环境条件，企业在厂区修建了废物暂存间。</w:t>
            </w:r>
          </w:p>
          <w:p>
            <w:pPr>
              <w:spacing w:line="360" w:lineRule="auto"/>
              <w:ind w:firstLine="480" w:firstLineChars="200"/>
              <w:rPr>
                <w:color w:val="auto"/>
              </w:rPr>
            </w:pPr>
            <w:r>
              <w:rPr>
                <w:color w:val="auto"/>
              </w:rPr>
              <w:fldChar w:fldCharType="begin"/>
            </w:r>
            <w:r>
              <w:rPr>
                <w:color w:val="auto"/>
              </w:rPr>
              <w:instrText xml:space="preserve"> = 2 \* GB3 </w:instrText>
            </w:r>
            <w:r>
              <w:rPr>
                <w:color w:val="auto"/>
              </w:rPr>
              <w:fldChar w:fldCharType="separate"/>
            </w:r>
            <w:r>
              <w:rPr>
                <w:color w:val="auto"/>
              </w:rPr>
              <w:t>②</w:t>
            </w:r>
            <w:r>
              <w:rPr>
                <w:color w:val="auto"/>
              </w:rPr>
              <w:fldChar w:fldCharType="end"/>
            </w:r>
            <w:r>
              <w:rPr>
                <w:color w:val="auto"/>
              </w:rPr>
              <w:t>厂区危险废物为项目</w:t>
            </w:r>
            <w:r>
              <w:rPr>
                <w:rFonts w:hint="eastAsia"/>
                <w:color w:val="auto"/>
              </w:rPr>
              <w:t>有机废气处理产生的废活性炭</w:t>
            </w:r>
            <w:r>
              <w:rPr>
                <w:color w:val="auto"/>
              </w:rPr>
              <w:t>。评价要求：项目产生的危废在危废暂存间内存放，定期由有资质单位回收。危废暂存间外要设立危险废物标志，地面按相关标准进行防渗处理，设置消防设备，安排专人管理；危险废物的收集、储存、转运必须根据国家《危险废物污染防治技术政策》的规定执行。</w:t>
            </w:r>
          </w:p>
          <w:p>
            <w:pPr>
              <w:spacing w:line="360" w:lineRule="auto"/>
              <w:ind w:firstLine="480" w:firstLineChars="200"/>
              <w:rPr>
                <w:color w:val="auto"/>
              </w:rPr>
            </w:pPr>
            <w:r>
              <w:rPr>
                <w:color w:val="auto"/>
              </w:rPr>
              <w:fldChar w:fldCharType="begin"/>
            </w:r>
            <w:r>
              <w:rPr>
                <w:color w:val="auto"/>
              </w:rPr>
              <w:instrText xml:space="preserve"> = 3 \* GB3 </w:instrText>
            </w:r>
            <w:r>
              <w:rPr>
                <w:color w:val="auto"/>
              </w:rPr>
              <w:fldChar w:fldCharType="separate"/>
            </w:r>
            <w:r>
              <w:rPr>
                <w:color w:val="auto"/>
              </w:rPr>
              <w:t>③</w:t>
            </w:r>
            <w:r>
              <w:rPr>
                <w:color w:val="auto"/>
              </w:rPr>
              <w:fldChar w:fldCharType="end"/>
            </w:r>
            <w:r>
              <w:rPr>
                <w:color w:val="auto"/>
              </w:rPr>
              <w:t>危险废物管理</w:t>
            </w:r>
          </w:p>
          <w:p>
            <w:pPr>
              <w:spacing w:line="360" w:lineRule="auto"/>
              <w:ind w:firstLine="480" w:firstLineChars="200"/>
              <w:rPr>
                <w:color w:val="auto"/>
              </w:rPr>
            </w:pPr>
            <w:r>
              <w:rPr>
                <w:color w:val="auto"/>
              </w:rPr>
              <w:t>危险废物转运严格执行转移联单制度，转移联单制度，又称之为废物流向报告单制度，是指在进行危险废物转移时，其转移者、运输者和接受者，不论各环节涉及者数量多寡，均应按国家规定的统一格式、条件和要求，对所交接、运输的危险废物如实进行转移报告单的填报登记，并按程序和期限向有关环境保护部门报告。实施转移联单制度的目的是为了控制废物流向，掌握危险废物的动态变化，监督转移活动，控制危险废物污染的扩散。</w:t>
            </w:r>
          </w:p>
          <w:p>
            <w:pPr>
              <w:spacing w:line="360" w:lineRule="auto"/>
              <w:ind w:firstLine="480" w:firstLineChars="200"/>
              <w:rPr>
                <w:color w:val="auto"/>
              </w:rPr>
            </w:pPr>
            <w:r>
              <w:rPr>
                <w:color w:val="auto"/>
              </w:rPr>
              <w:t>危险废物收集、贮存、运输符合《危险废物收集、贮存、运输技术规范》(HJ2025-2012)》等相关要求。</w:t>
            </w:r>
          </w:p>
          <w:p>
            <w:pPr>
              <w:spacing w:line="360" w:lineRule="auto"/>
              <w:ind w:firstLine="480" w:firstLineChars="200"/>
              <w:rPr>
                <w:color w:val="auto"/>
              </w:rPr>
            </w:pPr>
            <w:r>
              <w:rPr>
                <w:color w:val="auto"/>
              </w:rPr>
              <w:t>综上所述，固体废物在采取有效防治措施后，对区域环境影响较小。</w:t>
            </w:r>
          </w:p>
          <w:p>
            <w:pPr>
              <w:pStyle w:val="4"/>
              <w:rPr>
                <w:color w:val="auto"/>
              </w:rPr>
            </w:pPr>
            <w:r>
              <w:rPr>
                <w:color w:val="auto"/>
              </w:rPr>
              <w:t>4.2.5噪声环境影响分析</w:t>
            </w:r>
          </w:p>
          <w:p>
            <w:pPr>
              <w:spacing w:line="360" w:lineRule="auto"/>
              <w:ind w:firstLine="480" w:firstLineChars="200"/>
              <w:rPr>
                <w:color w:val="auto"/>
              </w:rPr>
            </w:pPr>
            <w:r>
              <w:rPr>
                <w:color w:val="auto"/>
              </w:rPr>
              <w:t>（1）噪声源</w:t>
            </w:r>
          </w:p>
          <w:p>
            <w:pPr>
              <w:spacing w:line="360" w:lineRule="auto"/>
              <w:ind w:firstLine="480" w:firstLineChars="200"/>
              <w:rPr>
                <w:color w:val="auto"/>
              </w:rPr>
            </w:pPr>
            <w:r>
              <w:rPr>
                <w:color w:val="auto"/>
              </w:rPr>
              <w:t>本项目噪声污染主要来源于</w:t>
            </w:r>
            <w:r>
              <w:rPr>
                <w:rFonts w:hint="eastAsia"/>
                <w:color w:val="auto"/>
                <w:lang w:eastAsia="zh-CN"/>
              </w:rPr>
              <w:t>高速分散机、水泵、去离子水设备、空压机</w:t>
            </w:r>
            <w:r>
              <w:rPr>
                <w:rFonts w:hint="eastAsia"/>
                <w:color w:val="auto"/>
              </w:rPr>
              <w:t>等</w:t>
            </w:r>
            <w:r>
              <w:rPr>
                <w:color w:val="auto"/>
              </w:rPr>
              <w:t>设备运行噪声，设备噪声声压级约为</w:t>
            </w:r>
            <w:r>
              <w:rPr>
                <w:rFonts w:hint="eastAsia"/>
                <w:color w:val="auto"/>
              </w:rPr>
              <w:t>70-</w:t>
            </w:r>
            <w:r>
              <w:rPr>
                <w:rFonts w:hint="eastAsia"/>
                <w:color w:val="auto"/>
                <w:lang w:val="en-US" w:eastAsia="zh-CN"/>
              </w:rPr>
              <w:t>90</w:t>
            </w:r>
            <w:r>
              <w:rPr>
                <w:color w:val="auto"/>
              </w:rPr>
              <w:t>dB（A）。主要噪声源噪声级见表4-</w:t>
            </w:r>
            <w:r>
              <w:rPr>
                <w:rFonts w:hint="eastAsia"/>
                <w:color w:val="auto"/>
                <w:lang w:val="en-US" w:eastAsia="zh-CN"/>
              </w:rPr>
              <w:t>8</w:t>
            </w:r>
            <w:r>
              <w:rPr>
                <w:color w:val="auto"/>
              </w:rPr>
              <w:t>。</w:t>
            </w:r>
          </w:p>
          <w:p>
            <w:pPr>
              <w:pStyle w:val="42"/>
              <w:snapToGrid w:val="0"/>
              <w:spacing w:before="60" w:beforeLines="25" w:after="60" w:afterLines="25"/>
              <w:jc w:val="center"/>
              <w:rPr>
                <w:color w:val="auto"/>
              </w:rPr>
            </w:pPr>
            <w:r>
              <w:rPr>
                <w:rFonts w:hint="default" w:ascii="Times New Roman" w:hAnsi="Times New Roman" w:cs="Times New Roman"/>
                <w:color w:val="auto"/>
              </w:rPr>
              <w:t>表4-</w:t>
            </w:r>
            <w:r>
              <w:rPr>
                <w:rFonts w:hint="eastAsia" w:ascii="Times New Roman" w:cs="Times New Roman"/>
                <w:color w:val="auto"/>
                <w:lang w:val="en-US" w:eastAsia="zh-CN"/>
              </w:rPr>
              <w:t>8</w:t>
            </w:r>
            <w:r>
              <w:rPr>
                <w:rFonts w:hint="default" w:ascii="Times New Roman" w:hAnsi="Times New Roman" w:cs="Times New Roman"/>
                <w:color w:val="auto"/>
              </w:rPr>
              <w:t xml:space="preserve">  主要噪声源噪声级</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1795"/>
              <w:gridCol w:w="762"/>
              <w:gridCol w:w="1418"/>
              <w:gridCol w:w="1305"/>
              <w:gridCol w:w="179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784" w:type="dxa"/>
                  <w:vAlign w:val="center"/>
                </w:tcPr>
                <w:p>
                  <w:pPr>
                    <w:pStyle w:val="10"/>
                    <w:spacing w:line="240" w:lineRule="auto"/>
                    <w:ind w:firstLine="0"/>
                    <w:jc w:val="center"/>
                    <w:rPr>
                      <w:color w:val="auto"/>
                      <w:sz w:val="21"/>
                      <w:szCs w:val="21"/>
                    </w:rPr>
                  </w:pPr>
                  <w:r>
                    <w:rPr>
                      <w:color w:val="auto"/>
                      <w:sz w:val="21"/>
                      <w:szCs w:val="21"/>
                    </w:rPr>
                    <w:t>序号</w:t>
                  </w:r>
                </w:p>
              </w:tc>
              <w:tc>
                <w:tcPr>
                  <w:tcW w:w="1795" w:type="dxa"/>
                  <w:vAlign w:val="center"/>
                </w:tcPr>
                <w:p>
                  <w:pPr>
                    <w:pStyle w:val="10"/>
                    <w:spacing w:line="240" w:lineRule="auto"/>
                    <w:ind w:firstLine="0"/>
                    <w:jc w:val="center"/>
                    <w:rPr>
                      <w:color w:val="auto"/>
                      <w:sz w:val="21"/>
                      <w:szCs w:val="21"/>
                    </w:rPr>
                  </w:pPr>
                  <w:r>
                    <w:rPr>
                      <w:color w:val="auto"/>
                      <w:sz w:val="21"/>
                      <w:szCs w:val="21"/>
                    </w:rPr>
                    <w:t>场所/设备</w:t>
                  </w:r>
                </w:p>
              </w:tc>
              <w:tc>
                <w:tcPr>
                  <w:tcW w:w="762" w:type="dxa"/>
                  <w:vAlign w:val="center"/>
                </w:tcPr>
                <w:p>
                  <w:pPr>
                    <w:pStyle w:val="10"/>
                    <w:spacing w:line="240" w:lineRule="auto"/>
                    <w:ind w:firstLine="0"/>
                    <w:jc w:val="center"/>
                    <w:rPr>
                      <w:color w:val="auto"/>
                      <w:sz w:val="21"/>
                      <w:szCs w:val="21"/>
                    </w:rPr>
                  </w:pPr>
                  <w:r>
                    <w:rPr>
                      <w:color w:val="auto"/>
                      <w:sz w:val="21"/>
                      <w:szCs w:val="21"/>
                    </w:rPr>
                    <w:t>台数</w:t>
                  </w:r>
                </w:p>
              </w:tc>
              <w:tc>
                <w:tcPr>
                  <w:tcW w:w="1418" w:type="dxa"/>
                  <w:vAlign w:val="center"/>
                </w:tcPr>
                <w:p>
                  <w:pPr>
                    <w:pStyle w:val="10"/>
                    <w:spacing w:line="240" w:lineRule="auto"/>
                    <w:ind w:firstLine="0"/>
                    <w:jc w:val="center"/>
                    <w:rPr>
                      <w:color w:val="auto"/>
                      <w:sz w:val="21"/>
                      <w:szCs w:val="21"/>
                    </w:rPr>
                  </w:pPr>
                  <w:r>
                    <w:rPr>
                      <w:color w:val="auto"/>
                      <w:sz w:val="21"/>
                      <w:szCs w:val="21"/>
                    </w:rPr>
                    <w:t>噪声值dB(A)</w:t>
                  </w:r>
                </w:p>
              </w:tc>
              <w:tc>
                <w:tcPr>
                  <w:tcW w:w="1305" w:type="dxa"/>
                  <w:tcBorders>
                    <w:right w:val="single" w:color="auto" w:sz="4" w:space="0"/>
                  </w:tcBorders>
                  <w:vAlign w:val="center"/>
                </w:tcPr>
                <w:p>
                  <w:pPr>
                    <w:pStyle w:val="10"/>
                    <w:spacing w:line="240" w:lineRule="auto"/>
                    <w:ind w:firstLine="0"/>
                    <w:jc w:val="center"/>
                    <w:rPr>
                      <w:color w:val="auto"/>
                      <w:sz w:val="21"/>
                      <w:szCs w:val="21"/>
                    </w:rPr>
                  </w:pPr>
                  <w:r>
                    <w:rPr>
                      <w:color w:val="auto"/>
                      <w:sz w:val="21"/>
                      <w:szCs w:val="21"/>
                    </w:rPr>
                    <w:t>位置</w:t>
                  </w:r>
                </w:p>
              </w:tc>
              <w:tc>
                <w:tcPr>
                  <w:tcW w:w="1794" w:type="dxa"/>
                  <w:tcBorders>
                    <w:left w:val="single" w:color="auto" w:sz="4" w:space="0"/>
                  </w:tcBorders>
                  <w:vAlign w:val="center"/>
                </w:tcPr>
                <w:p>
                  <w:pPr>
                    <w:pStyle w:val="10"/>
                    <w:spacing w:line="240" w:lineRule="auto"/>
                    <w:ind w:firstLine="0"/>
                    <w:jc w:val="center"/>
                    <w:rPr>
                      <w:rFonts w:hint="default" w:eastAsia="宋体"/>
                      <w:color w:val="auto"/>
                      <w:sz w:val="21"/>
                      <w:szCs w:val="21"/>
                      <w:lang w:val="en-US" w:eastAsia="zh-CN"/>
                    </w:rPr>
                  </w:pPr>
                  <w:r>
                    <w:rPr>
                      <w:rFonts w:hint="eastAsia"/>
                      <w:color w:val="auto"/>
                      <w:sz w:val="21"/>
                      <w:szCs w:val="21"/>
                      <w:lang w:val="en-US" w:eastAsia="zh-CN"/>
                    </w:rPr>
                    <w:t>等效声级源强</w:t>
                  </w:r>
                  <w:r>
                    <w:rPr>
                      <w:color w:val="auto"/>
                      <w:sz w:val="21"/>
                      <w:szCs w:val="21"/>
                    </w:rPr>
                    <w:t>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784" w:type="dxa"/>
                  <w:vAlign w:val="center"/>
                </w:tcPr>
                <w:p>
                  <w:pPr>
                    <w:widowControl/>
                    <w:jc w:val="center"/>
                    <w:rPr>
                      <w:color w:val="auto"/>
                      <w:sz w:val="21"/>
                      <w:szCs w:val="21"/>
                    </w:rPr>
                  </w:pPr>
                  <w:r>
                    <w:rPr>
                      <w:rFonts w:hint="eastAsia"/>
                      <w:color w:val="auto"/>
                      <w:kern w:val="0"/>
                      <w:sz w:val="21"/>
                      <w:szCs w:val="21"/>
                    </w:rPr>
                    <w:t>1</w:t>
                  </w:r>
                </w:p>
              </w:tc>
              <w:tc>
                <w:tcPr>
                  <w:tcW w:w="1795" w:type="dxa"/>
                  <w:vAlign w:val="center"/>
                </w:tcPr>
                <w:p>
                  <w:pPr>
                    <w:widowControl/>
                    <w:jc w:val="center"/>
                    <w:rPr>
                      <w:rFonts w:hint="eastAsia" w:eastAsia="宋体"/>
                      <w:color w:val="auto"/>
                      <w:sz w:val="21"/>
                      <w:szCs w:val="21"/>
                      <w:lang w:eastAsia="zh-CN"/>
                    </w:rPr>
                  </w:pPr>
                  <w:r>
                    <w:rPr>
                      <w:rFonts w:hint="eastAsia"/>
                      <w:color w:val="auto"/>
                      <w:sz w:val="21"/>
                      <w:szCs w:val="21"/>
                      <w:lang w:eastAsia="zh-CN"/>
                    </w:rPr>
                    <w:t>高速分散机</w:t>
                  </w:r>
                </w:p>
              </w:tc>
              <w:tc>
                <w:tcPr>
                  <w:tcW w:w="762" w:type="dxa"/>
                  <w:vAlign w:val="center"/>
                </w:tcPr>
                <w:p>
                  <w:pPr>
                    <w:widowControl/>
                    <w:jc w:val="center"/>
                    <w:rPr>
                      <w:color w:val="auto"/>
                      <w:sz w:val="21"/>
                      <w:szCs w:val="21"/>
                    </w:rPr>
                  </w:pPr>
                  <w:r>
                    <w:rPr>
                      <w:rFonts w:hint="eastAsia"/>
                      <w:color w:val="auto"/>
                      <w:kern w:val="0"/>
                      <w:sz w:val="21"/>
                      <w:szCs w:val="21"/>
                      <w:lang w:val="en-US" w:eastAsia="zh-CN"/>
                    </w:rPr>
                    <w:t>5</w:t>
                  </w:r>
                </w:p>
              </w:tc>
              <w:tc>
                <w:tcPr>
                  <w:tcW w:w="1418" w:type="dxa"/>
                  <w:vAlign w:val="center"/>
                </w:tcPr>
                <w:p>
                  <w:pPr>
                    <w:jc w:val="center"/>
                    <w:rPr>
                      <w:color w:val="auto"/>
                      <w:sz w:val="21"/>
                      <w:szCs w:val="21"/>
                    </w:rPr>
                  </w:pPr>
                  <w:r>
                    <w:rPr>
                      <w:rFonts w:hint="eastAsia"/>
                      <w:color w:val="auto"/>
                      <w:sz w:val="21"/>
                      <w:szCs w:val="21"/>
                      <w:lang w:val="en-US" w:eastAsia="zh-CN"/>
                    </w:rPr>
                    <w:t>80</w:t>
                  </w:r>
                </w:p>
              </w:tc>
              <w:tc>
                <w:tcPr>
                  <w:tcW w:w="1305" w:type="dxa"/>
                  <w:vMerge w:val="restart"/>
                  <w:tcBorders>
                    <w:right w:val="single" w:color="auto" w:sz="4" w:space="0"/>
                  </w:tcBorders>
                  <w:vAlign w:val="center"/>
                </w:tcPr>
                <w:p>
                  <w:pPr>
                    <w:jc w:val="center"/>
                    <w:rPr>
                      <w:color w:val="auto"/>
                      <w:sz w:val="21"/>
                      <w:szCs w:val="21"/>
                    </w:rPr>
                  </w:pPr>
                  <w:r>
                    <w:rPr>
                      <w:rFonts w:hint="eastAsia"/>
                      <w:color w:val="auto"/>
                      <w:sz w:val="21"/>
                      <w:szCs w:val="21"/>
                      <w:lang w:val="en-US" w:eastAsia="zh-CN"/>
                    </w:rPr>
                    <w:t>生产</w:t>
                  </w:r>
                  <w:r>
                    <w:rPr>
                      <w:color w:val="auto"/>
                      <w:sz w:val="21"/>
                      <w:szCs w:val="21"/>
                    </w:rPr>
                    <w:t>车间内</w:t>
                  </w:r>
                </w:p>
                <w:p>
                  <w:pPr>
                    <w:pStyle w:val="10"/>
                    <w:spacing w:line="240" w:lineRule="auto"/>
                    <w:ind w:firstLine="0"/>
                    <w:jc w:val="center"/>
                    <w:rPr>
                      <w:color w:val="auto"/>
                      <w:sz w:val="21"/>
                      <w:szCs w:val="21"/>
                    </w:rPr>
                  </w:pPr>
                </w:p>
              </w:tc>
              <w:tc>
                <w:tcPr>
                  <w:tcW w:w="1794" w:type="dxa"/>
                  <w:vMerge w:val="restart"/>
                  <w:tcBorders>
                    <w:left w:val="single" w:color="auto" w:sz="4" w:space="0"/>
                  </w:tcBorders>
                  <w:vAlign w:val="center"/>
                </w:tcPr>
                <w:p>
                  <w:pPr>
                    <w:pStyle w:val="10"/>
                    <w:spacing w:line="240" w:lineRule="auto"/>
                    <w:ind w:firstLine="0"/>
                    <w:jc w:val="center"/>
                    <w:rPr>
                      <w:rFonts w:hint="default" w:eastAsia="宋体"/>
                      <w:color w:val="auto"/>
                      <w:sz w:val="21"/>
                      <w:szCs w:val="21"/>
                      <w:lang w:val="en-US" w:eastAsia="zh-CN"/>
                    </w:rPr>
                  </w:pPr>
                  <w:r>
                    <w:rPr>
                      <w:rFonts w:hint="eastAsia"/>
                      <w:color w:val="auto"/>
                      <w:sz w:val="21"/>
                      <w:szCs w:val="21"/>
                      <w:lang w:val="en-US" w:eastAsia="zh-CN"/>
                    </w:rPr>
                    <w:t>96.8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784" w:type="dxa"/>
                  <w:vAlign w:val="center"/>
                </w:tcPr>
                <w:p>
                  <w:pPr>
                    <w:widowControl/>
                    <w:jc w:val="center"/>
                    <w:rPr>
                      <w:color w:val="auto"/>
                      <w:sz w:val="21"/>
                      <w:szCs w:val="21"/>
                    </w:rPr>
                  </w:pPr>
                  <w:r>
                    <w:rPr>
                      <w:rFonts w:hint="eastAsia"/>
                      <w:color w:val="auto"/>
                      <w:kern w:val="0"/>
                      <w:sz w:val="21"/>
                      <w:szCs w:val="21"/>
                    </w:rPr>
                    <w:t>2</w:t>
                  </w:r>
                </w:p>
              </w:tc>
              <w:tc>
                <w:tcPr>
                  <w:tcW w:w="1795" w:type="dxa"/>
                  <w:vAlign w:val="center"/>
                </w:tcPr>
                <w:p>
                  <w:pPr>
                    <w:widowControl/>
                    <w:jc w:val="center"/>
                    <w:rPr>
                      <w:rFonts w:hint="eastAsia" w:eastAsia="宋体"/>
                      <w:color w:val="auto"/>
                      <w:sz w:val="21"/>
                      <w:szCs w:val="21"/>
                      <w:lang w:eastAsia="zh-CN"/>
                    </w:rPr>
                  </w:pPr>
                  <w:r>
                    <w:rPr>
                      <w:rFonts w:hint="eastAsia" w:ascii="宋体" w:hAnsi="宋体" w:cs="仿宋_GB2312"/>
                      <w:bCs/>
                      <w:color w:val="auto"/>
                      <w:kern w:val="0"/>
                      <w:sz w:val="21"/>
                      <w:szCs w:val="21"/>
                      <w:lang w:eastAsia="zh-CN"/>
                    </w:rPr>
                    <w:t>水泵</w:t>
                  </w:r>
                </w:p>
              </w:tc>
              <w:tc>
                <w:tcPr>
                  <w:tcW w:w="762" w:type="dxa"/>
                  <w:vAlign w:val="center"/>
                </w:tcPr>
                <w:p>
                  <w:pPr>
                    <w:jc w:val="center"/>
                    <w:rPr>
                      <w:color w:val="auto"/>
                      <w:sz w:val="21"/>
                      <w:szCs w:val="21"/>
                    </w:rPr>
                  </w:pPr>
                  <w:r>
                    <w:rPr>
                      <w:rFonts w:hint="eastAsia"/>
                      <w:bCs/>
                      <w:color w:val="auto"/>
                      <w:kern w:val="0"/>
                      <w:sz w:val="21"/>
                      <w:szCs w:val="21"/>
                      <w:lang w:val="en-US" w:eastAsia="zh-CN"/>
                    </w:rPr>
                    <w:t>9</w:t>
                  </w:r>
                </w:p>
              </w:tc>
              <w:tc>
                <w:tcPr>
                  <w:tcW w:w="1418" w:type="dxa"/>
                  <w:vAlign w:val="center"/>
                </w:tcPr>
                <w:p>
                  <w:pPr>
                    <w:jc w:val="center"/>
                    <w:rPr>
                      <w:color w:val="auto"/>
                      <w:sz w:val="21"/>
                      <w:szCs w:val="21"/>
                    </w:rPr>
                  </w:pPr>
                  <w:r>
                    <w:rPr>
                      <w:rFonts w:hint="eastAsia"/>
                      <w:color w:val="auto"/>
                      <w:sz w:val="21"/>
                      <w:szCs w:val="21"/>
                    </w:rPr>
                    <w:t>75</w:t>
                  </w:r>
                </w:p>
              </w:tc>
              <w:tc>
                <w:tcPr>
                  <w:tcW w:w="1305" w:type="dxa"/>
                  <w:vMerge w:val="continue"/>
                  <w:tcBorders>
                    <w:right w:val="single" w:color="auto" w:sz="4" w:space="0"/>
                  </w:tcBorders>
                  <w:vAlign w:val="center"/>
                </w:tcPr>
                <w:p>
                  <w:pPr>
                    <w:pStyle w:val="10"/>
                    <w:spacing w:line="240" w:lineRule="auto"/>
                    <w:ind w:firstLine="0"/>
                    <w:jc w:val="center"/>
                    <w:rPr>
                      <w:color w:val="auto"/>
                      <w:sz w:val="21"/>
                      <w:szCs w:val="21"/>
                    </w:rPr>
                  </w:pPr>
                </w:p>
              </w:tc>
              <w:tc>
                <w:tcPr>
                  <w:tcW w:w="1794" w:type="dxa"/>
                  <w:vMerge w:val="continue"/>
                  <w:tcBorders>
                    <w:left w:val="single" w:color="auto" w:sz="4" w:space="0"/>
                  </w:tcBorders>
                  <w:vAlign w:val="center"/>
                </w:tcPr>
                <w:p>
                  <w:pPr>
                    <w:pStyle w:val="10"/>
                    <w:spacing w:line="240" w:lineRule="auto"/>
                    <w:ind w:firstLine="0"/>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784" w:type="dxa"/>
                  <w:vAlign w:val="center"/>
                </w:tcPr>
                <w:p>
                  <w:pPr>
                    <w:widowControl/>
                    <w:jc w:val="center"/>
                    <w:rPr>
                      <w:color w:val="auto"/>
                      <w:sz w:val="21"/>
                      <w:szCs w:val="21"/>
                    </w:rPr>
                  </w:pPr>
                  <w:r>
                    <w:rPr>
                      <w:rFonts w:hint="eastAsia"/>
                      <w:color w:val="auto"/>
                      <w:kern w:val="0"/>
                      <w:sz w:val="21"/>
                      <w:szCs w:val="21"/>
                    </w:rPr>
                    <w:t>3</w:t>
                  </w:r>
                </w:p>
              </w:tc>
              <w:tc>
                <w:tcPr>
                  <w:tcW w:w="1795" w:type="dxa"/>
                  <w:vAlign w:val="center"/>
                </w:tcPr>
                <w:p>
                  <w:pPr>
                    <w:widowControl/>
                    <w:jc w:val="center"/>
                    <w:rPr>
                      <w:rFonts w:hint="eastAsia" w:eastAsia="宋体"/>
                      <w:color w:val="auto"/>
                      <w:sz w:val="21"/>
                      <w:szCs w:val="21"/>
                      <w:lang w:eastAsia="zh-CN"/>
                    </w:rPr>
                  </w:pPr>
                  <w:r>
                    <w:rPr>
                      <w:rFonts w:hint="eastAsia" w:ascii="宋体" w:hAnsi="宋体" w:cs="仿宋_GB2312"/>
                      <w:bCs/>
                      <w:color w:val="auto"/>
                      <w:kern w:val="0"/>
                      <w:sz w:val="21"/>
                      <w:szCs w:val="21"/>
                      <w:lang w:eastAsia="zh-CN"/>
                    </w:rPr>
                    <w:t>空压机</w:t>
                  </w:r>
                </w:p>
              </w:tc>
              <w:tc>
                <w:tcPr>
                  <w:tcW w:w="762" w:type="dxa"/>
                  <w:vAlign w:val="center"/>
                </w:tcPr>
                <w:p>
                  <w:pPr>
                    <w:jc w:val="center"/>
                    <w:rPr>
                      <w:color w:val="auto"/>
                      <w:sz w:val="21"/>
                      <w:szCs w:val="21"/>
                    </w:rPr>
                  </w:pPr>
                  <w:r>
                    <w:rPr>
                      <w:rFonts w:hint="eastAsia"/>
                      <w:bCs/>
                      <w:color w:val="auto"/>
                      <w:kern w:val="0"/>
                      <w:sz w:val="21"/>
                      <w:szCs w:val="21"/>
                      <w:lang w:val="en-US" w:eastAsia="zh-CN"/>
                    </w:rPr>
                    <w:t>1</w:t>
                  </w:r>
                </w:p>
              </w:tc>
              <w:tc>
                <w:tcPr>
                  <w:tcW w:w="1418" w:type="dxa"/>
                  <w:vAlign w:val="center"/>
                </w:tcPr>
                <w:p>
                  <w:pPr>
                    <w:widowControl/>
                    <w:jc w:val="center"/>
                    <w:rPr>
                      <w:color w:val="auto"/>
                      <w:sz w:val="21"/>
                      <w:szCs w:val="21"/>
                    </w:rPr>
                  </w:pPr>
                  <w:r>
                    <w:rPr>
                      <w:rFonts w:hint="eastAsia"/>
                      <w:color w:val="auto"/>
                      <w:sz w:val="21"/>
                      <w:szCs w:val="21"/>
                      <w:lang w:val="en-US" w:eastAsia="zh-CN"/>
                    </w:rPr>
                    <w:t>90</w:t>
                  </w:r>
                </w:p>
              </w:tc>
              <w:tc>
                <w:tcPr>
                  <w:tcW w:w="1305" w:type="dxa"/>
                  <w:vMerge w:val="continue"/>
                  <w:tcBorders>
                    <w:right w:val="single" w:color="auto" w:sz="4" w:space="0"/>
                  </w:tcBorders>
                  <w:vAlign w:val="center"/>
                </w:tcPr>
                <w:p>
                  <w:pPr>
                    <w:pStyle w:val="10"/>
                    <w:spacing w:line="240" w:lineRule="auto"/>
                    <w:ind w:firstLine="0"/>
                    <w:jc w:val="center"/>
                    <w:rPr>
                      <w:color w:val="auto"/>
                      <w:sz w:val="21"/>
                      <w:szCs w:val="21"/>
                    </w:rPr>
                  </w:pPr>
                </w:p>
              </w:tc>
              <w:tc>
                <w:tcPr>
                  <w:tcW w:w="1794" w:type="dxa"/>
                  <w:vMerge w:val="continue"/>
                  <w:tcBorders>
                    <w:left w:val="single" w:color="auto" w:sz="4" w:space="0"/>
                  </w:tcBorders>
                  <w:vAlign w:val="center"/>
                </w:tcPr>
                <w:p>
                  <w:pPr>
                    <w:pStyle w:val="10"/>
                    <w:spacing w:line="240" w:lineRule="auto"/>
                    <w:ind w:firstLine="0"/>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784" w:type="dxa"/>
                  <w:vAlign w:val="center"/>
                </w:tcPr>
                <w:p>
                  <w:pPr>
                    <w:widowControl/>
                    <w:jc w:val="center"/>
                    <w:rPr>
                      <w:color w:val="auto"/>
                      <w:sz w:val="21"/>
                      <w:szCs w:val="21"/>
                    </w:rPr>
                  </w:pPr>
                  <w:r>
                    <w:rPr>
                      <w:rFonts w:hint="eastAsia"/>
                      <w:color w:val="auto"/>
                      <w:kern w:val="0"/>
                      <w:sz w:val="21"/>
                      <w:szCs w:val="21"/>
                      <w:lang w:val="en-US" w:eastAsia="zh-CN"/>
                    </w:rPr>
                    <w:t>4</w:t>
                  </w:r>
                </w:p>
              </w:tc>
              <w:tc>
                <w:tcPr>
                  <w:tcW w:w="1795" w:type="dxa"/>
                  <w:vAlign w:val="center"/>
                </w:tcPr>
                <w:p>
                  <w:pPr>
                    <w:widowControl/>
                    <w:jc w:val="center"/>
                    <w:rPr>
                      <w:rFonts w:hint="eastAsia" w:eastAsia="宋体"/>
                      <w:color w:val="auto"/>
                      <w:sz w:val="21"/>
                      <w:szCs w:val="21"/>
                      <w:lang w:eastAsia="zh-CN"/>
                    </w:rPr>
                  </w:pPr>
                  <w:r>
                    <w:rPr>
                      <w:rFonts w:hint="eastAsia" w:ascii="宋体" w:hAnsi="宋体" w:cs="仿宋_GB2312"/>
                      <w:bCs/>
                      <w:color w:val="auto"/>
                      <w:kern w:val="0"/>
                      <w:sz w:val="21"/>
                      <w:szCs w:val="21"/>
                      <w:lang w:val="en-US" w:eastAsia="zh-CN"/>
                    </w:rPr>
                    <w:t>去离子水设备</w:t>
                  </w:r>
                </w:p>
              </w:tc>
              <w:tc>
                <w:tcPr>
                  <w:tcW w:w="762" w:type="dxa"/>
                  <w:vAlign w:val="center"/>
                </w:tcPr>
                <w:p>
                  <w:pPr>
                    <w:jc w:val="center"/>
                    <w:rPr>
                      <w:color w:val="auto"/>
                      <w:sz w:val="21"/>
                      <w:szCs w:val="21"/>
                    </w:rPr>
                  </w:pPr>
                  <w:r>
                    <w:rPr>
                      <w:rFonts w:hint="eastAsia"/>
                      <w:bCs/>
                      <w:color w:val="auto"/>
                      <w:kern w:val="0"/>
                      <w:sz w:val="21"/>
                      <w:szCs w:val="21"/>
                      <w:lang w:val="en-US" w:eastAsia="zh-CN"/>
                    </w:rPr>
                    <w:t>1</w:t>
                  </w:r>
                </w:p>
              </w:tc>
              <w:tc>
                <w:tcPr>
                  <w:tcW w:w="1418" w:type="dxa"/>
                  <w:vAlign w:val="center"/>
                </w:tcPr>
                <w:p>
                  <w:pPr>
                    <w:pStyle w:val="88"/>
                    <w:spacing w:line="240" w:lineRule="auto"/>
                    <w:rPr>
                      <w:color w:val="auto"/>
                      <w:sz w:val="21"/>
                      <w:lang w:val="en-US"/>
                    </w:rPr>
                  </w:pPr>
                  <w:r>
                    <w:rPr>
                      <w:rFonts w:hint="eastAsia"/>
                      <w:color w:val="auto"/>
                      <w:sz w:val="21"/>
                      <w:lang w:val="en-US" w:eastAsia="zh-CN"/>
                    </w:rPr>
                    <w:t>70</w:t>
                  </w:r>
                </w:p>
              </w:tc>
              <w:tc>
                <w:tcPr>
                  <w:tcW w:w="1305" w:type="dxa"/>
                  <w:vMerge w:val="continue"/>
                  <w:tcBorders>
                    <w:right w:val="single" w:color="auto" w:sz="4" w:space="0"/>
                  </w:tcBorders>
                  <w:vAlign w:val="center"/>
                </w:tcPr>
                <w:p>
                  <w:pPr>
                    <w:pStyle w:val="10"/>
                    <w:spacing w:line="240" w:lineRule="auto"/>
                    <w:ind w:firstLine="0"/>
                    <w:jc w:val="center"/>
                    <w:rPr>
                      <w:color w:val="auto"/>
                      <w:sz w:val="21"/>
                      <w:szCs w:val="21"/>
                    </w:rPr>
                  </w:pPr>
                </w:p>
              </w:tc>
              <w:tc>
                <w:tcPr>
                  <w:tcW w:w="1794" w:type="dxa"/>
                  <w:vMerge w:val="continue"/>
                  <w:tcBorders>
                    <w:left w:val="single" w:color="auto" w:sz="4" w:space="0"/>
                  </w:tcBorders>
                  <w:vAlign w:val="center"/>
                </w:tcPr>
                <w:p>
                  <w:pPr>
                    <w:pStyle w:val="10"/>
                    <w:spacing w:line="240" w:lineRule="auto"/>
                    <w:ind w:firstLine="0"/>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784" w:type="dxa"/>
                  <w:vAlign w:val="center"/>
                </w:tcPr>
                <w:p>
                  <w:pPr>
                    <w:widowControl/>
                    <w:jc w:val="center"/>
                    <w:rPr>
                      <w:color w:val="auto"/>
                      <w:sz w:val="21"/>
                      <w:szCs w:val="21"/>
                    </w:rPr>
                  </w:pPr>
                  <w:r>
                    <w:rPr>
                      <w:rFonts w:hint="eastAsia"/>
                      <w:color w:val="auto"/>
                      <w:kern w:val="0"/>
                      <w:sz w:val="21"/>
                      <w:szCs w:val="21"/>
                      <w:lang w:val="en-US" w:eastAsia="zh-CN"/>
                    </w:rPr>
                    <w:t>5</w:t>
                  </w:r>
                </w:p>
              </w:tc>
              <w:tc>
                <w:tcPr>
                  <w:tcW w:w="1795" w:type="dxa"/>
                  <w:vAlign w:val="center"/>
                </w:tcPr>
                <w:p>
                  <w:pPr>
                    <w:widowControl/>
                    <w:jc w:val="center"/>
                    <w:rPr>
                      <w:color w:val="auto"/>
                      <w:sz w:val="21"/>
                      <w:szCs w:val="21"/>
                    </w:rPr>
                  </w:pPr>
                  <w:r>
                    <w:rPr>
                      <w:rFonts w:hint="eastAsia" w:ascii="宋体" w:hAnsi="宋体" w:cs="仿宋_GB2312"/>
                      <w:bCs/>
                      <w:color w:val="auto"/>
                      <w:kern w:val="0"/>
                      <w:sz w:val="21"/>
                      <w:szCs w:val="21"/>
                      <w:lang w:val="en-US" w:eastAsia="zh-CN"/>
                    </w:rPr>
                    <w:t>布袋除尘器风机</w:t>
                  </w:r>
                </w:p>
              </w:tc>
              <w:tc>
                <w:tcPr>
                  <w:tcW w:w="762" w:type="dxa"/>
                  <w:vAlign w:val="center"/>
                </w:tcPr>
                <w:p>
                  <w:pPr>
                    <w:jc w:val="center"/>
                    <w:rPr>
                      <w:color w:val="auto"/>
                      <w:sz w:val="21"/>
                      <w:szCs w:val="21"/>
                    </w:rPr>
                  </w:pPr>
                  <w:r>
                    <w:rPr>
                      <w:rFonts w:hint="eastAsia"/>
                      <w:bCs/>
                      <w:color w:val="auto"/>
                      <w:kern w:val="0"/>
                      <w:sz w:val="21"/>
                      <w:szCs w:val="21"/>
                      <w:lang w:val="en-US" w:eastAsia="zh-CN"/>
                    </w:rPr>
                    <w:t>2</w:t>
                  </w:r>
                </w:p>
              </w:tc>
              <w:tc>
                <w:tcPr>
                  <w:tcW w:w="1418" w:type="dxa"/>
                  <w:vAlign w:val="center"/>
                </w:tcPr>
                <w:p>
                  <w:pPr>
                    <w:pStyle w:val="88"/>
                    <w:spacing w:line="240" w:lineRule="auto"/>
                    <w:rPr>
                      <w:color w:val="auto"/>
                      <w:sz w:val="21"/>
                      <w:lang w:val="en-US"/>
                    </w:rPr>
                  </w:pPr>
                  <w:r>
                    <w:rPr>
                      <w:rFonts w:hint="eastAsia"/>
                      <w:color w:val="auto"/>
                      <w:sz w:val="21"/>
                      <w:lang w:val="en-US" w:eastAsia="zh-CN"/>
                    </w:rPr>
                    <w:t>90</w:t>
                  </w:r>
                </w:p>
              </w:tc>
              <w:tc>
                <w:tcPr>
                  <w:tcW w:w="1305" w:type="dxa"/>
                  <w:vMerge w:val="continue"/>
                  <w:tcBorders>
                    <w:right w:val="single" w:color="auto" w:sz="4" w:space="0"/>
                  </w:tcBorders>
                  <w:vAlign w:val="center"/>
                </w:tcPr>
                <w:p>
                  <w:pPr>
                    <w:pStyle w:val="10"/>
                    <w:spacing w:line="240" w:lineRule="auto"/>
                    <w:ind w:firstLine="0"/>
                    <w:jc w:val="center"/>
                    <w:rPr>
                      <w:color w:val="auto"/>
                      <w:sz w:val="21"/>
                      <w:szCs w:val="21"/>
                    </w:rPr>
                  </w:pPr>
                </w:p>
              </w:tc>
              <w:tc>
                <w:tcPr>
                  <w:tcW w:w="1794" w:type="dxa"/>
                  <w:vMerge w:val="continue"/>
                  <w:tcBorders>
                    <w:left w:val="single" w:color="auto" w:sz="4" w:space="0"/>
                  </w:tcBorders>
                  <w:vAlign w:val="center"/>
                </w:tcPr>
                <w:p>
                  <w:pPr>
                    <w:pStyle w:val="10"/>
                    <w:spacing w:line="240" w:lineRule="auto"/>
                    <w:ind w:firstLine="0"/>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784" w:type="dxa"/>
                  <w:vAlign w:val="center"/>
                </w:tcPr>
                <w:p>
                  <w:pPr>
                    <w:widowControl/>
                    <w:jc w:val="center"/>
                    <w:rPr>
                      <w:rFonts w:hint="eastAsia" w:eastAsia="宋体"/>
                      <w:color w:val="auto"/>
                      <w:sz w:val="21"/>
                      <w:szCs w:val="21"/>
                      <w:lang w:val="en-US" w:eastAsia="zh-CN"/>
                    </w:rPr>
                  </w:pPr>
                  <w:r>
                    <w:rPr>
                      <w:rFonts w:hint="eastAsia"/>
                      <w:color w:val="auto"/>
                      <w:kern w:val="0"/>
                      <w:sz w:val="21"/>
                      <w:szCs w:val="21"/>
                      <w:lang w:val="en-US" w:eastAsia="zh-CN"/>
                    </w:rPr>
                    <w:t>6</w:t>
                  </w:r>
                </w:p>
              </w:tc>
              <w:tc>
                <w:tcPr>
                  <w:tcW w:w="1795" w:type="dxa"/>
                  <w:vAlign w:val="center"/>
                </w:tcPr>
                <w:p>
                  <w:pPr>
                    <w:widowControl/>
                    <w:jc w:val="center"/>
                    <w:rPr>
                      <w:rFonts w:hint="eastAsia" w:ascii="宋体" w:hAnsi="宋体" w:cs="仿宋_GB2312"/>
                      <w:bCs/>
                      <w:color w:val="auto"/>
                      <w:kern w:val="0"/>
                      <w:sz w:val="21"/>
                      <w:szCs w:val="21"/>
                      <w:lang w:val="en-US" w:eastAsia="zh-CN"/>
                    </w:rPr>
                  </w:pPr>
                  <w:r>
                    <w:rPr>
                      <w:rFonts w:hint="eastAsia" w:ascii="宋体" w:hAnsi="宋体" w:cs="仿宋_GB2312"/>
                      <w:bCs/>
                      <w:color w:val="auto"/>
                      <w:kern w:val="0"/>
                      <w:sz w:val="21"/>
                      <w:szCs w:val="21"/>
                      <w:lang w:val="en-US" w:eastAsia="zh-CN"/>
                    </w:rPr>
                    <w:t>活性炭吸附装置风机</w:t>
                  </w:r>
                </w:p>
              </w:tc>
              <w:tc>
                <w:tcPr>
                  <w:tcW w:w="762" w:type="dxa"/>
                  <w:vAlign w:val="center"/>
                </w:tcPr>
                <w:p>
                  <w:pPr>
                    <w:jc w:val="center"/>
                    <w:rPr>
                      <w:rFonts w:hint="eastAsia"/>
                      <w:bCs/>
                      <w:color w:val="auto"/>
                      <w:kern w:val="0"/>
                      <w:sz w:val="21"/>
                      <w:szCs w:val="21"/>
                      <w:lang w:val="en-US" w:eastAsia="zh-CN"/>
                    </w:rPr>
                  </w:pPr>
                  <w:r>
                    <w:rPr>
                      <w:rFonts w:hint="eastAsia"/>
                      <w:bCs/>
                      <w:color w:val="auto"/>
                      <w:kern w:val="0"/>
                      <w:sz w:val="21"/>
                      <w:szCs w:val="21"/>
                      <w:lang w:val="en-US" w:eastAsia="zh-CN"/>
                    </w:rPr>
                    <w:t>1</w:t>
                  </w:r>
                </w:p>
              </w:tc>
              <w:tc>
                <w:tcPr>
                  <w:tcW w:w="1418" w:type="dxa"/>
                  <w:vAlign w:val="center"/>
                </w:tcPr>
                <w:p>
                  <w:pPr>
                    <w:pStyle w:val="88"/>
                    <w:spacing w:line="240" w:lineRule="auto"/>
                    <w:rPr>
                      <w:rFonts w:hint="default"/>
                      <w:color w:val="auto"/>
                      <w:sz w:val="21"/>
                      <w:lang w:val="en-US" w:eastAsia="zh-CN"/>
                    </w:rPr>
                  </w:pPr>
                  <w:r>
                    <w:rPr>
                      <w:rFonts w:hint="eastAsia"/>
                      <w:color w:val="auto"/>
                      <w:sz w:val="21"/>
                      <w:lang w:val="en-US" w:eastAsia="zh-CN"/>
                    </w:rPr>
                    <w:t>90</w:t>
                  </w:r>
                </w:p>
              </w:tc>
              <w:tc>
                <w:tcPr>
                  <w:tcW w:w="1305" w:type="dxa"/>
                  <w:vMerge w:val="continue"/>
                  <w:tcBorders>
                    <w:right w:val="single" w:color="auto" w:sz="4" w:space="0"/>
                  </w:tcBorders>
                  <w:vAlign w:val="center"/>
                </w:tcPr>
                <w:p>
                  <w:pPr>
                    <w:pStyle w:val="10"/>
                    <w:spacing w:line="240" w:lineRule="auto"/>
                    <w:ind w:firstLine="0"/>
                    <w:jc w:val="center"/>
                    <w:rPr>
                      <w:color w:val="auto"/>
                      <w:sz w:val="21"/>
                      <w:szCs w:val="21"/>
                    </w:rPr>
                  </w:pPr>
                </w:p>
              </w:tc>
              <w:tc>
                <w:tcPr>
                  <w:tcW w:w="1794" w:type="dxa"/>
                  <w:vMerge w:val="continue"/>
                  <w:tcBorders>
                    <w:left w:val="single" w:color="auto" w:sz="4" w:space="0"/>
                  </w:tcBorders>
                  <w:vAlign w:val="center"/>
                </w:tcPr>
                <w:p>
                  <w:pPr>
                    <w:pStyle w:val="10"/>
                    <w:spacing w:line="240" w:lineRule="auto"/>
                    <w:ind w:firstLine="0"/>
                    <w:jc w:val="center"/>
                    <w:rPr>
                      <w:color w:val="auto"/>
                      <w:sz w:val="21"/>
                      <w:szCs w:val="21"/>
                    </w:rPr>
                  </w:pPr>
                </w:p>
              </w:tc>
            </w:tr>
          </w:tbl>
          <w:p>
            <w:pPr>
              <w:tabs>
                <w:tab w:val="left" w:pos="0"/>
              </w:tabs>
              <w:spacing w:line="360" w:lineRule="auto"/>
              <w:ind w:firstLine="480" w:firstLineChars="200"/>
              <w:rPr>
                <w:color w:val="auto"/>
              </w:rPr>
            </w:pPr>
            <w:r>
              <w:rPr>
                <w:color w:val="auto"/>
              </w:rPr>
              <w:t>评价提出如下噪声治理措施：</w:t>
            </w:r>
          </w:p>
          <w:p>
            <w:pPr>
              <w:spacing w:line="360" w:lineRule="auto"/>
              <w:ind w:firstLine="480" w:firstLineChars="200"/>
              <w:rPr>
                <w:color w:val="auto"/>
              </w:rPr>
            </w:pPr>
            <w:r>
              <w:rPr>
                <w:color w:val="auto"/>
              </w:rPr>
              <w:t>噪声治理视不同情况采取设备降噪、传播途径阻隔及受声者保护三方面措施。在设备选型中尽量选择低噪声设备，从根本上减少声源，对于产生噪声较大的生产设备置于厂房中，以减轻对周围环境及操作人员的影响。</w:t>
            </w:r>
          </w:p>
          <w:p>
            <w:pPr>
              <w:spacing w:line="360" w:lineRule="auto"/>
              <w:ind w:firstLine="480" w:firstLineChars="200"/>
              <w:rPr>
                <w:color w:val="auto"/>
              </w:rPr>
            </w:pPr>
            <w:r>
              <w:rPr>
                <w:color w:val="auto"/>
              </w:rPr>
              <w:t>①本项目生产设备选用低噪声设备，环评要求生产设备均置于车间内，合理布局，基础减振</w:t>
            </w:r>
            <w:r>
              <w:rPr>
                <w:rFonts w:hint="eastAsia"/>
                <w:color w:val="auto"/>
                <w:lang w:eastAsia="zh-CN"/>
              </w:rPr>
              <w:t>，</w:t>
            </w:r>
            <w:r>
              <w:rPr>
                <w:rFonts w:hint="eastAsia"/>
                <w:color w:val="auto"/>
                <w:lang w:val="en-US" w:eastAsia="zh-CN"/>
              </w:rPr>
              <w:t>对风机采取消音措施</w:t>
            </w:r>
            <w:r>
              <w:rPr>
                <w:rFonts w:hint="eastAsia"/>
                <w:color w:val="auto"/>
                <w:lang w:eastAsia="zh-CN"/>
              </w:rPr>
              <w:t>、</w:t>
            </w:r>
            <w:r>
              <w:rPr>
                <w:color w:val="auto"/>
              </w:rPr>
              <w:t>厂房门窗采取隔声措施等。高噪设备在布置上尽量远离生活营地与外环境噪声敏感点。</w:t>
            </w:r>
          </w:p>
          <w:p>
            <w:pPr>
              <w:spacing w:line="360" w:lineRule="auto"/>
              <w:ind w:firstLine="480" w:firstLineChars="200"/>
              <w:rPr>
                <w:color w:val="auto"/>
              </w:rPr>
            </w:pPr>
            <w:r>
              <w:rPr>
                <w:color w:val="auto"/>
              </w:rPr>
              <w:t>②生产设备要按时检查维修，防止生产设备在不良条件下运行而造成的机械噪声值增加的情况发生。</w:t>
            </w:r>
          </w:p>
          <w:p>
            <w:pPr>
              <w:spacing w:line="360" w:lineRule="auto"/>
              <w:ind w:firstLine="480" w:firstLineChars="200"/>
              <w:rPr>
                <w:color w:val="auto"/>
              </w:rPr>
            </w:pPr>
            <w:r>
              <w:rPr>
                <w:color w:val="auto"/>
              </w:rPr>
              <w:t>③加强员工个人防护。从噪声接受点上控制噪声，以降低个人对噪声的感觉。此外，厂内员工应当有意识地减少在噪声环境中的暴露时间以减少噪声对人体造成的危害。</w:t>
            </w:r>
          </w:p>
          <w:p>
            <w:pPr>
              <w:pStyle w:val="10"/>
              <w:spacing w:line="360" w:lineRule="auto"/>
              <w:ind w:firstLine="480" w:firstLineChars="200"/>
              <w:rPr>
                <w:color w:val="auto"/>
                <w:sz w:val="24"/>
              </w:rPr>
            </w:pPr>
            <w:r>
              <w:rPr>
                <w:color w:val="auto"/>
                <w:sz w:val="24"/>
              </w:rPr>
              <w:t>通过以上措施后，噪声</w:t>
            </w:r>
            <w:r>
              <w:rPr>
                <w:rFonts w:hint="eastAsia"/>
                <w:color w:val="auto"/>
                <w:sz w:val="24"/>
              </w:rPr>
              <w:t>可</w:t>
            </w:r>
            <w:r>
              <w:rPr>
                <w:color w:val="auto"/>
                <w:sz w:val="24"/>
              </w:rPr>
              <w:t>消减20~30dB(A)</w:t>
            </w:r>
            <w:r>
              <w:rPr>
                <w:rFonts w:hint="eastAsia"/>
                <w:color w:val="auto"/>
                <w:sz w:val="24"/>
              </w:rPr>
              <w:t>，本评价取消减值20dB(A)</w:t>
            </w:r>
            <w:r>
              <w:rPr>
                <w:color w:val="auto"/>
                <w:sz w:val="24"/>
              </w:rPr>
              <w:t>，具体噪声级及控制措施见表4-</w:t>
            </w:r>
            <w:r>
              <w:rPr>
                <w:rFonts w:hint="eastAsia"/>
                <w:color w:val="auto"/>
                <w:sz w:val="24"/>
                <w:lang w:val="en-US" w:eastAsia="zh-CN"/>
              </w:rPr>
              <w:t>9</w:t>
            </w:r>
            <w:r>
              <w:rPr>
                <w:color w:val="auto"/>
                <w:sz w:val="24"/>
              </w:rPr>
              <w:t>。</w:t>
            </w:r>
          </w:p>
          <w:p>
            <w:pPr>
              <w:pStyle w:val="42"/>
              <w:snapToGrid w:val="0"/>
              <w:spacing w:before="60" w:beforeLines="25" w:after="60" w:afterLines="2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表4-</w:t>
            </w:r>
            <w:r>
              <w:rPr>
                <w:rFonts w:hint="default" w:ascii="Times New Roman" w:hAnsi="Times New Roman" w:cs="Times New Roman"/>
                <w:color w:val="auto"/>
                <w:sz w:val="21"/>
                <w:szCs w:val="21"/>
                <w:lang w:val="en-US" w:eastAsia="zh-CN"/>
              </w:rPr>
              <w:t>9</w:t>
            </w:r>
            <w:r>
              <w:rPr>
                <w:rFonts w:hint="default" w:ascii="Times New Roman" w:hAnsi="Times New Roman" w:cs="Times New Roman"/>
                <w:color w:val="auto"/>
                <w:sz w:val="21"/>
                <w:szCs w:val="21"/>
              </w:rPr>
              <w:t xml:space="preserve">  主要噪声源噪声控制措施</w:t>
            </w:r>
          </w:p>
          <w:tbl>
            <w:tblPr>
              <w:tblStyle w:val="3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740"/>
              <w:gridCol w:w="793"/>
              <w:gridCol w:w="939"/>
              <w:gridCol w:w="1710"/>
              <w:gridCol w:w="567"/>
              <w:gridCol w:w="643"/>
              <w:gridCol w:w="643"/>
              <w:gridCol w:w="6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92" w:type="pct"/>
                  <w:vMerge w:val="restart"/>
                  <w:noWrap w:val="0"/>
                  <w:vAlign w:val="center"/>
                </w:tcPr>
                <w:p>
                  <w:pPr>
                    <w:adjustRightInd w:val="0"/>
                    <w:snapToGrid w:val="0"/>
                    <w:jc w:val="center"/>
                    <w:rPr>
                      <w:rFonts w:hint="default" w:ascii="Times New Roman" w:hAnsi="Times New Roman" w:cs="Times New Roman"/>
                      <w:color w:val="auto"/>
                      <w:spacing w:val="6"/>
                      <w:sz w:val="21"/>
                      <w:szCs w:val="21"/>
                      <w:u w:val="none" w:color="auto"/>
                    </w:rPr>
                  </w:pPr>
                  <w:r>
                    <w:rPr>
                      <w:rFonts w:hint="default" w:ascii="Times New Roman" w:hAnsi="Times New Roman" w:cs="Times New Roman"/>
                      <w:color w:val="auto"/>
                      <w:spacing w:val="6"/>
                      <w:sz w:val="21"/>
                      <w:szCs w:val="21"/>
                      <w:u w:val="none" w:color="auto"/>
                    </w:rPr>
                    <w:t>噪声源</w:t>
                  </w:r>
                </w:p>
              </w:tc>
              <w:tc>
                <w:tcPr>
                  <w:tcW w:w="457" w:type="pct"/>
                  <w:vMerge w:val="restart"/>
                  <w:noWrap w:val="0"/>
                  <w:vAlign w:val="center"/>
                </w:tcPr>
                <w:p>
                  <w:pPr>
                    <w:adjustRightInd w:val="0"/>
                    <w:snapToGrid w:val="0"/>
                    <w:jc w:val="center"/>
                    <w:rPr>
                      <w:rFonts w:hint="default" w:ascii="Times New Roman" w:hAnsi="Times New Roman" w:cs="Times New Roman"/>
                      <w:color w:val="auto"/>
                      <w:spacing w:val="6"/>
                      <w:sz w:val="21"/>
                      <w:szCs w:val="21"/>
                      <w:u w:val="none" w:color="auto"/>
                    </w:rPr>
                  </w:pPr>
                  <w:r>
                    <w:rPr>
                      <w:rFonts w:hint="default" w:ascii="Times New Roman" w:hAnsi="Times New Roman" w:cs="Times New Roman"/>
                      <w:color w:val="auto"/>
                      <w:spacing w:val="6"/>
                      <w:sz w:val="21"/>
                      <w:szCs w:val="21"/>
                      <w:u w:val="none" w:color="auto"/>
                    </w:rPr>
                    <w:t>源强</w:t>
                  </w:r>
                </w:p>
              </w:tc>
              <w:tc>
                <w:tcPr>
                  <w:tcW w:w="490" w:type="pct"/>
                  <w:vMerge w:val="restart"/>
                  <w:noWrap w:val="0"/>
                  <w:vAlign w:val="center"/>
                </w:tcPr>
                <w:p>
                  <w:pPr>
                    <w:adjustRightInd w:val="0"/>
                    <w:snapToGrid w:val="0"/>
                    <w:jc w:val="center"/>
                    <w:rPr>
                      <w:rFonts w:hint="eastAsia" w:ascii="Times New Roman" w:hAnsi="Times New Roman" w:eastAsia="宋体" w:cs="Times New Roman"/>
                      <w:color w:val="auto"/>
                      <w:spacing w:val="6"/>
                      <w:sz w:val="21"/>
                      <w:szCs w:val="21"/>
                      <w:u w:val="none" w:color="auto"/>
                      <w:lang w:val="en-US" w:eastAsia="zh-CN"/>
                    </w:rPr>
                  </w:pPr>
                  <w:r>
                    <w:rPr>
                      <w:rFonts w:hint="eastAsia" w:ascii="Times New Roman" w:hAnsi="Times New Roman" w:cs="Times New Roman"/>
                      <w:color w:val="auto"/>
                      <w:spacing w:val="6"/>
                      <w:sz w:val="21"/>
                      <w:szCs w:val="21"/>
                      <w:u w:val="none" w:color="auto"/>
                      <w:lang w:val="en-US" w:eastAsia="zh-CN"/>
                    </w:rPr>
                    <w:t>数量</w:t>
                  </w:r>
                </w:p>
              </w:tc>
              <w:tc>
                <w:tcPr>
                  <w:tcW w:w="580" w:type="pct"/>
                  <w:vMerge w:val="restart"/>
                  <w:noWrap w:val="0"/>
                  <w:vAlign w:val="center"/>
                </w:tcPr>
                <w:p>
                  <w:pPr>
                    <w:adjustRightInd w:val="0"/>
                    <w:snapToGrid w:val="0"/>
                    <w:jc w:val="center"/>
                    <w:rPr>
                      <w:rFonts w:hint="default" w:ascii="Times New Roman" w:hAnsi="Times New Roman" w:cs="Times New Roman"/>
                      <w:color w:val="auto"/>
                      <w:spacing w:val="6"/>
                      <w:sz w:val="21"/>
                      <w:szCs w:val="21"/>
                      <w:u w:val="none" w:color="auto"/>
                    </w:rPr>
                  </w:pPr>
                  <w:r>
                    <w:rPr>
                      <w:rFonts w:hint="default" w:ascii="Times New Roman" w:hAnsi="Times New Roman" w:cs="Times New Roman"/>
                      <w:color w:val="auto"/>
                      <w:spacing w:val="6"/>
                      <w:sz w:val="21"/>
                      <w:szCs w:val="21"/>
                      <w:u w:val="none" w:color="auto"/>
                    </w:rPr>
                    <w:t>治理效果</w:t>
                  </w:r>
                </w:p>
              </w:tc>
              <w:tc>
                <w:tcPr>
                  <w:tcW w:w="1056" w:type="pct"/>
                  <w:vMerge w:val="restart"/>
                  <w:noWrap w:val="0"/>
                  <w:vAlign w:val="center"/>
                </w:tcPr>
                <w:p>
                  <w:pPr>
                    <w:adjustRightInd w:val="0"/>
                    <w:snapToGrid w:val="0"/>
                    <w:jc w:val="center"/>
                    <w:rPr>
                      <w:rFonts w:hint="default" w:ascii="Times New Roman" w:hAnsi="Times New Roman" w:cs="Times New Roman"/>
                      <w:color w:val="auto"/>
                      <w:spacing w:val="6"/>
                      <w:sz w:val="21"/>
                      <w:szCs w:val="21"/>
                      <w:u w:val="none" w:color="auto"/>
                    </w:rPr>
                  </w:pPr>
                  <w:r>
                    <w:rPr>
                      <w:rFonts w:hint="default" w:ascii="Times New Roman" w:hAnsi="Times New Roman" w:cs="Times New Roman"/>
                      <w:color w:val="auto"/>
                      <w:spacing w:val="6"/>
                      <w:sz w:val="21"/>
                      <w:szCs w:val="21"/>
                      <w:u w:val="none" w:color="auto"/>
                    </w:rPr>
                    <w:t>整体声源值</w:t>
                  </w:r>
                </w:p>
              </w:tc>
              <w:tc>
                <w:tcPr>
                  <w:tcW w:w="1521" w:type="pct"/>
                  <w:gridSpan w:val="4"/>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与边界距离（米）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2" w:type="pct"/>
                  <w:vMerge w:val="continue"/>
                  <w:noWrap w:val="0"/>
                  <w:vAlign w:val="center"/>
                </w:tcPr>
                <w:p>
                  <w:pPr>
                    <w:adjustRightInd w:val="0"/>
                    <w:snapToGrid w:val="0"/>
                    <w:jc w:val="center"/>
                    <w:rPr>
                      <w:rFonts w:hint="default" w:ascii="Times New Roman" w:hAnsi="Times New Roman" w:cs="Times New Roman"/>
                      <w:color w:val="auto"/>
                      <w:spacing w:val="6"/>
                      <w:sz w:val="21"/>
                      <w:szCs w:val="21"/>
                      <w:u w:val="none" w:color="auto"/>
                    </w:rPr>
                  </w:pPr>
                </w:p>
              </w:tc>
              <w:tc>
                <w:tcPr>
                  <w:tcW w:w="457" w:type="pct"/>
                  <w:vMerge w:val="continue"/>
                  <w:noWrap w:val="0"/>
                  <w:vAlign w:val="center"/>
                </w:tcPr>
                <w:p>
                  <w:pPr>
                    <w:adjustRightInd w:val="0"/>
                    <w:snapToGrid w:val="0"/>
                    <w:jc w:val="center"/>
                    <w:rPr>
                      <w:rFonts w:hint="default" w:ascii="Times New Roman" w:hAnsi="Times New Roman" w:cs="Times New Roman"/>
                      <w:color w:val="auto"/>
                      <w:spacing w:val="6"/>
                      <w:sz w:val="21"/>
                      <w:szCs w:val="21"/>
                      <w:u w:val="none" w:color="auto"/>
                    </w:rPr>
                  </w:pPr>
                </w:p>
              </w:tc>
              <w:tc>
                <w:tcPr>
                  <w:tcW w:w="490" w:type="pct"/>
                  <w:vMerge w:val="continue"/>
                  <w:noWrap w:val="0"/>
                  <w:vAlign w:val="center"/>
                </w:tcPr>
                <w:p>
                  <w:pPr>
                    <w:adjustRightInd w:val="0"/>
                    <w:snapToGrid w:val="0"/>
                    <w:jc w:val="center"/>
                    <w:rPr>
                      <w:rFonts w:hint="default" w:ascii="Times New Roman" w:hAnsi="Times New Roman" w:cs="Times New Roman"/>
                      <w:color w:val="auto"/>
                      <w:spacing w:val="6"/>
                      <w:sz w:val="21"/>
                      <w:szCs w:val="21"/>
                      <w:u w:val="none" w:color="auto"/>
                    </w:rPr>
                  </w:pPr>
                </w:p>
              </w:tc>
              <w:tc>
                <w:tcPr>
                  <w:tcW w:w="580" w:type="pct"/>
                  <w:vMerge w:val="continue"/>
                  <w:noWrap w:val="0"/>
                  <w:vAlign w:val="center"/>
                </w:tcPr>
                <w:p>
                  <w:pPr>
                    <w:adjustRightInd w:val="0"/>
                    <w:snapToGrid w:val="0"/>
                    <w:jc w:val="center"/>
                    <w:rPr>
                      <w:rFonts w:hint="default" w:ascii="Times New Roman" w:hAnsi="Times New Roman" w:cs="Times New Roman"/>
                      <w:color w:val="auto"/>
                      <w:spacing w:val="6"/>
                      <w:sz w:val="21"/>
                      <w:szCs w:val="21"/>
                      <w:u w:val="none" w:color="auto"/>
                    </w:rPr>
                  </w:pPr>
                </w:p>
              </w:tc>
              <w:tc>
                <w:tcPr>
                  <w:tcW w:w="1056" w:type="pct"/>
                  <w:vMerge w:val="continue"/>
                  <w:noWrap w:val="0"/>
                  <w:vAlign w:val="center"/>
                </w:tcPr>
                <w:p>
                  <w:pPr>
                    <w:adjustRightInd w:val="0"/>
                    <w:snapToGrid w:val="0"/>
                    <w:jc w:val="center"/>
                    <w:rPr>
                      <w:rFonts w:hint="default" w:ascii="Times New Roman" w:hAnsi="Times New Roman" w:cs="Times New Roman"/>
                      <w:color w:val="auto"/>
                      <w:spacing w:val="6"/>
                      <w:sz w:val="21"/>
                      <w:szCs w:val="21"/>
                      <w:u w:val="none" w:color="auto"/>
                    </w:rPr>
                  </w:pPr>
                </w:p>
              </w:tc>
              <w:tc>
                <w:tcPr>
                  <w:tcW w:w="350"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pacing w:val="6"/>
                      <w:sz w:val="21"/>
                      <w:szCs w:val="21"/>
                      <w:u w:val="none" w:color="auto"/>
                    </w:rPr>
                  </w:pPr>
                  <w:r>
                    <w:rPr>
                      <w:rFonts w:hint="default" w:ascii="Times New Roman" w:hAnsi="Times New Roman" w:cs="Times New Roman"/>
                      <w:color w:val="auto"/>
                      <w:sz w:val="21"/>
                      <w:szCs w:val="21"/>
                      <w:u w:val="none" w:color="auto"/>
                    </w:rPr>
                    <w:t>东</w:t>
                  </w:r>
                </w:p>
              </w:tc>
              <w:tc>
                <w:tcPr>
                  <w:tcW w:w="397"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pacing w:val="6"/>
                      <w:sz w:val="21"/>
                      <w:szCs w:val="21"/>
                      <w:u w:val="none" w:color="auto"/>
                    </w:rPr>
                  </w:pPr>
                  <w:r>
                    <w:rPr>
                      <w:rFonts w:hint="default" w:ascii="Times New Roman" w:hAnsi="Times New Roman" w:cs="Times New Roman"/>
                      <w:color w:val="auto"/>
                      <w:sz w:val="21"/>
                      <w:szCs w:val="21"/>
                      <w:u w:val="none" w:color="auto"/>
                    </w:rPr>
                    <w:t>南</w:t>
                  </w:r>
                </w:p>
              </w:tc>
              <w:tc>
                <w:tcPr>
                  <w:tcW w:w="397"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pacing w:val="6"/>
                      <w:sz w:val="21"/>
                      <w:szCs w:val="21"/>
                      <w:u w:val="none" w:color="auto"/>
                    </w:rPr>
                  </w:pPr>
                  <w:r>
                    <w:rPr>
                      <w:rFonts w:hint="default" w:ascii="Times New Roman" w:hAnsi="Times New Roman" w:cs="Times New Roman"/>
                      <w:color w:val="auto"/>
                      <w:sz w:val="21"/>
                      <w:szCs w:val="21"/>
                      <w:u w:val="none" w:color="auto"/>
                    </w:rPr>
                    <w:t>西</w:t>
                  </w:r>
                </w:p>
              </w:tc>
              <w:tc>
                <w:tcPr>
                  <w:tcW w:w="377"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pacing w:val="6"/>
                      <w:sz w:val="21"/>
                      <w:szCs w:val="21"/>
                      <w:u w:val="none" w:color="auto"/>
                    </w:rPr>
                  </w:pPr>
                  <w:r>
                    <w:rPr>
                      <w:rFonts w:hint="default" w:ascii="Times New Roman" w:hAnsi="Times New Roman" w:cs="Times New Roman"/>
                      <w:color w:val="auto"/>
                      <w:sz w:val="21"/>
                      <w:szCs w:val="21"/>
                      <w:u w:val="none" w:color="auto"/>
                    </w:rPr>
                    <w:t>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2" w:type="pct"/>
                  <w:noWrap w:val="0"/>
                  <w:vAlign w:val="center"/>
                </w:tcPr>
                <w:p>
                  <w:pPr>
                    <w:widowControl/>
                    <w:jc w:val="center"/>
                    <w:rPr>
                      <w:rFonts w:hint="eastAsia"/>
                      <w:color w:val="auto"/>
                      <w:sz w:val="21"/>
                      <w:szCs w:val="21"/>
                      <w:u w:val="none" w:color="auto"/>
                      <w:lang w:eastAsia="zh-CN"/>
                    </w:rPr>
                  </w:pPr>
                  <w:r>
                    <w:rPr>
                      <w:rFonts w:hint="eastAsia"/>
                      <w:color w:val="auto"/>
                      <w:sz w:val="21"/>
                      <w:szCs w:val="21"/>
                      <w:lang w:eastAsia="zh-CN"/>
                    </w:rPr>
                    <w:t>高速分散机</w:t>
                  </w:r>
                </w:p>
              </w:tc>
              <w:tc>
                <w:tcPr>
                  <w:tcW w:w="457" w:type="pct"/>
                  <w:noWrap w:val="0"/>
                  <w:vAlign w:val="center"/>
                </w:tcPr>
                <w:p>
                  <w:pPr>
                    <w:jc w:val="center"/>
                    <w:rPr>
                      <w:rFonts w:hint="default" w:ascii="Times New Roman" w:hAnsi="Times New Roman" w:eastAsia="宋体" w:cs="Times New Roman"/>
                      <w:color w:val="auto"/>
                      <w:sz w:val="21"/>
                      <w:szCs w:val="21"/>
                      <w:u w:val="none" w:color="auto"/>
                      <w:vertAlign w:val="baseline"/>
                      <w:lang w:val="en-US" w:eastAsia="zh-CN"/>
                    </w:rPr>
                  </w:pPr>
                  <w:r>
                    <w:rPr>
                      <w:rFonts w:hint="eastAsia"/>
                      <w:color w:val="auto"/>
                      <w:sz w:val="21"/>
                      <w:szCs w:val="21"/>
                      <w:lang w:val="en-US" w:eastAsia="zh-CN"/>
                    </w:rPr>
                    <w:t>80</w:t>
                  </w:r>
                </w:p>
              </w:tc>
              <w:tc>
                <w:tcPr>
                  <w:tcW w:w="490" w:type="pct"/>
                  <w:noWrap w:val="0"/>
                  <w:vAlign w:val="center"/>
                </w:tcPr>
                <w:p>
                  <w:pPr>
                    <w:widowControl/>
                    <w:jc w:val="center"/>
                    <w:rPr>
                      <w:rFonts w:hint="default" w:ascii="Times New Roman" w:hAnsi="Times New Roman" w:eastAsia="宋体" w:cs="Times New Roman"/>
                      <w:color w:val="auto"/>
                      <w:sz w:val="21"/>
                      <w:szCs w:val="21"/>
                      <w:u w:val="none" w:color="auto"/>
                      <w:vertAlign w:val="baseline"/>
                      <w:lang w:val="en-US" w:eastAsia="zh-CN"/>
                    </w:rPr>
                  </w:pPr>
                  <w:r>
                    <w:rPr>
                      <w:rFonts w:hint="eastAsia"/>
                      <w:color w:val="auto"/>
                      <w:kern w:val="0"/>
                      <w:sz w:val="21"/>
                      <w:szCs w:val="21"/>
                      <w:lang w:val="en-US" w:eastAsia="zh-CN"/>
                    </w:rPr>
                    <w:t>5</w:t>
                  </w:r>
                </w:p>
              </w:tc>
              <w:tc>
                <w:tcPr>
                  <w:tcW w:w="580" w:type="pct"/>
                  <w:noWrap w:val="0"/>
                  <w:vAlign w:val="center"/>
                </w:tcPr>
                <w:p>
                  <w:pPr>
                    <w:adjustRightInd w:val="0"/>
                    <w:snapToGrid w:val="0"/>
                    <w:jc w:val="center"/>
                    <w:rPr>
                      <w:rFonts w:hint="default" w:ascii="Times New Roman" w:hAnsi="Times New Roman" w:cs="Times New Roman"/>
                      <w:color w:val="auto"/>
                      <w:spacing w:val="6"/>
                      <w:sz w:val="21"/>
                      <w:szCs w:val="21"/>
                      <w:u w:val="none" w:color="auto"/>
                    </w:rPr>
                  </w:pPr>
                  <w:r>
                    <w:rPr>
                      <w:rFonts w:hint="default" w:ascii="Times New Roman" w:hAnsi="Times New Roman" w:cs="Times New Roman"/>
                      <w:color w:val="auto"/>
                      <w:spacing w:val="6"/>
                      <w:sz w:val="21"/>
                      <w:szCs w:val="21"/>
                      <w:u w:val="none" w:color="auto"/>
                    </w:rPr>
                    <w:t>-</w:t>
                  </w:r>
                  <w:r>
                    <w:rPr>
                      <w:color w:val="auto"/>
                      <w:sz w:val="21"/>
                      <w:szCs w:val="21"/>
                    </w:rPr>
                    <w:t>20</w:t>
                  </w:r>
                </w:p>
              </w:tc>
              <w:tc>
                <w:tcPr>
                  <w:tcW w:w="1056" w:type="pct"/>
                  <w:vMerge w:val="restart"/>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r>
                    <w:rPr>
                      <w:rFonts w:hint="eastAsia" w:cs="Times New Roman"/>
                      <w:color w:val="auto"/>
                      <w:spacing w:val="6"/>
                      <w:sz w:val="21"/>
                      <w:szCs w:val="21"/>
                      <w:u w:val="none" w:color="auto"/>
                      <w:lang w:val="en-US" w:eastAsia="zh-CN"/>
                    </w:rPr>
                    <w:t>76.8</w:t>
                  </w:r>
                </w:p>
              </w:tc>
              <w:tc>
                <w:tcPr>
                  <w:tcW w:w="350" w:type="pct"/>
                  <w:vMerge w:val="restart"/>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r>
                    <w:rPr>
                      <w:rFonts w:hint="eastAsia" w:cs="Times New Roman"/>
                      <w:color w:val="auto"/>
                      <w:spacing w:val="6"/>
                      <w:sz w:val="21"/>
                      <w:szCs w:val="21"/>
                      <w:u w:val="none" w:color="auto"/>
                      <w:lang w:val="en-US" w:eastAsia="zh-CN"/>
                    </w:rPr>
                    <w:t>8</w:t>
                  </w:r>
                </w:p>
              </w:tc>
              <w:tc>
                <w:tcPr>
                  <w:tcW w:w="397" w:type="pct"/>
                  <w:vMerge w:val="restart"/>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r>
                    <w:rPr>
                      <w:rFonts w:hint="eastAsia" w:cs="Times New Roman"/>
                      <w:color w:val="auto"/>
                      <w:spacing w:val="6"/>
                      <w:sz w:val="21"/>
                      <w:szCs w:val="21"/>
                      <w:u w:val="none" w:color="auto"/>
                      <w:lang w:val="en-US" w:eastAsia="zh-CN"/>
                    </w:rPr>
                    <w:t>50</w:t>
                  </w:r>
                </w:p>
              </w:tc>
              <w:tc>
                <w:tcPr>
                  <w:tcW w:w="397" w:type="pct"/>
                  <w:vMerge w:val="restart"/>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r>
                    <w:rPr>
                      <w:rFonts w:hint="eastAsia" w:cs="Times New Roman"/>
                      <w:color w:val="auto"/>
                      <w:spacing w:val="6"/>
                      <w:sz w:val="21"/>
                      <w:szCs w:val="21"/>
                      <w:u w:val="none" w:color="auto"/>
                      <w:lang w:val="en-US" w:eastAsia="zh-CN"/>
                    </w:rPr>
                    <w:t>22</w:t>
                  </w:r>
                </w:p>
              </w:tc>
              <w:tc>
                <w:tcPr>
                  <w:tcW w:w="377" w:type="pct"/>
                  <w:vMerge w:val="restart"/>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r>
                    <w:rPr>
                      <w:rFonts w:hint="eastAsia" w:cs="Times New Roman"/>
                      <w:color w:val="auto"/>
                      <w:spacing w:val="6"/>
                      <w:sz w:val="21"/>
                      <w:szCs w:val="21"/>
                      <w:u w:val="none" w:color="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2" w:type="pct"/>
                  <w:noWrap w:val="0"/>
                  <w:vAlign w:val="center"/>
                </w:tcPr>
                <w:p>
                  <w:pPr>
                    <w:widowControl/>
                    <w:jc w:val="center"/>
                    <w:rPr>
                      <w:rFonts w:hint="eastAsia"/>
                      <w:color w:val="auto"/>
                      <w:sz w:val="21"/>
                      <w:szCs w:val="21"/>
                      <w:u w:val="none" w:color="auto"/>
                      <w:lang w:eastAsia="zh-CN"/>
                    </w:rPr>
                  </w:pPr>
                  <w:r>
                    <w:rPr>
                      <w:rFonts w:hint="eastAsia" w:ascii="宋体" w:hAnsi="宋体" w:cs="仿宋_GB2312"/>
                      <w:bCs/>
                      <w:color w:val="auto"/>
                      <w:kern w:val="0"/>
                      <w:sz w:val="21"/>
                      <w:szCs w:val="21"/>
                      <w:lang w:eastAsia="zh-CN"/>
                    </w:rPr>
                    <w:t>水泵</w:t>
                  </w:r>
                </w:p>
              </w:tc>
              <w:tc>
                <w:tcPr>
                  <w:tcW w:w="457" w:type="pct"/>
                  <w:noWrap w:val="0"/>
                  <w:vAlign w:val="center"/>
                </w:tcPr>
                <w:p>
                  <w:pPr>
                    <w:jc w:val="center"/>
                    <w:rPr>
                      <w:rFonts w:hint="default" w:ascii="Times New Roman" w:hAnsi="Times New Roman" w:eastAsia="宋体" w:cs="Times New Roman"/>
                      <w:color w:val="auto"/>
                      <w:sz w:val="21"/>
                      <w:szCs w:val="21"/>
                      <w:u w:val="none" w:color="auto"/>
                      <w:vertAlign w:val="baseline"/>
                      <w:lang w:val="en-US" w:eastAsia="zh-CN"/>
                    </w:rPr>
                  </w:pPr>
                  <w:r>
                    <w:rPr>
                      <w:rFonts w:hint="eastAsia"/>
                      <w:color w:val="auto"/>
                      <w:sz w:val="21"/>
                      <w:szCs w:val="21"/>
                    </w:rPr>
                    <w:t>75</w:t>
                  </w:r>
                </w:p>
              </w:tc>
              <w:tc>
                <w:tcPr>
                  <w:tcW w:w="490" w:type="pct"/>
                  <w:noWrap w:val="0"/>
                  <w:vAlign w:val="center"/>
                </w:tcPr>
                <w:p>
                  <w:pPr>
                    <w:jc w:val="center"/>
                    <w:rPr>
                      <w:rFonts w:hint="default" w:ascii="Times New Roman" w:hAnsi="Times New Roman" w:eastAsia="宋体" w:cs="Times New Roman"/>
                      <w:color w:val="auto"/>
                      <w:sz w:val="21"/>
                      <w:szCs w:val="21"/>
                      <w:u w:val="none" w:color="auto"/>
                      <w:vertAlign w:val="baseline"/>
                      <w:lang w:val="en-US" w:eastAsia="zh-CN"/>
                    </w:rPr>
                  </w:pPr>
                  <w:r>
                    <w:rPr>
                      <w:rFonts w:hint="eastAsia"/>
                      <w:bCs/>
                      <w:color w:val="auto"/>
                      <w:kern w:val="0"/>
                      <w:sz w:val="21"/>
                      <w:szCs w:val="21"/>
                      <w:lang w:val="en-US" w:eastAsia="zh-CN"/>
                    </w:rPr>
                    <w:t>9</w:t>
                  </w:r>
                </w:p>
              </w:tc>
              <w:tc>
                <w:tcPr>
                  <w:tcW w:w="580" w:type="pct"/>
                  <w:noWrap w:val="0"/>
                  <w:vAlign w:val="center"/>
                </w:tcPr>
                <w:p>
                  <w:pPr>
                    <w:adjustRightInd w:val="0"/>
                    <w:snapToGrid w:val="0"/>
                    <w:jc w:val="center"/>
                    <w:rPr>
                      <w:rFonts w:hint="default" w:ascii="Times New Roman" w:hAnsi="Times New Roman" w:cs="Times New Roman"/>
                      <w:color w:val="auto"/>
                      <w:spacing w:val="6"/>
                      <w:sz w:val="21"/>
                      <w:szCs w:val="21"/>
                      <w:u w:val="none" w:color="auto"/>
                    </w:rPr>
                  </w:pPr>
                  <w:r>
                    <w:rPr>
                      <w:rFonts w:hint="default" w:ascii="Times New Roman" w:hAnsi="Times New Roman" w:cs="Times New Roman"/>
                      <w:color w:val="auto"/>
                      <w:spacing w:val="6"/>
                      <w:sz w:val="21"/>
                      <w:szCs w:val="21"/>
                      <w:u w:val="none" w:color="auto"/>
                    </w:rPr>
                    <w:t>-</w:t>
                  </w:r>
                  <w:r>
                    <w:rPr>
                      <w:color w:val="auto"/>
                      <w:sz w:val="21"/>
                      <w:szCs w:val="21"/>
                    </w:rPr>
                    <w:t>20</w:t>
                  </w:r>
                </w:p>
              </w:tc>
              <w:tc>
                <w:tcPr>
                  <w:tcW w:w="1056" w:type="pct"/>
                  <w:vMerge w:val="continue"/>
                  <w:noWrap w:val="0"/>
                  <w:vAlign w:val="center"/>
                </w:tcPr>
                <w:p>
                  <w:pPr>
                    <w:adjustRightInd w:val="0"/>
                    <w:snapToGrid w:val="0"/>
                    <w:jc w:val="center"/>
                    <w:rPr>
                      <w:rFonts w:hint="eastAsia" w:ascii="Times New Roman" w:hAnsi="Times New Roman" w:cs="Times New Roman"/>
                      <w:color w:val="auto"/>
                      <w:spacing w:val="6"/>
                      <w:sz w:val="21"/>
                      <w:szCs w:val="21"/>
                      <w:u w:val="none" w:color="auto"/>
                      <w:lang w:val="en-US" w:eastAsia="zh-CN"/>
                    </w:rPr>
                  </w:pPr>
                </w:p>
              </w:tc>
              <w:tc>
                <w:tcPr>
                  <w:tcW w:w="350" w:type="pct"/>
                  <w:vMerge w:val="continue"/>
                  <w:noWrap w:val="0"/>
                  <w:vAlign w:val="center"/>
                </w:tcPr>
                <w:p>
                  <w:pPr>
                    <w:adjustRightInd w:val="0"/>
                    <w:snapToGrid w:val="0"/>
                    <w:jc w:val="center"/>
                    <w:rPr>
                      <w:rFonts w:hint="eastAsia" w:ascii="Times New Roman" w:hAnsi="Times New Roman" w:cs="Times New Roman"/>
                      <w:color w:val="auto"/>
                      <w:spacing w:val="6"/>
                      <w:sz w:val="21"/>
                      <w:szCs w:val="21"/>
                      <w:u w:val="none" w:color="auto"/>
                      <w:lang w:val="en-US" w:eastAsia="zh-CN"/>
                    </w:rPr>
                  </w:pPr>
                </w:p>
              </w:tc>
              <w:tc>
                <w:tcPr>
                  <w:tcW w:w="397" w:type="pct"/>
                  <w:vMerge w:val="continue"/>
                  <w:noWrap w:val="0"/>
                  <w:vAlign w:val="center"/>
                </w:tcPr>
                <w:p>
                  <w:pPr>
                    <w:adjustRightInd w:val="0"/>
                    <w:snapToGrid w:val="0"/>
                    <w:jc w:val="center"/>
                    <w:rPr>
                      <w:rFonts w:hint="eastAsia" w:ascii="Times New Roman" w:hAnsi="Times New Roman" w:eastAsia="宋体" w:cs="Times New Roman"/>
                      <w:color w:val="auto"/>
                      <w:spacing w:val="6"/>
                      <w:sz w:val="21"/>
                      <w:szCs w:val="21"/>
                      <w:u w:val="none" w:color="auto"/>
                      <w:lang w:val="en-US" w:eastAsia="zh-CN"/>
                    </w:rPr>
                  </w:pPr>
                </w:p>
              </w:tc>
              <w:tc>
                <w:tcPr>
                  <w:tcW w:w="397" w:type="pct"/>
                  <w:vMerge w:val="continue"/>
                  <w:noWrap w:val="0"/>
                  <w:vAlign w:val="center"/>
                </w:tcPr>
                <w:p>
                  <w:pPr>
                    <w:adjustRightInd w:val="0"/>
                    <w:snapToGrid w:val="0"/>
                    <w:jc w:val="center"/>
                    <w:rPr>
                      <w:rFonts w:hint="eastAsia" w:ascii="Times New Roman" w:hAnsi="Times New Roman" w:cs="Times New Roman"/>
                      <w:color w:val="auto"/>
                      <w:spacing w:val="6"/>
                      <w:sz w:val="21"/>
                      <w:szCs w:val="21"/>
                      <w:u w:val="none" w:color="auto"/>
                      <w:lang w:val="en-US" w:eastAsia="zh-CN"/>
                    </w:rPr>
                  </w:pPr>
                </w:p>
              </w:tc>
              <w:tc>
                <w:tcPr>
                  <w:tcW w:w="377" w:type="pct"/>
                  <w:vMerge w:val="continue"/>
                  <w:noWrap w:val="0"/>
                  <w:vAlign w:val="center"/>
                </w:tcPr>
                <w:p>
                  <w:pPr>
                    <w:adjustRightInd w:val="0"/>
                    <w:snapToGrid w:val="0"/>
                    <w:jc w:val="center"/>
                    <w:rPr>
                      <w:rFonts w:hint="eastAsia" w:ascii="Times New Roman" w:hAnsi="Times New Roman" w:cs="Times New Roman"/>
                      <w:color w:val="auto"/>
                      <w:spacing w:val="6"/>
                      <w:sz w:val="21"/>
                      <w:szCs w:val="21"/>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92" w:type="pct"/>
                  <w:noWrap w:val="0"/>
                  <w:vAlign w:val="center"/>
                </w:tcPr>
                <w:p>
                  <w:pPr>
                    <w:widowControl/>
                    <w:jc w:val="center"/>
                    <w:rPr>
                      <w:rFonts w:hint="eastAsia"/>
                      <w:color w:val="auto"/>
                      <w:sz w:val="21"/>
                      <w:szCs w:val="21"/>
                      <w:u w:val="none" w:color="auto"/>
                      <w:lang w:eastAsia="zh-CN"/>
                    </w:rPr>
                  </w:pPr>
                  <w:r>
                    <w:rPr>
                      <w:rFonts w:hint="eastAsia" w:ascii="宋体" w:hAnsi="宋体" w:cs="仿宋_GB2312"/>
                      <w:bCs/>
                      <w:color w:val="auto"/>
                      <w:kern w:val="0"/>
                      <w:sz w:val="21"/>
                      <w:szCs w:val="21"/>
                      <w:lang w:eastAsia="zh-CN"/>
                    </w:rPr>
                    <w:t>空压机</w:t>
                  </w:r>
                </w:p>
              </w:tc>
              <w:tc>
                <w:tcPr>
                  <w:tcW w:w="457" w:type="pct"/>
                  <w:noWrap w:val="0"/>
                  <w:vAlign w:val="center"/>
                </w:tcPr>
                <w:p>
                  <w:pPr>
                    <w:widowControl/>
                    <w:jc w:val="center"/>
                    <w:rPr>
                      <w:rFonts w:hint="default" w:ascii="Times New Roman" w:hAnsi="Times New Roman" w:eastAsia="宋体" w:cs="Times New Roman"/>
                      <w:color w:val="auto"/>
                      <w:sz w:val="21"/>
                      <w:szCs w:val="21"/>
                      <w:u w:val="none" w:color="auto"/>
                      <w:vertAlign w:val="baseline"/>
                      <w:lang w:val="en-US" w:eastAsia="zh-CN"/>
                    </w:rPr>
                  </w:pPr>
                  <w:r>
                    <w:rPr>
                      <w:rFonts w:hint="eastAsia"/>
                      <w:color w:val="auto"/>
                      <w:sz w:val="21"/>
                      <w:szCs w:val="21"/>
                      <w:lang w:val="en-US" w:eastAsia="zh-CN"/>
                    </w:rPr>
                    <w:t>90</w:t>
                  </w:r>
                </w:p>
              </w:tc>
              <w:tc>
                <w:tcPr>
                  <w:tcW w:w="490" w:type="pct"/>
                  <w:noWrap w:val="0"/>
                  <w:vAlign w:val="center"/>
                </w:tcPr>
                <w:p>
                  <w:pPr>
                    <w:jc w:val="center"/>
                    <w:rPr>
                      <w:rFonts w:hint="default" w:ascii="Times New Roman" w:hAnsi="Times New Roman" w:eastAsia="宋体" w:cs="Times New Roman"/>
                      <w:color w:val="auto"/>
                      <w:sz w:val="21"/>
                      <w:szCs w:val="21"/>
                      <w:u w:val="none" w:color="auto"/>
                      <w:vertAlign w:val="baseline"/>
                      <w:lang w:val="en-US" w:eastAsia="zh-CN"/>
                    </w:rPr>
                  </w:pPr>
                  <w:r>
                    <w:rPr>
                      <w:rFonts w:hint="eastAsia"/>
                      <w:bCs/>
                      <w:color w:val="auto"/>
                      <w:kern w:val="0"/>
                      <w:sz w:val="21"/>
                      <w:szCs w:val="21"/>
                      <w:lang w:val="en-US" w:eastAsia="zh-CN"/>
                    </w:rPr>
                    <w:t>1</w:t>
                  </w:r>
                </w:p>
              </w:tc>
              <w:tc>
                <w:tcPr>
                  <w:tcW w:w="580" w:type="pct"/>
                  <w:noWrap w:val="0"/>
                  <w:vAlign w:val="center"/>
                </w:tcPr>
                <w:p>
                  <w:pPr>
                    <w:adjustRightInd w:val="0"/>
                    <w:snapToGrid w:val="0"/>
                    <w:jc w:val="center"/>
                    <w:rPr>
                      <w:rFonts w:hint="default" w:ascii="Times New Roman" w:hAnsi="Times New Roman" w:cs="Times New Roman"/>
                      <w:color w:val="auto"/>
                      <w:spacing w:val="6"/>
                      <w:sz w:val="21"/>
                      <w:szCs w:val="21"/>
                      <w:u w:val="none" w:color="auto"/>
                    </w:rPr>
                  </w:pPr>
                  <w:r>
                    <w:rPr>
                      <w:rFonts w:hint="default" w:ascii="Times New Roman" w:hAnsi="Times New Roman" w:cs="Times New Roman"/>
                      <w:color w:val="auto"/>
                      <w:spacing w:val="6"/>
                      <w:sz w:val="21"/>
                      <w:szCs w:val="21"/>
                      <w:u w:val="none" w:color="auto"/>
                    </w:rPr>
                    <w:t>-</w:t>
                  </w:r>
                  <w:r>
                    <w:rPr>
                      <w:color w:val="auto"/>
                      <w:sz w:val="21"/>
                      <w:szCs w:val="21"/>
                    </w:rPr>
                    <w:t>20</w:t>
                  </w:r>
                </w:p>
              </w:tc>
              <w:tc>
                <w:tcPr>
                  <w:tcW w:w="1056" w:type="pct"/>
                  <w:vMerge w:val="continue"/>
                  <w:noWrap w:val="0"/>
                  <w:vAlign w:val="center"/>
                </w:tcPr>
                <w:p>
                  <w:pPr>
                    <w:adjustRightInd w:val="0"/>
                    <w:snapToGrid w:val="0"/>
                    <w:jc w:val="center"/>
                    <w:rPr>
                      <w:rFonts w:hint="eastAsia" w:ascii="Times New Roman" w:hAnsi="Times New Roman" w:cs="Times New Roman"/>
                      <w:color w:val="auto"/>
                      <w:spacing w:val="6"/>
                      <w:sz w:val="21"/>
                      <w:szCs w:val="21"/>
                      <w:u w:val="none" w:color="auto"/>
                      <w:lang w:val="en-US" w:eastAsia="zh-CN"/>
                    </w:rPr>
                  </w:pPr>
                </w:p>
              </w:tc>
              <w:tc>
                <w:tcPr>
                  <w:tcW w:w="350" w:type="pct"/>
                  <w:vMerge w:val="continue"/>
                  <w:noWrap w:val="0"/>
                  <w:vAlign w:val="center"/>
                </w:tcPr>
                <w:p>
                  <w:pPr>
                    <w:adjustRightInd w:val="0"/>
                    <w:snapToGrid w:val="0"/>
                    <w:jc w:val="center"/>
                    <w:rPr>
                      <w:rFonts w:hint="eastAsia" w:ascii="Times New Roman" w:hAnsi="Times New Roman" w:cs="Times New Roman"/>
                      <w:color w:val="auto"/>
                      <w:spacing w:val="6"/>
                      <w:sz w:val="21"/>
                      <w:szCs w:val="21"/>
                      <w:u w:val="none" w:color="auto"/>
                      <w:lang w:val="en-US" w:eastAsia="zh-CN"/>
                    </w:rPr>
                  </w:pPr>
                </w:p>
              </w:tc>
              <w:tc>
                <w:tcPr>
                  <w:tcW w:w="397" w:type="pct"/>
                  <w:vMerge w:val="continue"/>
                  <w:noWrap w:val="0"/>
                  <w:vAlign w:val="center"/>
                </w:tcPr>
                <w:p>
                  <w:pPr>
                    <w:adjustRightInd w:val="0"/>
                    <w:snapToGrid w:val="0"/>
                    <w:jc w:val="center"/>
                    <w:rPr>
                      <w:rFonts w:hint="eastAsia" w:ascii="Times New Roman" w:hAnsi="Times New Roman" w:eastAsia="宋体" w:cs="Times New Roman"/>
                      <w:color w:val="auto"/>
                      <w:spacing w:val="6"/>
                      <w:sz w:val="21"/>
                      <w:szCs w:val="21"/>
                      <w:u w:val="none" w:color="auto"/>
                      <w:lang w:val="en-US" w:eastAsia="zh-CN"/>
                    </w:rPr>
                  </w:pPr>
                </w:p>
              </w:tc>
              <w:tc>
                <w:tcPr>
                  <w:tcW w:w="397" w:type="pct"/>
                  <w:vMerge w:val="continue"/>
                  <w:noWrap w:val="0"/>
                  <w:vAlign w:val="center"/>
                </w:tcPr>
                <w:p>
                  <w:pPr>
                    <w:adjustRightInd w:val="0"/>
                    <w:snapToGrid w:val="0"/>
                    <w:jc w:val="center"/>
                    <w:rPr>
                      <w:rFonts w:hint="eastAsia" w:ascii="Times New Roman" w:hAnsi="Times New Roman" w:cs="Times New Roman"/>
                      <w:color w:val="auto"/>
                      <w:spacing w:val="6"/>
                      <w:sz w:val="21"/>
                      <w:szCs w:val="21"/>
                      <w:u w:val="none" w:color="auto"/>
                      <w:lang w:val="en-US" w:eastAsia="zh-CN"/>
                    </w:rPr>
                  </w:pPr>
                </w:p>
              </w:tc>
              <w:tc>
                <w:tcPr>
                  <w:tcW w:w="377" w:type="pct"/>
                  <w:vMerge w:val="continue"/>
                  <w:noWrap w:val="0"/>
                  <w:vAlign w:val="center"/>
                </w:tcPr>
                <w:p>
                  <w:pPr>
                    <w:adjustRightInd w:val="0"/>
                    <w:snapToGrid w:val="0"/>
                    <w:jc w:val="center"/>
                    <w:rPr>
                      <w:rFonts w:hint="eastAsia" w:ascii="Times New Roman" w:hAnsi="Times New Roman" w:cs="Times New Roman"/>
                      <w:color w:val="auto"/>
                      <w:spacing w:val="6"/>
                      <w:sz w:val="21"/>
                      <w:szCs w:val="21"/>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2" w:type="pct"/>
                  <w:noWrap w:val="0"/>
                  <w:vAlign w:val="center"/>
                </w:tcPr>
                <w:p>
                  <w:pPr>
                    <w:widowControl/>
                    <w:jc w:val="center"/>
                    <w:rPr>
                      <w:rFonts w:hint="eastAsia" w:ascii="Times New Roman" w:hAnsi="Times New Roman" w:cs="Times New Roman"/>
                      <w:color w:val="auto"/>
                      <w:sz w:val="21"/>
                      <w:szCs w:val="21"/>
                      <w:u w:val="none" w:color="auto"/>
                      <w:lang w:eastAsia="zh-CN"/>
                    </w:rPr>
                  </w:pPr>
                  <w:r>
                    <w:rPr>
                      <w:rFonts w:hint="eastAsia" w:ascii="宋体" w:hAnsi="宋体" w:cs="仿宋_GB2312"/>
                      <w:bCs/>
                      <w:color w:val="auto"/>
                      <w:kern w:val="0"/>
                      <w:sz w:val="21"/>
                      <w:szCs w:val="21"/>
                      <w:lang w:val="en-US" w:eastAsia="zh-CN"/>
                    </w:rPr>
                    <w:t>去离子水设备</w:t>
                  </w:r>
                </w:p>
              </w:tc>
              <w:tc>
                <w:tcPr>
                  <w:tcW w:w="457" w:type="pct"/>
                  <w:noWrap w:val="0"/>
                  <w:vAlign w:val="center"/>
                </w:tcPr>
                <w:p>
                  <w:pPr>
                    <w:pStyle w:val="88"/>
                    <w:spacing w:line="240" w:lineRule="auto"/>
                    <w:rPr>
                      <w:rFonts w:hint="default" w:ascii="Times New Roman" w:hAnsi="Times New Roman" w:eastAsia="宋体" w:cs="Times New Roman"/>
                      <w:color w:val="auto"/>
                      <w:sz w:val="21"/>
                      <w:szCs w:val="21"/>
                      <w:u w:val="none" w:color="auto"/>
                      <w:vertAlign w:val="baseline"/>
                      <w:lang w:val="en-US" w:eastAsia="zh-CN"/>
                    </w:rPr>
                  </w:pPr>
                  <w:r>
                    <w:rPr>
                      <w:rFonts w:hint="eastAsia"/>
                      <w:color w:val="auto"/>
                      <w:sz w:val="21"/>
                      <w:szCs w:val="21"/>
                      <w:lang w:val="en-US" w:eastAsia="zh-CN"/>
                    </w:rPr>
                    <w:t>70</w:t>
                  </w:r>
                </w:p>
              </w:tc>
              <w:tc>
                <w:tcPr>
                  <w:tcW w:w="490" w:type="pct"/>
                  <w:noWrap w:val="0"/>
                  <w:vAlign w:val="center"/>
                </w:tcPr>
                <w:p>
                  <w:pPr>
                    <w:jc w:val="center"/>
                    <w:rPr>
                      <w:rFonts w:hint="default" w:ascii="Times New Roman" w:hAnsi="Times New Roman" w:eastAsia="宋体" w:cs="Times New Roman"/>
                      <w:color w:val="auto"/>
                      <w:sz w:val="21"/>
                      <w:szCs w:val="21"/>
                      <w:u w:val="none" w:color="auto"/>
                      <w:vertAlign w:val="baseline"/>
                      <w:lang w:val="en-US" w:eastAsia="zh-CN"/>
                    </w:rPr>
                  </w:pPr>
                  <w:r>
                    <w:rPr>
                      <w:rFonts w:hint="eastAsia"/>
                      <w:bCs/>
                      <w:color w:val="auto"/>
                      <w:kern w:val="0"/>
                      <w:sz w:val="21"/>
                      <w:szCs w:val="21"/>
                      <w:lang w:val="en-US" w:eastAsia="zh-CN"/>
                    </w:rPr>
                    <w:t>1</w:t>
                  </w:r>
                </w:p>
              </w:tc>
              <w:tc>
                <w:tcPr>
                  <w:tcW w:w="580" w:type="pct"/>
                  <w:noWrap w:val="0"/>
                  <w:vAlign w:val="center"/>
                </w:tcPr>
                <w:p>
                  <w:pPr>
                    <w:adjustRightInd w:val="0"/>
                    <w:snapToGrid w:val="0"/>
                    <w:jc w:val="center"/>
                    <w:rPr>
                      <w:rFonts w:hint="default" w:ascii="Times New Roman" w:hAnsi="Times New Roman" w:cs="Times New Roman"/>
                      <w:color w:val="auto"/>
                      <w:spacing w:val="6"/>
                      <w:sz w:val="21"/>
                      <w:szCs w:val="21"/>
                      <w:u w:val="none" w:color="auto"/>
                    </w:rPr>
                  </w:pPr>
                  <w:r>
                    <w:rPr>
                      <w:rFonts w:hint="default" w:ascii="Times New Roman" w:hAnsi="Times New Roman" w:cs="Times New Roman"/>
                      <w:color w:val="auto"/>
                      <w:spacing w:val="6"/>
                      <w:sz w:val="21"/>
                      <w:szCs w:val="21"/>
                      <w:u w:val="none" w:color="auto"/>
                    </w:rPr>
                    <w:t>-</w:t>
                  </w:r>
                  <w:r>
                    <w:rPr>
                      <w:color w:val="auto"/>
                      <w:sz w:val="21"/>
                      <w:szCs w:val="21"/>
                    </w:rPr>
                    <w:t>20</w:t>
                  </w:r>
                </w:p>
              </w:tc>
              <w:tc>
                <w:tcPr>
                  <w:tcW w:w="1056" w:type="pct"/>
                  <w:vMerge w:val="continue"/>
                  <w:noWrap w:val="0"/>
                  <w:vAlign w:val="center"/>
                </w:tcPr>
                <w:p>
                  <w:pPr>
                    <w:adjustRightInd w:val="0"/>
                    <w:snapToGrid w:val="0"/>
                    <w:jc w:val="center"/>
                    <w:rPr>
                      <w:rFonts w:hint="eastAsia" w:ascii="Times New Roman" w:hAnsi="Times New Roman" w:cs="Times New Roman"/>
                      <w:color w:val="auto"/>
                      <w:spacing w:val="6"/>
                      <w:sz w:val="21"/>
                      <w:szCs w:val="21"/>
                      <w:u w:val="none" w:color="auto"/>
                      <w:lang w:val="en-US" w:eastAsia="zh-CN"/>
                    </w:rPr>
                  </w:pPr>
                </w:p>
              </w:tc>
              <w:tc>
                <w:tcPr>
                  <w:tcW w:w="350" w:type="pct"/>
                  <w:vMerge w:val="continue"/>
                  <w:noWrap w:val="0"/>
                  <w:vAlign w:val="center"/>
                </w:tcPr>
                <w:p>
                  <w:pPr>
                    <w:adjustRightInd w:val="0"/>
                    <w:snapToGrid w:val="0"/>
                    <w:jc w:val="center"/>
                    <w:rPr>
                      <w:rFonts w:hint="eastAsia" w:ascii="Times New Roman" w:hAnsi="Times New Roman" w:cs="Times New Roman"/>
                      <w:color w:val="auto"/>
                      <w:spacing w:val="6"/>
                      <w:sz w:val="21"/>
                      <w:szCs w:val="21"/>
                      <w:u w:val="none" w:color="auto"/>
                      <w:lang w:val="en-US" w:eastAsia="zh-CN"/>
                    </w:rPr>
                  </w:pPr>
                </w:p>
              </w:tc>
              <w:tc>
                <w:tcPr>
                  <w:tcW w:w="397" w:type="pct"/>
                  <w:vMerge w:val="continue"/>
                  <w:noWrap w:val="0"/>
                  <w:vAlign w:val="center"/>
                </w:tcPr>
                <w:p>
                  <w:pPr>
                    <w:adjustRightInd w:val="0"/>
                    <w:snapToGrid w:val="0"/>
                    <w:jc w:val="center"/>
                    <w:rPr>
                      <w:rFonts w:hint="eastAsia" w:ascii="Times New Roman" w:hAnsi="Times New Roman" w:eastAsia="宋体" w:cs="Times New Roman"/>
                      <w:color w:val="auto"/>
                      <w:spacing w:val="6"/>
                      <w:sz w:val="21"/>
                      <w:szCs w:val="21"/>
                      <w:u w:val="none" w:color="auto"/>
                      <w:lang w:val="en-US" w:eastAsia="zh-CN"/>
                    </w:rPr>
                  </w:pPr>
                </w:p>
              </w:tc>
              <w:tc>
                <w:tcPr>
                  <w:tcW w:w="397" w:type="pct"/>
                  <w:vMerge w:val="continue"/>
                  <w:noWrap w:val="0"/>
                  <w:vAlign w:val="center"/>
                </w:tcPr>
                <w:p>
                  <w:pPr>
                    <w:adjustRightInd w:val="0"/>
                    <w:snapToGrid w:val="0"/>
                    <w:jc w:val="center"/>
                    <w:rPr>
                      <w:rFonts w:hint="eastAsia" w:ascii="Times New Roman" w:hAnsi="Times New Roman" w:cs="Times New Roman"/>
                      <w:color w:val="auto"/>
                      <w:spacing w:val="6"/>
                      <w:sz w:val="21"/>
                      <w:szCs w:val="21"/>
                      <w:u w:val="none" w:color="auto"/>
                      <w:lang w:val="en-US" w:eastAsia="zh-CN"/>
                    </w:rPr>
                  </w:pPr>
                </w:p>
              </w:tc>
              <w:tc>
                <w:tcPr>
                  <w:tcW w:w="377" w:type="pct"/>
                  <w:vMerge w:val="continue"/>
                  <w:noWrap w:val="0"/>
                  <w:vAlign w:val="center"/>
                </w:tcPr>
                <w:p>
                  <w:pPr>
                    <w:adjustRightInd w:val="0"/>
                    <w:snapToGrid w:val="0"/>
                    <w:jc w:val="center"/>
                    <w:rPr>
                      <w:rFonts w:hint="eastAsia" w:ascii="Times New Roman" w:hAnsi="Times New Roman" w:cs="Times New Roman"/>
                      <w:color w:val="auto"/>
                      <w:spacing w:val="6"/>
                      <w:sz w:val="21"/>
                      <w:szCs w:val="21"/>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2" w:type="pct"/>
                  <w:noWrap w:val="0"/>
                  <w:vAlign w:val="center"/>
                </w:tcPr>
                <w:p>
                  <w:pPr>
                    <w:widowControl/>
                    <w:jc w:val="center"/>
                    <w:rPr>
                      <w:rFonts w:hint="default" w:ascii="Times New Roman" w:hAnsi="Times New Roman" w:cs="Times New Roman"/>
                      <w:color w:val="auto"/>
                      <w:spacing w:val="6"/>
                      <w:sz w:val="21"/>
                      <w:szCs w:val="21"/>
                      <w:highlight w:val="red"/>
                      <w:u w:val="none" w:color="auto"/>
                    </w:rPr>
                  </w:pPr>
                  <w:r>
                    <w:rPr>
                      <w:rFonts w:hint="eastAsia" w:ascii="宋体" w:hAnsi="宋体" w:cs="仿宋_GB2312"/>
                      <w:bCs/>
                      <w:color w:val="auto"/>
                      <w:kern w:val="0"/>
                      <w:sz w:val="21"/>
                      <w:szCs w:val="21"/>
                      <w:lang w:val="en-US" w:eastAsia="zh-CN"/>
                    </w:rPr>
                    <w:t>布袋除尘器风机</w:t>
                  </w:r>
                </w:p>
              </w:tc>
              <w:tc>
                <w:tcPr>
                  <w:tcW w:w="457" w:type="pct"/>
                  <w:noWrap w:val="0"/>
                  <w:vAlign w:val="center"/>
                </w:tcPr>
                <w:p>
                  <w:pPr>
                    <w:pStyle w:val="88"/>
                    <w:spacing w:line="240" w:lineRule="auto"/>
                    <w:rPr>
                      <w:rFonts w:hint="default" w:ascii="Times New Roman" w:hAnsi="Times New Roman" w:cs="Times New Roman"/>
                      <w:color w:val="auto"/>
                      <w:spacing w:val="6"/>
                      <w:sz w:val="21"/>
                      <w:szCs w:val="21"/>
                      <w:u w:val="none" w:color="auto"/>
                      <w:lang w:val="en-US"/>
                    </w:rPr>
                  </w:pPr>
                  <w:r>
                    <w:rPr>
                      <w:rFonts w:hint="eastAsia"/>
                      <w:color w:val="auto"/>
                      <w:sz w:val="21"/>
                      <w:szCs w:val="21"/>
                      <w:lang w:val="en-US" w:eastAsia="zh-CN"/>
                    </w:rPr>
                    <w:t>90</w:t>
                  </w:r>
                </w:p>
              </w:tc>
              <w:tc>
                <w:tcPr>
                  <w:tcW w:w="490" w:type="pct"/>
                  <w:noWrap w:val="0"/>
                  <w:vAlign w:val="center"/>
                </w:tcPr>
                <w:p>
                  <w:pPr>
                    <w:jc w:val="center"/>
                    <w:rPr>
                      <w:rFonts w:hint="default" w:ascii="Times New Roman" w:hAnsi="Times New Roman" w:eastAsia="宋体" w:cs="Times New Roman"/>
                      <w:color w:val="auto"/>
                      <w:sz w:val="21"/>
                      <w:szCs w:val="21"/>
                      <w:u w:val="none" w:color="auto"/>
                      <w:vertAlign w:val="baseline"/>
                      <w:lang w:val="en-US" w:eastAsia="zh-CN"/>
                    </w:rPr>
                  </w:pPr>
                  <w:r>
                    <w:rPr>
                      <w:rFonts w:hint="eastAsia"/>
                      <w:bCs/>
                      <w:color w:val="auto"/>
                      <w:kern w:val="0"/>
                      <w:sz w:val="21"/>
                      <w:szCs w:val="21"/>
                      <w:lang w:val="en-US" w:eastAsia="zh-CN"/>
                    </w:rPr>
                    <w:t>1</w:t>
                  </w:r>
                </w:p>
              </w:tc>
              <w:tc>
                <w:tcPr>
                  <w:tcW w:w="580" w:type="pct"/>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r>
                    <w:rPr>
                      <w:rFonts w:hint="default" w:ascii="Times New Roman" w:hAnsi="Times New Roman" w:cs="Times New Roman"/>
                      <w:color w:val="auto"/>
                      <w:spacing w:val="6"/>
                      <w:sz w:val="21"/>
                      <w:szCs w:val="21"/>
                      <w:u w:val="none" w:color="auto"/>
                    </w:rPr>
                    <w:t>-</w:t>
                  </w:r>
                  <w:r>
                    <w:rPr>
                      <w:color w:val="auto"/>
                      <w:sz w:val="21"/>
                      <w:szCs w:val="21"/>
                    </w:rPr>
                    <w:t>20</w:t>
                  </w:r>
                </w:p>
              </w:tc>
              <w:tc>
                <w:tcPr>
                  <w:tcW w:w="1056" w:type="pct"/>
                  <w:vMerge w:val="continue"/>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p>
              </w:tc>
              <w:tc>
                <w:tcPr>
                  <w:tcW w:w="350" w:type="pct"/>
                  <w:vMerge w:val="continue"/>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p>
              </w:tc>
              <w:tc>
                <w:tcPr>
                  <w:tcW w:w="397" w:type="pct"/>
                  <w:vMerge w:val="continue"/>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p>
              </w:tc>
              <w:tc>
                <w:tcPr>
                  <w:tcW w:w="397" w:type="pct"/>
                  <w:vMerge w:val="continue"/>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p>
              </w:tc>
              <w:tc>
                <w:tcPr>
                  <w:tcW w:w="377" w:type="pct"/>
                  <w:vMerge w:val="continue"/>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2" w:type="pct"/>
                  <w:noWrap w:val="0"/>
                  <w:vAlign w:val="center"/>
                </w:tcPr>
                <w:p>
                  <w:pPr>
                    <w:widowControl/>
                    <w:jc w:val="center"/>
                    <w:rPr>
                      <w:rFonts w:hint="eastAsia" w:ascii="宋体" w:hAnsi="宋体" w:cs="仿宋_GB2312"/>
                      <w:bCs/>
                      <w:color w:val="auto"/>
                      <w:kern w:val="0"/>
                      <w:sz w:val="21"/>
                      <w:szCs w:val="21"/>
                      <w:lang w:val="en-US" w:eastAsia="zh-CN"/>
                    </w:rPr>
                  </w:pPr>
                  <w:r>
                    <w:rPr>
                      <w:rFonts w:hint="eastAsia" w:ascii="宋体" w:hAnsi="宋体" w:cs="仿宋_GB2312"/>
                      <w:bCs/>
                      <w:color w:val="auto"/>
                      <w:kern w:val="0"/>
                      <w:sz w:val="21"/>
                      <w:szCs w:val="21"/>
                      <w:lang w:val="en-US" w:eastAsia="zh-CN"/>
                    </w:rPr>
                    <w:t>活性炭吸附装置风机</w:t>
                  </w:r>
                </w:p>
              </w:tc>
              <w:tc>
                <w:tcPr>
                  <w:tcW w:w="457" w:type="pct"/>
                  <w:noWrap w:val="0"/>
                  <w:vAlign w:val="center"/>
                </w:tcPr>
                <w:p>
                  <w:pPr>
                    <w:pStyle w:val="88"/>
                    <w:spacing w:line="240" w:lineRule="auto"/>
                    <w:rPr>
                      <w:rFonts w:hint="default"/>
                      <w:color w:val="auto"/>
                      <w:sz w:val="21"/>
                      <w:szCs w:val="21"/>
                      <w:lang w:val="en-US" w:eastAsia="zh-CN"/>
                    </w:rPr>
                  </w:pPr>
                  <w:r>
                    <w:rPr>
                      <w:rFonts w:hint="eastAsia"/>
                      <w:color w:val="auto"/>
                      <w:sz w:val="21"/>
                      <w:szCs w:val="21"/>
                      <w:lang w:val="en-US" w:eastAsia="zh-CN"/>
                    </w:rPr>
                    <w:t>90</w:t>
                  </w:r>
                </w:p>
              </w:tc>
              <w:tc>
                <w:tcPr>
                  <w:tcW w:w="490" w:type="pct"/>
                  <w:noWrap w:val="0"/>
                  <w:vAlign w:val="center"/>
                </w:tcPr>
                <w:p>
                  <w:pPr>
                    <w:jc w:val="center"/>
                    <w:rPr>
                      <w:rFonts w:hint="default"/>
                      <w:bCs/>
                      <w:color w:val="auto"/>
                      <w:kern w:val="0"/>
                      <w:sz w:val="21"/>
                      <w:szCs w:val="21"/>
                      <w:lang w:val="en-US" w:eastAsia="zh-CN"/>
                    </w:rPr>
                  </w:pPr>
                  <w:r>
                    <w:rPr>
                      <w:rFonts w:hint="eastAsia"/>
                      <w:bCs/>
                      <w:color w:val="auto"/>
                      <w:kern w:val="0"/>
                      <w:sz w:val="21"/>
                      <w:szCs w:val="21"/>
                      <w:lang w:val="en-US" w:eastAsia="zh-CN"/>
                    </w:rPr>
                    <w:t>1</w:t>
                  </w:r>
                </w:p>
              </w:tc>
              <w:tc>
                <w:tcPr>
                  <w:tcW w:w="580" w:type="pct"/>
                  <w:noWrap w:val="0"/>
                  <w:vAlign w:val="center"/>
                </w:tcPr>
                <w:p>
                  <w:pPr>
                    <w:adjustRightInd w:val="0"/>
                    <w:snapToGrid w:val="0"/>
                    <w:jc w:val="center"/>
                    <w:rPr>
                      <w:rFonts w:hint="default" w:ascii="Times New Roman" w:hAnsi="Times New Roman" w:cs="Times New Roman"/>
                      <w:color w:val="auto"/>
                      <w:spacing w:val="6"/>
                      <w:sz w:val="21"/>
                      <w:szCs w:val="21"/>
                      <w:u w:val="none" w:color="auto"/>
                    </w:rPr>
                  </w:pPr>
                  <w:r>
                    <w:rPr>
                      <w:rFonts w:hint="default" w:ascii="Times New Roman" w:hAnsi="Times New Roman" w:cs="Times New Roman"/>
                      <w:color w:val="auto"/>
                      <w:spacing w:val="6"/>
                      <w:sz w:val="21"/>
                      <w:szCs w:val="21"/>
                      <w:u w:val="none" w:color="auto"/>
                    </w:rPr>
                    <w:t>-</w:t>
                  </w:r>
                  <w:r>
                    <w:rPr>
                      <w:color w:val="auto"/>
                      <w:sz w:val="21"/>
                      <w:szCs w:val="21"/>
                    </w:rPr>
                    <w:t>20</w:t>
                  </w:r>
                </w:p>
              </w:tc>
              <w:tc>
                <w:tcPr>
                  <w:tcW w:w="1056" w:type="pct"/>
                  <w:vMerge w:val="continue"/>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p>
              </w:tc>
              <w:tc>
                <w:tcPr>
                  <w:tcW w:w="350" w:type="pct"/>
                  <w:vMerge w:val="continue"/>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p>
              </w:tc>
              <w:tc>
                <w:tcPr>
                  <w:tcW w:w="397" w:type="pct"/>
                  <w:vMerge w:val="continue"/>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p>
              </w:tc>
              <w:tc>
                <w:tcPr>
                  <w:tcW w:w="397" w:type="pct"/>
                  <w:vMerge w:val="continue"/>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p>
              </w:tc>
              <w:tc>
                <w:tcPr>
                  <w:tcW w:w="377" w:type="pct"/>
                  <w:vMerge w:val="continue"/>
                  <w:noWrap w:val="0"/>
                  <w:vAlign w:val="center"/>
                </w:tcPr>
                <w:p>
                  <w:pPr>
                    <w:adjustRightInd w:val="0"/>
                    <w:snapToGrid w:val="0"/>
                    <w:jc w:val="center"/>
                    <w:rPr>
                      <w:rFonts w:hint="default" w:ascii="Times New Roman" w:hAnsi="Times New Roman" w:eastAsia="宋体" w:cs="Times New Roman"/>
                      <w:color w:val="auto"/>
                      <w:spacing w:val="6"/>
                      <w:sz w:val="21"/>
                      <w:szCs w:val="21"/>
                      <w:u w:val="none" w:color="auto"/>
                      <w:lang w:val="en-US" w:eastAsia="zh-CN"/>
                    </w:rPr>
                  </w:pPr>
                </w:p>
              </w:tc>
            </w:tr>
          </w:tbl>
          <w:p>
            <w:pPr>
              <w:pStyle w:val="10"/>
              <w:spacing w:line="360" w:lineRule="auto"/>
              <w:ind w:firstLine="560" w:firstLineChars="200"/>
              <w:rPr>
                <w:color w:val="auto"/>
              </w:rPr>
            </w:pPr>
            <w:r>
              <w:rPr>
                <w:color w:val="auto"/>
              </w:rPr>
              <w:t>（2）噪声预测</w:t>
            </w:r>
          </w:p>
          <w:p>
            <w:pPr>
              <w:snapToGrid w:val="0"/>
              <w:spacing w:line="360" w:lineRule="auto"/>
              <w:ind w:firstLine="480" w:firstLineChars="200"/>
              <w:rPr>
                <w:color w:val="auto"/>
              </w:rPr>
            </w:pPr>
            <w:r>
              <w:rPr>
                <w:color w:val="auto"/>
              </w:rPr>
              <w:t>①预测模型</w:t>
            </w:r>
          </w:p>
          <w:p>
            <w:pPr>
              <w:snapToGrid w:val="0"/>
              <w:spacing w:line="360" w:lineRule="auto"/>
              <w:ind w:firstLine="480" w:firstLineChars="200"/>
              <w:rPr>
                <w:color w:val="auto"/>
              </w:rPr>
            </w:pPr>
            <w:r>
              <w:rPr>
                <w:color w:val="auto"/>
              </w:rPr>
              <w:t>本次环境噪声影响预测主要是针对本项目主要噪声源对厂界的影响。预测计算中，影响声波从声源到受声点传播的因素有很多，它们主要包括传播发散、气温、平均速度、遮挡物状况、植被状况、风向、风速等，其中对声波的传播影响最大的是与声源到受声点的距离有关的传播发散，即声波随距离的衰减。</w:t>
            </w:r>
          </w:p>
          <w:p>
            <w:pPr>
              <w:snapToGrid w:val="0"/>
              <w:spacing w:line="360" w:lineRule="auto"/>
              <w:ind w:firstLine="480" w:firstLineChars="200"/>
              <w:rPr>
                <w:color w:val="auto"/>
              </w:rPr>
            </w:pPr>
            <w:r>
              <w:rPr>
                <w:color w:val="auto"/>
              </w:rPr>
              <w:t>厂界噪声采用《环境影响评价技术导则-声环境》(HJ2.4-2009)推荐的噪声传播衰减方法进行预测。</w:t>
            </w:r>
          </w:p>
          <w:p>
            <w:pPr>
              <w:spacing w:line="360" w:lineRule="auto"/>
              <w:ind w:firstLine="480" w:firstLineChars="200"/>
              <w:rPr>
                <w:color w:val="auto"/>
              </w:rPr>
            </w:pPr>
            <w:r>
              <w:rPr>
                <w:color w:val="auto"/>
              </w:rPr>
              <w:t>预测公式如下：</w:t>
            </w:r>
          </w:p>
          <w:p>
            <w:pPr>
              <w:spacing w:line="360" w:lineRule="auto"/>
              <w:ind w:firstLine="480" w:firstLineChars="200"/>
              <w:rPr>
                <w:color w:val="auto"/>
              </w:rPr>
            </w:pPr>
            <w:r>
              <w:rPr>
                <w:color w:val="auto"/>
              </w:rPr>
              <w:t>点源传播衰减模式：</w:t>
            </w:r>
          </w:p>
          <w:p>
            <w:pPr>
              <w:spacing w:line="360" w:lineRule="auto"/>
              <w:ind w:firstLine="480" w:firstLineChars="200"/>
              <w:rPr>
                <w:color w:val="auto"/>
              </w:rPr>
            </w:pPr>
            <w:r>
              <w:rPr>
                <w:color w:val="auto"/>
              </w:rPr>
              <w:t>Lp=Lpo-20lg（r/r0）-ΔL</w:t>
            </w:r>
          </w:p>
          <w:p>
            <w:pPr>
              <w:spacing w:line="360" w:lineRule="auto"/>
              <w:ind w:firstLine="480" w:firstLineChars="200"/>
              <w:rPr>
                <w:color w:val="auto"/>
              </w:rPr>
            </w:pPr>
            <w:r>
              <w:rPr>
                <w:color w:val="auto"/>
              </w:rPr>
              <w:t xml:space="preserve">式中: Lp—距声源r米处声压级，dB（A）； </w:t>
            </w:r>
          </w:p>
          <w:p>
            <w:pPr>
              <w:spacing w:line="360" w:lineRule="auto"/>
              <w:ind w:firstLine="480" w:firstLineChars="200"/>
              <w:rPr>
                <w:color w:val="auto"/>
              </w:rPr>
            </w:pPr>
            <w:r>
              <w:rPr>
                <w:color w:val="auto"/>
              </w:rPr>
              <w:t xml:space="preserve">Lpo—距声源r0米处的声压级，dB（A）；     </w:t>
            </w:r>
          </w:p>
          <w:p>
            <w:pPr>
              <w:spacing w:line="360" w:lineRule="auto"/>
              <w:ind w:firstLine="480" w:firstLineChars="200"/>
              <w:rPr>
                <w:color w:val="auto"/>
              </w:rPr>
            </w:pPr>
            <w:r>
              <w:rPr>
                <w:color w:val="auto"/>
              </w:rPr>
              <w:t xml:space="preserve">r—距声源的距离，m；    </w:t>
            </w:r>
          </w:p>
          <w:p>
            <w:pPr>
              <w:spacing w:line="360" w:lineRule="auto"/>
              <w:ind w:firstLine="480" w:firstLineChars="200"/>
              <w:rPr>
                <w:color w:val="auto"/>
              </w:rPr>
            </w:pPr>
            <w:r>
              <w:rPr>
                <w:color w:val="auto"/>
              </w:rPr>
              <w:t xml:space="preserve">r0—距声源1m；     </w:t>
            </w:r>
          </w:p>
          <w:p>
            <w:pPr>
              <w:spacing w:line="360" w:lineRule="auto"/>
              <w:ind w:firstLine="480" w:firstLineChars="200"/>
              <w:rPr>
                <w:color w:val="auto"/>
              </w:rPr>
            </w:pPr>
            <w:r>
              <w:rPr>
                <w:color w:val="auto"/>
              </w:rPr>
              <w:t>ΔL—各种衰减量，dB（A）。</w:t>
            </w:r>
          </w:p>
          <w:p>
            <w:pPr>
              <w:spacing w:line="360" w:lineRule="auto"/>
              <w:ind w:firstLine="480" w:firstLineChars="200"/>
              <w:rPr>
                <w:color w:val="auto"/>
              </w:rPr>
            </w:pPr>
            <w:r>
              <w:rPr>
                <w:color w:val="auto"/>
              </w:rPr>
              <w:t xml:space="preserve">多声源在某一点的影响叠加模式： </w:t>
            </w:r>
          </w:p>
          <w:p>
            <w:pPr>
              <w:spacing w:line="360" w:lineRule="auto"/>
              <w:ind w:firstLine="480" w:firstLineChars="200"/>
              <w:rPr>
                <w:color w:val="auto"/>
              </w:rPr>
            </w:pPr>
            <w:r>
              <w:rPr>
                <w:color w:val="auto"/>
              </w:rPr>
              <w:t>L＝10lg(10L1/10＋10L2/10＋……10Ln/10)</w:t>
            </w:r>
          </w:p>
          <w:p>
            <w:pPr>
              <w:spacing w:line="360" w:lineRule="auto"/>
              <w:ind w:firstLine="480" w:firstLineChars="200"/>
              <w:rPr>
                <w:color w:val="auto"/>
              </w:rPr>
            </w:pPr>
            <w:r>
              <w:rPr>
                <w:color w:val="auto"/>
              </w:rPr>
              <w:t>式中: Li—i点处的声压级，dB（A）；</w:t>
            </w:r>
          </w:p>
          <w:p>
            <w:pPr>
              <w:snapToGrid w:val="0"/>
              <w:spacing w:line="360" w:lineRule="auto"/>
              <w:ind w:firstLine="480" w:firstLineChars="200"/>
              <w:rPr>
                <w:color w:val="auto"/>
              </w:rPr>
            </w:pPr>
            <w:r>
              <w:rPr>
                <w:color w:val="auto"/>
              </w:rPr>
              <w:t>本次噪声预测计算将从偏保守角度出发，仅考虑声波随距离的衰减对单个点声源的几何衰减。</w:t>
            </w:r>
          </w:p>
          <w:p>
            <w:pPr>
              <w:spacing w:line="360" w:lineRule="auto"/>
              <w:ind w:firstLine="480" w:firstLineChars="200"/>
              <w:rPr>
                <w:color w:val="auto"/>
              </w:rPr>
            </w:pPr>
            <w:r>
              <w:rPr>
                <w:color w:val="auto"/>
              </w:rPr>
              <w:t>项目运营期间，本项目厂界噪声预测结果见表4-</w:t>
            </w:r>
            <w:r>
              <w:rPr>
                <w:rFonts w:hint="eastAsia"/>
                <w:color w:val="auto"/>
                <w:lang w:val="en-US" w:eastAsia="zh-CN"/>
              </w:rPr>
              <w:t>10</w:t>
            </w:r>
            <w:r>
              <w:rPr>
                <w:color w:val="auto"/>
              </w:rPr>
              <w:t>。</w:t>
            </w:r>
          </w:p>
          <w:p>
            <w:pPr>
              <w:spacing w:before="48" w:beforeLines="20"/>
              <w:jc w:val="center"/>
              <w:rPr>
                <w:color w:val="auto"/>
              </w:rPr>
            </w:pPr>
            <w:r>
              <w:rPr>
                <w:color w:val="auto"/>
              </w:rPr>
              <w:t>表4-1</w:t>
            </w:r>
            <w:r>
              <w:rPr>
                <w:rFonts w:hint="eastAsia"/>
                <w:color w:val="auto"/>
                <w:lang w:val="en-US" w:eastAsia="zh-CN"/>
              </w:rPr>
              <w:t>0</w:t>
            </w:r>
            <w:r>
              <w:rPr>
                <w:color w:val="auto"/>
              </w:rPr>
              <w:t xml:space="preserve">  项目运营期噪声预测结果    单位：Leq，dB(A) </w:t>
            </w:r>
          </w:p>
          <w:tbl>
            <w:tblPr>
              <w:tblStyle w:val="34"/>
              <w:tblW w:w="78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006"/>
              <w:gridCol w:w="1251"/>
              <w:gridCol w:w="1379"/>
              <w:gridCol w:w="1383"/>
              <w:gridCol w:w="1392"/>
              <w:gridCol w:w="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7" w:hRule="atLeast"/>
                <w:jc w:val="center"/>
              </w:trPr>
              <w:tc>
                <w:tcPr>
                  <w:tcW w:w="1419" w:type="dxa"/>
                  <w:vMerge w:val="restart"/>
                  <w:vAlign w:val="center"/>
                </w:tcPr>
                <w:p>
                  <w:pPr>
                    <w:pStyle w:val="16"/>
                    <w:tabs>
                      <w:tab w:val="left" w:pos="7500"/>
                    </w:tabs>
                    <w:snapToGrid w:val="0"/>
                    <w:spacing w:after="0"/>
                    <w:ind w:left="0" w:leftChars="0"/>
                    <w:jc w:val="center"/>
                    <w:rPr>
                      <w:color w:val="auto"/>
                      <w:sz w:val="21"/>
                      <w:szCs w:val="21"/>
                    </w:rPr>
                  </w:pPr>
                  <w:r>
                    <w:rPr>
                      <w:color w:val="auto"/>
                      <w:sz w:val="21"/>
                      <w:szCs w:val="21"/>
                    </w:rPr>
                    <w:t>测点位置</w:t>
                  </w:r>
                </w:p>
              </w:tc>
              <w:tc>
                <w:tcPr>
                  <w:tcW w:w="2257" w:type="dxa"/>
                  <w:gridSpan w:val="2"/>
                  <w:vAlign w:val="center"/>
                </w:tcPr>
                <w:p>
                  <w:pPr>
                    <w:pStyle w:val="16"/>
                    <w:tabs>
                      <w:tab w:val="left" w:pos="7500"/>
                    </w:tabs>
                    <w:snapToGrid w:val="0"/>
                    <w:spacing w:after="0"/>
                    <w:ind w:left="0" w:leftChars="0"/>
                    <w:jc w:val="center"/>
                    <w:rPr>
                      <w:color w:val="auto"/>
                      <w:sz w:val="21"/>
                      <w:szCs w:val="21"/>
                    </w:rPr>
                  </w:pPr>
                  <w:r>
                    <w:rPr>
                      <w:color w:val="auto"/>
                      <w:sz w:val="21"/>
                      <w:szCs w:val="21"/>
                    </w:rPr>
                    <w:t>昼间</w:t>
                  </w:r>
                </w:p>
              </w:tc>
              <w:tc>
                <w:tcPr>
                  <w:tcW w:w="2762" w:type="dxa"/>
                  <w:gridSpan w:val="2"/>
                  <w:vAlign w:val="center"/>
                </w:tcPr>
                <w:p>
                  <w:pPr>
                    <w:pStyle w:val="16"/>
                    <w:tabs>
                      <w:tab w:val="left" w:pos="7500"/>
                    </w:tabs>
                    <w:snapToGrid w:val="0"/>
                    <w:spacing w:after="0"/>
                    <w:ind w:left="0" w:leftChars="0"/>
                    <w:jc w:val="center"/>
                    <w:rPr>
                      <w:color w:val="auto"/>
                      <w:sz w:val="21"/>
                      <w:szCs w:val="21"/>
                    </w:rPr>
                  </w:pPr>
                  <w:r>
                    <w:rPr>
                      <w:color w:val="auto"/>
                      <w:sz w:val="21"/>
                      <w:szCs w:val="21"/>
                    </w:rPr>
                    <w:t>夜间</w:t>
                  </w:r>
                </w:p>
              </w:tc>
              <w:tc>
                <w:tcPr>
                  <w:tcW w:w="1392" w:type="dxa"/>
                  <w:vAlign w:val="center"/>
                </w:tcPr>
                <w:p>
                  <w:pPr>
                    <w:pStyle w:val="16"/>
                    <w:tabs>
                      <w:tab w:val="left" w:pos="7500"/>
                    </w:tabs>
                    <w:snapToGrid w:val="0"/>
                    <w:spacing w:after="0"/>
                    <w:ind w:left="0" w:leftChars="0"/>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9" w:type="dxa"/>
                  <w:vMerge w:val="continue"/>
                  <w:vAlign w:val="center"/>
                </w:tcPr>
                <w:p>
                  <w:pPr>
                    <w:pStyle w:val="16"/>
                    <w:tabs>
                      <w:tab w:val="left" w:pos="7500"/>
                    </w:tabs>
                    <w:snapToGrid w:val="0"/>
                    <w:spacing w:after="0"/>
                    <w:ind w:left="0" w:leftChars="0"/>
                    <w:jc w:val="center"/>
                    <w:rPr>
                      <w:color w:val="auto"/>
                      <w:sz w:val="21"/>
                      <w:szCs w:val="21"/>
                    </w:rPr>
                  </w:pPr>
                </w:p>
              </w:tc>
              <w:tc>
                <w:tcPr>
                  <w:tcW w:w="1006" w:type="dxa"/>
                  <w:vAlign w:val="center"/>
                </w:tcPr>
                <w:p>
                  <w:pPr>
                    <w:snapToGrid w:val="0"/>
                    <w:jc w:val="center"/>
                    <w:rPr>
                      <w:color w:val="auto"/>
                      <w:sz w:val="21"/>
                      <w:szCs w:val="21"/>
                    </w:rPr>
                  </w:pPr>
                  <w:r>
                    <w:rPr>
                      <w:color w:val="auto"/>
                      <w:sz w:val="21"/>
                      <w:szCs w:val="21"/>
                    </w:rPr>
                    <w:t>贡献值</w:t>
                  </w:r>
                </w:p>
              </w:tc>
              <w:tc>
                <w:tcPr>
                  <w:tcW w:w="1251" w:type="dxa"/>
                  <w:vAlign w:val="center"/>
                </w:tcPr>
                <w:p>
                  <w:pPr>
                    <w:pStyle w:val="16"/>
                    <w:tabs>
                      <w:tab w:val="left" w:pos="7500"/>
                    </w:tabs>
                    <w:snapToGrid w:val="0"/>
                    <w:spacing w:after="0"/>
                    <w:ind w:left="0" w:leftChars="0"/>
                    <w:jc w:val="center"/>
                    <w:rPr>
                      <w:color w:val="auto"/>
                      <w:sz w:val="21"/>
                      <w:szCs w:val="21"/>
                    </w:rPr>
                  </w:pPr>
                  <w:r>
                    <w:rPr>
                      <w:color w:val="auto"/>
                      <w:sz w:val="21"/>
                      <w:szCs w:val="21"/>
                    </w:rPr>
                    <w:t>标准值</w:t>
                  </w:r>
                </w:p>
              </w:tc>
              <w:tc>
                <w:tcPr>
                  <w:tcW w:w="1379" w:type="dxa"/>
                  <w:vAlign w:val="center"/>
                </w:tcPr>
                <w:p>
                  <w:pPr>
                    <w:pStyle w:val="16"/>
                    <w:tabs>
                      <w:tab w:val="left" w:pos="7500"/>
                    </w:tabs>
                    <w:snapToGrid w:val="0"/>
                    <w:spacing w:after="0"/>
                    <w:ind w:left="0" w:leftChars="0"/>
                    <w:jc w:val="center"/>
                    <w:rPr>
                      <w:color w:val="auto"/>
                      <w:sz w:val="21"/>
                      <w:szCs w:val="21"/>
                    </w:rPr>
                  </w:pPr>
                  <w:r>
                    <w:rPr>
                      <w:color w:val="auto"/>
                      <w:sz w:val="21"/>
                      <w:szCs w:val="21"/>
                    </w:rPr>
                    <w:t>贡献值</w:t>
                  </w:r>
                </w:p>
              </w:tc>
              <w:tc>
                <w:tcPr>
                  <w:tcW w:w="1383" w:type="dxa"/>
                  <w:vAlign w:val="center"/>
                </w:tcPr>
                <w:p>
                  <w:pPr>
                    <w:pStyle w:val="16"/>
                    <w:tabs>
                      <w:tab w:val="left" w:pos="7500"/>
                    </w:tabs>
                    <w:snapToGrid w:val="0"/>
                    <w:spacing w:after="0"/>
                    <w:ind w:left="0" w:leftChars="0"/>
                    <w:jc w:val="center"/>
                    <w:rPr>
                      <w:color w:val="auto"/>
                      <w:sz w:val="21"/>
                      <w:szCs w:val="21"/>
                    </w:rPr>
                  </w:pPr>
                  <w:r>
                    <w:rPr>
                      <w:color w:val="auto"/>
                      <w:sz w:val="21"/>
                      <w:szCs w:val="21"/>
                    </w:rPr>
                    <w:t>标准值</w:t>
                  </w:r>
                </w:p>
              </w:tc>
              <w:tc>
                <w:tcPr>
                  <w:tcW w:w="1399" w:type="dxa"/>
                  <w:gridSpan w:val="2"/>
                  <w:vAlign w:val="center"/>
                </w:tcPr>
                <w:p>
                  <w:pPr>
                    <w:pStyle w:val="16"/>
                    <w:tabs>
                      <w:tab w:val="left" w:pos="7500"/>
                    </w:tabs>
                    <w:snapToGrid w:val="0"/>
                    <w:spacing w:after="0"/>
                    <w:ind w:left="0" w:leftChars="0"/>
                    <w:jc w:val="center"/>
                    <w:rPr>
                      <w:color w:val="auto"/>
                      <w:sz w:val="21"/>
                      <w:szCs w:val="21"/>
                    </w:rPr>
                  </w:pPr>
                  <w:r>
                    <w:rPr>
                      <w:color w:val="auto"/>
                      <w:sz w:val="21"/>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9" w:type="dxa"/>
                  <w:vAlign w:val="center"/>
                </w:tcPr>
                <w:p>
                  <w:pPr>
                    <w:snapToGrid w:val="0"/>
                    <w:jc w:val="center"/>
                    <w:rPr>
                      <w:color w:val="auto"/>
                      <w:sz w:val="21"/>
                      <w:szCs w:val="21"/>
                    </w:rPr>
                  </w:pPr>
                  <w:r>
                    <w:rPr>
                      <w:color w:val="auto"/>
                      <w:sz w:val="21"/>
                      <w:szCs w:val="21"/>
                    </w:rPr>
                    <w:t>1#厂界东侧</w:t>
                  </w:r>
                </w:p>
              </w:tc>
              <w:tc>
                <w:tcPr>
                  <w:tcW w:w="1006" w:type="dxa"/>
                  <w:vAlign w:val="center"/>
                </w:tcPr>
                <w:p>
                  <w:pPr>
                    <w:snapToGrid w:val="0"/>
                    <w:jc w:val="center"/>
                    <w:rPr>
                      <w:rFonts w:hint="default"/>
                      <w:color w:val="auto"/>
                      <w:sz w:val="21"/>
                      <w:szCs w:val="21"/>
                      <w:lang w:val="en-US" w:eastAsia="zh-CN"/>
                    </w:rPr>
                  </w:pPr>
                  <w:r>
                    <w:rPr>
                      <w:rFonts w:hint="eastAsia"/>
                      <w:color w:val="auto"/>
                      <w:sz w:val="21"/>
                      <w:szCs w:val="21"/>
                      <w:lang w:val="en-US" w:eastAsia="zh-CN"/>
                    </w:rPr>
                    <w:t>58.7</w:t>
                  </w:r>
                </w:p>
              </w:tc>
              <w:tc>
                <w:tcPr>
                  <w:tcW w:w="1251" w:type="dxa"/>
                  <w:vAlign w:val="center"/>
                </w:tcPr>
                <w:p>
                  <w:pPr>
                    <w:snapToGrid w:val="0"/>
                    <w:jc w:val="center"/>
                    <w:rPr>
                      <w:color w:val="auto"/>
                      <w:sz w:val="21"/>
                      <w:szCs w:val="21"/>
                    </w:rPr>
                  </w:pPr>
                  <w:r>
                    <w:rPr>
                      <w:color w:val="auto"/>
                      <w:sz w:val="21"/>
                      <w:szCs w:val="21"/>
                    </w:rPr>
                    <w:t>65</w:t>
                  </w:r>
                </w:p>
              </w:tc>
              <w:tc>
                <w:tcPr>
                  <w:tcW w:w="1379" w:type="dxa"/>
                  <w:vAlign w:val="center"/>
                </w:tcPr>
                <w:p>
                  <w:pPr>
                    <w:snapToGrid w:val="0"/>
                    <w:jc w:val="center"/>
                    <w:rPr>
                      <w:color w:val="auto"/>
                      <w:sz w:val="21"/>
                      <w:szCs w:val="21"/>
                    </w:rPr>
                  </w:pPr>
                  <w:r>
                    <w:rPr>
                      <w:color w:val="auto"/>
                      <w:sz w:val="21"/>
                      <w:szCs w:val="21"/>
                    </w:rPr>
                    <w:t>/</w:t>
                  </w:r>
                </w:p>
              </w:tc>
              <w:tc>
                <w:tcPr>
                  <w:tcW w:w="1383" w:type="dxa"/>
                  <w:vAlign w:val="center"/>
                </w:tcPr>
                <w:p>
                  <w:pPr>
                    <w:snapToGrid w:val="0"/>
                    <w:jc w:val="center"/>
                    <w:rPr>
                      <w:color w:val="auto"/>
                      <w:sz w:val="21"/>
                      <w:szCs w:val="21"/>
                    </w:rPr>
                  </w:pPr>
                  <w:r>
                    <w:rPr>
                      <w:color w:val="auto"/>
                      <w:sz w:val="21"/>
                      <w:szCs w:val="21"/>
                    </w:rPr>
                    <w:t>/</w:t>
                  </w:r>
                </w:p>
              </w:tc>
              <w:tc>
                <w:tcPr>
                  <w:tcW w:w="1399" w:type="dxa"/>
                  <w:gridSpan w:val="2"/>
                  <w:vMerge w:val="restart"/>
                  <w:vAlign w:val="center"/>
                </w:tcPr>
                <w:p>
                  <w:pPr>
                    <w:snapToGrid w:val="0"/>
                    <w:jc w:val="center"/>
                    <w:rPr>
                      <w:color w:val="auto"/>
                      <w:sz w:val="21"/>
                      <w:szCs w:val="21"/>
                    </w:rPr>
                  </w:pPr>
                  <w:r>
                    <w:rPr>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9" w:type="dxa"/>
                  <w:vAlign w:val="center"/>
                </w:tcPr>
                <w:p>
                  <w:pPr>
                    <w:snapToGrid w:val="0"/>
                    <w:jc w:val="center"/>
                    <w:rPr>
                      <w:color w:val="auto"/>
                      <w:sz w:val="21"/>
                      <w:szCs w:val="21"/>
                    </w:rPr>
                  </w:pPr>
                  <w:r>
                    <w:rPr>
                      <w:color w:val="auto"/>
                      <w:sz w:val="21"/>
                      <w:szCs w:val="21"/>
                    </w:rPr>
                    <w:t>2#厂界南侧</w:t>
                  </w:r>
                </w:p>
              </w:tc>
              <w:tc>
                <w:tcPr>
                  <w:tcW w:w="1006" w:type="dxa"/>
                  <w:vAlign w:val="center"/>
                </w:tcPr>
                <w:p>
                  <w:pPr>
                    <w:snapToGrid w:val="0"/>
                    <w:jc w:val="center"/>
                    <w:rPr>
                      <w:color w:val="auto"/>
                      <w:sz w:val="21"/>
                      <w:szCs w:val="21"/>
                      <w:lang w:val="en-US" w:eastAsia="zh-CN"/>
                    </w:rPr>
                  </w:pPr>
                  <w:r>
                    <w:rPr>
                      <w:rFonts w:hint="eastAsia"/>
                      <w:color w:val="auto"/>
                      <w:sz w:val="21"/>
                      <w:szCs w:val="21"/>
                      <w:lang w:val="en-US" w:eastAsia="zh-CN"/>
                    </w:rPr>
                    <w:t>42.8</w:t>
                  </w:r>
                </w:p>
              </w:tc>
              <w:tc>
                <w:tcPr>
                  <w:tcW w:w="1251" w:type="dxa"/>
                  <w:vAlign w:val="center"/>
                </w:tcPr>
                <w:p>
                  <w:pPr>
                    <w:snapToGrid w:val="0"/>
                    <w:jc w:val="center"/>
                    <w:rPr>
                      <w:color w:val="auto"/>
                      <w:sz w:val="21"/>
                      <w:szCs w:val="21"/>
                    </w:rPr>
                  </w:pPr>
                  <w:r>
                    <w:rPr>
                      <w:color w:val="auto"/>
                      <w:sz w:val="21"/>
                      <w:szCs w:val="21"/>
                    </w:rPr>
                    <w:t>65</w:t>
                  </w:r>
                </w:p>
              </w:tc>
              <w:tc>
                <w:tcPr>
                  <w:tcW w:w="1379" w:type="dxa"/>
                  <w:vAlign w:val="center"/>
                </w:tcPr>
                <w:p>
                  <w:pPr>
                    <w:snapToGrid w:val="0"/>
                    <w:jc w:val="center"/>
                    <w:rPr>
                      <w:color w:val="auto"/>
                      <w:sz w:val="21"/>
                      <w:szCs w:val="21"/>
                    </w:rPr>
                  </w:pPr>
                  <w:r>
                    <w:rPr>
                      <w:color w:val="auto"/>
                      <w:sz w:val="21"/>
                      <w:szCs w:val="21"/>
                    </w:rPr>
                    <w:t>/</w:t>
                  </w:r>
                </w:p>
              </w:tc>
              <w:tc>
                <w:tcPr>
                  <w:tcW w:w="1383" w:type="dxa"/>
                  <w:vAlign w:val="center"/>
                </w:tcPr>
                <w:p>
                  <w:pPr>
                    <w:snapToGrid w:val="0"/>
                    <w:jc w:val="center"/>
                    <w:rPr>
                      <w:color w:val="auto"/>
                      <w:sz w:val="21"/>
                      <w:szCs w:val="21"/>
                    </w:rPr>
                  </w:pPr>
                  <w:r>
                    <w:rPr>
                      <w:color w:val="auto"/>
                      <w:sz w:val="21"/>
                      <w:szCs w:val="21"/>
                    </w:rPr>
                    <w:t>/</w:t>
                  </w:r>
                </w:p>
              </w:tc>
              <w:tc>
                <w:tcPr>
                  <w:tcW w:w="1399" w:type="dxa"/>
                  <w:gridSpan w:val="2"/>
                  <w:vMerge w:val="continue"/>
                  <w:vAlign w:val="center"/>
                </w:tcPr>
                <w:p>
                  <w:pPr>
                    <w:pStyle w:val="16"/>
                    <w:tabs>
                      <w:tab w:val="left" w:pos="7500"/>
                    </w:tabs>
                    <w:snapToGrid w:val="0"/>
                    <w:spacing w:after="0"/>
                    <w:ind w:left="0" w:leftChars="0"/>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9" w:type="dxa"/>
                  <w:vAlign w:val="center"/>
                </w:tcPr>
                <w:p>
                  <w:pPr>
                    <w:snapToGrid w:val="0"/>
                    <w:jc w:val="center"/>
                    <w:rPr>
                      <w:color w:val="auto"/>
                      <w:sz w:val="21"/>
                      <w:szCs w:val="21"/>
                    </w:rPr>
                  </w:pPr>
                  <w:r>
                    <w:rPr>
                      <w:color w:val="auto"/>
                      <w:sz w:val="21"/>
                      <w:szCs w:val="21"/>
                    </w:rPr>
                    <w:t>3#厂界西侧</w:t>
                  </w:r>
                </w:p>
              </w:tc>
              <w:tc>
                <w:tcPr>
                  <w:tcW w:w="1006" w:type="dxa"/>
                  <w:vAlign w:val="center"/>
                </w:tcPr>
                <w:p>
                  <w:pPr>
                    <w:snapToGrid w:val="0"/>
                    <w:jc w:val="center"/>
                    <w:rPr>
                      <w:rFonts w:hint="default"/>
                      <w:color w:val="auto"/>
                      <w:sz w:val="21"/>
                      <w:szCs w:val="21"/>
                      <w:lang w:val="en-US" w:eastAsia="zh-CN"/>
                    </w:rPr>
                  </w:pPr>
                  <w:r>
                    <w:rPr>
                      <w:rFonts w:hint="eastAsia"/>
                      <w:color w:val="auto"/>
                      <w:sz w:val="21"/>
                      <w:szCs w:val="21"/>
                      <w:lang w:val="en-US" w:eastAsia="zh-CN"/>
                    </w:rPr>
                    <w:t>50.0</w:t>
                  </w:r>
                </w:p>
              </w:tc>
              <w:tc>
                <w:tcPr>
                  <w:tcW w:w="1251" w:type="dxa"/>
                  <w:vAlign w:val="center"/>
                </w:tcPr>
                <w:p>
                  <w:pPr>
                    <w:snapToGrid w:val="0"/>
                    <w:jc w:val="center"/>
                    <w:rPr>
                      <w:color w:val="auto"/>
                      <w:sz w:val="21"/>
                      <w:szCs w:val="21"/>
                    </w:rPr>
                  </w:pPr>
                  <w:r>
                    <w:rPr>
                      <w:color w:val="auto"/>
                      <w:sz w:val="21"/>
                      <w:szCs w:val="21"/>
                    </w:rPr>
                    <w:t>65</w:t>
                  </w:r>
                </w:p>
              </w:tc>
              <w:tc>
                <w:tcPr>
                  <w:tcW w:w="1379" w:type="dxa"/>
                  <w:vAlign w:val="center"/>
                </w:tcPr>
                <w:p>
                  <w:pPr>
                    <w:snapToGrid w:val="0"/>
                    <w:jc w:val="center"/>
                    <w:rPr>
                      <w:color w:val="auto"/>
                      <w:sz w:val="21"/>
                      <w:szCs w:val="21"/>
                    </w:rPr>
                  </w:pPr>
                  <w:r>
                    <w:rPr>
                      <w:color w:val="auto"/>
                      <w:sz w:val="21"/>
                      <w:szCs w:val="21"/>
                    </w:rPr>
                    <w:t>/</w:t>
                  </w:r>
                </w:p>
              </w:tc>
              <w:tc>
                <w:tcPr>
                  <w:tcW w:w="1383" w:type="dxa"/>
                  <w:vAlign w:val="center"/>
                </w:tcPr>
                <w:p>
                  <w:pPr>
                    <w:snapToGrid w:val="0"/>
                    <w:jc w:val="center"/>
                    <w:rPr>
                      <w:color w:val="auto"/>
                      <w:sz w:val="21"/>
                      <w:szCs w:val="21"/>
                    </w:rPr>
                  </w:pPr>
                  <w:r>
                    <w:rPr>
                      <w:color w:val="auto"/>
                      <w:sz w:val="21"/>
                      <w:szCs w:val="21"/>
                    </w:rPr>
                    <w:t>/</w:t>
                  </w:r>
                </w:p>
              </w:tc>
              <w:tc>
                <w:tcPr>
                  <w:tcW w:w="1399" w:type="dxa"/>
                  <w:gridSpan w:val="2"/>
                  <w:vMerge w:val="continue"/>
                  <w:vAlign w:val="center"/>
                </w:tcPr>
                <w:p>
                  <w:pPr>
                    <w:pStyle w:val="16"/>
                    <w:tabs>
                      <w:tab w:val="left" w:pos="7500"/>
                    </w:tabs>
                    <w:snapToGrid w:val="0"/>
                    <w:spacing w:after="0"/>
                    <w:ind w:left="0" w:leftChars="0"/>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9" w:type="dxa"/>
                  <w:vAlign w:val="center"/>
                </w:tcPr>
                <w:p>
                  <w:pPr>
                    <w:snapToGrid w:val="0"/>
                    <w:jc w:val="center"/>
                    <w:rPr>
                      <w:color w:val="auto"/>
                      <w:sz w:val="21"/>
                      <w:szCs w:val="21"/>
                    </w:rPr>
                  </w:pPr>
                  <w:r>
                    <w:rPr>
                      <w:color w:val="auto"/>
                      <w:sz w:val="21"/>
                      <w:szCs w:val="21"/>
                    </w:rPr>
                    <w:t>4#厂界北侧</w:t>
                  </w:r>
                </w:p>
              </w:tc>
              <w:tc>
                <w:tcPr>
                  <w:tcW w:w="1006" w:type="dxa"/>
                  <w:vAlign w:val="center"/>
                </w:tcPr>
                <w:p>
                  <w:pPr>
                    <w:snapToGrid w:val="0"/>
                    <w:jc w:val="center"/>
                    <w:rPr>
                      <w:color w:val="auto"/>
                      <w:sz w:val="21"/>
                      <w:szCs w:val="21"/>
                      <w:lang w:val="en-US" w:eastAsia="zh-CN"/>
                    </w:rPr>
                  </w:pPr>
                  <w:r>
                    <w:rPr>
                      <w:rFonts w:hint="eastAsia"/>
                      <w:color w:val="auto"/>
                      <w:sz w:val="21"/>
                      <w:szCs w:val="21"/>
                      <w:lang w:val="en-US" w:eastAsia="zh-CN"/>
                    </w:rPr>
                    <w:t>56.8</w:t>
                  </w:r>
                </w:p>
              </w:tc>
              <w:tc>
                <w:tcPr>
                  <w:tcW w:w="1251" w:type="dxa"/>
                  <w:vAlign w:val="center"/>
                </w:tcPr>
                <w:p>
                  <w:pPr>
                    <w:snapToGrid w:val="0"/>
                    <w:jc w:val="center"/>
                    <w:rPr>
                      <w:color w:val="auto"/>
                      <w:sz w:val="21"/>
                      <w:szCs w:val="21"/>
                    </w:rPr>
                  </w:pPr>
                  <w:r>
                    <w:rPr>
                      <w:color w:val="auto"/>
                      <w:sz w:val="21"/>
                      <w:szCs w:val="21"/>
                    </w:rPr>
                    <w:t>65</w:t>
                  </w:r>
                </w:p>
              </w:tc>
              <w:tc>
                <w:tcPr>
                  <w:tcW w:w="1379" w:type="dxa"/>
                  <w:vAlign w:val="center"/>
                </w:tcPr>
                <w:p>
                  <w:pPr>
                    <w:snapToGrid w:val="0"/>
                    <w:jc w:val="center"/>
                    <w:rPr>
                      <w:color w:val="auto"/>
                      <w:sz w:val="21"/>
                      <w:szCs w:val="21"/>
                    </w:rPr>
                  </w:pPr>
                  <w:r>
                    <w:rPr>
                      <w:color w:val="auto"/>
                      <w:sz w:val="21"/>
                      <w:szCs w:val="21"/>
                    </w:rPr>
                    <w:t>/</w:t>
                  </w:r>
                </w:p>
              </w:tc>
              <w:tc>
                <w:tcPr>
                  <w:tcW w:w="1383" w:type="dxa"/>
                  <w:vAlign w:val="center"/>
                </w:tcPr>
                <w:p>
                  <w:pPr>
                    <w:snapToGrid w:val="0"/>
                    <w:jc w:val="center"/>
                    <w:rPr>
                      <w:color w:val="auto"/>
                      <w:sz w:val="21"/>
                      <w:szCs w:val="21"/>
                    </w:rPr>
                  </w:pPr>
                  <w:r>
                    <w:rPr>
                      <w:color w:val="auto"/>
                      <w:sz w:val="21"/>
                      <w:szCs w:val="21"/>
                    </w:rPr>
                    <w:t>/</w:t>
                  </w:r>
                </w:p>
              </w:tc>
              <w:tc>
                <w:tcPr>
                  <w:tcW w:w="1399" w:type="dxa"/>
                  <w:gridSpan w:val="2"/>
                  <w:vMerge w:val="continue"/>
                  <w:vAlign w:val="center"/>
                </w:tcPr>
                <w:p>
                  <w:pPr>
                    <w:snapToGrid w:val="0"/>
                    <w:jc w:val="center"/>
                    <w:rPr>
                      <w:color w:val="auto"/>
                      <w:sz w:val="21"/>
                      <w:szCs w:val="21"/>
                    </w:rPr>
                  </w:pPr>
                </w:p>
              </w:tc>
            </w:tr>
          </w:tbl>
          <w:p>
            <w:pPr>
              <w:spacing w:line="360" w:lineRule="auto"/>
              <w:ind w:firstLine="480" w:firstLineChars="200"/>
              <w:rPr>
                <w:color w:val="auto"/>
              </w:rPr>
            </w:pPr>
            <w:r>
              <w:rPr>
                <w:color w:val="auto"/>
              </w:rPr>
              <w:t>本项目夜间不生产，从表4-1</w:t>
            </w:r>
            <w:r>
              <w:rPr>
                <w:rFonts w:hint="eastAsia"/>
                <w:color w:val="auto"/>
                <w:lang w:val="en-US" w:eastAsia="zh-CN"/>
              </w:rPr>
              <w:t>0</w:t>
            </w:r>
            <w:r>
              <w:rPr>
                <w:color w:val="auto"/>
              </w:rPr>
              <w:t>可知，在运行期厂界昼间噪声值满足《工业企业厂界环境噪声排放标准》(GB12348-2008)中3类标准要求。因此，运营期噪声对周边声环境影响较小。</w:t>
            </w:r>
          </w:p>
          <w:p>
            <w:pPr>
              <w:pStyle w:val="14"/>
              <w:keepNext w:val="0"/>
              <w:keepLines w:val="0"/>
              <w:pageBreakBefore w:val="0"/>
              <w:numPr>
                <w:ilvl w:val="0"/>
                <w:numId w:val="0"/>
              </w:numPr>
              <w:kinsoku/>
              <w:wordWrap/>
              <w:overflowPunct/>
              <w:topLinePunct w:val="0"/>
              <w:autoSpaceDE/>
              <w:autoSpaceDN/>
              <w:bidi w:val="0"/>
              <w:adjustRightInd w:val="0"/>
              <w:spacing w:before="0" w:after="0" w:line="360" w:lineRule="auto"/>
              <w:ind w:right="0" w:rightChars="0" w:firstLine="482" w:firstLineChars="200"/>
              <w:textAlignment w:val="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3</w:t>
            </w:r>
            <w:r>
              <w:rPr>
                <w:rFonts w:hint="eastAsia"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rPr>
              <w:t>监测要求</w:t>
            </w:r>
          </w:p>
          <w:p>
            <w:pPr>
              <w:pStyle w:val="19"/>
              <w:keepNext w:val="0"/>
              <w:keepLines w:val="0"/>
              <w:pageBreakBefore w:val="0"/>
              <w:widowControl w:val="0"/>
              <w:kinsoku/>
              <w:wordWrap/>
              <w:overflowPunct/>
              <w:topLinePunct w:val="0"/>
              <w:autoSpaceDE/>
              <w:autoSpaceDN/>
              <w:bidi w:val="0"/>
              <w:adjustRightInd/>
              <w:snapToGrid/>
              <w:spacing w:beforeLines="0" w:afterLines="0" w:line="360" w:lineRule="auto"/>
              <w:ind w:right="0" w:firstLine="42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根据《排污单位自行监测技术指南总则》(HJ 819-2017)，厂界环境噪声每季度至少开展一次监测，夜间生产的要监测夜间噪声。本项目仅昼间生产，夜间不生产，因此厂界环境噪声每季度至少开展一次昼间噪声监测。</w:t>
            </w:r>
          </w:p>
          <w:p>
            <w:pPr>
              <w:pStyle w:val="19"/>
              <w:keepNext w:val="0"/>
              <w:keepLines w:val="0"/>
              <w:pageBreakBefore w:val="0"/>
              <w:widowControl w:val="0"/>
              <w:kinsoku/>
              <w:wordWrap/>
              <w:overflowPunct/>
              <w:topLinePunct w:val="0"/>
              <w:autoSpaceDE/>
              <w:autoSpaceDN/>
              <w:bidi w:val="0"/>
              <w:adjustRightInd/>
              <w:snapToGrid/>
              <w:spacing w:beforeLines="0" w:afterLines="0" w:line="360" w:lineRule="auto"/>
              <w:ind w:right="0" w:firstLine="42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监测站位：厂界四周围墙外1m。</w:t>
            </w:r>
          </w:p>
          <w:p>
            <w:pPr>
              <w:pStyle w:val="19"/>
              <w:keepNext w:val="0"/>
              <w:keepLines w:val="0"/>
              <w:pageBreakBefore w:val="0"/>
              <w:widowControl w:val="0"/>
              <w:kinsoku/>
              <w:wordWrap/>
              <w:overflowPunct/>
              <w:topLinePunct w:val="0"/>
              <w:autoSpaceDE/>
              <w:autoSpaceDN/>
              <w:bidi w:val="0"/>
              <w:adjustRightInd/>
              <w:snapToGrid/>
              <w:spacing w:beforeLines="0" w:afterLines="0" w:line="360" w:lineRule="auto"/>
              <w:ind w:right="0" w:firstLine="42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监测项目：昼间连续等效A声级。</w:t>
            </w:r>
          </w:p>
          <w:p>
            <w:pPr>
              <w:pStyle w:val="19"/>
              <w:keepNext w:val="0"/>
              <w:keepLines w:val="0"/>
              <w:pageBreakBefore w:val="0"/>
              <w:widowControl w:val="0"/>
              <w:kinsoku/>
              <w:wordWrap/>
              <w:overflowPunct/>
              <w:topLinePunct w:val="0"/>
              <w:autoSpaceDE/>
              <w:autoSpaceDN/>
              <w:bidi w:val="0"/>
              <w:adjustRightInd/>
              <w:snapToGrid/>
              <w:spacing w:beforeLines="0" w:afterLines="0" w:line="360" w:lineRule="auto"/>
              <w:ind w:right="0" w:firstLine="42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监测频率：每季度1次。</w:t>
            </w:r>
          </w:p>
          <w:p>
            <w:pPr>
              <w:pStyle w:val="99"/>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表4-</w:t>
            </w:r>
            <w:r>
              <w:rPr>
                <w:rFonts w:hint="default" w:ascii="Times New Roman" w:hAnsi="Times New Roman" w:cs="Times New Roman"/>
                <w:color w:val="auto"/>
                <w:sz w:val="21"/>
                <w:szCs w:val="21"/>
                <w:lang w:val="en-US" w:eastAsia="zh-CN"/>
              </w:rPr>
              <w:t>11</w:t>
            </w:r>
            <w:r>
              <w:rPr>
                <w:rFonts w:hint="default" w:ascii="Times New Roman" w:hAnsi="Times New Roman" w:cs="Times New Roman"/>
                <w:color w:val="auto"/>
                <w:sz w:val="21"/>
                <w:szCs w:val="21"/>
              </w:rPr>
              <w:t xml:space="preserve">  噪声监测情况一览表</w:t>
            </w:r>
          </w:p>
          <w:tbl>
            <w:tblPr>
              <w:tblStyle w:val="34"/>
              <w:tblW w:w="8123"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030"/>
              <w:gridCol w:w="2031"/>
              <w:gridCol w:w="2031"/>
              <w:gridCol w:w="203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030" w:type="dxa"/>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监测点位</w:t>
                  </w:r>
                </w:p>
              </w:tc>
              <w:tc>
                <w:tcPr>
                  <w:tcW w:w="2031" w:type="dxa"/>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监测指标</w:t>
                  </w:r>
                </w:p>
              </w:tc>
              <w:tc>
                <w:tcPr>
                  <w:tcW w:w="2031" w:type="dxa"/>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执行标准</w:t>
                  </w:r>
                </w:p>
              </w:tc>
              <w:tc>
                <w:tcPr>
                  <w:tcW w:w="2031" w:type="dxa"/>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最低监测频次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030" w:type="dxa"/>
                  <w:noWrap w:val="0"/>
                  <w:vAlign w:val="center"/>
                </w:tcPr>
                <w:p>
                  <w:pPr>
                    <w:pStyle w:val="99"/>
                    <w:adjustRightInd w:val="0"/>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东厂界</w:t>
                  </w:r>
                </w:p>
              </w:tc>
              <w:tc>
                <w:tcPr>
                  <w:tcW w:w="2031" w:type="dxa"/>
                  <w:vMerge w:val="restart"/>
                  <w:noWrap w:val="0"/>
                  <w:vAlign w:val="center"/>
                </w:tcPr>
                <w:p>
                  <w:pPr>
                    <w:pStyle w:val="99"/>
                    <w:adjustRightInd w:val="0"/>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等效连续A声级</w:t>
                  </w:r>
                </w:p>
              </w:tc>
              <w:tc>
                <w:tcPr>
                  <w:tcW w:w="2031" w:type="dxa"/>
                  <w:vMerge w:val="restart"/>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b w:val="0"/>
                      <w:bCs/>
                      <w:color w:val="auto"/>
                      <w:sz w:val="21"/>
                      <w:szCs w:val="21"/>
                    </w:rPr>
                    <w:t>《工业企业厂界环境噪声排放标准》（GB12348-2008）</w:t>
                  </w: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类标准</w:t>
                  </w:r>
                </w:p>
              </w:tc>
              <w:tc>
                <w:tcPr>
                  <w:tcW w:w="2031" w:type="dxa"/>
                  <w:vMerge w:val="restart"/>
                  <w:noWrap w:val="0"/>
                  <w:vAlign w:val="center"/>
                </w:tcPr>
                <w:p>
                  <w:pPr>
                    <w:pStyle w:val="99"/>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b w:val="0"/>
                      <w:color w:val="auto"/>
                      <w:sz w:val="21"/>
                      <w:szCs w:val="21"/>
                    </w:rPr>
                    <w:t>1次/季度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030" w:type="dxa"/>
                  <w:noWrap w:val="0"/>
                  <w:vAlign w:val="center"/>
                </w:tcPr>
                <w:p>
                  <w:pPr>
                    <w:pStyle w:val="99"/>
                    <w:adjustRightInd w:val="0"/>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西厂界</w:t>
                  </w:r>
                </w:p>
              </w:tc>
              <w:tc>
                <w:tcPr>
                  <w:tcW w:w="2031" w:type="dxa"/>
                  <w:vMerge w:val="continue"/>
                  <w:noWrap w:val="0"/>
                  <w:vAlign w:val="center"/>
                </w:tcPr>
                <w:p>
                  <w:pPr>
                    <w:pStyle w:val="99"/>
                    <w:adjustRightInd w:val="0"/>
                    <w:spacing w:line="240" w:lineRule="auto"/>
                    <w:jc w:val="center"/>
                    <w:rPr>
                      <w:rFonts w:hint="default" w:ascii="Times New Roman" w:hAnsi="Times New Roman" w:cs="Times New Roman"/>
                      <w:color w:val="auto"/>
                      <w:sz w:val="21"/>
                      <w:szCs w:val="21"/>
                    </w:rPr>
                  </w:pPr>
                </w:p>
              </w:tc>
              <w:tc>
                <w:tcPr>
                  <w:tcW w:w="2031" w:type="dxa"/>
                  <w:vMerge w:val="continue"/>
                  <w:noWrap w:val="0"/>
                  <w:vAlign w:val="center"/>
                </w:tcPr>
                <w:p>
                  <w:pPr>
                    <w:pStyle w:val="99"/>
                    <w:adjustRightInd w:val="0"/>
                    <w:spacing w:line="240" w:lineRule="auto"/>
                    <w:jc w:val="center"/>
                    <w:rPr>
                      <w:rFonts w:hint="default" w:ascii="Times New Roman" w:hAnsi="Times New Roman" w:cs="Times New Roman"/>
                      <w:color w:val="auto"/>
                      <w:sz w:val="21"/>
                      <w:szCs w:val="21"/>
                    </w:rPr>
                  </w:pPr>
                </w:p>
              </w:tc>
              <w:tc>
                <w:tcPr>
                  <w:tcW w:w="2031" w:type="dxa"/>
                  <w:vMerge w:val="continue"/>
                  <w:noWrap w:val="0"/>
                  <w:vAlign w:val="center"/>
                </w:tcPr>
                <w:p>
                  <w:pPr>
                    <w:pStyle w:val="99"/>
                    <w:adjustRightIn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2030" w:type="dxa"/>
                  <w:noWrap w:val="0"/>
                  <w:vAlign w:val="center"/>
                </w:tcPr>
                <w:p>
                  <w:pPr>
                    <w:pStyle w:val="99"/>
                    <w:adjustRightInd w:val="0"/>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南厂界</w:t>
                  </w:r>
                </w:p>
              </w:tc>
              <w:tc>
                <w:tcPr>
                  <w:tcW w:w="2031" w:type="dxa"/>
                  <w:vMerge w:val="continue"/>
                  <w:noWrap w:val="0"/>
                  <w:vAlign w:val="center"/>
                </w:tcPr>
                <w:p>
                  <w:pPr>
                    <w:pStyle w:val="99"/>
                    <w:adjustRightInd w:val="0"/>
                    <w:spacing w:line="240" w:lineRule="auto"/>
                    <w:jc w:val="center"/>
                    <w:rPr>
                      <w:rFonts w:hint="default" w:ascii="Times New Roman" w:hAnsi="Times New Roman" w:cs="Times New Roman"/>
                      <w:color w:val="auto"/>
                      <w:sz w:val="21"/>
                      <w:szCs w:val="21"/>
                    </w:rPr>
                  </w:pPr>
                </w:p>
              </w:tc>
              <w:tc>
                <w:tcPr>
                  <w:tcW w:w="2031" w:type="dxa"/>
                  <w:vMerge w:val="continue"/>
                  <w:noWrap w:val="0"/>
                  <w:vAlign w:val="center"/>
                </w:tcPr>
                <w:p>
                  <w:pPr>
                    <w:pStyle w:val="99"/>
                    <w:adjustRightInd w:val="0"/>
                    <w:spacing w:line="240" w:lineRule="auto"/>
                    <w:jc w:val="center"/>
                    <w:rPr>
                      <w:rFonts w:hint="default" w:ascii="Times New Roman" w:hAnsi="Times New Roman" w:cs="Times New Roman"/>
                      <w:color w:val="auto"/>
                      <w:sz w:val="21"/>
                      <w:szCs w:val="21"/>
                    </w:rPr>
                  </w:pPr>
                </w:p>
              </w:tc>
              <w:tc>
                <w:tcPr>
                  <w:tcW w:w="2031" w:type="dxa"/>
                  <w:vMerge w:val="continue"/>
                  <w:noWrap w:val="0"/>
                  <w:vAlign w:val="center"/>
                </w:tcPr>
                <w:p>
                  <w:pPr>
                    <w:pStyle w:val="99"/>
                    <w:adjustRightIn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030" w:type="dxa"/>
                  <w:noWrap w:val="0"/>
                  <w:vAlign w:val="center"/>
                </w:tcPr>
                <w:p>
                  <w:pPr>
                    <w:pStyle w:val="99"/>
                    <w:adjustRightInd w:val="0"/>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北厂界</w:t>
                  </w:r>
                </w:p>
              </w:tc>
              <w:tc>
                <w:tcPr>
                  <w:tcW w:w="2031" w:type="dxa"/>
                  <w:vMerge w:val="continue"/>
                  <w:noWrap w:val="0"/>
                  <w:vAlign w:val="center"/>
                </w:tcPr>
                <w:p>
                  <w:pPr>
                    <w:pStyle w:val="99"/>
                    <w:adjustRightInd w:val="0"/>
                    <w:spacing w:line="240" w:lineRule="auto"/>
                    <w:jc w:val="center"/>
                    <w:rPr>
                      <w:rFonts w:hint="default" w:ascii="Times New Roman" w:hAnsi="Times New Roman" w:cs="Times New Roman"/>
                      <w:color w:val="auto"/>
                      <w:sz w:val="21"/>
                      <w:szCs w:val="21"/>
                    </w:rPr>
                  </w:pPr>
                </w:p>
              </w:tc>
              <w:tc>
                <w:tcPr>
                  <w:tcW w:w="2031" w:type="dxa"/>
                  <w:vMerge w:val="continue"/>
                  <w:noWrap w:val="0"/>
                  <w:vAlign w:val="center"/>
                </w:tcPr>
                <w:p>
                  <w:pPr>
                    <w:pStyle w:val="99"/>
                    <w:adjustRightInd w:val="0"/>
                    <w:spacing w:line="240" w:lineRule="auto"/>
                    <w:jc w:val="center"/>
                    <w:rPr>
                      <w:rFonts w:hint="default" w:ascii="Times New Roman" w:hAnsi="Times New Roman" w:cs="Times New Roman"/>
                      <w:color w:val="auto"/>
                      <w:sz w:val="21"/>
                      <w:szCs w:val="21"/>
                    </w:rPr>
                  </w:pPr>
                </w:p>
              </w:tc>
              <w:tc>
                <w:tcPr>
                  <w:tcW w:w="2031" w:type="dxa"/>
                  <w:vMerge w:val="continue"/>
                  <w:noWrap w:val="0"/>
                  <w:vAlign w:val="center"/>
                </w:tcPr>
                <w:p>
                  <w:pPr>
                    <w:pStyle w:val="99"/>
                    <w:adjustRightInd w:val="0"/>
                    <w:spacing w:line="240" w:lineRule="auto"/>
                    <w:jc w:val="center"/>
                    <w:rPr>
                      <w:rFonts w:hint="default" w:ascii="Times New Roman" w:hAnsi="Times New Roman" w:cs="Times New Roman"/>
                      <w:color w:val="auto"/>
                      <w:sz w:val="21"/>
                      <w:szCs w:val="21"/>
                    </w:rPr>
                  </w:pPr>
                </w:p>
              </w:tc>
            </w:tr>
          </w:tbl>
          <w:p>
            <w:pPr>
              <w:pStyle w:val="4"/>
              <w:rPr>
                <w:color w:val="auto"/>
              </w:rPr>
            </w:pPr>
            <w:r>
              <w:rPr>
                <w:color w:val="auto"/>
              </w:rPr>
              <w:t>4.2.6环境风险评价</w:t>
            </w:r>
          </w:p>
          <w:p>
            <w:pPr>
              <w:spacing w:line="360" w:lineRule="auto"/>
              <w:ind w:firstLine="480" w:firstLineChars="200"/>
              <w:rPr>
                <w:color w:val="auto"/>
              </w:rPr>
            </w:pPr>
            <w:r>
              <w:rPr>
                <w:color w:val="auto"/>
              </w:rPr>
              <w:t>（1）环境风险评价等级判定</w:t>
            </w:r>
          </w:p>
          <w:p>
            <w:pPr>
              <w:spacing w:line="360" w:lineRule="auto"/>
              <w:ind w:firstLine="480" w:firstLineChars="200"/>
              <w:rPr>
                <w:color w:val="auto"/>
              </w:rPr>
            </w:pPr>
            <w:r>
              <w:rPr>
                <w:color w:val="auto"/>
              </w:rPr>
              <w:t>根据</w:t>
            </w:r>
            <w:r>
              <w:rPr>
                <w:rFonts w:hint="eastAsia"/>
                <w:color w:val="auto"/>
                <w:lang w:eastAsia="zh-CN"/>
              </w:rPr>
              <w:t>《</w:t>
            </w:r>
            <w:r>
              <w:rPr>
                <w:color w:val="auto"/>
              </w:rPr>
              <w:t>建设项目环境风险评价技术导则</w:t>
            </w:r>
            <w:r>
              <w:rPr>
                <w:rFonts w:hint="eastAsia"/>
                <w:color w:val="auto"/>
                <w:lang w:eastAsia="zh-CN"/>
              </w:rPr>
              <w:t>》</w:t>
            </w:r>
            <w:r>
              <w:rPr>
                <w:color w:val="auto"/>
              </w:rPr>
              <w:t>（HJ 169—2018），建设项目环境风险潜势划分为Ⅰ、Ⅱ、Ⅲ、Ⅳ/Ⅳ+级。 根据建设项目涉及的物质和工艺系统的危险性及其所在地的环境敏感程度，结合事故情形下环境影响途径，对建设项目潜在环境危害程度进行概化分析，按照表</w:t>
            </w:r>
            <w:r>
              <w:rPr>
                <w:rFonts w:hint="eastAsia"/>
                <w:color w:val="auto"/>
              </w:rPr>
              <w:t>4</w:t>
            </w:r>
            <w:r>
              <w:rPr>
                <w:color w:val="auto"/>
              </w:rPr>
              <w:t>-</w:t>
            </w:r>
            <w:r>
              <w:rPr>
                <w:rFonts w:hint="eastAsia"/>
                <w:color w:val="auto"/>
              </w:rPr>
              <w:t>1</w:t>
            </w:r>
            <w:r>
              <w:rPr>
                <w:rFonts w:hint="eastAsia"/>
                <w:color w:val="auto"/>
                <w:lang w:val="en-US" w:eastAsia="zh-CN"/>
              </w:rPr>
              <w:t>2</w:t>
            </w:r>
            <w:r>
              <w:rPr>
                <w:color w:val="auto"/>
              </w:rPr>
              <w:t>确定环境风险潜势。</w:t>
            </w:r>
          </w:p>
          <w:p>
            <w:pPr>
              <w:pStyle w:val="11"/>
              <w:spacing w:beforeLines="0"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 4-1</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 xml:space="preserve"> 建设项目环境风险潜势划分</w:t>
            </w:r>
          </w:p>
          <w:tbl>
            <w:tblPr>
              <w:tblStyle w:val="34"/>
              <w:tblW w:w="0" w:type="auto"/>
              <w:tblInd w:w="0" w:type="dxa"/>
              <w:tblBorders>
                <w:top w:val="single" w:color="auto" w:sz="12" w:space="0"/>
                <w:left w:val="none" w:color="auto" w:sz="0" w:space="0"/>
                <w:bottom w:val="single" w:color="auto" w:sz="12" w:space="0"/>
                <w:right w:val="none" w:color="auto" w:sz="0" w:space="0"/>
                <w:insideH w:val="none" w:color="auto" w:sz="4" w:space="0"/>
                <w:insideV w:val="none" w:color="auto" w:sz="4" w:space="0"/>
              </w:tblBorders>
              <w:tblLayout w:type="autofit"/>
              <w:tblCellMar>
                <w:top w:w="0" w:type="dxa"/>
                <w:left w:w="0" w:type="dxa"/>
                <w:bottom w:w="0" w:type="dxa"/>
                <w:right w:w="0" w:type="dxa"/>
              </w:tblCellMar>
            </w:tblPr>
            <w:tblGrid>
              <w:gridCol w:w="1791"/>
              <w:gridCol w:w="1515"/>
              <w:gridCol w:w="1515"/>
              <w:gridCol w:w="1515"/>
              <w:gridCol w:w="1523"/>
            </w:tblGrid>
            <w:tr>
              <w:tblPrEx>
                <w:tblBorders>
                  <w:top w:val="single" w:color="auto" w:sz="12" w:space="0"/>
                  <w:left w:val="none" w:color="auto" w:sz="0" w:space="0"/>
                  <w:bottom w:val="single" w:color="auto" w:sz="12"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1791" w:type="dxa"/>
                  <w:vMerge w:val="restart"/>
                  <w:tcBorders>
                    <w:right w:val="single" w:color="000000" w:sz="4" w:space="0"/>
                  </w:tcBorders>
                  <w:vAlign w:val="center"/>
                </w:tcPr>
                <w:p>
                  <w:pPr>
                    <w:pStyle w:val="75"/>
                    <w:spacing w:before="159"/>
                    <w:ind w:left="228"/>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环境敏感程度（E）</w:t>
                  </w:r>
                </w:p>
              </w:tc>
              <w:tc>
                <w:tcPr>
                  <w:tcW w:w="6068" w:type="dxa"/>
                  <w:gridSpan w:val="4"/>
                  <w:tcBorders>
                    <w:left w:val="single" w:color="000000" w:sz="4" w:space="0"/>
                    <w:bottom w:val="single" w:color="000000" w:sz="4" w:space="0"/>
                  </w:tcBorders>
                  <w:vAlign w:val="center"/>
                </w:tcPr>
                <w:p>
                  <w:pPr>
                    <w:pStyle w:val="75"/>
                    <w:ind w:left="2168"/>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危险物质及工艺系统危险性（P）</w:t>
                  </w:r>
                </w:p>
              </w:tc>
            </w:tr>
            <w:tr>
              <w:tblPrEx>
                <w:tblBorders>
                  <w:top w:val="single" w:color="auto" w:sz="12" w:space="0"/>
                  <w:left w:val="none" w:color="auto" w:sz="0" w:space="0"/>
                  <w:bottom w:val="single" w:color="auto" w:sz="12"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1791" w:type="dxa"/>
                  <w:vMerge w:val="continue"/>
                  <w:tcBorders>
                    <w:bottom w:val="single" w:color="000000" w:sz="4" w:space="0"/>
                    <w:right w:val="single" w:color="000000" w:sz="4" w:space="0"/>
                  </w:tcBorders>
                  <w:vAlign w:val="center"/>
                </w:tcPr>
                <w:p>
                  <w:pPr>
                    <w:jc w:val="center"/>
                    <w:rPr>
                      <w:rFonts w:hint="default" w:ascii="Times New Roman" w:hAnsi="Times New Roman" w:cs="Times New Roman"/>
                      <w:color w:val="auto"/>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5"/>
                    <w:spacing w:before="23"/>
                    <w:ind w:left="217"/>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极高危害（P1）</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5"/>
                    <w:spacing w:before="23"/>
                    <w:ind w:left="217"/>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高度危害（P2）</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5"/>
                    <w:spacing w:before="23"/>
                    <w:ind w:left="217"/>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中度危害（P3）</w:t>
                  </w:r>
                </w:p>
              </w:tc>
              <w:tc>
                <w:tcPr>
                  <w:tcW w:w="1523" w:type="dxa"/>
                  <w:tcBorders>
                    <w:top w:val="single" w:color="000000" w:sz="4" w:space="0"/>
                    <w:left w:val="single" w:color="000000" w:sz="4" w:space="0"/>
                    <w:bottom w:val="single" w:color="000000" w:sz="4" w:space="0"/>
                  </w:tcBorders>
                  <w:vAlign w:val="center"/>
                </w:tcPr>
                <w:p>
                  <w:pPr>
                    <w:pStyle w:val="75"/>
                    <w:spacing w:before="23"/>
                    <w:ind w:left="217"/>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轻度危害（P4）</w:t>
                  </w:r>
                </w:p>
              </w:tc>
            </w:tr>
            <w:tr>
              <w:tblPrEx>
                <w:tblBorders>
                  <w:top w:val="single" w:color="auto" w:sz="12" w:space="0"/>
                  <w:left w:val="none" w:color="auto" w:sz="0" w:space="0"/>
                  <w:bottom w:val="single" w:color="auto" w:sz="12"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1791" w:type="dxa"/>
                  <w:tcBorders>
                    <w:top w:val="single" w:color="000000" w:sz="4" w:space="0"/>
                    <w:bottom w:val="single" w:color="000000" w:sz="4" w:space="0"/>
                    <w:right w:val="single" w:color="000000" w:sz="4" w:space="0"/>
                  </w:tcBorders>
                  <w:vAlign w:val="center"/>
                </w:tcPr>
                <w:p>
                  <w:pPr>
                    <w:pStyle w:val="75"/>
                    <w:spacing w:before="22"/>
                    <w:ind w:left="98"/>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环境高度敏感区（E1）</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5"/>
                    <w:spacing w:before="22"/>
                    <w:ind w:right="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Ⅳ+</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5"/>
                    <w:spacing w:before="22"/>
                    <w:ind w:right="7"/>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Ⅳ</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5"/>
                    <w:spacing w:before="22"/>
                    <w:ind w:right="6"/>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Ⅲ</w:t>
                  </w:r>
                </w:p>
              </w:tc>
              <w:tc>
                <w:tcPr>
                  <w:tcW w:w="1523" w:type="dxa"/>
                  <w:tcBorders>
                    <w:top w:val="single" w:color="000000" w:sz="4" w:space="0"/>
                    <w:left w:val="single" w:color="000000" w:sz="4" w:space="0"/>
                    <w:bottom w:val="single" w:color="000000" w:sz="4" w:space="0"/>
                  </w:tcBorders>
                  <w:vAlign w:val="center"/>
                </w:tcPr>
                <w:p>
                  <w:pPr>
                    <w:pStyle w:val="75"/>
                    <w:spacing w:before="22"/>
                    <w:ind w:right="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Ⅲ</w:t>
                  </w:r>
                </w:p>
              </w:tc>
            </w:tr>
            <w:tr>
              <w:tblPrEx>
                <w:tblBorders>
                  <w:top w:val="single" w:color="auto" w:sz="12" w:space="0"/>
                  <w:left w:val="none" w:color="auto" w:sz="0" w:space="0"/>
                  <w:bottom w:val="single" w:color="auto" w:sz="12"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1791" w:type="dxa"/>
                  <w:tcBorders>
                    <w:top w:val="single" w:color="000000" w:sz="4" w:space="0"/>
                    <w:bottom w:val="single" w:color="000000" w:sz="4" w:space="0"/>
                    <w:right w:val="single" w:color="000000" w:sz="4" w:space="0"/>
                  </w:tcBorders>
                  <w:vAlign w:val="center"/>
                </w:tcPr>
                <w:p>
                  <w:pPr>
                    <w:pStyle w:val="75"/>
                    <w:spacing w:before="23"/>
                    <w:ind w:left="98"/>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环境中度敏感区（E2）</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5"/>
                    <w:spacing w:before="23"/>
                    <w:ind w:right="6"/>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Ⅳ</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5"/>
                    <w:spacing w:before="23"/>
                    <w:ind w:right="7"/>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Ⅲ</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5"/>
                    <w:spacing w:before="23"/>
                    <w:ind w:right="6"/>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Ⅲ</w:t>
                  </w:r>
                </w:p>
              </w:tc>
              <w:tc>
                <w:tcPr>
                  <w:tcW w:w="1523" w:type="dxa"/>
                  <w:tcBorders>
                    <w:top w:val="single" w:color="000000" w:sz="4" w:space="0"/>
                    <w:left w:val="single" w:color="000000" w:sz="4" w:space="0"/>
                    <w:bottom w:val="single" w:color="000000" w:sz="4" w:space="0"/>
                  </w:tcBorders>
                  <w:vAlign w:val="center"/>
                </w:tcPr>
                <w:p>
                  <w:pPr>
                    <w:pStyle w:val="75"/>
                    <w:spacing w:before="23"/>
                    <w:ind w:right="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Ⅱ</w:t>
                  </w:r>
                </w:p>
              </w:tc>
            </w:tr>
            <w:tr>
              <w:tblPrEx>
                <w:tblBorders>
                  <w:top w:val="single" w:color="auto" w:sz="12" w:space="0"/>
                  <w:left w:val="none" w:color="auto" w:sz="0" w:space="0"/>
                  <w:bottom w:val="single" w:color="auto" w:sz="12"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1791" w:type="dxa"/>
                  <w:tcBorders>
                    <w:top w:val="single" w:color="000000" w:sz="4" w:space="0"/>
                    <w:bottom w:val="single" w:color="000000" w:sz="4" w:space="0"/>
                    <w:right w:val="single" w:color="000000" w:sz="4" w:space="0"/>
                  </w:tcBorders>
                  <w:vAlign w:val="center"/>
                </w:tcPr>
                <w:p>
                  <w:pPr>
                    <w:pStyle w:val="75"/>
                    <w:spacing w:before="23"/>
                    <w:ind w:left="98"/>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环境低度敏感区（E3）</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5"/>
                    <w:spacing w:before="23"/>
                    <w:ind w:right="6"/>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Ⅲ</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5"/>
                    <w:spacing w:before="23"/>
                    <w:ind w:right="7"/>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Ⅲ</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5"/>
                    <w:spacing w:before="23"/>
                    <w:ind w:right="6"/>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Ⅱ</w:t>
                  </w:r>
                </w:p>
              </w:tc>
              <w:tc>
                <w:tcPr>
                  <w:tcW w:w="1523" w:type="dxa"/>
                  <w:tcBorders>
                    <w:top w:val="single" w:color="000000" w:sz="4" w:space="0"/>
                    <w:left w:val="single" w:color="000000" w:sz="4" w:space="0"/>
                    <w:bottom w:val="single" w:color="000000" w:sz="4" w:space="0"/>
                  </w:tcBorders>
                  <w:vAlign w:val="center"/>
                </w:tcPr>
                <w:p>
                  <w:pPr>
                    <w:pStyle w:val="75"/>
                    <w:spacing w:before="23"/>
                    <w:ind w:right="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Ⅰ</w:t>
                  </w:r>
                </w:p>
              </w:tc>
            </w:tr>
            <w:tr>
              <w:tblPrEx>
                <w:tblBorders>
                  <w:top w:val="single" w:color="auto" w:sz="12" w:space="0"/>
                  <w:left w:val="none" w:color="auto" w:sz="0" w:space="0"/>
                  <w:bottom w:val="single" w:color="auto" w:sz="12"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7859" w:type="dxa"/>
                  <w:gridSpan w:val="5"/>
                  <w:tcBorders>
                    <w:top w:val="single" w:color="000000" w:sz="4" w:space="0"/>
                  </w:tcBorders>
                  <w:vAlign w:val="center"/>
                </w:tcPr>
                <w:p>
                  <w:pPr>
                    <w:pStyle w:val="75"/>
                    <w:spacing w:before="22"/>
                    <w:ind w:left="96"/>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注：Ⅳ+为极高环境风险。</w:t>
                  </w:r>
                </w:p>
              </w:tc>
            </w:tr>
          </w:tbl>
          <w:p>
            <w:pPr>
              <w:spacing w:line="360" w:lineRule="auto"/>
              <w:ind w:firstLine="480" w:firstLineChars="200"/>
              <w:rPr>
                <w:color w:val="auto"/>
              </w:rPr>
            </w:pPr>
            <w:r>
              <w:rPr>
                <w:color w:val="auto"/>
              </w:rPr>
              <w:t>本项目为</w:t>
            </w:r>
            <w:r>
              <w:rPr>
                <w:rFonts w:hint="eastAsia"/>
                <w:color w:val="auto"/>
                <w:lang w:val="en-US" w:eastAsia="zh-CN"/>
              </w:rPr>
              <w:t>涂料</w:t>
            </w:r>
            <w:r>
              <w:rPr>
                <w:rFonts w:hint="eastAsia"/>
                <w:color w:val="auto"/>
              </w:rPr>
              <w:t>制造</w:t>
            </w:r>
            <w:r>
              <w:rPr>
                <w:color w:val="auto"/>
              </w:rPr>
              <w:t>，根据</w:t>
            </w:r>
            <w:r>
              <w:rPr>
                <w:rFonts w:hint="eastAsia"/>
                <w:color w:val="auto"/>
              </w:rPr>
              <w:t>《</w:t>
            </w:r>
            <w:r>
              <w:rPr>
                <w:color w:val="auto"/>
              </w:rPr>
              <w:t>建设项目环境风险评价技术导则</w:t>
            </w:r>
            <w:r>
              <w:rPr>
                <w:rFonts w:hint="eastAsia"/>
                <w:color w:val="auto"/>
              </w:rPr>
              <w:t>》</w:t>
            </w:r>
            <w:r>
              <w:rPr>
                <w:color w:val="auto"/>
              </w:rPr>
              <w:t>（HJ 169—2018）表C1知，分值为5，为M4。危废涉及废</w:t>
            </w:r>
            <w:r>
              <w:rPr>
                <w:rFonts w:hint="eastAsia"/>
                <w:color w:val="auto"/>
              </w:rPr>
              <w:t>活性炭</w:t>
            </w:r>
            <w:r>
              <w:rPr>
                <w:color w:val="auto"/>
              </w:rPr>
              <w:t>。该危废未列入附录 B（资料性附录） 重点关注的危险物质。根据表 C.2 危险物质及工艺系统危险性等级判断（P），属于轻度危害P4，根据附录D  环境敏感程度（E）的分级，环境敏感程度为环境低度敏感区E3，故根据表</w:t>
            </w:r>
            <w:r>
              <w:rPr>
                <w:rFonts w:hint="eastAsia"/>
                <w:color w:val="auto"/>
                <w:lang w:val="en-US" w:eastAsia="zh-CN"/>
              </w:rPr>
              <w:t>4-12</w:t>
            </w:r>
            <w:r>
              <w:rPr>
                <w:color w:val="auto"/>
              </w:rPr>
              <w:t>判断，建设项目环境风险潜势划分为Ⅰ。</w:t>
            </w:r>
          </w:p>
          <w:p>
            <w:pPr>
              <w:spacing w:line="360" w:lineRule="auto"/>
              <w:ind w:firstLine="480" w:firstLineChars="200"/>
              <w:rPr>
                <w:color w:val="auto"/>
              </w:rPr>
            </w:pPr>
            <w:r>
              <w:rPr>
                <w:color w:val="auto"/>
              </w:rPr>
              <w:t>根据建设项目环境风险评价技术导则（HJ 169—2018），评价工作等级划分见表</w:t>
            </w:r>
            <w:r>
              <w:rPr>
                <w:rFonts w:hint="eastAsia"/>
                <w:color w:val="auto"/>
              </w:rPr>
              <w:t>4-1</w:t>
            </w:r>
            <w:r>
              <w:rPr>
                <w:rFonts w:hint="eastAsia"/>
                <w:color w:val="auto"/>
                <w:lang w:val="en-US" w:eastAsia="zh-CN"/>
              </w:rPr>
              <w:t>3</w:t>
            </w:r>
            <w:r>
              <w:rPr>
                <w:color w:val="auto"/>
              </w:rPr>
              <w:t>所示。</w:t>
            </w:r>
          </w:p>
          <w:p>
            <w:pPr>
              <w:pStyle w:val="11"/>
              <w:spacing w:before="12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表4-1</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 xml:space="preserve">   评价等级划分</w:t>
            </w:r>
          </w:p>
          <w:tbl>
            <w:tblPr>
              <w:tblStyle w:val="34"/>
              <w:tblW w:w="0" w:type="auto"/>
              <w:tblInd w:w="0" w:type="dxa"/>
              <w:tblBorders>
                <w:top w:val="single" w:color="auto" w:sz="12" w:space="0"/>
                <w:left w:val="none" w:color="auto" w:sz="0" w:space="0"/>
                <w:bottom w:val="single" w:color="auto" w:sz="12" w:space="0"/>
                <w:right w:val="none" w:color="auto" w:sz="0" w:space="0"/>
                <w:insideH w:val="none" w:color="auto" w:sz="4" w:space="0"/>
                <w:insideV w:val="none" w:color="auto" w:sz="4" w:space="0"/>
              </w:tblBorders>
              <w:tblLayout w:type="autofit"/>
              <w:tblCellMar>
                <w:top w:w="0" w:type="dxa"/>
                <w:left w:w="0" w:type="dxa"/>
                <w:bottom w:w="0" w:type="dxa"/>
                <w:right w:w="0" w:type="dxa"/>
              </w:tblCellMar>
            </w:tblPr>
            <w:tblGrid>
              <w:gridCol w:w="1466"/>
              <w:gridCol w:w="1382"/>
              <w:gridCol w:w="1593"/>
              <w:gridCol w:w="1593"/>
              <w:gridCol w:w="1803"/>
            </w:tblGrid>
            <w:tr>
              <w:tblPrEx>
                <w:tblBorders>
                  <w:top w:val="single" w:color="auto" w:sz="12" w:space="0"/>
                  <w:left w:val="none" w:color="auto" w:sz="0" w:space="0"/>
                  <w:bottom w:val="single" w:color="auto" w:sz="12" w:space="0"/>
                  <w:right w:val="none" w:color="auto" w:sz="0" w:space="0"/>
                  <w:insideH w:val="none" w:color="auto" w:sz="4" w:space="0"/>
                  <w:insideV w:val="none" w:color="auto" w:sz="4" w:space="0"/>
                </w:tblBorders>
                <w:tblCellMar>
                  <w:top w:w="0" w:type="dxa"/>
                  <w:left w:w="0" w:type="dxa"/>
                  <w:bottom w:w="0" w:type="dxa"/>
                  <w:right w:w="0" w:type="dxa"/>
                </w:tblCellMar>
              </w:tblPrEx>
              <w:trPr>
                <w:trHeight w:val="502" w:hRule="exact"/>
              </w:trPr>
              <w:tc>
                <w:tcPr>
                  <w:tcW w:w="1466" w:type="dxa"/>
                  <w:tcBorders>
                    <w:bottom w:val="single" w:color="000000" w:sz="4" w:space="0"/>
                    <w:right w:val="single" w:color="000000" w:sz="4" w:space="0"/>
                  </w:tcBorders>
                  <w:vAlign w:val="center"/>
                </w:tcPr>
                <w:p>
                  <w:pPr>
                    <w:pStyle w:val="75"/>
                    <w:jc w:val="center"/>
                    <w:rPr>
                      <w:color w:val="auto"/>
                      <w:sz w:val="21"/>
                      <w:szCs w:val="21"/>
                    </w:rPr>
                  </w:pPr>
                  <w:r>
                    <w:rPr>
                      <w:color w:val="auto"/>
                      <w:sz w:val="21"/>
                      <w:szCs w:val="21"/>
                    </w:rPr>
                    <w:t>环境风险潜势</w:t>
                  </w:r>
                </w:p>
              </w:tc>
              <w:tc>
                <w:tcPr>
                  <w:tcW w:w="1382" w:type="dxa"/>
                  <w:tcBorders>
                    <w:left w:val="single" w:color="000000" w:sz="4" w:space="0"/>
                    <w:bottom w:val="single" w:color="000000" w:sz="4" w:space="0"/>
                    <w:right w:val="single" w:color="000000" w:sz="4" w:space="0"/>
                  </w:tcBorders>
                  <w:vAlign w:val="center"/>
                </w:tcPr>
                <w:p>
                  <w:pPr>
                    <w:pStyle w:val="75"/>
                    <w:jc w:val="center"/>
                    <w:rPr>
                      <w:color w:val="auto"/>
                      <w:sz w:val="21"/>
                      <w:szCs w:val="21"/>
                    </w:rPr>
                  </w:pPr>
                  <w:r>
                    <w:rPr>
                      <w:color w:val="auto"/>
                      <w:sz w:val="21"/>
                      <w:szCs w:val="21"/>
                    </w:rPr>
                    <w:t>Ⅳ、Ⅳ+</w:t>
                  </w:r>
                </w:p>
              </w:tc>
              <w:tc>
                <w:tcPr>
                  <w:tcW w:w="1593" w:type="dxa"/>
                  <w:tcBorders>
                    <w:left w:val="single" w:color="000000" w:sz="4" w:space="0"/>
                    <w:bottom w:val="single" w:color="000000" w:sz="4" w:space="0"/>
                    <w:right w:val="single" w:color="000000" w:sz="4" w:space="0"/>
                  </w:tcBorders>
                  <w:vAlign w:val="center"/>
                </w:tcPr>
                <w:p>
                  <w:pPr>
                    <w:pStyle w:val="75"/>
                    <w:jc w:val="center"/>
                    <w:rPr>
                      <w:color w:val="auto"/>
                      <w:sz w:val="21"/>
                      <w:szCs w:val="21"/>
                    </w:rPr>
                  </w:pPr>
                  <w:r>
                    <w:rPr>
                      <w:color w:val="auto"/>
                      <w:sz w:val="21"/>
                      <w:szCs w:val="21"/>
                    </w:rPr>
                    <w:t>Ⅲ</w:t>
                  </w:r>
                </w:p>
              </w:tc>
              <w:tc>
                <w:tcPr>
                  <w:tcW w:w="1593" w:type="dxa"/>
                  <w:tcBorders>
                    <w:left w:val="single" w:color="000000" w:sz="4" w:space="0"/>
                    <w:bottom w:val="single" w:color="000000" w:sz="4" w:space="0"/>
                    <w:right w:val="single" w:color="000000" w:sz="4" w:space="0"/>
                  </w:tcBorders>
                  <w:vAlign w:val="center"/>
                </w:tcPr>
                <w:p>
                  <w:pPr>
                    <w:pStyle w:val="75"/>
                    <w:jc w:val="center"/>
                    <w:rPr>
                      <w:color w:val="auto"/>
                      <w:sz w:val="21"/>
                      <w:szCs w:val="21"/>
                    </w:rPr>
                  </w:pPr>
                  <w:r>
                    <w:rPr>
                      <w:color w:val="auto"/>
                      <w:sz w:val="21"/>
                      <w:szCs w:val="21"/>
                    </w:rPr>
                    <w:t>Ⅱ</w:t>
                  </w:r>
                </w:p>
              </w:tc>
              <w:tc>
                <w:tcPr>
                  <w:tcW w:w="1803" w:type="dxa"/>
                  <w:tcBorders>
                    <w:left w:val="single" w:color="000000" w:sz="4" w:space="0"/>
                    <w:bottom w:val="single" w:color="000000" w:sz="4" w:space="0"/>
                  </w:tcBorders>
                  <w:vAlign w:val="center"/>
                </w:tcPr>
                <w:p>
                  <w:pPr>
                    <w:pStyle w:val="75"/>
                    <w:jc w:val="center"/>
                    <w:rPr>
                      <w:color w:val="auto"/>
                      <w:sz w:val="21"/>
                      <w:szCs w:val="21"/>
                    </w:rPr>
                  </w:pPr>
                  <w:r>
                    <w:rPr>
                      <w:color w:val="auto"/>
                      <w:sz w:val="21"/>
                      <w:szCs w:val="21"/>
                    </w:rPr>
                    <w:t>Ⅰ</w:t>
                  </w:r>
                </w:p>
              </w:tc>
            </w:tr>
            <w:tr>
              <w:tblPrEx>
                <w:tblBorders>
                  <w:top w:val="single" w:color="auto" w:sz="12" w:space="0"/>
                  <w:left w:val="none" w:color="auto" w:sz="0" w:space="0"/>
                  <w:bottom w:val="single" w:color="auto" w:sz="12" w:space="0"/>
                  <w:right w:val="none" w:color="auto" w:sz="0" w:space="0"/>
                  <w:insideH w:val="none" w:color="auto" w:sz="4" w:space="0"/>
                  <w:insideV w:val="none" w:color="auto" w:sz="4" w:space="0"/>
                </w:tblBorders>
                <w:tblCellMar>
                  <w:top w:w="0" w:type="dxa"/>
                  <w:left w:w="0" w:type="dxa"/>
                  <w:bottom w:w="0" w:type="dxa"/>
                  <w:right w:w="0" w:type="dxa"/>
                </w:tblCellMar>
              </w:tblPrEx>
              <w:trPr>
                <w:trHeight w:val="496" w:hRule="exact"/>
              </w:trPr>
              <w:tc>
                <w:tcPr>
                  <w:tcW w:w="1466" w:type="dxa"/>
                  <w:tcBorders>
                    <w:top w:val="single" w:color="000000" w:sz="4" w:space="0"/>
                    <w:bottom w:val="single" w:color="000000" w:sz="4" w:space="0"/>
                    <w:right w:val="single" w:color="000000" w:sz="4" w:space="0"/>
                  </w:tcBorders>
                  <w:vAlign w:val="center"/>
                </w:tcPr>
                <w:p>
                  <w:pPr>
                    <w:pStyle w:val="75"/>
                    <w:jc w:val="center"/>
                    <w:rPr>
                      <w:color w:val="auto"/>
                      <w:sz w:val="21"/>
                      <w:szCs w:val="21"/>
                    </w:rPr>
                  </w:pPr>
                  <w:r>
                    <w:rPr>
                      <w:color w:val="auto"/>
                      <w:sz w:val="21"/>
                      <w:szCs w:val="21"/>
                    </w:rPr>
                    <w:t>评价工作等级</w:t>
                  </w:r>
                </w:p>
              </w:tc>
              <w:tc>
                <w:tcPr>
                  <w:tcW w:w="1382" w:type="dxa"/>
                  <w:tcBorders>
                    <w:top w:val="single" w:color="000000" w:sz="4" w:space="0"/>
                    <w:left w:val="single" w:color="000000" w:sz="4" w:space="0"/>
                    <w:bottom w:val="single" w:color="000000" w:sz="4" w:space="0"/>
                    <w:right w:val="single" w:color="000000" w:sz="4" w:space="0"/>
                  </w:tcBorders>
                  <w:vAlign w:val="center"/>
                </w:tcPr>
                <w:p>
                  <w:pPr>
                    <w:pStyle w:val="75"/>
                    <w:jc w:val="center"/>
                    <w:rPr>
                      <w:color w:val="auto"/>
                      <w:sz w:val="21"/>
                      <w:szCs w:val="21"/>
                    </w:rPr>
                  </w:pPr>
                  <w:r>
                    <w:rPr>
                      <w:color w:val="auto"/>
                      <w:sz w:val="21"/>
                      <w:szCs w:val="21"/>
                    </w:rPr>
                    <w:t>一</w:t>
                  </w: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75"/>
                    <w:jc w:val="center"/>
                    <w:rPr>
                      <w:color w:val="auto"/>
                      <w:sz w:val="21"/>
                      <w:szCs w:val="21"/>
                    </w:rPr>
                  </w:pPr>
                  <w:r>
                    <w:rPr>
                      <w:color w:val="auto"/>
                      <w:sz w:val="21"/>
                      <w:szCs w:val="21"/>
                    </w:rPr>
                    <w:t>二</w:t>
                  </w: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75"/>
                    <w:jc w:val="center"/>
                    <w:rPr>
                      <w:color w:val="auto"/>
                      <w:sz w:val="21"/>
                      <w:szCs w:val="21"/>
                    </w:rPr>
                  </w:pPr>
                  <w:r>
                    <w:rPr>
                      <w:color w:val="auto"/>
                      <w:sz w:val="21"/>
                      <w:szCs w:val="21"/>
                    </w:rPr>
                    <w:t>三</w:t>
                  </w:r>
                </w:p>
              </w:tc>
              <w:tc>
                <w:tcPr>
                  <w:tcW w:w="1803" w:type="dxa"/>
                  <w:tcBorders>
                    <w:top w:val="single" w:color="000000" w:sz="4" w:space="0"/>
                    <w:left w:val="single" w:color="000000" w:sz="4" w:space="0"/>
                    <w:bottom w:val="single" w:color="000000" w:sz="4" w:space="0"/>
                  </w:tcBorders>
                  <w:vAlign w:val="center"/>
                </w:tcPr>
                <w:p>
                  <w:pPr>
                    <w:pStyle w:val="75"/>
                    <w:jc w:val="center"/>
                    <w:rPr>
                      <w:color w:val="auto"/>
                      <w:sz w:val="21"/>
                      <w:szCs w:val="21"/>
                    </w:rPr>
                  </w:pPr>
                  <w:r>
                    <w:rPr>
                      <w:color w:val="auto"/>
                      <w:sz w:val="21"/>
                      <w:szCs w:val="21"/>
                    </w:rPr>
                    <w:t>简单分析 a</w:t>
                  </w:r>
                </w:p>
              </w:tc>
            </w:tr>
            <w:tr>
              <w:tblPrEx>
                <w:tblBorders>
                  <w:top w:val="single" w:color="auto" w:sz="12" w:space="0"/>
                  <w:left w:val="none" w:color="auto" w:sz="0" w:space="0"/>
                  <w:bottom w:val="single" w:color="auto" w:sz="12" w:space="0"/>
                  <w:right w:val="none" w:color="auto" w:sz="0" w:space="0"/>
                  <w:insideH w:val="none" w:color="auto" w:sz="4" w:space="0"/>
                  <w:insideV w:val="none" w:color="auto" w:sz="4" w:space="0"/>
                </w:tblBorders>
                <w:tblCellMar>
                  <w:top w:w="0" w:type="dxa"/>
                  <w:left w:w="0" w:type="dxa"/>
                  <w:bottom w:w="0" w:type="dxa"/>
                  <w:right w:w="0" w:type="dxa"/>
                </w:tblCellMar>
              </w:tblPrEx>
              <w:trPr>
                <w:trHeight w:val="654" w:hRule="exact"/>
              </w:trPr>
              <w:tc>
                <w:tcPr>
                  <w:tcW w:w="7837" w:type="dxa"/>
                  <w:gridSpan w:val="5"/>
                  <w:tcBorders>
                    <w:top w:val="single" w:color="000000" w:sz="4" w:space="0"/>
                  </w:tcBorders>
                  <w:vAlign w:val="center"/>
                </w:tcPr>
                <w:p>
                  <w:pPr>
                    <w:pStyle w:val="75"/>
                    <w:jc w:val="center"/>
                    <w:rPr>
                      <w:color w:val="auto"/>
                      <w:sz w:val="21"/>
                      <w:szCs w:val="21"/>
                    </w:rPr>
                  </w:pPr>
                  <w:r>
                    <w:rPr>
                      <w:color w:val="auto"/>
                      <w:sz w:val="21"/>
                      <w:szCs w:val="21"/>
                    </w:rPr>
                    <w:t>a 是相对于详细评价工作内容而言，在描述危险物质、环境影响途径、环境危害后果、风险防范措施等方面给 出定性的说明。见附录 A。</w:t>
                  </w:r>
                </w:p>
              </w:tc>
            </w:tr>
          </w:tbl>
          <w:p>
            <w:pPr>
              <w:spacing w:line="360" w:lineRule="auto"/>
              <w:ind w:firstLine="480" w:firstLineChars="200"/>
              <w:rPr>
                <w:color w:val="auto"/>
              </w:rPr>
            </w:pPr>
            <w:r>
              <w:rPr>
                <w:color w:val="auto"/>
              </w:rPr>
              <w:t>根据表</w:t>
            </w:r>
            <w:r>
              <w:rPr>
                <w:rFonts w:hint="eastAsia"/>
                <w:color w:val="auto"/>
              </w:rPr>
              <w:t>4-1</w:t>
            </w:r>
            <w:r>
              <w:rPr>
                <w:rFonts w:hint="eastAsia"/>
                <w:color w:val="auto"/>
                <w:lang w:val="en-US" w:eastAsia="zh-CN"/>
              </w:rPr>
              <w:t>3</w:t>
            </w:r>
            <w:r>
              <w:rPr>
                <w:color w:val="auto"/>
              </w:rPr>
              <w:t>环境风险评价等级划分，本项目属于评级工作等级为简单分析。</w:t>
            </w:r>
          </w:p>
          <w:p>
            <w:pPr>
              <w:spacing w:line="360" w:lineRule="auto"/>
              <w:ind w:firstLine="480" w:firstLineChars="200"/>
              <w:rPr>
                <w:color w:val="auto"/>
              </w:rPr>
            </w:pPr>
            <w:r>
              <w:rPr>
                <w:color w:val="auto"/>
              </w:rPr>
              <w:t>（2）环境风险识别</w:t>
            </w:r>
          </w:p>
          <w:p>
            <w:pPr>
              <w:spacing w:line="360" w:lineRule="auto"/>
              <w:ind w:firstLine="480" w:firstLineChars="200"/>
              <w:rPr>
                <w:rFonts w:hint="eastAsia"/>
                <w:color w:val="auto"/>
              </w:rPr>
            </w:pPr>
            <w:r>
              <w:rPr>
                <w:color w:val="auto"/>
              </w:rPr>
              <w:t>物质风险识别的范围包括：主要原辅材料、中间产品、产品及生产过程排放的“三废” 污染物等。</w:t>
            </w:r>
            <w:r>
              <w:rPr>
                <w:rFonts w:hint="eastAsia"/>
                <w:color w:val="auto"/>
              </w:rPr>
              <w:t>原材料中的</w:t>
            </w:r>
            <w:r>
              <w:rPr>
                <w:rFonts w:hint="eastAsia"/>
                <w:color w:val="auto"/>
                <w:lang w:val="en-US" w:eastAsia="zh-CN"/>
              </w:rPr>
              <w:t>水性树脂</w:t>
            </w:r>
            <w:r>
              <w:rPr>
                <w:rFonts w:hint="eastAsia"/>
                <w:color w:val="auto"/>
              </w:rPr>
              <w:t>不属于重点关注的危险物质，因此本评价主要针对危险废物进行分析。</w:t>
            </w:r>
          </w:p>
          <w:p>
            <w:pPr>
              <w:spacing w:line="360" w:lineRule="auto"/>
              <w:ind w:firstLine="480" w:firstLineChars="200"/>
              <w:rPr>
                <w:rFonts w:hint="eastAsia"/>
                <w:color w:val="auto"/>
              </w:rPr>
            </w:pPr>
            <w:r>
              <w:rPr>
                <w:rFonts w:hint="eastAsia"/>
                <w:color w:val="auto"/>
              </w:rPr>
              <w:t>本项目风险物质主要为丙烯酸乳液、</w:t>
            </w:r>
            <w:r>
              <w:rPr>
                <w:rFonts w:hint="eastAsia"/>
                <w:color w:val="auto"/>
                <w:lang w:val="en-US" w:eastAsia="zh-CN"/>
              </w:rPr>
              <w:t>乳化剂原料，水性环氧乳液、水性防火隔热材料产品</w:t>
            </w:r>
            <w:r>
              <w:rPr>
                <w:rFonts w:hint="eastAsia"/>
                <w:color w:val="auto"/>
              </w:rPr>
              <w:t>以及危险废物（废活性炭）等。其中丙烯酸乳液、</w:t>
            </w:r>
            <w:r>
              <w:rPr>
                <w:rFonts w:hint="eastAsia"/>
                <w:color w:val="auto"/>
                <w:lang w:val="en-US" w:eastAsia="zh-CN"/>
              </w:rPr>
              <w:t>乳化剂</w:t>
            </w:r>
            <w:r>
              <w:rPr>
                <w:rFonts w:hint="eastAsia"/>
                <w:color w:val="auto"/>
              </w:rPr>
              <w:t>厂内最大贮存量合计为</w:t>
            </w:r>
            <w:r>
              <w:rPr>
                <w:rFonts w:hint="eastAsia"/>
                <w:color w:val="auto"/>
                <w:lang w:val="en-US" w:eastAsia="zh-CN"/>
              </w:rPr>
              <w:t>1</w:t>
            </w:r>
            <w:r>
              <w:rPr>
                <w:rFonts w:hint="eastAsia"/>
                <w:color w:val="auto"/>
              </w:rPr>
              <w:t>5t（</w:t>
            </w:r>
            <w:r>
              <w:rPr>
                <w:rFonts w:hint="eastAsia"/>
                <w:color w:val="auto"/>
                <w:lang w:val="en-US" w:eastAsia="zh-CN"/>
              </w:rPr>
              <w:t>1月</w:t>
            </w:r>
            <w:r>
              <w:rPr>
                <w:rFonts w:hint="eastAsia"/>
                <w:color w:val="auto"/>
              </w:rPr>
              <w:t>用量），</w:t>
            </w:r>
            <w:r>
              <w:rPr>
                <w:rFonts w:hint="eastAsia"/>
                <w:color w:val="auto"/>
                <w:lang w:val="en-US" w:eastAsia="zh-CN"/>
              </w:rPr>
              <w:t>水性环氧乳液、水性防火隔热材料产品</w:t>
            </w:r>
            <w:r>
              <w:rPr>
                <w:rFonts w:hint="eastAsia"/>
                <w:color w:val="auto"/>
              </w:rPr>
              <w:t>最大贮存量合计为</w:t>
            </w:r>
            <w:r>
              <w:rPr>
                <w:rFonts w:hint="eastAsia"/>
                <w:color w:val="auto"/>
                <w:lang w:val="en-US" w:eastAsia="zh-CN"/>
              </w:rPr>
              <w:t>6</w:t>
            </w:r>
            <w:r>
              <w:rPr>
                <w:rFonts w:hint="eastAsia"/>
                <w:color w:val="auto"/>
              </w:rPr>
              <w:t>5t（</w:t>
            </w:r>
            <w:r>
              <w:rPr>
                <w:rFonts w:hint="eastAsia"/>
                <w:color w:val="auto"/>
                <w:lang w:val="en-US" w:eastAsia="zh-CN"/>
              </w:rPr>
              <w:t>1月产</w:t>
            </w:r>
            <w:r>
              <w:rPr>
                <w:rFonts w:hint="eastAsia"/>
                <w:color w:val="auto"/>
              </w:rPr>
              <w:t>量</w:t>
            </w:r>
            <w:r>
              <w:rPr>
                <w:rFonts w:hint="eastAsia"/>
                <w:color w:val="auto"/>
                <w:lang w:eastAsia="zh-CN"/>
              </w:rPr>
              <w:t>，</w:t>
            </w:r>
            <w:r>
              <w:rPr>
                <w:rFonts w:hint="eastAsia"/>
                <w:color w:val="auto"/>
                <w:lang w:val="en-US" w:eastAsia="zh-CN"/>
              </w:rPr>
              <w:t>按环氧树脂、丙烯酸乳液、乳化剂纯物质折算</w:t>
            </w:r>
            <w:r>
              <w:rPr>
                <w:rFonts w:hint="eastAsia"/>
                <w:color w:val="auto"/>
              </w:rPr>
              <w:t>）</w:t>
            </w:r>
            <w:r>
              <w:rPr>
                <w:rFonts w:hint="eastAsia"/>
                <w:color w:val="auto"/>
                <w:lang w:eastAsia="zh-CN"/>
              </w:rPr>
              <w:t>，</w:t>
            </w:r>
            <w:r>
              <w:rPr>
                <w:rFonts w:hint="eastAsia"/>
                <w:color w:val="auto"/>
              </w:rPr>
              <w:t>危险废物厂内最大贮存量合计为</w:t>
            </w:r>
            <w:r>
              <w:rPr>
                <w:rFonts w:hint="eastAsia"/>
                <w:color w:val="auto"/>
                <w:lang w:val="en-US" w:eastAsia="zh-CN"/>
              </w:rPr>
              <w:t>5.25</w:t>
            </w:r>
            <w:r>
              <w:rPr>
                <w:rFonts w:hint="eastAsia"/>
                <w:color w:val="auto"/>
              </w:rPr>
              <w:t>t（半年贮存量）。对照《建设项目环境风险评价技术导则》（HJ169-2018）中的附录B。丙烯酸乳液、乳化剂</w:t>
            </w:r>
            <w:r>
              <w:rPr>
                <w:rFonts w:hint="eastAsia"/>
                <w:color w:val="auto"/>
                <w:lang w:eastAsia="zh-CN"/>
              </w:rPr>
              <w:t>、水性环氧乳液、水性防火隔热材料</w:t>
            </w:r>
            <w:r>
              <w:rPr>
                <w:rFonts w:hint="eastAsia"/>
                <w:color w:val="auto"/>
              </w:rPr>
              <w:t>保守按“危害水环境物质（急性毒性类别1）”考虑，临界量为100t；危险废物保守按“健康危险急性毒性物质（类别2，类别3）”考虑，临界量为50t。计算后，丙烯酸乳液、</w:t>
            </w:r>
            <w:r>
              <w:rPr>
                <w:rFonts w:hint="eastAsia"/>
                <w:color w:val="auto"/>
                <w:lang w:val="en-US" w:eastAsia="zh-CN"/>
              </w:rPr>
              <w:t>乳化剂原料</w:t>
            </w:r>
            <w:r>
              <w:rPr>
                <w:rFonts w:hint="eastAsia"/>
                <w:color w:val="auto"/>
              </w:rPr>
              <w:t>Q值为0.</w:t>
            </w:r>
            <w:r>
              <w:rPr>
                <w:rFonts w:hint="eastAsia"/>
                <w:color w:val="auto"/>
                <w:lang w:val="en-US" w:eastAsia="zh-CN"/>
              </w:rPr>
              <w:t>1</w:t>
            </w:r>
            <w:r>
              <w:rPr>
                <w:rFonts w:hint="eastAsia"/>
                <w:color w:val="auto"/>
              </w:rPr>
              <w:t>5，</w:t>
            </w:r>
            <w:r>
              <w:rPr>
                <w:rFonts w:hint="eastAsia"/>
                <w:color w:val="auto"/>
                <w:lang w:val="en-US" w:eastAsia="zh-CN"/>
              </w:rPr>
              <w:t>水性环氧乳液、水性防火隔热材料产品</w:t>
            </w:r>
            <w:r>
              <w:rPr>
                <w:rFonts w:hint="eastAsia"/>
                <w:color w:val="auto"/>
              </w:rPr>
              <w:t>Q值为0.</w:t>
            </w:r>
            <w:r>
              <w:rPr>
                <w:rFonts w:hint="eastAsia"/>
                <w:color w:val="auto"/>
                <w:lang w:val="en-US" w:eastAsia="zh-CN"/>
              </w:rPr>
              <w:t>6</w:t>
            </w:r>
            <w:r>
              <w:rPr>
                <w:rFonts w:hint="eastAsia"/>
                <w:color w:val="auto"/>
              </w:rPr>
              <w:t>5，危险废物Q值为0.</w:t>
            </w:r>
            <w:r>
              <w:rPr>
                <w:rFonts w:hint="eastAsia"/>
                <w:color w:val="auto"/>
                <w:lang w:val="en-US" w:eastAsia="zh-CN"/>
              </w:rPr>
              <w:t>105</w:t>
            </w:r>
            <w:r>
              <w:rPr>
                <w:rFonts w:hint="eastAsia"/>
                <w:color w:val="auto"/>
              </w:rPr>
              <w:t>，累加后Q值为0.</w:t>
            </w:r>
            <w:r>
              <w:rPr>
                <w:rFonts w:hint="eastAsia"/>
                <w:color w:val="auto"/>
                <w:lang w:val="en-US" w:eastAsia="zh-CN"/>
              </w:rPr>
              <w:t>905</w:t>
            </w:r>
            <w:r>
              <w:rPr>
                <w:rFonts w:hint="eastAsia"/>
                <w:color w:val="auto"/>
              </w:rPr>
              <w:t>，</w:t>
            </w:r>
            <w:r>
              <w:rPr>
                <w:color w:val="auto"/>
              </w:rPr>
              <w:t>为非重大危险源。</w:t>
            </w:r>
            <w:r>
              <w:rPr>
                <w:rFonts w:hint="eastAsia"/>
                <w:color w:val="auto"/>
              </w:rPr>
              <w:t>判断项目环境风险潜势为Ⅰ。</w:t>
            </w:r>
          </w:p>
          <w:p>
            <w:pPr>
              <w:pStyle w:val="19"/>
              <w:keepNext w:val="0"/>
              <w:keepLines w:val="0"/>
              <w:pageBreakBefore w:val="0"/>
              <w:widowControl w:val="0"/>
              <w:kinsoku/>
              <w:wordWrap/>
              <w:overflowPunct/>
              <w:topLinePunct w:val="0"/>
              <w:autoSpaceDE/>
              <w:autoSpaceDN/>
              <w:bidi w:val="0"/>
              <w:adjustRightInd/>
              <w:snapToGrid/>
              <w:spacing w:line="480" w:lineRule="exact"/>
              <w:ind w:firstLine="422"/>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（3）环境</w:t>
            </w:r>
            <w:r>
              <w:rPr>
                <w:rFonts w:hint="default" w:ascii="Times New Roman" w:hAnsi="Times New Roman" w:eastAsia="宋体" w:cs="Times New Roman"/>
                <w:color w:val="auto"/>
                <w:kern w:val="2"/>
                <w:sz w:val="24"/>
                <w:szCs w:val="24"/>
                <w:lang w:val="en-US" w:eastAsia="zh-CN" w:bidi="ar-SA"/>
              </w:rPr>
              <w:t>风险防范</w:t>
            </w:r>
            <w:r>
              <w:rPr>
                <w:rFonts w:hint="eastAsia" w:ascii="Times New Roman" w:hAnsi="Times New Roman" w:eastAsia="宋体" w:cs="Times New Roman"/>
                <w:color w:val="auto"/>
                <w:kern w:val="2"/>
                <w:sz w:val="24"/>
                <w:szCs w:val="24"/>
                <w:lang w:val="en-US" w:eastAsia="zh-CN" w:bidi="ar-SA"/>
              </w:rPr>
              <w:t>措施</w:t>
            </w:r>
            <w:r>
              <w:rPr>
                <w:rFonts w:hint="default" w:ascii="Times New Roman" w:hAnsi="Times New Roman" w:eastAsia="宋体" w:cs="Times New Roman"/>
                <w:color w:val="auto"/>
                <w:kern w:val="2"/>
                <w:sz w:val="24"/>
                <w:szCs w:val="24"/>
                <w:lang w:val="en-US" w:eastAsia="zh-CN" w:bidi="ar-SA"/>
              </w:rPr>
              <w:t>和应急措施</w:t>
            </w:r>
          </w:p>
          <w:p>
            <w:pPr>
              <w:pStyle w:val="19"/>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环境事故的发生会给周围环境带来严重的不利影响，也会给人体的健康造成一定的伤害。为使环境风险减少到最低限度，必须加强劳动安全管理卫生管理，制定完善、有效的安全防范措施，尽可能降低该项目环境风险事故发生的概率。</w:t>
            </w:r>
          </w:p>
          <w:p>
            <w:pPr>
              <w:spacing w:line="360" w:lineRule="auto"/>
              <w:ind w:firstLine="480" w:firstLineChars="200"/>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在生产过程中，必须加强安全管理，提高事故防范措施。突发性污染事故特别是仓库火灾等重大事故将对事故现场人员的健康和生命造成严重危害，此外还将造成直</w:t>
            </w:r>
            <w:r>
              <w:rPr>
                <w:rFonts w:hint="eastAsia" w:ascii="Times New Roman" w:hAnsi="Times New Roman" w:eastAsia="宋体" w:cs="Times New Roman"/>
                <w:color w:val="auto"/>
                <w:sz w:val="24"/>
                <w:szCs w:val="24"/>
                <w:u w:val="none"/>
                <w:lang w:val="en-US" w:eastAsia="zh-CN"/>
              </w:rPr>
              <w:t>接、</w:t>
            </w:r>
            <w:r>
              <w:rPr>
                <w:rFonts w:hint="default" w:ascii="Times New Roman" w:hAnsi="Times New Roman" w:eastAsia="宋体" w:cs="Times New Roman"/>
                <w:color w:val="auto"/>
                <w:sz w:val="24"/>
                <w:szCs w:val="24"/>
                <w:u w:val="none"/>
                <w:lang w:val="en-US" w:eastAsia="zh-CN"/>
              </w:rPr>
              <w:t>间接的巨大经济损失以及造成社会不安定因素，同时对生态环境也会造成严重的破坏。因此，做好灾发性环境污染事故的预防，提高对突发性污染事故的应急处理和处置的能力，对企业具有更重要的意义。管理，加强事故预防措施和应急处理的技能，懂得紧急救援的知识。“预防为主、安全第</w:t>
            </w:r>
            <w:r>
              <w:rPr>
                <w:rFonts w:hint="eastAsia" w:ascii="Times New Roman" w:hAnsi="Times New Roman" w:eastAsia="宋体" w:cs="Times New Roman"/>
                <w:color w:val="auto"/>
                <w:sz w:val="24"/>
                <w:szCs w:val="24"/>
                <w:u w:val="none"/>
                <w:lang w:val="en-US" w:eastAsia="zh-CN"/>
              </w:rPr>
              <w:t>一</w:t>
            </w:r>
            <w:r>
              <w:rPr>
                <w:rFonts w:hint="default" w:ascii="Times New Roman" w:hAnsi="Times New Roman" w:eastAsia="宋体" w:cs="Times New Roman"/>
                <w:color w:val="auto"/>
                <w:sz w:val="24"/>
                <w:szCs w:val="24"/>
                <w:u w:val="none"/>
                <w:lang w:val="en-US" w:eastAsia="zh-CN"/>
              </w:rPr>
              <w:t>”是减少污染事故发生、降低污染事故危害的重要保障。</w:t>
            </w:r>
          </w:p>
          <w:p>
            <w:pPr>
              <w:pStyle w:val="11"/>
              <w:spacing w:before="1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表4-</w:t>
            </w:r>
            <w:r>
              <w:rPr>
                <w:rFonts w:hint="default" w:ascii="Times New Roman" w:hAnsi="Times New Roman" w:eastAsia="宋体" w:cs="Times New Roman"/>
                <w:color w:val="auto"/>
                <w:sz w:val="21"/>
                <w:szCs w:val="21"/>
                <w:lang w:val="en-US" w:eastAsia="zh-CN"/>
              </w:rPr>
              <w:t xml:space="preserve">14 </w:t>
            </w:r>
            <w:r>
              <w:rPr>
                <w:rFonts w:hint="default" w:ascii="Times New Roman" w:hAnsi="Times New Roman" w:eastAsia="宋体" w:cs="Times New Roman"/>
                <w:color w:val="auto"/>
                <w:sz w:val="21"/>
                <w:szCs w:val="21"/>
              </w:rPr>
              <w:t>建设项目环境风险分析表</w:t>
            </w:r>
          </w:p>
          <w:tbl>
            <w:tblPr>
              <w:tblStyle w:val="34"/>
              <w:tblW w:w="0" w:type="auto"/>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93"/>
              <w:gridCol w:w="1047"/>
              <w:gridCol w:w="1573"/>
              <w:gridCol w:w="899"/>
              <w:gridCol w:w="412"/>
              <w:gridCol w:w="60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93" w:type="dxa"/>
                  <w:vAlign w:val="center"/>
                </w:tcPr>
                <w:p>
                  <w:pPr>
                    <w:pStyle w:val="7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项目名称</w:t>
                  </w:r>
                </w:p>
              </w:tc>
              <w:tc>
                <w:tcPr>
                  <w:tcW w:w="6206" w:type="dxa"/>
                  <w:gridSpan w:val="6"/>
                  <w:vAlign w:val="center"/>
                </w:tcPr>
                <w:p>
                  <w:pPr>
                    <w:pStyle w:val="7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年产5500吨水性新材料生产项目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93" w:type="dxa"/>
                  <w:vAlign w:val="center"/>
                </w:tcPr>
                <w:p>
                  <w:pPr>
                    <w:pStyle w:val="7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建设地点</w:t>
                  </w:r>
                </w:p>
              </w:tc>
              <w:tc>
                <w:tcPr>
                  <w:tcW w:w="1047" w:type="dxa"/>
                  <w:vAlign w:val="center"/>
                </w:tcPr>
                <w:p>
                  <w:pPr>
                    <w:pStyle w:val="7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湖南省</w:t>
                  </w:r>
                </w:p>
              </w:tc>
              <w:tc>
                <w:tcPr>
                  <w:tcW w:w="1573" w:type="dxa"/>
                  <w:vAlign w:val="center"/>
                </w:tcPr>
                <w:p>
                  <w:pPr>
                    <w:pStyle w:val="7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邵阳</w:t>
                  </w:r>
                  <w:r>
                    <w:rPr>
                      <w:rFonts w:hint="default" w:ascii="Times New Roman" w:hAnsi="Times New Roman" w:eastAsia="宋体" w:cs="Times New Roman"/>
                      <w:color w:val="auto"/>
                      <w:sz w:val="21"/>
                      <w:szCs w:val="21"/>
                    </w:rPr>
                    <w:t>市</w:t>
                  </w:r>
                </w:p>
              </w:tc>
              <w:tc>
                <w:tcPr>
                  <w:tcW w:w="899" w:type="dxa"/>
                  <w:vAlign w:val="center"/>
                </w:tcPr>
                <w:p>
                  <w:pPr>
                    <w:pStyle w:val="75"/>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邵东市</w:t>
                  </w:r>
                </w:p>
              </w:tc>
              <w:tc>
                <w:tcPr>
                  <w:tcW w:w="1018" w:type="dxa"/>
                  <w:gridSpan w:val="2"/>
                  <w:vAlign w:val="center"/>
                </w:tcPr>
                <w:p>
                  <w:pPr>
                    <w:pStyle w:val="7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黑田铺</w:t>
                  </w:r>
                  <w:r>
                    <w:rPr>
                      <w:rFonts w:hint="default" w:ascii="Times New Roman" w:hAnsi="Times New Roman" w:eastAsia="宋体" w:cs="Times New Roman"/>
                      <w:color w:val="auto"/>
                      <w:sz w:val="21"/>
                      <w:szCs w:val="21"/>
                    </w:rPr>
                    <w:t>镇</w:t>
                  </w:r>
                </w:p>
              </w:tc>
              <w:tc>
                <w:tcPr>
                  <w:tcW w:w="1669" w:type="dxa"/>
                  <w:vAlign w:val="center"/>
                </w:tcPr>
                <w:p>
                  <w:pPr>
                    <w:pStyle w:val="75"/>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包装印刷、塑料制品、新材料工业园</w:t>
                  </w:r>
                  <w:r>
                    <w:rPr>
                      <w:rFonts w:hint="default" w:ascii="Times New Roman" w:hAnsi="Times New Roman" w:eastAsia="宋体" w:cs="Times New Roman"/>
                      <w:color w:val="auto"/>
                      <w:sz w:val="21"/>
                      <w:szCs w:val="21"/>
                      <w:lang w:eastAsia="zh-CN"/>
                    </w:rPr>
                    <w:t>（金华湘印刷产业园）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93" w:type="dxa"/>
                  <w:vAlign w:val="center"/>
                </w:tcPr>
                <w:p>
                  <w:pPr>
                    <w:pStyle w:val="7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地理坐标</w:t>
                  </w:r>
                </w:p>
              </w:tc>
              <w:tc>
                <w:tcPr>
                  <w:tcW w:w="1047" w:type="dxa"/>
                  <w:vAlign w:val="center"/>
                </w:tcPr>
                <w:p>
                  <w:pPr>
                    <w:pStyle w:val="7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经度</w:t>
                  </w:r>
                </w:p>
              </w:tc>
              <w:tc>
                <w:tcPr>
                  <w:tcW w:w="1573" w:type="dxa"/>
                  <w:vAlign w:val="center"/>
                </w:tcPr>
                <w:p>
                  <w:pPr>
                    <w:pStyle w:val="7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111度45分44.1秒</w:t>
                  </w:r>
                </w:p>
              </w:tc>
              <w:tc>
                <w:tcPr>
                  <w:tcW w:w="899" w:type="dxa"/>
                  <w:vAlign w:val="center"/>
                </w:tcPr>
                <w:p>
                  <w:pPr>
                    <w:pStyle w:val="7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纬度</w:t>
                  </w:r>
                </w:p>
              </w:tc>
              <w:tc>
                <w:tcPr>
                  <w:tcW w:w="2687" w:type="dxa"/>
                  <w:gridSpan w:val="3"/>
                  <w:vAlign w:val="center"/>
                </w:tcPr>
                <w:p>
                  <w:pPr>
                    <w:pStyle w:val="7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27度18分28.8秒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93" w:type="dxa"/>
                  <w:vAlign w:val="center"/>
                </w:tcPr>
                <w:p>
                  <w:pPr>
                    <w:pStyle w:val="7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主要危险物</w:t>
                  </w:r>
                </w:p>
                <w:p>
                  <w:pPr>
                    <w:pStyle w:val="7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质及分布</w:t>
                  </w:r>
                </w:p>
              </w:tc>
              <w:tc>
                <w:tcPr>
                  <w:tcW w:w="6206" w:type="dxa"/>
                  <w:gridSpan w:val="6"/>
                  <w:vAlign w:val="center"/>
                </w:tcPr>
                <w:p>
                  <w:pPr>
                    <w:pStyle w:val="7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丙烯酸乳液、</w:t>
                  </w:r>
                  <w:r>
                    <w:rPr>
                      <w:rFonts w:hint="default" w:ascii="Times New Roman" w:hAnsi="Times New Roman" w:eastAsia="宋体" w:cs="Times New Roman"/>
                      <w:color w:val="auto"/>
                      <w:sz w:val="21"/>
                      <w:szCs w:val="21"/>
                      <w:lang w:val="en-US" w:eastAsia="zh-CN"/>
                    </w:rPr>
                    <w:t>乳化剂原料贮存在原料仓库内；水性环氧乳液、水性防火隔热材料产品贮存在产品仓库内；</w:t>
                  </w:r>
                  <w:r>
                    <w:rPr>
                      <w:rFonts w:hint="default" w:ascii="Times New Roman" w:hAnsi="Times New Roman" w:eastAsia="宋体" w:cs="Times New Roman"/>
                      <w:color w:val="auto"/>
                      <w:sz w:val="21"/>
                      <w:szCs w:val="21"/>
                    </w:rPr>
                    <w:t>废活性炭</w:t>
                  </w:r>
                  <w:r>
                    <w:rPr>
                      <w:rFonts w:hint="default" w:ascii="Times New Roman" w:hAnsi="Times New Roman" w:eastAsia="宋体" w:cs="Times New Roman"/>
                      <w:color w:val="auto"/>
                      <w:sz w:val="21"/>
                      <w:szCs w:val="21"/>
                      <w:lang w:val="en-US" w:eastAsia="zh-CN"/>
                    </w:rPr>
                    <w:t>暂存于</w:t>
                  </w:r>
                  <w:r>
                    <w:rPr>
                      <w:rFonts w:hint="default" w:ascii="Times New Roman" w:hAnsi="Times New Roman" w:eastAsia="宋体" w:cs="Times New Roman"/>
                      <w:color w:val="auto"/>
                      <w:sz w:val="21"/>
                      <w:szCs w:val="21"/>
                    </w:rPr>
                    <w:t>项目危废暂存间内。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93" w:type="dxa"/>
                  <w:vAlign w:val="center"/>
                </w:tcPr>
                <w:p>
                  <w:pPr>
                    <w:pStyle w:val="7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环境影响途径及危害后果（大气、地表水、地下水等）</w:t>
                  </w:r>
                </w:p>
              </w:tc>
              <w:tc>
                <w:tcPr>
                  <w:tcW w:w="3931" w:type="dxa"/>
                  <w:gridSpan w:val="4"/>
                  <w:vAlign w:val="center"/>
                </w:tcPr>
                <w:p>
                  <w:pPr>
                    <w:pStyle w:val="75"/>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环境影响途径如下：</w:t>
                  </w:r>
                </w:p>
                <w:p>
                  <w:pPr>
                    <w:pStyle w:val="75"/>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1、操作不当导致的物料泄漏；</w:t>
                  </w:r>
                </w:p>
                <w:p>
                  <w:pPr>
                    <w:pStyle w:val="75"/>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2、因高热、明火引起的容器开裂或燃烧爆炸；</w:t>
                  </w:r>
                </w:p>
                <w:p>
                  <w:pPr>
                    <w:pStyle w:val="75"/>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3、日常管理不到位或容器破损造成泄漏。</w:t>
                  </w:r>
                </w:p>
              </w:tc>
              <w:tc>
                <w:tcPr>
                  <w:tcW w:w="2275" w:type="dxa"/>
                  <w:gridSpan w:val="2"/>
                  <w:vAlign w:val="center"/>
                </w:tcPr>
                <w:p>
                  <w:pPr>
                    <w:pStyle w:val="75"/>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危害后果：有害液体泄漏或挥发，严重时可引起火灾爆炸并伴生环境污染，对区域环境造成不良影响。</w:t>
                  </w:r>
                  <w:r>
                    <w:rPr>
                      <w:rFonts w:hint="default" w:ascii="Times New Roman" w:hAnsi="Times New Roman" w:eastAsia="宋体" w:cs="Times New Roman"/>
                      <w:color w:val="auto"/>
                      <w:sz w:val="21"/>
                      <w:szCs w:val="21"/>
                      <w:lang w:val="en-US" w:eastAsia="zh-CN"/>
                    </w:rPr>
                    <w:t>危险废物可能发生洒落，影响周围环境。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93" w:type="dxa"/>
                  <w:vAlign w:val="center"/>
                </w:tcPr>
                <w:p>
                  <w:pPr>
                    <w:pStyle w:val="75"/>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风险防范措施要求</w:t>
                  </w:r>
                </w:p>
              </w:tc>
              <w:tc>
                <w:tcPr>
                  <w:tcW w:w="6206" w:type="dxa"/>
                  <w:gridSpan w:val="6"/>
                  <w:vAlign w:val="top"/>
                </w:tcPr>
                <w:p>
                  <w:pPr>
                    <w:pStyle w:val="75"/>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废暂存间防渗，严格按照消防安全的相关规定，在车间内设置灭火器材。产品和液态原辅料均存储于仓库内。危险废物暂存间、原料储存区、成品储存区建设截流边沟、应急池，生产车间临时存放的少量液态物料存放在接液托盘上，收集泄漏物，避免进入环境。</w:t>
                  </w:r>
                </w:p>
                <w:p>
                  <w:pPr>
                    <w:pStyle w:val="7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设置专职的安全环保机构，并由企业领导直接领导，全权负责。主要负责检查和监督全厂的安全生产和环保设施的正常运转情况。对安全和环保应建立严格的防范措施，制定严格的管理规章制度，列出潜在危险的过程、设备等清单，严格执行设备检验和报废制度。</w:t>
                  </w:r>
                </w:p>
                <w:p>
                  <w:pPr>
                    <w:pStyle w:val="75"/>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3、生产操作工人上岗前必须进行专业技术培训和安装生产培训，严格管理，提高职工的安全环保意识，防止和减少因人为因素造成的风险事故几率。</w:t>
                  </w:r>
                </w:p>
                <w:p>
                  <w:pPr>
                    <w:pStyle w:val="75"/>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4、建议企业按照规定编制突发环境事件应急预案，并报环保部门备案。</w:t>
                  </w:r>
                </w:p>
              </w:tc>
            </w:tr>
          </w:tbl>
          <w:p>
            <w:pPr>
              <w:pStyle w:val="4"/>
              <w:rPr>
                <w:color w:val="auto"/>
              </w:rPr>
            </w:pPr>
            <w:r>
              <w:rPr>
                <w:color w:val="auto"/>
              </w:rPr>
              <w:t>4.2.</w:t>
            </w:r>
            <w:r>
              <w:rPr>
                <w:rFonts w:hint="eastAsia"/>
                <w:color w:val="auto"/>
                <w:lang w:val="en-US" w:eastAsia="zh-CN"/>
              </w:rPr>
              <w:t>7</w:t>
            </w:r>
            <w:r>
              <w:rPr>
                <w:color w:val="auto"/>
              </w:rPr>
              <w:t>自行监测计划</w:t>
            </w:r>
          </w:p>
          <w:p>
            <w:pPr>
              <w:spacing w:line="360" w:lineRule="auto"/>
              <w:ind w:firstLine="480" w:firstLineChars="200"/>
              <w:rPr>
                <w:color w:val="auto"/>
              </w:rPr>
            </w:pPr>
            <w:r>
              <w:rPr>
                <w:color w:val="auto"/>
              </w:rPr>
              <w:t>根据行业特点，上级环保部门有关法规条例，结合本工程的实际情况，企业应对常规项目及特征污染物进行日常监测，特征污染物企业需具备自主监测能力。在不具备监测条件的情况下，可委托具有监测能力的当地环境监测站及相关机构进行监测。</w:t>
            </w:r>
          </w:p>
          <w:p>
            <w:pPr>
              <w:spacing w:line="360" w:lineRule="auto"/>
              <w:ind w:firstLine="480"/>
              <w:rPr>
                <w:color w:val="auto"/>
              </w:rPr>
            </w:pPr>
            <w:r>
              <w:rPr>
                <w:color w:val="auto"/>
              </w:rPr>
              <w:t>根据《排污单位自行监测技术指南 总则》（HJ 819-2017)</w:t>
            </w:r>
            <w:r>
              <w:rPr>
                <w:rFonts w:hint="eastAsia"/>
                <w:color w:val="auto"/>
              </w:rPr>
              <w:t>，</w:t>
            </w:r>
            <w:r>
              <w:rPr>
                <w:color w:val="auto"/>
              </w:rPr>
              <w:t>针对拟建项目所排污染物情况，项目监测计划见下表。</w:t>
            </w:r>
          </w:p>
          <w:p>
            <w:pPr>
              <w:pStyle w:val="11"/>
              <w:spacing w:before="12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表4-1</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 xml:space="preserve"> 拟建项目监测计划一览表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004"/>
              <w:gridCol w:w="3204"/>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45" w:type="dxa"/>
                  <w:vAlign w:val="center"/>
                </w:tcPr>
                <w:p>
                  <w:pPr>
                    <w:jc w:val="center"/>
                    <w:rPr>
                      <w:color w:val="auto"/>
                      <w:sz w:val="21"/>
                      <w:szCs w:val="21"/>
                    </w:rPr>
                  </w:pPr>
                  <w:r>
                    <w:rPr>
                      <w:color w:val="auto"/>
                      <w:sz w:val="21"/>
                      <w:szCs w:val="21"/>
                    </w:rPr>
                    <w:t>环境要素</w:t>
                  </w:r>
                </w:p>
              </w:tc>
              <w:tc>
                <w:tcPr>
                  <w:tcW w:w="2013" w:type="dxa"/>
                  <w:vAlign w:val="center"/>
                </w:tcPr>
                <w:p>
                  <w:pPr>
                    <w:jc w:val="center"/>
                    <w:rPr>
                      <w:color w:val="auto"/>
                      <w:sz w:val="21"/>
                      <w:szCs w:val="21"/>
                    </w:rPr>
                  </w:pPr>
                  <w:r>
                    <w:rPr>
                      <w:color w:val="auto"/>
                      <w:sz w:val="21"/>
                      <w:szCs w:val="21"/>
                    </w:rPr>
                    <w:t>监测点位</w:t>
                  </w:r>
                </w:p>
              </w:tc>
              <w:tc>
                <w:tcPr>
                  <w:tcW w:w="3223" w:type="dxa"/>
                  <w:vAlign w:val="center"/>
                </w:tcPr>
                <w:p>
                  <w:pPr>
                    <w:jc w:val="center"/>
                    <w:rPr>
                      <w:color w:val="auto"/>
                      <w:sz w:val="21"/>
                      <w:szCs w:val="21"/>
                    </w:rPr>
                  </w:pPr>
                  <w:r>
                    <w:rPr>
                      <w:color w:val="auto"/>
                      <w:sz w:val="21"/>
                      <w:szCs w:val="21"/>
                    </w:rPr>
                    <w:t>监测项目</w:t>
                  </w:r>
                </w:p>
              </w:tc>
              <w:tc>
                <w:tcPr>
                  <w:tcW w:w="1677" w:type="dxa"/>
                  <w:vAlign w:val="center"/>
                </w:tcPr>
                <w:p>
                  <w:pPr>
                    <w:jc w:val="center"/>
                    <w:rPr>
                      <w:color w:val="auto"/>
                      <w:sz w:val="21"/>
                      <w:szCs w:val="21"/>
                    </w:rPr>
                  </w:pPr>
                  <w:r>
                    <w:rPr>
                      <w:color w:val="auto"/>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45" w:type="dxa"/>
                  <w:vMerge w:val="restart"/>
                  <w:vAlign w:val="center"/>
                </w:tcPr>
                <w:p>
                  <w:pPr>
                    <w:jc w:val="center"/>
                    <w:rPr>
                      <w:color w:val="auto"/>
                      <w:sz w:val="21"/>
                      <w:szCs w:val="21"/>
                    </w:rPr>
                  </w:pPr>
                  <w:r>
                    <w:rPr>
                      <w:color w:val="auto"/>
                      <w:sz w:val="21"/>
                      <w:szCs w:val="21"/>
                    </w:rPr>
                    <w:t>废气</w:t>
                  </w:r>
                </w:p>
              </w:tc>
              <w:tc>
                <w:tcPr>
                  <w:tcW w:w="2013" w:type="dxa"/>
                  <w:vAlign w:val="center"/>
                </w:tcPr>
                <w:p>
                  <w:pPr>
                    <w:jc w:val="center"/>
                    <w:rPr>
                      <w:rFonts w:hint="eastAsia" w:eastAsia="宋体"/>
                      <w:color w:val="auto"/>
                      <w:sz w:val="21"/>
                      <w:szCs w:val="21"/>
                      <w:lang w:val="en-US" w:eastAsia="zh-CN"/>
                    </w:rPr>
                  </w:pPr>
                  <w:r>
                    <w:rPr>
                      <w:rFonts w:hint="eastAsia"/>
                      <w:color w:val="auto"/>
                      <w:kern w:val="0"/>
                      <w:sz w:val="21"/>
                      <w:szCs w:val="21"/>
                    </w:rPr>
                    <w:t>有机废气排气筒</w:t>
                  </w:r>
                  <w:r>
                    <w:rPr>
                      <w:rFonts w:hint="eastAsia"/>
                      <w:color w:val="auto"/>
                      <w:kern w:val="0"/>
                      <w:sz w:val="21"/>
                      <w:szCs w:val="21"/>
                      <w:lang w:val="en-US" w:eastAsia="zh-CN"/>
                    </w:rPr>
                    <w:t>DA001</w:t>
                  </w:r>
                </w:p>
              </w:tc>
              <w:tc>
                <w:tcPr>
                  <w:tcW w:w="3223" w:type="dxa"/>
                  <w:vAlign w:val="center"/>
                </w:tcPr>
                <w:p>
                  <w:pPr>
                    <w:jc w:val="center"/>
                    <w:rPr>
                      <w:rFonts w:hint="eastAsia"/>
                      <w:color w:val="auto"/>
                      <w:sz w:val="21"/>
                      <w:szCs w:val="21"/>
                      <w:lang w:val="en-US" w:eastAsia="zh-CN"/>
                    </w:rPr>
                  </w:pPr>
                  <w:r>
                    <w:rPr>
                      <w:rFonts w:hint="eastAsia"/>
                      <w:color w:val="auto"/>
                      <w:sz w:val="21"/>
                      <w:szCs w:val="21"/>
                      <w:lang w:val="en-US" w:eastAsia="zh-CN"/>
                    </w:rPr>
                    <w:t>非甲烷总统</w:t>
                  </w:r>
                </w:p>
              </w:tc>
              <w:tc>
                <w:tcPr>
                  <w:tcW w:w="1677" w:type="dxa"/>
                  <w:vAlign w:val="center"/>
                </w:tcPr>
                <w:p>
                  <w:pPr>
                    <w:jc w:val="center"/>
                    <w:rPr>
                      <w:rFonts w:hint="eastAsia"/>
                      <w:color w:val="auto"/>
                      <w:sz w:val="21"/>
                      <w:szCs w:val="21"/>
                    </w:rPr>
                  </w:pPr>
                  <w:r>
                    <w:rPr>
                      <w:rFonts w:hint="eastAsia"/>
                      <w:color w:val="auto"/>
                      <w:sz w:val="21"/>
                      <w:szCs w:val="21"/>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45" w:type="dxa"/>
                  <w:vMerge w:val="continue"/>
                  <w:vAlign w:val="center"/>
                </w:tcPr>
                <w:p>
                  <w:pPr>
                    <w:jc w:val="center"/>
                    <w:rPr>
                      <w:color w:val="auto"/>
                      <w:sz w:val="21"/>
                      <w:szCs w:val="21"/>
                    </w:rPr>
                  </w:pPr>
                </w:p>
              </w:tc>
              <w:tc>
                <w:tcPr>
                  <w:tcW w:w="2013" w:type="dxa"/>
                  <w:vAlign w:val="center"/>
                </w:tcPr>
                <w:p>
                  <w:pPr>
                    <w:jc w:val="center"/>
                    <w:rPr>
                      <w:rFonts w:hint="default"/>
                      <w:color w:val="auto"/>
                      <w:sz w:val="21"/>
                      <w:szCs w:val="21"/>
                      <w:lang w:val="en-US"/>
                    </w:rPr>
                  </w:pPr>
                  <w:r>
                    <w:rPr>
                      <w:rFonts w:hint="eastAsia"/>
                      <w:color w:val="auto"/>
                      <w:kern w:val="0"/>
                      <w:sz w:val="21"/>
                      <w:szCs w:val="21"/>
                      <w:lang w:val="en-US" w:eastAsia="zh-CN"/>
                    </w:rPr>
                    <w:t>布袋除尘器</w:t>
                  </w:r>
                  <w:r>
                    <w:rPr>
                      <w:rFonts w:hint="eastAsia"/>
                      <w:color w:val="auto"/>
                      <w:kern w:val="0"/>
                      <w:sz w:val="21"/>
                      <w:szCs w:val="21"/>
                    </w:rPr>
                    <w:t>排气筒</w:t>
                  </w:r>
                  <w:r>
                    <w:rPr>
                      <w:rFonts w:hint="eastAsia"/>
                      <w:color w:val="auto"/>
                      <w:kern w:val="0"/>
                      <w:sz w:val="21"/>
                      <w:szCs w:val="21"/>
                      <w:lang w:val="en-US" w:eastAsia="zh-CN"/>
                    </w:rPr>
                    <w:t>DA002</w:t>
                  </w:r>
                </w:p>
              </w:tc>
              <w:tc>
                <w:tcPr>
                  <w:tcW w:w="3223" w:type="dxa"/>
                  <w:vAlign w:val="center"/>
                </w:tcPr>
                <w:p>
                  <w:pPr>
                    <w:jc w:val="center"/>
                    <w:rPr>
                      <w:rFonts w:hint="eastAsia"/>
                      <w:color w:val="auto"/>
                      <w:sz w:val="21"/>
                      <w:szCs w:val="21"/>
                      <w:lang w:val="en-US" w:eastAsia="zh-CN"/>
                    </w:rPr>
                  </w:pPr>
                  <w:r>
                    <w:rPr>
                      <w:rFonts w:hint="eastAsia"/>
                      <w:color w:val="auto"/>
                      <w:sz w:val="21"/>
                      <w:szCs w:val="21"/>
                      <w:lang w:val="en-US" w:eastAsia="zh-CN"/>
                    </w:rPr>
                    <w:t>颗粒物</w:t>
                  </w:r>
                </w:p>
              </w:tc>
              <w:tc>
                <w:tcPr>
                  <w:tcW w:w="1677" w:type="dxa"/>
                  <w:vAlign w:val="center"/>
                </w:tcPr>
                <w:p>
                  <w:pPr>
                    <w:jc w:val="center"/>
                    <w:rPr>
                      <w:rFonts w:hint="eastAsia"/>
                      <w:color w:val="auto"/>
                      <w:sz w:val="21"/>
                      <w:szCs w:val="21"/>
                    </w:rPr>
                  </w:pPr>
                  <w:r>
                    <w:rPr>
                      <w:rFonts w:hint="eastAsia"/>
                      <w:color w:val="auto"/>
                      <w:sz w:val="21"/>
                      <w:szCs w:val="21"/>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45" w:type="dxa"/>
                  <w:vMerge w:val="continue"/>
                  <w:vAlign w:val="center"/>
                </w:tcPr>
                <w:p>
                  <w:pPr>
                    <w:jc w:val="center"/>
                    <w:rPr>
                      <w:color w:val="auto"/>
                      <w:sz w:val="21"/>
                      <w:szCs w:val="21"/>
                    </w:rPr>
                  </w:pPr>
                </w:p>
              </w:tc>
              <w:tc>
                <w:tcPr>
                  <w:tcW w:w="2013" w:type="dxa"/>
                  <w:vAlign w:val="center"/>
                </w:tcPr>
                <w:p>
                  <w:pPr>
                    <w:jc w:val="center"/>
                    <w:rPr>
                      <w:rFonts w:hint="default" w:eastAsia="宋体"/>
                      <w:color w:val="auto"/>
                      <w:sz w:val="21"/>
                      <w:szCs w:val="21"/>
                      <w:lang w:val="en-US" w:eastAsia="zh-CN"/>
                    </w:rPr>
                  </w:pPr>
                  <w:r>
                    <w:rPr>
                      <w:rFonts w:hint="eastAsia"/>
                      <w:color w:val="auto"/>
                      <w:kern w:val="0"/>
                      <w:sz w:val="21"/>
                      <w:szCs w:val="21"/>
                      <w:lang w:val="en-US" w:eastAsia="zh-CN"/>
                    </w:rPr>
                    <w:t>布袋除尘器排气筒DA003</w:t>
                  </w:r>
                </w:p>
              </w:tc>
              <w:tc>
                <w:tcPr>
                  <w:tcW w:w="3223" w:type="dxa"/>
                  <w:vAlign w:val="center"/>
                </w:tcPr>
                <w:p>
                  <w:pPr>
                    <w:jc w:val="center"/>
                    <w:rPr>
                      <w:rFonts w:hint="default" w:eastAsia="宋体"/>
                      <w:color w:val="auto"/>
                      <w:sz w:val="21"/>
                      <w:szCs w:val="21"/>
                      <w:lang w:val="en-US" w:eastAsia="zh-CN"/>
                    </w:rPr>
                  </w:pPr>
                  <w:r>
                    <w:rPr>
                      <w:rFonts w:hint="eastAsia"/>
                      <w:color w:val="auto"/>
                      <w:sz w:val="21"/>
                      <w:szCs w:val="21"/>
                      <w:lang w:val="en-US" w:eastAsia="zh-CN"/>
                    </w:rPr>
                    <w:t>颗粒物</w:t>
                  </w:r>
                </w:p>
              </w:tc>
              <w:tc>
                <w:tcPr>
                  <w:tcW w:w="1677" w:type="dxa"/>
                  <w:vAlign w:val="center"/>
                </w:tcPr>
                <w:p>
                  <w:pPr>
                    <w:jc w:val="center"/>
                    <w:rPr>
                      <w:color w:val="auto"/>
                      <w:sz w:val="21"/>
                      <w:szCs w:val="21"/>
                    </w:rPr>
                  </w:pPr>
                  <w:r>
                    <w:rPr>
                      <w:rFonts w:hint="eastAsia"/>
                      <w:color w:val="auto"/>
                      <w:sz w:val="21"/>
                      <w:szCs w:val="21"/>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45" w:type="dxa"/>
                  <w:vMerge w:val="continue"/>
                  <w:vAlign w:val="center"/>
                </w:tcPr>
                <w:p>
                  <w:pPr>
                    <w:jc w:val="center"/>
                    <w:rPr>
                      <w:color w:val="auto"/>
                      <w:sz w:val="21"/>
                      <w:szCs w:val="21"/>
                    </w:rPr>
                  </w:pPr>
                </w:p>
              </w:tc>
              <w:tc>
                <w:tcPr>
                  <w:tcW w:w="2013" w:type="dxa"/>
                  <w:vAlign w:val="center"/>
                </w:tcPr>
                <w:p>
                  <w:pPr>
                    <w:jc w:val="center"/>
                    <w:rPr>
                      <w:color w:val="auto"/>
                      <w:sz w:val="21"/>
                      <w:szCs w:val="21"/>
                    </w:rPr>
                  </w:pPr>
                  <w:r>
                    <w:rPr>
                      <w:color w:val="auto"/>
                      <w:sz w:val="21"/>
                      <w:szCs w:val="21"/>
                    </w:rPr>
                    <w:t>厂界</w:t>
                  </w:r>
                </w:p>
              </w:tc>
              <w:tc>
                <w:tcPr>
                  <w:tcW w:w="3223" w:type="dxa"/>
                  <w:vAlign w:val="center"/>
                </w:tcPr>
                <w:p>
                  <w:pPr>
                    <w:jc w:val="center"/>
                    <w:rPr>
                      <w:rFonts w:hint="default"/>
                      <w:color w:val="auto"/>
                      <w:sz w:val="21"/>
                      <w:szCs w:val="21"/>
                      <w:lang w:val="en-US"/>
                    </w:rPr>
                  </w:pPr>
                  <w:r>
                    <w:rPr>
                      <w:rFonts w:hint="eastAsia"/>
                      <w:color w:val="auto"/>
                      <w:sz w:val="21"/>
                      <w:szCs w:val="21"/>
                      <w:lang w:val="en-US" w:eastAsia="zh-CN"/>
                    </w:rPr>
                    <w:t>非甲烷总统、颗粒物</w:t>
                  </w:r>
                </w:p>
              </w:tc>
              <w:tc>
                <w:tcPr>
                  <w:tcW w:w="1677" w:type="dxa"/>
                  <w:vAlign w:val="center"/>
                </w:tcPr>
                <w:p>
                  <w:pPr>
                    <w:jc w:val="center"/>
                    <w:rPr>
                      <w:color w:val="auto"/>
                      <w:sz w:val="21"/>
                      <w:szCs w:val="21"/>
                    </w:rPr>
                  </w:pPr>
                  <w:r>
                    <w:rPr>
                      <w:rFonts w:hint="eastAsia"/>
                      <w:color w:val="auto"/>
                      <w:sz w:val="21"/>
                      <w:szCs w:val="21"/>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45" w:type="dxa"/>
                  <w:vMerge w:val="continue"/>
                  <w:vAlign w:val="center"/>
                </w:tcPr>
                <w:p>
                  <w:pPr>
                    <w:jc w:val="center"/>
                    <w:rPr>
                      <w:color w:val="auto"/>
                      <w:sz w:val="21"/>
                      <w:szCs w:val="21"/>
                    </w:rPr>
                  </w:pPr>
                </w:p>
              </w:tc>
              <w:tc>
                <w:tcPr>
                  <w:tcW w:w="2013" w:type="dxa"/>
                  <w:vAlign w:val="center"/>
                </w:tcPr>
                <w:p>
                  <w:pPr>
                    <w:jc w:val="center"/>
                    <w:rPr>
                      <w:color w:val="auto"/>
                      <w:sz w:val="21"/>
                      <w:szCs w:val="21"/>
                    </w:rPr>
                  </w:pPr>
                  <w:r>
                    <w:rPr>
                      <w:rFonts w:hint="eastAsia"/>
                      <w:color w:val="auto"/>
                      <w:sz w:val="21"/>
                      <w:szCs w:val="21"/>
                    </w:rPr>
                    <w:t>厂区</w:t>
                  </w:r>
                </w:p>
              </w:tc>
              <w:tc>
                <w:tcPr>
                  <w:tcW w:w="3223" w:type="dxa"/>
                  <w:vAlign w:val="center"/>
                </w:tcPr>
                <w:p>
                  <w:pPr>
                    <w:jc w:val="center"/>
                    <w:rPr>
                      <w:color w:val="auto"/>
                      <w:sz w:val="21"/>
                      <w:szCs w:val="21"/>
                    </w:rPr>
                  </w:pPr>
                  <w:r>
                    <w:rPr>
                      <w:rFonts w:hint="eastAsia"/>
                      <w:color w:val="auto"/>
                      <w:sz w:val="21"/>
                      <w:szCs w:val="21"/>
                    </w:rPr>
                    <w:t>油烟废气</w:t>
                  </w:r>
                </w:p>
              </w:tc>
              <w:tc>
                <w:tcPr>
                  <w:tcW w:w="1677" w:type="dxa"/>
                  <w:vAlign w:val="center"/>
                </w:tcPr>
                <w:p>
                  <w:pPr>
                    <w:jc w:val="center"/>
                    <w:rPr>
                      <w:color w:val="auto"/>
                      <w:sz w:val="21"/>
                      <w:szCs w:val="21"/>
                    </w:rPr>
                  </w:pPr>
                  <w:r>
                    <w:rPr>
                      <w:rFonts w:hint="eastAsia"/>
                      <w:color w:val="auto"/>
                      <w:sz w:val="21"/>
                      <w:szCs w:val="21"/>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45" w:type="dxa"/>
                  <w:vAlign w:val="center"/>
                </w:tcPr>
                <w:p>
                  <w:pPr>
                    <w:jc w:val="center"/>
                    <w:rPr>
                      <w:color w:val="auto"/>
                      <w:sz w:val="21"/>
                      <w:szCs w:val="21"/>
                    </w:rPr>
                  </w:pPr>
                  <w:r>
                    <w:rPr>
                      <w:color w:val="auto"/>
                      <w:sz w:val="21"/>
                      <w:szCs w:val="21"/>
                    </w:rPr>
                    <w:t>废水</w:t>
                  </w:r>
                </w:p>
              </w:tc>
              <w:tc>
                <w:tcPr>
                  <w:tcW w:w="2013" w:type="dxa"/>
                  <w:vAlign w:val="center"/>
                </w:tcPr>
                <w:p>
                  <w:pPr>
                    <w:jc w:val="center"/>
                    <w:rPr>
                      <w:color w:val="auto"/>
                      <w:sz w:val="21"/>
                      <w:szCs w:val="21"/>
                    </w:rPr>
                  </w:pPr>
                  <w:r>
                    <w:rPr>
                      <w:color w:val="auto"/>
                      <w:sz w:val="21"/>
                      <w:szCs w:val="21"/>
                    </w:rPr>
                    <w:t>总排放口</w:t>
                  </w:r>
                </w:p>
              </w:tc>
              <w:tc>
                <w:tcPr>
                  <w:tcW w:w="3223" w:type="dxa"/>
                  <w:vAlign w:val="center"/>
                </w:tcPr>
                <w:p>
                  <w:pPr>
                    <w:jc w:val="center"/>
                    <w:rPr>
                      <w:color w:val="auto"/>
                      <w:sz w:val="21"/>
                      <w:szCs w:val="21"/>
                    </w:rPr>
                  </w:pPr>
                  <w:r>
                    <w:rPr>
                      <w:color w:val="auto"/>
                      <w:sz w:val="21"/>
                      <w:szCs w:val="21"/>
                    </w:rPr>
                    <w:t>pH、COD、BOD、氨氮、SS</w:t>
                  </w:r>
                </w:p>
              </w:tc>
              <w:tc>
                <w:tcPr>
                  <w:tcW w:w="1677" w:type="dxa"/>
                  <w:vAlign w:val="center"/>
                </w:tcPr>
                <w:p>
                  <w:pPr>
                    <w:jc w:val="center"/>
                    <w:rPr>
                      <w:color w:val="auto"/>
                      <w:sz w:val="21"/>
                      <w:szCs w:val="21"/>
                    </w:rPr>
                  </w:pPr>
                  <w:r>
                    <w:rPr>
                      <w:color w:val="auto"/>
                      <w:sz w:val="21"/>
                      <w:szCs w:val="21"/>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45" w:type="dxa"/>
                  <w:vAlign w:val="center"/>
                </w:tcPr>
                <w:p>
                  <w:pPr>
                    <w:jc w:val="center"/>
                    <w:rPr>
                      <w:color w:val="auto"/>
                      <w:sz w:val="21"/>
                      <w:szCs w:val="21"/>
                    </w:rPr>
                  </w:pPr>
                  <w:r>
                    <w:rPr>
                      <w:color w:val="auto"/>
                      <w:sz w:val="21"/>
                      <w:szCs w:val="21"/>
                    </w:rPr>
                    <w:t>噪声</w:t>
                  </w:r>
                </w:p>
              </w:tc>
              <w:tc>
                <w:tcPr>
                  <w:tcW w:w="2013" w:type="dxa"/>
                  <w:vAlign w:val="center"/>
                </w:tcPr>
                <w:p>
                  <w:pPr>
                    <w:jc w:val="center"/>
                    <w:rPr>
                      <w:color w:val="auto"/>
                      <w:sz w:val="21"/>
                      <w:szCs w:val="21"/>
                    </w:rPr>
                  </w:pPr>
                  <w:r>
                    <w:rPr>
                      <w:color w:val="auto"/>
                      <w:sz w:val="21"/>
                      <w:szCs w:val="21"/>
                    </w:rPr>
                    <w:t>厂界</w:t>
                  </w:r>
                </w:p>
              </w:tc>
              <w:tc>
                <w:tcPr>
                  <w:tcW w:w="3223" w:type="dxa"/>
                  <w:vAlign w:val="center"/>
                </w:tcPr>
                <w:p>
                  <w:pPr>
                    <w:jc w:val="center"/>
                    <w:rPr>
                      <w:color w:val="auto"/>
                      <w:sz w:val="21"/>
                      <w:szCs w:val="21"/>
                    </w:rPr>
                  </w:pPr>
                  <w:r>
                    <w:rPr>
                      <w:color w:val="auto"/>
                      <w:sz w:val="21"/>
                      <w:szCs w:val="21"/>
                    </w:rPr>
                    <w:t>Leq</w:t>
                  </w:r>
                </w:p>
              </w:tc>
              <w:tc>
                <w:tcPr>
                  <w:tcW w:w="1677" w:type="dxa"/>
                  <w:vAlign w:val="center"/>
                </w:tcPr>
                <w:p>
                  <w:pPr>
                    <w:jc w:val="center"/>
                    <w:rPr>
                      <w:color w:val="auto"/>
                      <w:sz w:val="21"/>
                      <w:szCs w:val="21"/>
                    </w:rPr>
                  </w:pPr>
                  <w:r>
                    <w:rPr>
                      <w:color w:val="auto"/>
                      <w:sz w:val="21"/>
                      <w:szCs w:val="21"/>
                    </w:rPr>
                    <w:t>每</w:t>
                  </w:r>
                  <w:r>
                    <w:rPr>
                      <w:rFonts w:hint="eastAsia"/>
                      <w:color w:val="auto"/>
                      <w:sz w:val="21"/>
                      <w:szCs w:val="21"/>
                      <w:lang w:val="en-US" w:eastAsia="zh-CN"/>
                    </w:rPr>
                    <w:t>季度</w:t>
                  </w:r>
                  <w:r>
                    <w:rPr>
                      <w:color w:val="auto"/>
                      <w:sz w:val="21"/>
                      <w:szCs w:val="21"/>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5" w:type="dxa"/>
                  <w:vAlign w:val="center"/>
                </w:tcPr>
                <w:p>
                  <w:pPr>
                    <w:jc w:val="center"/>
                    <w:rPr>
                      <w:color w:val="auto"/>
                      <w:sz w:val="21"/>
                      <w:szCs w:val="21"/>
                    </w:rPr>
                  </w:pPr>
                  <w:r>
                    <w:rPr>
                      <w:color w:val="auto"/>
                      <w:sz w:val="21"/>
                      <w:szCs w:val="21"/>
                    </w:rPr>
                    <w:t>固废</w:t>
                  </w:r>
                </w:p>
              </w:tc>
              <w:tc>
                <w:tcPr>
                  <w:tcW w:w="2013" w:type="dxa"/>
                  <w:vAlign w:val="center"/>
                </w:tcPr>
                <w:p>
                  <w:pPr>
                    <w:jc w:val="center"/>
                    <w:rPr>
                      <w:color w:val="auto"/>
                      <w:sz w:val="21"/>
                      <w:szCs w:val="21"/>
                    </w:rPr>
                  </w:pPr>
                  <w:r>
                    <w:rPr>
                      <w:color w:val="auto"/>
                      <w:sz w:val="21"/>
                      <w:szCs w:val="21"/>
                    </w:rPr>
                    <w:t>统计各类固废量</w:t>
                  </w:r>
                </w:p>
              </w:tc>
              <w:tc>
                <w:tcPr>
                  <w:tcW w:w="3223" w:type="dxa"/>
                  <w:vAlign w:val="center"/>
                </w:tcPr>
                <w:p>
                  <w:pPr>
                    <w:jc w:val="center"/>
                    <w:rPr>
                      <w:color w:val="auto"/>
                      <w:sz w:val="21"/>
                      <w:szCs w:val="21"/>
                    </w:rPr>
                  </w:pPr>
                  <w:r>
                    <w:rPr>
                      <w:color w:val="auto"/>
                      <w:sz w:val="21"/>
                      <w:szCs w:val="21"/>
                    </w:rPr>
                    <w:t>统计种类、产生量、处理方式、去向</w:t>
                  </w:r>
                </w:p>
              </w:tc>
              <w:tc>
                <w:tcPr>
                  <w:tcW w:w="1677" w:type="dxa"/>
                  <w:vAlign w:val="center"/>
                </w:tcPr>
                <w:p>
                  <w:pPr>
                    <w:jc w:val="center"/>
                    <w:rPr>
                      <w:color w:val="auto"/>
                      <w:sz w:val="21"/>
                      <w:szCs w:val="21"/>
                    </w:rPr>
                  </w:pPr>
                  <w:r>
                    <w:rPr>
                      <w:color w:val="auto"/>
                      <w:sz w:val="21"/>
                      <w:szCs w:val="21"/>
                    </w:rPr>
                    <w:t>每季度统计一次</w:t>
                  </w:r>
                </w:p>
              </w:tc>
            </w:tr>
          </w:tbl>
          <w:p>
            <w:pPr>
              <w:pStyle w:val="42"/>
              <w:rPr>
                <w:color w:val="auto"/>
              </w:rPr>
            </w:pPr>
          </w:p>
          <w:p>
            <w:pPr>
              <w:pStyle w:val="4"/>
              <w:rPr>
                <w:color w:val="auto"/>
              </w:rPr>
            </w:pPr>
            <w:r>
              <w:rPr>
                <w:rFonts w:hint="eastAsia"/>
                <w:color w:val="auto"/>
              </w:rPr>
              <w:t>4.2.</w:t>
            </w:r>
            <w:r>
              <w:rPr>
                <w:rFonts w:hint="eastAsia"/>
                <w:color w:val="auto"/>
                <w:lang w:val="en-US" w:eastAsia="zh-CN"/>
              </w:rPr>
              <w:t>8</w:t>
            </w:r>
            <w:r>
              <w:rPr>
                <w:color w:val="auto"/>
              </w:rPr>
              <w:t>环保投资</w:t>
            </w:r>
          </w:p>
          <w:p>
            <w:pPr>
              <w:pStyle w:val="84"/>
              <w:rPr>
                <w:rFonts w:ascii="Times New Roman"/>
                <w:color w:val="auto"/>
                <w:sz w:val="24"/>
              </w:rPr>
            </w:pPr>
            <w:r>
              <w:rPr>
                <w:rFonts w:ascii="Times New Roman"/>
                <w:color w:val="auto"/>
                <w:sz w:val="24"/>
              </w:rPr>
              <w:t>该项目环保投资</w:t>
            </w:r>
            <w:r>
              <w:rPr>
                <w:rFonts w:hint="eastAsia" w:ascii="Times New Roman"/>
                <w:color w:val="auto"/>
                <w:sz w:val="24"/>
                <w:lang w:val="en-US" w:eastAsia="zh-CN"/>
              </w:rPr>
              <w:t>28</w:t>
            </w:r>
            <w:r>
              <w:rPr>
                <w:rFonts w:ascii="Times New Roman"/>
                <w:color w:val="auto"/>
                <w:sz w:val="24"/>
              </w:rPr>
              <w:t>万元，占项目总投资</w:t>
            </w:r>
            <w:r>
              <w:rPr>
                <w:rFonts w:hint="eastAsia" w:ascii="Times New Roman"/>
                <w:color w:val="auto"/>
                <w:sz w:val="24"/>
                <w:lang w:eastAsia="zh-CN"/>
              </w:rPr>
              <w:t>200万</w:t>
            </w:r>
            <w:r>
              <w:rPr>
                <w:rFonts w:ascii="Times New Roman"/>
                <w:color w:val="auto"/>
                <w:sz w:val="24"/>
              </w:rPr>
              <w:t>元的的</w:t>
            </w:r>
            <w:r>
              <w:rPr>
                <w:rFonts w:hint="eastAsia" w:ascii="Times New Roman"/>
                <w:color w:val="auto"/>
                <w:sz w:val="24"/>
                <w:lang w:val="en-US" w:eastAsia="zh-CN"/>
              </w:rPr>
              <w:t>14</w:t>
            </w:r>
            <w:r>
              <w:rPr>
                <w:rFonts w:ascii="Times New Roman"/>
                <w:color w:val="auto"/>
                <w:sz w:val="24"/>
              </w:rPr>
              <w:t>%，具体见表：</w:t>
            </w:r>
          </w:p>
          <w:p>
            <w:pPr>
              <w:pStyle w:val="11"/>
              <w:spacing w:before="12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w:t>
            </w:r>
            <w:r>
              <w:rPr>
                <w:rFonts w:hint="eastAsia" w:ascii="Times New Roman" w:hAnsi="Times New Roman" w:cs="Times New Roman"/>
                <w:color w:val="auto"/>
                <w:sz w:val="21"/>
                <w:szCs w:val="21"/>
              </w:rPr>
              <w:t>4-1</w:t>
            </w:r>
            <w:r>
              <w:rPr>
                <w:rFonts w:hint="eastAsia" w:ascii="Times New Roman" w:hAnsi="Times New Roman" w:cs="Times New Roman"/>
                <w:color w:val="auto"/>
                <w:sz w:val="21"/>
                <w:szCs w:val="21"/>
                <w:lang w:val="en-US" w:eastAsia="zh-CN"/>
              </w:rPr>
              <w:t>6</w:t>
            </w:r>
            <w:r>
              <w:rPr>
                <w:rFonts w:hint="eastAsia" w:ascii="Times New Roman" w:hAnsi="Times New Roman" w:cs="Times New Roman"/>
                <w:color w:val="auto"/>
                <w:sz w:val="21"/>
                <w:szCs w:val="21"/>
              </w:rPr>
              <w:t xml:space="preserve"> </w:t>
            </w:r>
            <w:r>
              <w:rPr>
                <w:rFonts w:hint="default" w:ascii="Times New Roman" w:hAnsi="Times New Roman" w:cs="Times New Roman"/>
                <w:color w:val="auto"/>
                <w:sz w:val="21"/>
                <w:szCs w:val="21"/>
              </w:rPr>
              <w:t>建设项目环保措施投资一览表</w:t>
            </w:r>
          </w:p>
          <w:tbl>
            <w:tblPr>
              <w:tblStyle w:val="34"/>
              <w:tblW w:w="495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15"/>
              <w:gridCol w:w="1554"/>
              <w:gridCol w:w="1495"/>
              <w:gridCol w:w="3316"/>
              <w:gridCol w:w="11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321" w:type="pct"/>
                  <w:vAlign w:val="center"/>
                </w:tcPr>
                <w:p>
                  <w:pPr>
                    <w:jc w:val="center"/>
                    <w:rPr>
                      <w:color w:val="auto"/>
                      <w:sz w:val="21"/>
                      <w:szCs w:val="21"/>
                    </w:rPr>
                  </w:pPr>
                  <w:r>
                    <w:rPr>
                      <w:color w:val="auto"/>
                      <w:sz w:val="21"/>
                      <w:szCs w:val="21"/>
                    </w:rPr>
                    <w:t>序号</w:t>
                  </w:r>
                </w:p>
              </w:tc>
              <w:tc>
                <w:tcPr>
                  <w:tcW w:w="966" w:type="pct"/>
                  <w:vAlign w:val="center"/>
                </w:tcPr>
                <w:p>
                  <w:pPr>
                    <w:jc w:val="center"/>
                    <w:rPr>
                      <w:color w:val="auto"/>
                      <w:sz w:val="21"/>
                      <w:szCs w:val="21"/>
                    </w:rPr>
                  </w:pPr>
                  <w:r>
                    <w:rPr>
                      <w:color w:val="auto"/>
                      <w:sz w:val="21"/>
                      <w:szCs w:val="21"/>
                    </w:rPr>
                    <w:t>类 别</w:t>
                  </w:r>
                </w:p>
              </w:tc>
              <w:tc>
                <w:tcPr>
                  <w:tcW w:w="929" w:type="pct"/>
                  <w:vAlign w:val="center"/>
                </w:tcPr>
                <w:p>
                  <w:pPr>
                    <w:jc w:val="center"/>
                    <w:rPr>
                      <w:color w:val="auto"/>
                      <w:sz w:val="21"/>
                      <w:szCs w:val="21"/>
                    </w:rPr>
                  </w:pPr>
                  <w:r>
                    <w:rPr>
                      <w:color w:val="auto"/>
                      <w:sz w:val="21"/>
                      <w:szCs w:val="21"/>
                    </w:rPr>
                    <w:t>治理对象</w:t>
                  </w:r>
                </w:p>
              </w:tc>
              <w:tc>
                <w:tcPr>
                  <w:tcW w:w="2060" w:type="pct"/>
                  <w:vAlign w:val="center"/>
                </w:tcPr>
                <w:p>
                  <w:pPr>
                    <w:jc w:val="center"/>
                    <w:rPr>
                      <w:color w:val="auto"/>
                      <w:sz w:val="21"/>
                      <w:szCs w:val="21"/>
                    </w:rPr>
                  </w:pPr>
                  <w:r>
                    <w:rPr>
                      <w:color w:val="auto"/>
                      <w:sz w:val="21"/>
                      <w:szCs w:val="21"/>
                    </w:rPr>
                    <w:t>治理方案</w:t>
                  </w:r>
                </w:p>
              </w:tc>
              <w:tc>
                <w:tcPr>
                  <w:tcW w:w="722" w:type="pct"/>
                  <w:tcBorders>
                    <w:right w:val="single" w:color="auto" w:sz="4" w:space="0"/>
                  </w:tcBorders>
                  <w:vAlign w:val="center"/>
                </w:tcPr>
                <w:p>
                  <w:pPr>
                    <w:jc w:val="center"/>
                    <w:rPr>
                      <w:color w:val="auto"/>
                      <w:sz w:val="21"/>
                      <w:szCs w:val="21"/>
                    </w:rPr>
                  </w:pPr>
                  <w:r>
                    <w:rPr>
                      <w:color w:val="auto"/>
                      <w:sz w:val="21"/>
                      <w:szCs w:val="21"/>
                    </w:rPr>
                    <w:t>投资</w:t>
                  </w:r>
                </w:p>
                <w:p>
                  <w:pPr>
                    <w:jc w:val="center"/>
                    <w:rPr>
                      <w:color w:val="auto"/>
                      <w:sz w:val="21"/>
                      <w:szCs w:val="21"/>
                    </w:rPr>
                  </w:pPr>
                  <w:r>
                    <w:rPr>
                      <w:color w:val="auto"/>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321" w:type="pct"/>
                  <w:vMerge w:val="restart"/>
                  <w:vAlign w:val="center"/>
                </w:tcPr>
                <w:p>
                  <w:pPr>
                    <w:jc w:val="center"/>
                    <w:rPr>
                      <w:color w:val="auto"/>
                      <w:sz w:val="21"/>
                      <w:szCs w:val="21"/>
                    </w:rPr>
                  </w:pPr>
                  <w:r>
                    <w:rPr>
                      <w:color w:val="auto"/>
                      <w:sz w:val="21"/>
                      <w:szCs w:val="21"/>
                    </w:rPr>
                    <w:t>1</w:t>
                  </w:r>
                </w:p>
              </w:tc>
              <w:tc>
                <w:tcPr>
                  <w:tcW w:w="966" w:type="pct"/>
                  <w:vMerge w:val="restart"/>
                  <w:vAlign w:val="center"/>
                </w:tcPr>
                <w:p>
                  <w:pPr>
                    <w:jc w:val="center"/>
                    <w:rPr>
                      <w:color w:val="auto"/>
                      <w:sz w:val="21"/>
                      <w:szCs w:val="21"/>
                    </w:rPr>
                  </w:pPr>
                  <w:r>
                    <w:rPr>
                      <w:color w:val="auto"/>
                      <w:sz w:val="21"/>
                      <w:szCs w:val="21"/>
                    </w:rPr>
                    <w:t>废气防治措施</w:t>
                  </w:r>
                </w:p>
              </w:tc>
              <w:tc>
                <w:tcPr>
                  <w:tcW w:w="929" w:type="pct"/>
                  <w:vAlign w:val="center"/>
                </w:tcPr>
                <w:p>
                  <w:pPr>
                    <w:jc w:val="center"/>
                    <w:rPr>
                      <w:rFonts w:hint="eastAsia" w:eastAsia="宋体"/>
                      <w:color w:val="auto"/>
                      <w:sz w:val="21"/>
                      <w:szCs w:val="21"/>
                      <w:lang w:eastAsia="zh-CN"/>
                    </w:rPr>
                  </w:pPr>
                  <w:r>
                    <w:rPr>
                      <w:rFonts w:hint="eastAsia"/>
                      <w:color w:val="auto"/>
                      <w:sz w:val="21"/>
                      <w:szCs w:val="21"/>
                      <w:lang w:eastAsia="zh-CN"/>
                    </w:rPr>
                    <w:t>涂料生产</w:t>
                  </w:r>
                  <w:r>
                    <w:rPr>
                      <w:rFonts w:hint="eastAsia"/>
                      <w:color w:val="auto"/>
                      <w:sz w:val="21"/>
                      <w:szCs w:val="21"/>
                    </w:rPr>
                    <w:t>过程中产生的</w:t>
                  </w:r>
                  <w:r>
                    <w:rPr>
                      <w:rFonts w:hint="eastAsia"/>
                      <w:color w:val="auto"/>
                      <w:sz w:val="21"/>
                      <w:szCs w:val="21"/>
                      <w:lang w:val="en-US" w:eastAsia="zh-CN"/>
                    </w:rPr>
                    <w:t>有机废气</w:t>
                  </w:r>
                </w:p>
              </w:tc>
              <w:tc>
                <w:tcPr>
                  <w:tcW w:w="2060" w:type="pct"/>
                  <w:vAlign w:val="center"/>
                </w:tcPr>
                <w:p>
                  <w:pPr>
                    <w:jc w:val="center"/>
                    <w:rPr>
                      <w:color w:val="auto"/>
                      <w:sz w:val="21"/>
                      <w:szCs w:val="21"/>
                    </w:rPr>
                  </w:pPr>
                  <w:r>
                    <w:rPr>
                      <w:color w:val="auto"/>
                      <w:sz w:val="21"/>
                      <w:szCs w:val="21"/>
                    </w:rPr>
                    <w:t>集气罩+</w:t>
                  </w:r>
                  <w:r>
                    <w:rPr>
                      <w:rFonts w:hint="eastAsia"/>
                      <w:color w:val="auto"/>
                      <w:sz w:val="21"/>
                      <w:szCs w:val="21"/>
                    </w:rPr>
                    <w:t>活性炭吸附</w:t>
                  </w:r>
                  <w:r>
                    <w:rPr>
                      <w:color w:val="auto"/>
                      <w:sz w:val="21"/>
                      <w:szCs w:val="21"/>
                    </w:rPr>
                    <w:t>+15m高排气筒</w:t>
                  </w:r>
                </w:p>
              </w:tc>
              <w:tc>
                <w:tcPr>
                  <w:tcW w:w="722" w:type="pct"/>
                  <w:vMerge w:val="restart"/>
                  <w:tcBorders>
                    <w:right w:val="single" w:color="auto" w:sz="4" w:space="0"/>
                  </w:tcBorders>
                  <w:vAlign w:val="center"/>
                </w:tcPr>
                <w:p>
                  <w:pPr>
                    <w:jc w:val="center"/>
                    <w:rPr>
                      <w:rFonts w:hint="default"/>
                      <w:color w:val="auto"/>
                      <w:sz w:val="21"/>
                      <w:szCs w:val="21"/>
                      <w:lang w:val="en-US"/>
                    </w:rPr>
                  </w:pPr>
                  <w:r>
                    <w:rPr>
                      <w:rFonts w:hint="eastAsia"/>
                      <w:color w:val="auto"/>
                      <w:sz w:val="21"/>
                      <w:szCs w:val="21"/>
                      <w:lang w:val="en-US" w:eastAsia="zh-CN"/>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321" w:type="pct"/>
                  <w:vMerge w:val="continue"/>
                  <w:vAlign w:val="center"/>
                </w:tcPr>
                <w:p>
                  <w:pPr>
                    <w:jc w:val="center"/>
                    <w:rPr>
                      <w:color w:val="auto"/>
                      <w:sz w:val="21"/>
                      <w:szCs w:val="21"/>
                    </w:rPr>
                  </w:pPr>
                </w:p>
              </w:tc>
              <w:tc>
                <w:tcPr>
                  <w:tcW w:w="966" w:type="pct"/>
                  <w:vMerge w:val="continue"/>
                  <w:vAlign w:val="center"/>
                </w:tcPr>
                <w:p>
                  <w:pPr>
                    <w:jc w:val="center"/>
                    <w:rPr>
                      <w:color w:val="auto"/>
                      <w:sz w:val="21"/>
                      <w:szCs w:val="21"/>
                    </w:rPr>
                  </w:pPr>
                </w:p>
              </w:tc>
              <w:tc>
                <w:tcPr>
                  <w:tcW w:w="929"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水性涂料生产产生的颗粒物</w:t>
                  </w:r>
                </w:p>
              </w:tc>
              <w:tc>
                <w:tcPr>
                  <w:tcW w:w="2060" w:type="pct"/>
                  <w:vAlign w:val="center"/>
                </w:tcPr>
                <w:p>
                  <w:pPr>
                    <w:jc w:val="center"/>
                    <w:rPr>
                      <w:color w:val="auto"/>
                      <w:sz w:val="21"/>
                      <w:szCs w:val="21"/>
                    </w:rPr>
                  </w:pPr>
                  <w:r>
                    <w:rPr>
                      <w:color w:val="auto"/>
                      <w:sz w:val="21"/>
                      <w:szCs w:val="21"/>
                    </w:rPr>
                    <w:t>集气罩+</w:t>
                  </w:r>
                  <w:r>
                    <w:rPr>
                      <w:rFonts w:hint="eastAsia"/>
                      <w:color w:val="auto"/>
                      <w:sz w:val="21"/>
                      <w:szCs w:val="21"/>
                      <w:lang w:val="en-US" w:eastAsia="zh-CN"/>
                    </w:rPr>
                    <w:t>布袋除尘器</w:t>
                  </w:r>
                  <w:r>
                    <w:rPr>
                      <w:color w:val="auto"/>
                      <w:sz w:val="21"/>
                      <w:szCs w:val="21"/>
                    </w:rPr>
                    <w:t>+15m高排气筒</w:t>
                  </w:r>
                </w:p>
              </w:tc>
              <w:tc>
                <w:tcPr>
                  <w:tcW w:w="722" w:type="pct"/>
                  <w:vMerge w:val="continue"/>
                  <w:tcBorders>
                    <w:right w:val="single" w:color="auto" w:sz="4" w:space="0"/>
                  </w:tcBorders>
                  <w:vAlign w:val="center"/>
                </w:tcPr>
                <w:p>
                  <w:pPr>
                    <w:jc w:val="center"/>
                    <w:rPr>
                      <w:rFonts w:hint="eastAsia"/>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321" w:type="pct"/>
                  <w:vMerge w:val="continue"/>
                  <w:vAlign w:val="center"/>
                </w:tcPr>
                <w:p>
                  <w:pPr>
                    <w:jc w:val="center"/>
                    <w:rPr>
                      <w:color w:val="auto"/>
                      <w:sz w:val="21"/>
                      <w:szCs w:val="21"/>
                    </w:rPr>
                  </w:pPr>
                </w:p>
              </w:tc>
              <w:tc>
                <w:tcPr>
                  <w:tcW w:w="966" w:type="pct"/>
                  <w:vMerge w:val="continue"/>
                  <w:vAlign w:val="center"/>
                </w:tcPr>
                <w:p>
                  <w:pPr>
                    <w:jc w:val="center"/>
                    <w:rPr>
                      <w:color w:val="auto"/>
                      <w:sz w:val="21"/>
                      <w:szCs w:val="21"/>
                    </w:rPr>
                  </w:pPr>
                </w:p>
              </w:tc>
              <w:tc>
                <w:tcPr>
                  <w:tcW w:w="929" w:type="pct"/>
                  <w:vAlign w:val="center"/>
                </w:tcPr>
                <w:p>
                  <w:pPr>
                    <w:pStyle w:val="33"/>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隔热砂浆</w:t>
                  </w:r>
                  <w:r>
                    <w:rPr>
                      <w:rFonts w:hint="eastAsia"/>
                      <w:color w:val="auto"/>
                      <w:sz w:val="21"/>
                      <w:szCs w:val="21"/>
                      <w:lang w:val="en-US" w:eastAsia="zh-CN"/>
                    </w:rPr>
                    <w:t>生产产生的颗粒物</w:t>
                  </w:r>
                </w:p>
              </w:tc>
              <w:tc>
                <w:tcPr>
                  <w:tcW w:w="2060" w:type="pct"/>
                  <w:vAlign w:val="center"/>
                </w:tcPr>
                <w:p>
                  <w:pPr>
                    <w:jc w:val="center"/>
                    <w:rPr>
                      <w:color w:val="auto"/>
                      <w:sz w:val="21"/>
                      <w:szCs w:val="21"/>
                    </w:rPr>
                  </w:pPr>
                  <w:r>
                    <w:rPr>
                      <w:color w:val="auto"/>
                      <w:sz w:val="21"/>
                      <w:szCs w:val="21"/>
                    </w:rPr>
                    <w:t>集气罩+</w:t>
                  </w:r>
                  <w:r>
                    <w:rPr>
                      <w:rFonts w:hint="eastAsia"/>
                      <w:color w:val="auto"/>
                      <w:sz w:val="21"/>
                      <w:szCs w:val="21"/>
                      <w:lang w:val="en-US" w:eastAsia="zh-CN"/>
                    </w:rPr>
                    <w:t>布袋除尘器</w:t>
                  </w:r>
                  <w:r>
                    <w:rPr>
                      <w:color w:val="auto"/>
                      <w:sz w:val="21"/>
                      <w:szCs w:val="21"/>
                    </w:rPr>
                    <w:t>+15m高排气筒</w:t>
                  </w:r>
                </w:p>
              </w:tc>
              <w:tc>
                <w:tcPr>
                  <w:tcW w:w="722" w:type="pct"/>
                  <w:vMerge w:val="continue"/>
                  <w:tcBorders>
                    <w:right w:val="single" w:color="auto" w:sz="4" w:space="0"/>
                  </w:tcBorders>
                  <w:vAlign w:val="center"/>
                </w:tcPr>
                <w:p>
                  <w:pPr>
                    <w:jc w:val="center"/>
                    <w:rPr>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321"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w:t>
                  </w:r>
                </w:p>
              </w:tc>
              <w:tc>
                <w:tcPr>
                  <w:tcW w:w="966" w:type="pct"/>
                  <w:vMerge w:val="restart"/>
                  <w:vAlign w:val="center"/>
                </w:tcPr>
                <w:p>
                  <w:pPr>
                    <w:jc w:val="center"/>
                    <w:rPr>
                      <w:color w:val="auto"/>
                      <w:sz w:val="21"/>
                      <w:szCs w:val="21"/>
                    </w:rPr>
                  </w:pPr>
                  <w:r>
                    <w:rPr>
                      <w:color w:val="auto"/>
                      <w:sz w:val="21"/>
                      <w:szCs w:val="21"/>
                    </w:rPr>
                    <w:t>废水防治措施</w:t>
                  </w:r>
                </w:p>
              </w:tc>
              <w:tc>
                <w:tcPr>
                  <w:tcW w:w="929" w:type="pct"/>
                  <w:vAlign w:val="center"/>
                </w:tcPr>
                <w:p>
                  <w:pPr>
                    <w:jc w:val="center"/>
                    <w:rPr>
                      <w:rFonts w:hint="default" w:eastAsia="宋体"/>
                      <w:color w:val="auto"/>
                      <w:sz w:val="21"/>
                      <w:szCs w:val="21"/>
                      <w:lang w:val="en-US" w:eastAsia="zh-CN"/>
                    </w:rPr>
                  </w:pPr>
                  <w:r>
                    <w:rPr>
                      <w:rFonts w:hint="eastAsia"/>
                      <w:color w:val="auto"/>
                      <w:sz w:val="21"/>
                      <w:szCs w:val="21"/>
                      <w:lang w:val="en-US" w:eastAsia="zh-CN"/>
                    </w:rPr>
                    <w:t>生产废水</w:t>
                  </w:r>
                </w:p>
              </w:tc>
              <w:tc>
                <w:tcPr>
                  <w:tcW w:w="2060" w:type="pct"/>
                  <w:vAlign w:val="center"/>
                </w:tcPr>
                <w:p>
                  <w:pPr>
                    <w:jc w:val="center"/>
                    <w:rPr>
                      <w:rFonts w:hint="default" w:eastAsia="宋体"/>
                      <w:color w:val="auto"/>
                      <w:sz w:val="21"/>
                      <w:szCs w:val="21"/>
                      <w:lang w:val="en-US" w:eastAsia="zh-CN"/>
                    </w:rPr>
                  </w:pPr>
                  <w:r>
                    <w:rPr>
                      <w:rFonts w:hint="eastAsia"/>
                      <w:color w:val="auto"/>
                      <w:sz w:val="21"/>
                      <w:szCs w:val="21"/>
                    </w:rPr>
                    <w:t>去离子水</w:t>
                  </w:r>
                  <w:r>
                    <w:rPr>
                      <w:rFonts w:hint="eastAsia"/>
                      <w:color w:val="auto"/>
                      <w:sz w:val="21"/>
                      <w:szCs w:val="21"/>
                      <w:lang w:val="en-US" w:eastAsia="zh-CN"/>
                    </w:rPr>
                    <w:t>生产过程中产生的少量生产废水，用于邵东东创鞋底厂的绿化，综合利用</w:t>
                  </w:r>
                </w:p>
              </w:tc>
              <w:tc>
                <w:tcPr>
                  <w:tcW w:w="722" w:type="pct"/>
                  <w:vMerge w:val="restart"/>
                  <w:tcBorders>
                    <w:right w:val="single" w:color="auto" w:sz="4" w:space="0"/>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321" w:type="pct"/>
                  <w:vMerge w:val="continue"/>
                  <w:vAlign w:val="center"/>
                </w:tcPr>
                <w:p>
                  <w:pPr>
                    <w:jc w:val="center"/>
                    <w:rPr>
                      <w:rFonts w:hint="default" w:ascii="Times New Roman" w:hAnsi="Times New Roman" w:eastAsia="宋体" w:cs="Times New Roman"/>
                      <w:color w:val="auto"/>
                      <w:kern w:val="2"/>
                      <w:sz w:val="21"/>
                      <w:szCs w:val="21"/>
                      <w:lang w:val="en-US" w:eastAsia="zh-CN" w:bidi="ar-SA"/>
                    </w:rPr>
                  </w:pPr>
                </w:p>
              </w:tc>
              <w:tc>
                <w:tcPr>
                  <w:tcW w:w="966" w:type="pct"/>
                  <w:vMerge w:val="continue"/>
                  <w:vAlign w:val="center"/>
                </w:tcPr>
                <w:p>
                  <w:pPr>
                    <w:jc w:val="center"/>
                    <w:rPr>
                      <w:color w:val="auto"/>
                      <w:sz w:val="21"/>
                      <w:szCs w:val="21"/>
                    </w:rPr>
                  </w:pPr>
                </w:p>
              </w:tc>
              <w:tc>
                <w:tcPr>
                  <w:tcW w:w="929" w:type="pct"/>
                  <w:vAlign w:val="center"/>
                </w:tcPr>
                <w:p>
                  <w:pPr>
                    <w:jc w:val="center"/>
                    <w:rPr>
                      <w:color w:val="auto"/>
                      <w:sz w:val="21"/>
                      <w:szCs w:val="21"/>
                    </w:rPr>
                  </w:pPr>
                  <w:r>
                    <w:rPr>
                      <w:color w:val="auto"/>
                      <w:sz w:val="21"/>
                      <w:szCs w:val="21"/>
                    </w:rPr>
                    <w:t>生活污水</w:t>
                  </w:r>
                </w:p>
              </w:tc>
              <w:tc>
                <w:tcPr>
                  <w:tcW w:w="2060" w:type="pct"/>
                  <w:vAlign w:val="center"/>
                </w:tcPr>
                <w:p>
                  <w:pPr>
                    <w:jc w:val="center"/>
                    <w:rPr>
                      <w:rFonts w:hint="default" w:eastAsia="宋体"/>
                      <w:color w:val="auto"/>
                      <w:sz w:val="21"/>
                      <w:szCs w:val="21"/>
                      <w:lang w:val="en-US" w:eastAsia="zh-CN"/>
                    </w:rPr>
                  </w:pPr>
                  <w:r>
                    <w:rPr>
                      <w:color w:val="auto"/>
                      <w:sz w:val="21"/>
                      <w:szCs w:val="21"/>
                    </w:rPr>
                    <w:t>三级化粪池</w:t>
                  </w:r>
                  <w:r>
                    <w:rPr>
                      <w:rFonts w:hint="eastAsia"/>
                      <w:color w:val="auto"/>
                      <w:sz w:val="21"/>
                      <w:szCs w:val="21"/>
                      <w:lang w:eastAsia="zh-CN"/>
                    </w:rPr>
                    <w:t>、</w:t>
                  </w:r>
                  <w:r>
                    <w:rPr>
                      <w:rFonts w:hint="eastAsia"/>
                      <w:color w:val="auto"/>
                      <w:sz w:val="21"/>
                      <w:szCs w:val="21"/>
                      <w:lang w:val="en-US" w:eastAsia="zh-CN"/>
                    </w:rPr>
                    <w:t>隔油池</w:t>
                  </w:r>
                </w:p>
              </w:tc>
              <w:tc>
                <w:tcPr>
                  <w:tcW w:w="722" w:type="pct"/>
                  <w:vMerge w:val="continue"/>
                  <w:tcBorders>
                    <w:right w:val="single" w:color="auto" w:sz="4" w:space="0"/>
                  </w:tcBorders>
                  <w:vAlign w:val="center"/>
                </w:tcPr>
                <w:p>
                  <w:pPr>
                    <w:jc w:val="center"/>
                    <w:rPr>
                      <w:rFonts w:hint="default" w:eastAsia="宋体"/>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321" w:type="pct"/>
                  <w:vAlign w:val="center"/>
                </w:tcPr>
                <w:p>
                  <w:pPr>
                    <w:jc w:val="center"/>
                    <w:rPr>
                      <w:color w:val="auto"/>
                      <w:sz w:val="21"/>
                      <w:szCs w:val="21"/>
                    </w:rPr>
                  </w:pPr>
                  <w:r>
                    <w:rPr>
                      <w:color w:val="auto"/>
                      <w:sz w:val="21"/>
                      <w:szCs w:val="21"/>
                    </w:rPr>
                    <w:t>3</w:t>
                  </w:r>
                </w:p>
              </w:tc>
              <w:tc>
                <w:tcPr>
                  <w:tcW w:w="966" w:type="pct"/>
                  <w:vAlign w:val="center"/>
                </w:tcPr>
                <w:p>
                  <w:pPr>
                    <w:jc w:val="center"/>
                    <w:rPr>
                      <w:color w:val="auto"/>
                      <w:sz w:val="21"/>
                      <w:szCs w:val="21"/>
                    </w:rPr>
                  </w:pPr>
                  <w:r>
                    <w:rPr>
                      <w:color w:val="auto"/>
                      <w:sz w:val="21"/>
                      <w:szCs w:val="21"/>
                    </w:rPr>
                    <w:t>噪声防治措施</w:t>
                  </w:r>
                </w:p>
              </w:tc>
              <w:tc>
                <w:tcPr>
                  <w:tcW w:w="929" w:type="pct"/>
                  <w:vAlign w:val="center"/>
                </w:tcPr>
                <w:p>
                  <w:pPr>
                    <w:jc w:val="center"/>
                    <w:rPr>
                      <w:color w:val="auto"/>
                      <w:sz w:val="21"/>
                      <w:szCs w:val="21"/>
                    </w:rPr>
                  </w:pPr>
                  <w:r>
                    <w:rPr>
                      <w:color w:val="auto"/>
                      <w:sz w:val="21"/>
                      <w:szCs w:val="21"/>
                    </w:rPr>
                    <w:t>生产设备</w:t>
                  </w:r>
                </w:p>
              </w:tc>
              <w:tc>
                <w:tcPr>
                  <w:tcW w:w="2060" w:type="pct"/>
                  <w:vAlign w:val="center"/>
                </w:tcPr>
                <w:p>
                  <w:pPr>
                    <w:jc w:val="center"/>
                    <w:rPr>
                      <w:color w:val="auto"/>
                      <w:sz w:val="21"/>
                      <w:szCs w:val="21"/>
                    </w:rPr>
                  </w:pPr>
                  <w:r>
                    <w:rPr>
                      <w:color w:val="auto"/>
                      <w:sz w:val="21"/>
                      <w:szCs w:val="21"/>
                    </w:rPr>
                    <w:t>设备基础安装减震垫，厂房隔声等</w:t>
                  </w:r>
                </w:p>
              </w:tc>
              <w:tc>
                <w:tcPr>
                  <w:tcW w:w="722" w:type="pct"/>
                  <w:tcBorders>
                    <w:right w:val="single" w:color="auto" w:sz="4" w:space="0"/>
                  </w:tcBorders>
                  <w:vAlign w:val="center"/>
                </w:tcPr>
                <w:p>
                  <w:pPr>
                    <w:jc w:val="center"/>
                    <w:rPr>
                      <w:rFonts w:hint="eastAsia" w:eastAsia="宋体"/>
                      <w:color w:val="auto"/>
                      <w:sz w:val="21"/>
                      <w:szCs w:val="21"/>
                      <w:lang w:eastAsia="zh-CN"/>
                    </w:rPr>
                  </w:pPr>
                  <w:r>
                    <w:rPr>
                      <w:rFonts w:hint="eastAsia"/>
                      <w:color w:val="auto"/>
                      <w:sz w:val="21"/>
                      <w:szCs w:val="21"/>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321" w:type="pct"/>
                  <w:vMerge w:val="restart"/>
                  <w:vAlign w:val="center"/>
                </w:tcPr>
                <w:p>
                  <w:pPr>
                    <w:jc w:val="center"/>
                    <w:rPr>
                      <w:color w:val="auto"/>
                      <w:sz w:val="21"/>
                      <w:szCs w:val="21"/>
                    </w:rPr>
                  </w:pPr>
                  <w:r>
                    <w:rPr>
                      <w:color w:val="auto"/>
                      <w:sz w:val="21"/>
                      <w:szCs w:val="21"/>
                    </w:rPr>
                    <w:t>4</w:t>
                  </w:r>
                </w:p>
              </w:tc>
              <w:tc>
                <w:tcPr>
                  <w:tcW w:w="966" w:type="pct"/>
                  <w:vMerge w:val="restart"/>
                  <w:vAlign w:val="center"/>
                </w:tcPr>
                <w:p>
                  <w:pPr>
                    <w:jc w:val="center"/>
                    <w:rPr>
                      <w:color w:val="auto"/>
                      <w:sz w:val="21"/>
                      <w:szCs w:val="21"/>
                    </w:rPr>
                  </w:pPr>
                  <w:r>
                    <w:rPr>
                      <w:color w:val="auto"/>
                      <w:sz w:val="21"/>
                      <w:szCs w:val="21"/>
                    </w:rPr>
                    <w:t>固废</w:t>
                  </w:r>
                </w:p>
              </w:tc>
              <w:tc>
                <w:tcPr>
                  <w:tcW w:w="929" w:type="pct"/>
                  <w:vAlign w:val="center"/>
                </w:tcPr>
                <w:p>
                  <w:pPr>
                    <w:jc w:val="center"/>
                    <w:rPr>
                      <w:rFonts w:hint="eastAsia" w:eastAsia="宋体"/>
                      <w:color w:val="auto"/>
                      <w:sz w:val="21"/>
                      <w:szCs w:val="21"/>
                      <w:lang w:eastAsia="zh-CN"/>
                    </w:rPr>
                  </w:pPr>
                  <w:r>
                    <w:rPr>
                      <w:rFonts w:hint="eastAsia"/>
                      <w:color w:val="auto"/>
                      <w:sz w:val="21"/>
                      <w:szCs w:val="21"/>
                      <w:lang w:eastAsia="zh-CN"/>
                    </w:rPr>
                    <w:t>废包装袋、废包装桶、布袋除尘器粉尘</w:t>
                  </w:r>
                  <w:r>
                    <w:rPr>
                      <w:rFonts w:hint="eastAsia"/>
                      <w:color w:val="auto"/>
                      <w:lang w:val="en-US" w:eastAsia="zh-CN"/>
                    </w:rPr>
                    <w:t>、</w:t>
                  </w:r>
                  <w:r>
                    <w:rPr>
                      <w:rFonts w:hint="eastAsia"/>
                      <w:color w:val="auto"/>
                      <w:sz w:val="21"/>
                      <w:szCs w:val="21"/>
                      <w:lang w:val="en-US" w:eastAsia="zh-CN"/>
                    </w:rPr>
                    <w:t>反渗透膜</w:t>
                  </w:r>
                </w:p>
              </w:tc>
              <w:tc>
                <w:tcPr>
                  <w:tcW w:w="2060" w:type="pct"/>
                  <w:vAlign w:val="center"/>
                </w:tcPr>
                <w:p>
                  <w:pPr>
                    <w:jc w:val="center"/>
                    <w:rPr>
                      <w:color w:val="auto"/>
                      <w:sz w:val="21"/>
                      <w:szCs w:val="21"/>
                    </w:rPr>
                  </w:pPr>
                  <w:r>
                    <w:rPr>
                      <w:color w:val="auto"/>
                      <w:sz w:val="21"/>
                      <w:szCs w:val="21"/>
                    </w:rPr>
                    <w:t>场内设有一般固废临时暂存场所</w:t>
                  </w:r>
                </w:p>
              </w:tc>
              <w:tc>
                <w:tcPr>
                  <w:tcW w:w="722" w:type="pct"/>
                  <w:vMerge w:val="restart"/>
                  <w:tcBorders>
                    <w:right w:val="single" w:color="auto" w:sz="4" w:space="0"/>
                  </w:tcBorders>
                  <w:vAlign w:val="center"/>
                </w:tcPr>
                <w:p>
                  <w:pPr>
                    <w:jc w:val="center"/>
                    <w:rPr>
                      <w:rFonts w:hint="eastAsia" w:eastAsia="宋体"/>
                      <w:color w:val="auto"/>
                      <w:sz w:val="21"/>
                      <w:szCs w:val="21"/>
                      <w:lang w:eastAsia="zh-CN"/>
                    </w:rPr>
                  </w:pPr>
                  <w:r>
                    <w:rPr>
                      <w:rFonts w:hint="eastAsia"/>
                      <w:color w:val="auto"/>
                      <w:sz w:val="21"/>
                      <w:szCs w:val="21"/>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321" w:type="pct"/>
                  <w:vMerge w:val="continue"/>
                  <w:vAlign w:val="center"/>
                </w:tcPr>
                <w:p>
                  <w:pPr>
                    <w:jc w:val="center"/>
                    <w:rPr>
                      <w:color w:val="auto"/>
                      <w:sz w:val="21"/>
                      <w:szCs w:val="21"/>
                    </w:rPr>
                  </w:pPr>
                </w:p>
              </w:tc>
              <w:tc>
                <w:tcPr>
                  <w:tcW w:w="966" w:type="pct"/>
                  <w:vMerge w:val="continue"/>
                  <w:vAlign w:val="center"/>
                </w:tcPr>
                <w:p>
                  <w:pPr>
                    <w:jc w:val="center"/>
                    <w:rPr>
                      <w:color w:val="auto"/>
                      <w:sz w:val="21"/>
                      <w:szCs w:val="21"/>
                    </w:rPr>
                  </w:pPr>
                </w:p>
              </w:tc>
              <w:tc>
                <w:tcPr>
                  <w:tcW w:w="929" w:type="pct"/>
                  <w:vAlign w:val="center"/>
                </w:tcPr>
                <w:p>
                  <w:pPr>
                    <w:jc w:val="center"/>
                    <w:rPr>
                      <w:rFonts w:hint="eastAsia" w:eastAsia="宋体"/>
                      <w:color w:val="auto"/>
                      <w:sz w:val="21"/>
                      <w:szCs w:val="21"/>
                      <w:lang w:eastAsia="zh-CN"/>
                    </w:rPr>
                  </w:pPr>
                  <w:r>
                    <w:rPr>
                      <w:rFonts w:hint="eastAsia"/>
                      <w:color w:val="auto"/>
                      <w:sz w:val="21"/>
                      <w:szCs w:val="21"/>
                      <w:lang w:eastAsia="zh-CN"/>
                    </w:rPr>
                    <w:t>废活性炭</w:t>
                  </w:r>
                </w:p>
              </w:tc>
              <w:tc>
                <w:tcPr>
                  <w:tcW w:w="2060" w:type="pct"/>
                  <w:vAlign w:val="center"/>
                </w:tcPr>
                <w:p>
                  <w:pPr>
                    <w:jc w:val="center"/>
                    <w:rPr>
                      <w:color w:val="auto"/>
                      <w:sz w:val="21"/>
                      <w:szCs w:val="21"/>
                    </w:rPr>
                  </w:pPr>
                  <w:r>
                    <w:rPr>
                      <w:rFonts w:hint="eastAsia"/>
                      <w:color w:val="auto"/>
                      <w:sz w:val="21"/>
                      <w:szCs w:val="21"/>
                    </w:rPr>
                    <w:t>设危废暂存间</w:t>
                  </w:r>
                  <w:r>
                    <w:rPr>
                      <w:rFonts w:hint="eastAsia"/>
                      <w:color w:val="auto"/>
                      <w:sz w:val="21"/>
                      <w:szCs w:val="21"/>
                      <w:lang w:val="en-US" w:eastAsia="zh-CN"/>
                    </w:rPr>
                    <w:t>5</w:t>
                  </w:r>
                  <w:r>
                    <w:rPr>
                      <w:rFonts w:hint="eastAsia"/>
                      <w:color w:val="auto"/>
                      <w:sz w:val="21"/>
                      <w:szCs w:val="21"/>
                    </w:rPr>
                    <w:t>m</w:t>
                  </w:r>
                  <w:r>
                    <w:rPr>
                      <w:rFonts w:hint="eastAsia"/>
                      <w:color w:val="auto"/>
                      <w:sz w:val="21"/>
                      <w:szCs w:val="21"/>
                      <w:vertAlign w:val="superscript"/>
                    </w:rPr>
                    <w:t>2</w:t>
                  </w:r>
                </w:p>
              </w:tc>
              <w:tc>
                <w:tcPr>
                  <w:tcW w:w="722" w:type="pct"/>
                  <w:vMerge w:val="continue"/>
                  <w:tcBorders>
                    <w:right w:val="single" w:color="auto" w:sz="4" w:space="0"/>
                  </w:tcBorders>
                  <w:vAlign w:val="center"/>
                </w:tcPr>
                <w:p>
                  <w:pPr>
                    <w:jc w:val="center"/>
                    <w:rPr>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321" w:type="pct"/>
                  <w:vMerge w:val="continue"/>
                  <w:vAlign w:val="center"/>
                </w:tcPr>
                <w:p>
                  <w:pPr>
                    <w:jc w:val="center"/>
                    <w:rPr>
                      <w:color w:val="auto"/>
                      <w:sz w:val="21"/>
                      <w:szCs w:val="21"/>
                    </w:rPr>
                  </w:pPr>
                </w:p>
              </w:tc>
              <w:tc>
                <w:tcPr>
                  <w:tcW w:w="966" w:type="pct"/>
                  <w:vMerge w:val="continue"/>
                  <w:vAlign w:val="center"/>
                </w:tcPr>
                <w:p>
                  <w:pPr>
                    <w:jc w:val="center"/>
                    <w:rPr>
                      <w:color w:val="auto"/>
                      <w:sz w:val="21"/>
                      <w:szCs w:val="21"/>
                    </w:rPr>
                  </w:pPr>
                </w:p>
              </w:tc>
              <w:tc>
                <w:tcPr>
                  <w:tcW w:w="929" w:type="pct"/>
                  <w:vAlign w:val="center"/>
                </w:tcPr>
                <w:p>
                  <w:pPr>
                    <w:jc w:val="center"/>
                    <w:rPr>
                      <w:color w:val="auto"/>
                      <w:sz w:val="21"/>
                      <w:szCs w:val="21"/>
                    </w:rPr>
                  </w:pPr>
                  <w:r>
                    <w:rPr>
                      <w:color w:val="auto"/>
                      <w:sz w:val="21"/>
                      <w:szCs w:val="21"/>
                    </w:rPr>
                    <w:t>生活垃圾</w:t>
                  </w:r>
                </w:p>
              </w:tc>
              <w:tc>
                <w:tcPr>
                  <w:tcW w:w="2060" w:type="pct"/>
                  <w:vAlign w:val="center"/>
                </w:tcPr>
                <w:p>
                  <w:pPr>
                    <w:jc w:val="center"/>
                    <w:rPr>
                      <w:color w:val="auto"/>
                      <w:sz w:val="21"/>
                      <w:szCs w:val="21"/>
                    </w:rPr>
                  </w:pPr>
                  <w:r>
                    <w:rPr>
                      <w:color w:val="auto"/>
                      <w:sz w:val="21"/>
                      <w:szCs w:val="21"/>
                    </w:rPr>
                    <w:t>垃圾收集桶，收集后委托园区清运处理</w:t>
                  </w:r>
                </w:p>
              </w:tc>
              <w:tc>
                <w:tcPr>
                  <w:tcW w:w="722" w:type="pct"/>
                  <w:vMerge w:val="continue"/>
                  <w:tcBorders>
                    <w:right w:val="single" w:color="auto" w:sz="4" w:space="0"/>
                  </w:tcBorders>
                  <w:vAlign w:val="center"/>
                </w:tcPr>
                <w:p>
                  <w:pPr>
                    <w:jc w:val="center"/>
                    <w:rPr>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321" w:type="pct"/>
                  <w:vAlign w:val="center"/>
                </w:tcPr>
                <w:p>
                  <w:pPr>
                    <w:jc w:val="center"/>
                    <w:rPr>
                      <w:rFonts w:hint="eastAsia" w:eastAsia="宋体"/>
                      <w:color w:val="auto"/>
                      <w:sz w:val="21"/>
                      <w:szCs w:val="21"/>
                      <w:lang w:val="en-US" w:eastAsia="zh-CN"/>
                    </w:rPr>
                  </w:pPr>
                  <w:r>
                    <w:rPr>
                      <w:rFonts w:hint="eastAsia"/>
                      <w:color w:val="auto"/>
                      <w:sz w:val="21"/>
                      <w:szCs w:val="21"/>
                      <w:lang w:val="en-US" w:eastAsia="zh-CN"/>
                    </w:rPr>
                    <w:t>5</w:t>
                  </w:r>
                </w:p>
              </w:tc>
              <w:tc>
                <w:tcPr>
                  <w:tcW w:w="1895" w:type="pct"/>
                  <w:gridSpan w:val="2"/>
                  <w:vAlign w:val="center"/>
                </w:tcPr>
                <w:p>
                  <w:pPr>
                    <w:jc w:val="center"/>
                    <w:rPr>
                      <w:rFonts w:hint="default" w:eastAsia="宋体"/>
                      <w:color w:val="auto"/>
                      <w:sz w:val="21"/>
                      <w:szCs w:val="21"/>
                      <w:lang w:val="en-US" w:eastAsia="zh-CN"/>
                    </w:rPr>
                  </w:pPr>
                  <w:r>
                    <w:rPr>
                      <w:rFonts w:hint="eastAsia"/>
                      <w:color w:val="auto"/>
                      <w:sz w:val="21"/>
                      <w:szCs w:val="21"/>
                      <w:lang w:val="en-US" w:eastAsia="zh-CN"/>
                    </w:rPr>
                    <w:t>风险防范措施</w:t>
                  </w:r>
                </w:p>
              </w:tc>
              <w:tc>
                <w:tcPr>
                  <w:tcW w:w="2060" w:type="pct"/>
                  <w:vAlign w:val="center"/>
                </w:tcPr>
                <w:p>
                  <w:pPr>
                    <w:jc w:val="center"/>
                    <w:rPr>
                      <w:color w:val="auto"/>
                      <w:sz w:val="21"/>
                      <w:szCs w:val="21"/>
                    </w:rPr>
                  </w:pPr>
                  <w:r>
                    <w:rPr>
                      <w:rFonts w:hint="eastAsia" w:ascii="Times New Roman" w:hAnsi="Times New Roman" w:eastAsia="宋体" w:cs="Times New Roman"/>
                      <w:color w:val="auto"/>
                      <w:sz w:val="21"/>
                      <w:szCs w:val="21"/>
                      <w:lang w:val="en-US" w:eastAsia="zh-CN"/>
                    </w:rPr>
                    <w:t>严格按照消防安全的相关规定，在车间内设置灭火器材。产品和液态原辅料均存储于仓库内</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危险废物暂存间、原料储存区、成品储存区建设截流边沟、应急池，生产车间临时存放的少量液态物料存放在接液托盘上，收集泄漏物，避免进入环境。</w:t>
                  </w:r>
                  <w:r>
                    <w:rPr>
                      <w:rFonts w:hint="eastAsia"/>
                      <w:color w:val="auto"/>
                      <w:sz w:val="21"/>
                      <w:szCs w:val="21"/>
                    </w:rPr>
                    <w:t>地面做防渗处理；危废间做好“四防”措施，将危险废物控制在危废间内；配置灭火器等消防设施</w:t>
                  </w:r>
                </w:p>
              </w:tc>
              <w:tc>
                <w:tcPr>
                  <w:tcW w:w="722" w:type="pct"/>
                  <w:tcBorders>
                    <w:right w:val="single" w:color="auto" w:sz="4" w:space="0"/>
                  </w:tcBorders>
                  <w:vAlign w:val="center"/>
                </w:tcPr>
                <w:p>
                  <w:pPr>
                    <w:jc w:val="center"/>
                    <w:rPr>
                      <w:rFonts w:hint="default"/>
                      <w:color w:val="auto"/>
                      <w:sz w:val="21"/>
                      <w:szCs w:val="21"/>
                      <w:lang w:val="en-US" w:eastAsia="zh-CN"/>
                    </w:rPr>
                  </w:pPr>
                  <w:r>
                    <w:rPr>
                      <w:rFonts w:hint="eastAsia"/>
                      <w:color w:val="auto"/>
                      <w:sz w:val="21"/>
                      <w:szCs w:val="21"/>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4277" w:type="pct"/>
                  <w:gridSpan w:val="4"/>
                  <w:vAlign w:val="center"/>
                </w:tcPr>
                <w:p>
                  <w:pPr>
                    <w:jc w:val="center"/>
                    <w:rPr>
                      <w:color w:val="auto"/>
                      <w:sz w:val="21"/>
                      <w:szCs w:val="21"/>
                    </w:rPr>
                  </w:pPr>
                  <w:r>
                    <w:rPr>
                      <w:color w:val="auto"/>
                      <w:sz w:val="21"/>
                      <w:szCs w:val="21"/>
                    </w:rPr>
                    <w:t>总计</w:t>
                  </w:r>
                </w:p>
              </w:tc>
              <w:tc>
                <w:tcPr>
                  <w:tcW w:w="722" w:type="pct"/>
                  <w:tcBorders>
                    <w:right w:val="single" w:color="auto" w:sz="4" w:space="0"/>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28</w:t>
                  </w:r>
                </w:p>
              </w:tc>
            </w:tr>
          </w:tbl>
          <w:p>
            <w:pPr>
              <w:rPr>
                <w:color w:val="auto"/>
              </w:rPr>
            </w:pPr>
          </w:p>
          <w:p>
            <w:pPr>
              <w:pStyle w:val="8"/>
              <w:rPr>
                <w:color w:val="auto"/>
              </w:rPr>
            </w:pPr>
          </w:p>
        </w:tc>
      </w:tr>
    </w:tbl>
    <w:p>
      <w:pPr>
        <w:adjustRightInd w:val="0"/>
        <w:snapToGrid w:val="0"/>
        <w:spacing w:line="360" w:lineRule="auto"/>
        <w:rPr>
          <w:b/>
          <w:color w:val="auto"/>
          <w:kern w:val="0"/>
          <w:sz w:val="28"/>
          <w:szCs w:val="28"/>
        </w:rPr>
        <w:sectPr>
          <w:pgSz w:w="11907" w:h="16840"/>
          <w:pgMar w:top="1701" w:right="1531" w:bottom="2127" w:left="1531" w:header="851" w:footer="851" w:gutter="0"/>
          <w:pgNumType w:fmt="decimal"/>
          <w:cols w:space="720" w:num="1"/>
          <w:docGrid w:linePitch="312" w:charSpace="0"/>
        </w:sectPr>
      </w:pPr>
    </w:p>
    <w:p>
      <w:pPr>
        <w:pStyle w:val="29"/>
        <w:jc w:val="center"/>
        <w:outlineLvl w:val="0"/>
        <w:rPr>
          <w:rStyle w:val="46"/>
          <w:rFonts w:ascii="Times New Roman" w:hAnsi="Times New Roman"/>
          <w:color w:val="auto"/>
        </w:rPr>
      </w:pPr>
      <w:bookmarkStart w:id="14" w:name="_Toc71631407"/>
      <w:r>
        <w:rPr>
          <w:rStyle w:val="46"/>
          <w:rFonts w:ascii="Times New Roman" w:hAnsi="Times New Roman"/>
          <w:color w:val="auto"/>
        </w:rPr>
        <w:t>五、</w:t>
      </w:r>
      <w:bookmarkStart w:id="15" w:name="_Hlk54167917"/>
      <w:r>
        <w:rPr>
          <w:rStyle w:val="46"/>
          <w:rFonts w:ascii="Times New Roman" w:hAnsi="Times New Roman"/>
          <w:color w:val="auto"/>
        </w:rPr>
        <w:t>环境保护措施监督检查清单</w:t>
      </w:r>
      <w:bookmarkEnd w:id="14"/>
      <w:bookmarkEnd w:id="15"/>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adjustRightInd w:val="0"/>
              <w:snapToGrid w:val="0"/>
              <w:ind w:firstLine="840"/>
              <w:rPr>
                <w:color w:val="auto"/>
                <w:szCs w:val="21"/>
              </w:rPr>
            </w:pPr>
            <w:r>
              <w:rPr>
                <w:color w:val="auto"/>
                <w:szCs w:val="21"/>
              </w:rPr>
              <w:t>内容</w:t>
            </w:r>
          </w:p>
          <w:p>
            <w:pPr>
              <w:adjustRightInd w:val="0"/>
              <w:snapToGrid w:val="0"/>
              <w:rPr>
                <w:color w:val="auto"/>
                <w:szCs w:val="21"/>
              </w:rPr>
            </w:pPr>
            <w:r>
              <w:rPr>
                <w:color w:val="auto"/>
                <w:szCs w:val="21"/>
              </w:rPr>
              <w:t>要素</w:t>
            </w:r>
          </w:p>
        </w:tc>
        <w:tc>
          <w:tcPr>
            <w:tcW w:w="1755" w:type="dxa"/>
            <w:vAlign w:val="center"/>
          </w:tcPr>
          <w:p>
            <w:pPr>
              <w:adjustRightInd w:val="0"/>
              <w:snapToGrid w:val="0"/>
              <w:jc w:val="center"/>
              <w:rPr>
                <w:color w:val="auto"/>
                <w:szCs w:val="21"/>
              </w:rPr>
            </w:pPr>
            <w:r>
              <w:rPr>
                <w:color w:val="auto"/>
                <w:szCs w:val="21"/>
              </w:rPr>
              <w:t>排放口(编号、</w:t>
            </w:r>
          </w:p>
          <w:p>
            <w:pPr>
              <w:adjustRightInd w:val="0"/>
              <w:snapToGrid w:val="0"/>
              <w:jc w:val="center"/>
              <w:rPr>
                <w:color w:val="auto"/>
                <w:szCs w:val="21"/>
              </w:rPr>
            </w:pPr>
            <w:r>
              <w:rPr>
                <w:color w:val="auto"/>
                <w:szCs w:val="21"/>
              </w:rPr>
              <w:t>名称)/污染源</w:t>
            </w:r>
          </w:p>
        </w:tc>
        <w:tc>
          <w:tcPr>
            <w:tcW w:w="1755" w:type="dxa"/>
            <w:vAlign w:val="center"/>
          </w:tcPr>
          <w:p>
            <w:pPr>
              <w:adjustRightInd w:val="0"/>
              <w:snapToGrid w:val="0"/>
              <w:jc w:val="center"/>
              <w:rPr>
                <w:color w:val="auto"/>
                <w:szCs w:val="21"/>
              </w:rPr>
            </w:pPr>
            <w:r>
              <w:rPr>
                <w:color w:val="auto"/>
                <w:szCs w:val="21"/>
              </w:rPr>
              <w:t>污染物项目</w:t>
            </w:r>
          </w:p>
        </w:tc>
        <w:tc>
          <w:tcPr>
            <w:tcW w:w="1755" w:type="dxa"/>
            <w:vAlign w:val="center"/>
          </w:tcPr>
          <w:p>
            <w:pPr>
              <w:adjustRightInd w:val="0"/>
              <w:snapToGrid w:val="0"/>
              <w:jc w:val="center"/>
              <w:rPr>
                <w:color w:val="auto"/>
                <w:szCs w:val="21"/>
              </w:rPr>
            </w:pPr>
            <w:r>
              <w:rPr>
                <w:color w:val="auto"/>
                <w:szCs w:val="21"/>
              </w:rPr>
              <w:t>环境保护措施</w:t>
            </w:r>
          </w:p>
        </w:tc>
        <w:tc>
          <w:tcPr>
            <w:tcW w:w="1757" w:type="dxa"/>
            <w:vAlign w:val="center"/>
          </w:tcPr>
          <w:p>
            <w:pPr>
              <w:adjustRightInd w:val="0"/>
              <w:snapToGrid w:val="0"/>
              <w:jc w:val="center"/>
              <w:rPr>
                <w:color w:val="auto"/>
                <w:szCs w:val="21"/>
              </w:rPr>
            </w:pPr>
            <w:r>
              <w:rPr>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778" w:type="dxa"/>
            <w:vMerge w:val="restart"/>
            <w:vAlign w:val="center"/>
          </w:tcPr>
          <w:p>
            <w:pPr>
              <w:adjustRightInd w:val="0"/>
              <w:snapToGrid w:val="0"/>
              <w:jc w:val="center"/>
              <w:rPr>
                <w:color w:val="auto"/>
                <w:szCs w:val="21"/>
              </w:rPr>
            </w:pPr>
            <w:r>
              <w:rPr>
                <w:color w:val="auto"/>
                <w:szCs w:val="21"/>
              </w:rPr>
              <w:t>大气环境</w:t>
            </w:r>
          </w:p>
        </w:tc>
        <w:tc>
          <w:tcPr>
            <w:tcW w:w="1755" w:type="dxa"/>
            <w:vAlign w:val="center"/>
          </w:tcPr>
          <w:p>
            <w:pPr>
              <w:adjustRightInd w:val="0"/>
              <w:snapToGrid w:val="0"/>
              <w:jc w:val="center"/>
              <w:rPr>
                <w:rFonts w:hint="eastAsia" w:eastAsia="宋体"/>
                <w:color w:val="auto"/>
                <w:szCs w:val="21"/>
                <w:lang w:val="en-US" w:eastAsia="zh-CN"/>
              </w:rPr>
            </w:pPr>
            <w:r>
              <w:rPr>
                <w:rFonts w:hint="eastAsia"/>
                <w:color w:val="auto"/>
                <w:szCs w:val="21"/>
              </w:rPr>
              <w:t>有机废气排气筒</w:t>
            </w:r>
            <w:r>
              <w:rPr>
                <w:rFonts w:hint="eastAsia"/>
                <w:color w:val="auto"/>
                <w:szCs w:val="21"/>
                <w:lang w:val="en-US" w:eastAsia="zh-CN"/>
              </w:rPr>
              <w:t>DA001</w:t>
            </w:r>
          </w:p>
        </w:tc>
        <w:tc>
          <w:tcPr>
            <w:tcW w:w="1755"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非甲烷总烃</w:t>
            </w:r>
          </w:p>
        </w:tc>
        <w:tc>
          <w:tcPr>
            <w:tcW w:w="1755" w:type="dxa"/>
            <w:vAlign w:val="center"/>
          </w:tcPr>
          <w:p>
            <w:pPr>
              <w:adjustRightInd w:val="0"/>
              <w:snapToGrid w:val="0"/>
              <w:jc w:val="center"/>
              <w:rPr>
                <w:color w:val="auto"/>
                <w:szCs w:val="21"/>
              </w:rPr>
            </w:pPr>
            <w:r>
              <w:rPr>
                <w:rFonts w:hint="eastAsia"/>
                <w:color w:val="auto"/>
                <w:szCs w:val="21"/>
              </w:rPr>
              <w:t>集气罩收集、活性炭吸附、15m高排气筒高空排放</w:t>
            </w:r>
          </w:p>
        </w:tc>
        <w:tc>
          <w:tcPr>
            <w:tcW w:w="1757" w:type="dxa"/>
            <w:vMerge w:val="restart"/>
            <w:vAlign w:val="center"/>
          </w:tcPr>
          <w:p>
            <w:pPr>
              <w:adjustRightInd w:val="0"/>
              <w:snapToGrid w:val="0"/>
              <w:jc w:val="center"/>
              <w:rPr>
                <w:rFonts w:hint="eastAsia" w:eastAsia="宋体"/>
                <w:color w:val="auto"/>
                <w:szCs w:val="21"/>
                <w:lang w:eastAsia="zh-CN"/>
              </w:rPr>
            </w:pPr>
            <w:r>
              <w:rPr>
                <w:rFonts w:hint="eastAsia"/>
                <w:color w:val="auto"/>
                <w:szCs w:val="21"/>
                <w:lang w:eastAsia="zh-CN"/>
              </w:rPr>
              <w:t>《涂料、油墨及胶粘剂工业大气污染物排放标准》（GB 37824—2019）表1中排放限值要求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rFonts w:hint="default"/>
                <w:color w:val="auto"/>
                <w:szCs w:val="21"/>
                <w:lang w:val="en-US"/>
              </w:rPr>
            </w:pPr>
            <w:r>
              <w:rPr>
                <w:rFonts w:hint="eastAsia"/>
                <w:color w:val="auto"/>
                <w:szCs w:val="21"/>
                <w:lang w:val="en-US" w:eastAsia="zh-CN"/>
              </w:rPr>
              <w:t>布袋除尘器</w:t>
            </w:r>
            <w:r>
              <w:rPr>
                <w:rFonts w:hint="eastAsia"/>
                <w:color w:val="auto"/>
                <w:szCs w:val="21"/>
              </w:rPr>
              <w:t>排气筒</w:t>
            </w:r>
            <w:r>
              <w:rPr>
                <w:rFonts w:hint="eastAsia"/>
                <w:color w:val="auto"/>
                <w:szCs w:val="21"/>
                <w:lang w:val="en-US" w:eastAsia="zh-CN"/>
              </w:rPr>
              <w:t>DA002</w:t>
            </w:r>
          </w:p>
        </w:tc>
        <w:tc>
          <w:tcPr>
            <w:tcW w:w="1755" w:type="dxa"/>
            <w:vAlign w:val="center"/>
          </w:tcPr>
          <w:p>
            <w:pPr>
              <w:adjustRightInd w:val="0"/>
              <w:snapToGrid w:val="0"/>
              <w:jc w:val="center"/>
              <w:rPr>
                <w:rFonts w:hint="eastAsia" w:eastAsia="宋体"/>
                <w:color w:val="auto"/>
                <w:szCs w:val="21"/>
                <w:lang w:eastAsia="zh-CN"/>
              </w:rPr>
            </w:pPr>
            <w:r>
              <w:rPr>
                <w:rFonts w:hint="eastAsia"/>
                <w:color w:val="auto"/>
                <w:szCs w:val="21"/>
                <w:lang w:val="en-US" w:eastAsia="zh-CN"/>
              </w:rPr>
              <w:t>颗粒物</w:t>
            </w:r>
          </w:p>
        </w:tc>
        <w:tc>
          <w:tcPr>
            <w:tcW w:w="1755" w:type="dxa"/>
            <w:vAlign w:val="center"/>
          </w:tcPr>
          <w:p>
            <w:pPr>
              <w:adjustRightInd w:val="0"/>
              <w:snapToGrid w:val="0"/>
              <w:jc w:val="center"/>
              <w:rPr>
                <w:rFonts w:hint="eastAsia"/>
                <w:color w:val="auto"/>
                <w:szCs w:val="21"/>
              </w:rPr>
            </w:pPr>
            <w:r>
              <w:rPr>
                <w:rFonts w:hint="eastAsia"/>
                <w:color w:val="auto"/>
                <w:szCs w:val="21"/>
              </w:rPr>
              <w:t>集气罩收集、</w:t>
            </w:r>
            <w:r>
              <w:rPr>
                <w:rFonts w:hint="eastAsia"/>
                <w:color w:val="auto"/>
                <w:szCs w:val="21"/>
                <w:lang w:val="en-US" w:eastAsia="zh-CN"/>
              </w:rPr>
              <w:t>布袋除尘器处理</w:t>
            </w:r>
            <w:r>
              <w:rPr>
                <w:rFonts w:hint="eastAsia"/>
                <w:color w:val="auto"/>
                <w:szCs w:val="21"/>
              </w:rPr>
              <w:t>、15m高排气筒高空排放</w:t>
            </w:r>
          </w:p>
        </w:tc>
        <w:tc>
          <w:tcPr>
            <w:tcW w:w="1757" w:type="dxa"/>
            <w:vMerge w:val="continue"/>
            <w:vAlign w:val="center"/>
          </w:tcPr>
          <w:p>
            <w:pPr>
              <w:adjustRightInd w:val="0"/>
              <w:snapToGrid w:val="0"/>
              <w:jc w:val="center"/>
              <w:rPr>
                <w:rFonts w:hint="eastAsia"/>
                <w:color w:val="auto"/>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rFonts w:hint="default"/>
                <w:color w:val="auto"/>
                <w:szCs w:val="21"/>
                <w:lang w:val="en-US"/>
              </w:rPr>
            </w:pPr>
            <w:r>
              <w:rPr>
                <w:rFonts w:hint="eastAsia"/>
                <w:color w:val="auto"/>
                <w:szCs w:val="21"/>
                <w:lang w:val="en-US" w:eastAsia="zh-CN"/>
              </w:rPr>
              <w:t>布袋除尘器排气筒DA003</w:t>
            </w:r>
          </w:p>
        </w:tc>
        <w:tc>
          <w:tcPr>
            <w:tcW w:w="1755" w:type="dxa"/>
            <w:vAlign w:val="center"/>
          </w:tcPr>
          <w:p>
            <w:pPr>
              <w:adjustRightInd w:val="0"/>
              <w:snapToGrid w:val="0"/>
              <w:jc w:val="center"/>
              <w:rPr>
                <w:rFonts w:hint="eastAsia" w:eastAsia="宋体"/>
                <w:color w:val="auto"/>
                <w:sz w:val="21"/>
                <w:szCs w:val="21"/>
                <w:lang w:eastAsia="zh-CN"/>
              </w:rPr>
            </w:pPr>
            <w:r>
              <w:rPr>
                <w:rFonts w:hint="eastAsia"/>
                <w:color w:val="auto"/>
                <w:szCs w:val="21"/>
                <w:lang w:val="en-US" w:eastAsia="zh-CN"/>
              </w:rPr>
              <w:t>颗粒物</w:t>
            </w:r>
          </w:p>
        </w:tc>
        <w:tc>
          <w:tcPr>
            <w:tcW w:w="1755" w:type="dxa"/>
            <w:vAlign w:val="center"/>
          </w:tcPr>
          <w:p>
            <w:pPr>
              <w:adjustRightInd w:val="0"/>
              <w:snapToGrid w:val="0"/>
              <w:jc w:val="center"/>
              <w:rPr>
                <w:rFonts w:hint="default" w:eastAsia="宋体"/>
                <w:color w:val="auto"/>
                <w:sz w:val="21"/>
                <w:szCs w:val="21"/>
                <w:lang w:val="en-US" w:eastAsia="zh-CN"/>
              </w:rPr>
            </w:pPr>
            <w:r>
              <w:rPr>
                <w:rFonts w:hint="eastAsia"/>
                <w:color w:val="auto"/>
                <w:szCs w:val="21"/>
              </w:rPr>
              <w:t>集气罩收集、</w:t>
            </w:r>
            <w:r>
              <w:rPr>
                <w:rFonts w:hint="eastAsia"/>
                <w:color w:val="auto"/>
                <w:szCs w:val="21"/>
                <w:lang w:val="en-US" w:eastAsia="zh-CN"/>
              </w:rPr>
              <w:t>布袋除尘器处理</w:t>
            </w:r>
            <w:r>
              <w:rPr>
                <w:rFonts w:hint="eastAsia"/>
                <w:color w:val="auto"/>
                <w:szCs w:val="21"/>
              </w:rPr>
              <w:t>、15m高排气筒高空排放</w:t>
            </w:r>
          </w:p>
        </w:tc>
        <w:tc>
          <w:tcPr>
            <w:tcW w:w="1757" w:type="dxa"/>
            <w:vMerge w:val="continue"/>
            <w:vAlign w:val="center"/>
          </w:tcPr>
          <w:p>
            <w:pPr>
              <w:adjustRightInd w:val="0"/>
              <w:snapToGrid w:val="0"/>
              <w:jc w:val="center"/>
              <w:rPr>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778" w:type="dxa"/>
            <w:vMerge w:val="continue"/>
            <w:vAlign w:val="center"/>
          </w:tcPr>
          <w:p>
            <w:pPr>
              <w:adjustRightInd w:val="0"/>
              <w:snapToGrid w:val="0"/>
              <w:jc w:val="center"/>
              <w:rPr>
                <w:color w:val="auto"/>
                <w:szCs w:val="21"/>
              </w:rPr>
            </w:pPr>
          </w:p>
        </w:tc>
        <w:tc>
          <w:tcPr>
            <w:tcW w:w="1755" w:type="dxa"/>
            <w:vMerge w:val="restart"/>
            <w:vAlign w:val="center"/>
          </w:tcPr>
          <w:p>
            <w:pPr>
              <w:adjustRightInd w:val="0"/>
              <w:snapToGrid w:val="0"/>
              <w:jc w:val="center"/>
              <w:rPr>
                <w:color w:val="auto"/>
                <w:szCs w:val="21"/>
              </w:rPr>
            </w:pPr>
            <w:r>
              <w:rPr>
                <w:color w:val="auto"/>
                <w:szCs w:val="21"/>
              </w:rPr>
              <w:t>无组织排放</w:t>
            </w:r>
          </w:p>
        </w:tc>
        <w:tc>
          <w:tcPr>
            <w:tcW w:w="1755" w:type="dxa"/>
            <w:vAlign w:val="center"/>
          </w:tcPr>
          <w:p>
            <w:pPr>
              <w:adjustRightInd w:val="0"/>
              <w:snapToGrid w:val="0"/>
              <w:jc w:val="center"/>
              <w:rPr>
                <w:color w:val="auto"/>
                <w:szCs w:val="21"/>
              </w:rPr>
            </w:pPr>
            <w:r>
              <w:rPr>
                <w:rFonts w:hint="eastAsia"/>
                <w:color w:val="auto"/>
                <w:szCs w:val="21"/>
                <w:lang w:val="en-US" w:eastAsia="zh-CN"/>
              </w:rPr>
              <w:t>非甲烷总烃</w:t>
            </w:r>
          </w:p>
        </w:tc>
        <w:tc>
          <w:tcPr>
            <w:tcW w:w="1755" w:type="dxa"/>
            <w:vMerge w:val="restart"/>
            <w:vAlign w:val="center"/>
          </w:tcPr>
          <w:p>
            <w:pPr>
              <w:adjustRightInd w:val="0"/>
              <w:snapToGrid w:val="0"/>
              <w:jc w:val="center"/>
              <w:rPr>
                <w:color w:val="auto"/>
                <w:szCs w:val="21"/>
              </w:rPr>
            </w:pPr>
            <w:r>
              <w:rPr>
                <w:rFonts w:hint="eastAsia"/>
                <w:color w:val="auto"/>
                <w:szCs w:val="21"/>
                <w:lang w:val="en-US" w:eastAsia="zh-CN"/>
              </w:rPr>
              <w:t>加强设备封闭</w:t>
            </w:r>
          </w:p>
        </w:tc>
        <w:tc>
          <w:tcPr>
            <w:tcW w:w="1757" w:type="dxa"/>
            <w:vAlign w:val="center"/>
          </w:tcPr>
          <w:p>
            <w:pPr>
              <w:adjustRightInd w:val="0"/>
              <w:snapToGrid w:val="0"/>
              <w:jc w:val="center"/>
              <w:rPr>
                <w:rFonts w:hint="eastAsia" w:eastAsia="宋体"/>
                <w:color w:val="auto"/>
                <w:szCs w:val="21"/>
                <w:lang w:eastAsia="zh-CN"/>
              </w:rPr>
            </w:pPr>
            <w:r>
              <w:rPr>
                <w:rFonts w:hint="eastAsia"/>
                <w:color w:val="auto"/>
                <w:szCs w:val="21"/>
                <w:lang w:eastAsia="zh-CN"/>
              </w:rPr>
              <w:t>《涂料、油墨及胶粘剂工业大气污染物排放标准》（GB 37824—2019）附录B表B1中无组织排放浓度限值要求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778" w:type="dxa"/>
            <w:vMerge w:val="continue"/>
            <w:vAlign w:val="center"/>
          </w:tcPr>
          <w:p>
            <w:pPr>
              <w:adjustRightInd w:val="0"/>
              <w:snapToGrid w:val="0"/>
              <w:jc w:val="center"/>
              <w:rPr>
                <w:color w:val="auto"/>
                <w:szCs w:val="21"/>
              </w:rPr>
            </w:pPr>
          </w:p>
        </w:tc>
        <w:tc>
          <w:tcPr>
            <w:tcW w:w="1755"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rFonts w:hint="default"/>
                <w:color w:val="auto"/>
                <w:szCs w:val="21"/>
                <w:lang w:val="en-US" w:eastAsia="zh-CN"/>
              </w:rPr>
            </w:pPr>
            <w:r>
              <w:rPr>
                <w:rFonts w:hint="eastAsia"/>
                <w:color w:val="auto"/>
                <w:szCs w:val="21"/>
                <w:lang w:val="en-US" w:eastAsia="zh-CN"/>
              </w:rPr>
              <w:t>颗粒物</w:t>
            </w:r>
          </w:p>
        </w:tc>
        <w:tc>
          <w:tcPr>
            <w:tcW w:w="1755" w:type="dxa"/>
            <w:vMerge w:val="continue"/>
            <w:vAlign w:val="center"/>
          </w:tcPr>
          <w:p>
            <w:pPr>
              <w:adjustRightInd w:val="0"/>
              <w:snapToGrid w:val="0"/>
              <w:jc w:val="center"/>
              <w:rPr>
                <w:rFonts w:hint="eastAsia"/>
                <w:color w:val="auto"/>
                <w:szCs w:val="21"/>
                <w:lang w:val="en-US" w:eastAsia="zh-CN"/>
              </w:rPr>
            </w:pPr>
          </w:p>
        </w:tc>
        <w:tc>
          <w:tcPr>
            <w:tcW w:w="1757" w:type="dxa"/>
            <w:vAlign w:val="center"/>
          </w:tcPr>
          <w:p>
            <w:pPr>
              <w:adjustRightInd w:val="0"/>
              <w:snapToGrid w:val="0"/>
              <w:jc w:val="center"/>
              <w:rPr>
                <w:rFonts w:hint="eastAsia"/>
                <w:color w:val="auto"/>
                <w:szCs w:val="21"/>
                <w:lang w:eastAsia="zh-CN"/>
              </w:rPr>
            </w:pPr>
            <w:r>
              <w:rPr>
                <w:rFonts w:hint="eastAsia"/>
                <w:color w:val="auto"/>
                <w:szCs w:val="21"/>
                <w:lang w:eastAsia="zh-CN"/>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778" w:type="dxa"/>
            <w:vMerge w:val="restart"/>
            <w:vAlign w:val="center"/>
          </w:tcPr>
          <w:p>
            <w:pPr>
              <w:adjustRightInd w:val="0"/>
              <w:snapToGrid w:val="0"/>
              <w:jc w:val="center"/>
              <w:rPr>
                <w:color w:val="auto"/>
                <w:szCs w:val="21"/>
              </w:rPr>
            </w:pPr>
            <w:r>
              <w:rPr>
                <w:color w:val="auto"/>
                <w:szCs w:val="21"/>
              </w:rPr>
              <w:t>地表水环境</w:t>
            </w:r>
          </w:p>
        </w:tc>
        <w:tc>
          <w:tcPr>
            <w:tcW w:w="1755" w:type="dxa"/>
            <w:vAlign w:val="center"/>
          </w:tcPr>
          <w:p>
            <w:pPr>
              <w:adjustRightInd w:val="0"/>
              <w:snapToGrid w:val="0"/>
              <w:jc w:val="center"/>
              <w:rPr>
                <w:color w:val="auto"/>
                <w:szCs w:val="21"/>
              </w:rPr>
            </w:pPr>
            <w:r>
              <w:rPr>
                <w:color w:val="auto"/>
                <w:szCs w:val="21"/>
              </w:rPr>
              <w:t>生活污水</w:t>
            </w:r>
          </w:p>
        </w:tc>
        <w:tc>
          <w:tcPr>
            <w:tcW w:w="1755" w:type="dxa"/>
            <w:vAlign w:val="center"/>
          </w:tcPr>
          <w:p>
            <w:pPr>
              <w:adjustRightInd w:val="0"/>
              <w:snapToGrid w:val="0"/>
              <w:jc w:val="center"/>
              <w:rPr>
                <w:color w:val="auto"/>
                <w:szCs w:val="21"/>
              </w:rPr>
            </w:pPr>
            <w:r>
              <w:rPr>
                <w:color w:val="auto"/>
                <w:szCs w:val="21"/>
              </w:rPr>
              <w:t>COD、NH</w:t>
            </w:r>
            <w:r>
              <w:rPr>
                <w:color w:val="auto"/>
                <w:szCs w:val="21"/>
                <w:vertAlign w:val="subscript"/>
              </w:rPr>
              <w:t>3</w:t>
            </w:r>
            <w:r>
              <w:rPr>
                <w:color w:val="auto"/>
                <w:szCs w:val="21"/>
              </w:rPr>
              <w:t>-N、SS</w:t>
            </w:r>
          </w:p>
        </w:tc>
        <w:tc>
          <w:tcPr>
            <w:tcW w:w="1755" w:type="dxa"/>
            <w:vAlign w:val="center"/>
          </w:tcPr>
          <w:p>
            <w:pPr>
              <w:adjustRightInd w:val="0"/>
              <w:snapToGrid w:val="0"/>
              <w:jc w:val="center"/>
              <w:rPr>
                <w:color w:val="auto"/>
                <w:szCs w:val="21"/>
              </w:rPr>
            </w:pPr>
            <w:r>
              <w:rPr>
                <w:color w:val="auto"/>
                <w:szCs w:val="21"/>
              </w:rPr>
              <w:t>生活污水经化粪池</w:t>
            </w:r>
            <w:r>
              <w:rPr>
                <w:rFonts w:hint="eastAsia"/>
                <w:color w:val="auto"/>
                <w:szCs w:val="21"/>
              </w:rPr>
              <w:t>、隔油池</w:t>
            </w:r>
            <w:r>
              <w:rPr>
                <w:color w:val="auto"/>
                <w:szCs w:val="21"/>
              </w:rPr>
              <w:t>处理后排入园区管网，进入</w:t>
            </w:r>
            <w:r>
              <w:rPr>
                <w:rFonts w:hint="eastAsia"/>
                <w:color w:val="auto"/>
                <w:szCs w:val="21"/>
                <w:lang w:eastAsia="zh-CN"/>
              </w:rPr>
              <w:t>邵东市美桥城市污水处理厂</w:t>
            </w:r>
            <w:r>
              <w:rPr>
                <w:color w:val="auto"/>
                <w:szCs w:val="21"/>
              </w:rPr>
              <w:t>进一步处理</w:t>
            </w:r>
          </w:p>
        </w:tc>
        <w:tc>
          <w:tcPr>
            <w:tcW w:w="1757" w:type="dxa"/>
            <w:vAlign w:val="center"/>
          </w:tcPr>
          <w:p>
            <w:pPr>
              <w:adjustRightInd w:val="0"/>
              <w:snapToGrid w:val="0"/>
              <w:jc w:val="center"/>
              <w:rPr>
                <w:rFonts w:hint="eastAsia" w:eastAsia="宋体"/>
                <w:color w:val="auto"/>
                <w:szCs w:val="21"/>
                <w:lang w:eastAsia="zh-CN"/>
              </w:rPr>
            </w:pPr>
            <w:r>
              <w:rPr>
                <w:color w:val="auto"/>
                <w:szCs w:val="21"/>
              </w:rPr>
              <w:t>《污水综合排放标准》（GB8978-1996）及</w:t>
            </w:r>
            <w:r>
              <w:rPr>
                <w:rFonts w:hint="eastAsia"/>
                <w:color w:val="auto"/>
                <w:szCs w:val="21"/>
                <w:lang w:eastAsia="zh-CN"/>
              </w:rPr>
              <w:t>邵东市美桥城市污水处理厂进水水质要求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生产废水</w:t>
            </w:r>
          </w:p>
        </w:tc>
        <w:tc>
          <w:tcPr>
            <w:tcW w:w="1755" w:type="dxa"/>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COD</w:t>
            </w:r>
          </w:p>
        </w:tc>
        <w:tc>
          <w:tcPr>
            <w:tcW w:w="1755" w:type="dxa"/>
            <w:vAlign w:val="center"/>
          </w:tcPr>
          <w:p>
            <w:pPr>
              <w:adjustRightInd w:val="0"/>
              <w:snapToGrid w:val="0"/>
              <w:jc w:val="center"/>
              <w:rPr>
                <w:color w:val="auto"/>
                <w:szCs w:val="21"/>
              </w:rPr>
            </w:pPr>
            <w:r>
              <w:rPr>
                <w:rFonts w:hint="eastAsia"/>
                <w:color w:val="auto"/>
                <w:szCs w:val="21"/>
              </w:rPr>
              <w:t>去离子水生产过程中产生的少量生产废水，用于邵东东创鞋底厂的绿化，综合利用</w:t>
            </w:r>
          </w:p>
        </w:tc>
        <w:tc>
          <w:tcPr>
            <w:tcW w:w="1757"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综合利用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color w:val="auto"/>
                <w:szCs w:val="21"/>
              </w:rPr>
            </w:pPr>
            <w:r>
              <w:rPr>
                <w:color w:val="auto"/>
                <w:szCs w:val="21"/>
              </w:rPr>
              <w:t>声环境</w:t>
            </w:r>
          </w:p>
        </w:tc>
        <w:tc>
          <w:tcPr>
            <w:tcW w:w="1755" w:type="dxa"/>
            <w:vAlign w:val="center"/>
          </w:tcPr>
          <w:p>
            <w:pPr>
              <w:adjustRightInd w:val="0"/>
              <w:snapToGrid w:val="0"/>
              <w:jc w:val="center"/>
              <w:rPr>
                <w:color w:val="auto"/>
                <w:szCs w:val="21"/>
              </w:rPr>
            </w:pPr>
            <w:r>
              <w:rPr>
                <w:rFonts w:hint="eastAsia"/>
                <w:color w:val="auto"/>
                <w:szCs w:val="21"/>
                <w:lang w:eastAsia="zh-CN"/>
              </w:rPr>
              <w:t>高速分散机、水泵、去离子水设备、空压机</w:t>
            </w:r>
            <w:r>
              <w:rPr>
                <w:rFonts w:hint="eastAsia"/>
                <w:color w:val="auto"/>
                <w:szCs w:val="21"/>
              </w:rPr>
              <w:t>等</w:t>
            </w:r>
            <w:r>
              <w:rPr>
                <w:color w:val="auto"/>
                <w:szCs w:val="21"/>
              </w:rPr>
              <w:t>设备</w:t>
            </w:r>
          </w:p>
        </w:tc>
        <w:tc>
          <w:tcPr>
            <w:tcW w:w="1755" w:type="dxa"/>
            <w:vAlign w:val="center"/>
          </w:tcPr>
          <w:p>
            <w:pPr>
              <w:adjustRightInd w:val="0"/>
              <w:snapToGrid w:val="0"/>
              <w:jc w:val="center"/>
              <w:rPr>
                <w:color w:val="auto"/>
                <w:szCs w:val="21"/>
              </w:rPr>
            </w:pPr>
            <w:r>
              <w:rPr>
                <w:color w:val="auto"/>
                <w:szCs w:val="21"/>
              </w:rPr>
              <w:t>噪声</w:t>
            </w:r>
          </w:p>
        </w:tc>
        <w:tc>
          <w:tcPr>
            <w:tcW w:w="1755" w:type="dxa"/>
            <w:vAlign w:val="center"/>
          </w:tcPr>
          <w:p>
            <w:pPr>
              <w:adjustRightInd w:val="0"/>
              <w:snapToGrid w:val="0"/>
              <w:jc w:val="center"/>
              <w:rPr>
                <w:color w:val="auto"/>
                <w:szCs w:val="21"/>
              </w:rPr>
            </w:pPr>
            <w:r>
              <w:rPr>
                <w:color w:val="auto"/>
                <w:szCs w:val="21"/>
              </w:rPr>
              <w:t>基础减震、隔音、消音等</w:t>
            </w:r>
          </w:p>
        </w:tc>
        <w:tc>
          <w:tcPr>
            <w:tcW w:w="1757" w:type="dxa"/>
            <w:vAlign w:val="center"/>
          </w:tcPr>
          <w:p>
            <w:pPr>
              <w:adjustRightInd w:val="0"/>
              <w:snapToGrid w:val="0"/>
              <w:jc w:val="center"/>
              <w:rPr>
                <w:color w:val="auto"/>
                <w:szCs w:val="21"/>
              </w:rPr>
            </w:pPr>
            <w:r>
              <w:rPr>
                <w:color w:val="auto"/>
                <w:szCs w:val="21"/>
              </w:rPr>
              <w:t>满足《工业企业厂界环境噪声排放标准》</w:t>
            </w:r>
            <w:r>
              <w:rPr>
                <w:rFonts w:hint="eastAsia"/>
                <w:color w:val="auto"/>
                <w:szCs w:val="21"/>
              </w:rPr>
              <w:t xml:space="preserve"> 3</w:t>
            </w:r>
            <w:r>
              <w:rPr>
                <w:color w:val="auto"/>
                <w:szCs w:val="21"/>
              </w:rPr>
              <w:t>类限值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7" w:type="dxa"/>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7" w:type="dxa"/>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color w:val="auto"/>
                <w:szCs w:val="21"/>
              </w:rPr>
            </w:pPr>
            <w:r>
              <w:rPr>
                <w:color w:val="auto"/>
                <w:szCs w:val="21"/>
              </w:rPr>
              <w:t>电磁辐射</w:t>
            </w: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7" w:type="dxa"/>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7" w:type="dxa"/>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7" w:type="dxa"/>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color w:val="auto"/>
                <w:szCs w:val="21"/>
              </w:rPr>
            </w:pPr>
            <w:r>
              <w:rPr>
                <w:color w:val="auto"/>
                <w:szCs w:val="21"/>
              </w:rPr>
              <w:t>固体废物</w:t>
            </w:r>
          </w:p>
        </w:tc>
        <w:tc>
          <w:tcPr>
            <w:tcW w:w="7022" w:type="dxa"/>
            <w:gridSpan w:val="4"/>
            <w:vAlign w:val="center"/>
          </w:tcPr>
          <w:p>
            <w:pPr>
              <w:adjustRightInd w:val="0"/>
              <w:snapToGrid w:val="0"/>
              <w:jc w:val="center"/>
              <w:rPr>
                <w:color w:val="auto"/>
                <w:szCs w:val="21"/>
              </w:rPr>
            </w:pPr>
            <w:r>
              <w:rPr>
                <w:rFonts w:hint="eastAsia"/>
                <w:color w:val="auto"/>
                <w:szCs w:val="21"/>
              </w:rPr>
              <w:t>生活垃圾统一收集由环卫部门定期清运处理；废包装袋外售废品回收点回收利用；水性涂料废包装桶为一般固体废物，由厂商回收后回用于原料包装；反渗透膜为一般固体废物，反渗透膜交厂家回收利用</w:t>
            </w:r>
            <w:r>
              <w:rPr>
                <w:rFonts w:hint="eastAsia"/>
                <w:color w:val="auto"/>
                <w:szCs w:val="21"/>
                <w:lang w:eastAsia="zh-CN"/>
              </w:rPr>
              <w:t>；布袋除尘器</w:t>
            </w:r>
            <w:r>
              <w:rPr>
                <w:rFonts w:hint="eastAsia"/>
                <w:color w:val="auto"/>
                <w:szCs w:val="21"/>
                <w:lang w:val="en-US" w:eastAsia="zh-CN"/>
              </w:rPr>
              <w:t>收集粉尘回用于生产</w:t>
            </w:r>
            <w:r>
              <w:rPr>
                <w:rFonts w:hint="eastAsia"/>
                <w:color w:val="auto"/>
                <w:szCs w:val="21"/>
              </w:rPr>
              <w:t>；废活性炭属于危险废物，类别为HW49其他废物、代码为900-039-49，废活性炭</w:t>
            </w:r>
            <w:r>
              <w:rPr>
                <w:rFonts w:hint="eastAsia"/>
                <w:color w:val="auto"/>
                <w:szCs w:val="21"/>
                <w:lang w:eastAsia="zh-CN"/>
              </w:rPr>
              <w:t>集中收集，暂存危废暂存间，定期交资质单位处置</w:t>
            </w: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color w:val="auto"/>
                <w:szCs w:val="21"/>
              </w:rPr>
            </w:pPr>
            <w:r>
              <w:rPr>
                <w:color w:val="auto"/>
                <w:szCs w:val="21"/>
              </w:rPr>
              <w:t>土壤及地下水</w:t>
            </w:r>
          </w:p>
          <w:p>
            <w:pPr>
              <w:adjustRightInd w:val="0"/>
              <w:snapToGrid w:val="0"/>
              <w:jc w:val="center"/>
              <w:rPr>
                <w:color w:val="auto"/>
                <w:szCs w:val="21"/>
              </w:rPr>
            </w:pPr>
            <w:r>
              <w:rPr>
                <w:color w:val="auto"/>
                <w:szCs w:val="21"/>
              </w:rPr>
              <w:t>污染防治措施</w:t>
            </w:r>
          </w:p>
        </w:tc>
        <w:tc>
          <w:tcPr>
            <w:tcW w:w="7022" w:type="dxa"/>
            <w:gridSpan w:val="4"/>
            <w:vAlign w:val="center"/>
          </w:tcPr>
          <w:p>
            <w:pPr>
              <w:adjustRightInd w:val="0"/>
              <w:snapToGrid w:val="0"/>
              <w:jc w:val="center"/>
              <w:rPr>
                <w:color w:val="auto"/>
                <w:szCs w:val="21"/>
              </w:rPr>
            </w:pPr>
            <w:r>
              <w:rPr>
                <w:rFonts w:hint="eastAsia"/>
                <w:color w:val="auto"/>
                <w:szCs w:val="21"/>
              </w:rPr>
              <w:t>分区防渗、按照《危险废物贮存污染控制标准》（GB18597-2001）及2013修改单要求规范设置危险废物暂存场所，做到防风、防雨、防漏、防渗漏。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color w:val="auto"/>
                <w:szCs w:val="21"/>
              </w:rPr>
            </w:pPr>
            <w:r>
              <w:rPr>
                <w:color w:val="auto"/>
                <w:szCs w:val="21"/>
              </w:rPr>
              <w:t>生态保护措施</w:t>
            </w:r>
          </w:p>
        </w:tc>
        <w:tc>
          <w:tcPr>
            <w:tcW w:w="7022" w:type="dxa"/>
            <w:gridSpan w:val="4"/>
            <w:vAlign w:val="center"/>
          </w:tcPr>
          <w:p>
            <w:pPr>
              <w:adjustRightInd w:val="0"/>
              <w:snapToGrid w:val="0"/>
              <w:jc w:val="center"/>
              <w:rPr>
                <w:color w:val="auto"/>
                <w:szCs w:val="21"/>
              </w:rPr>
            </w:pPr>
            <w:r>
              <w:rPr>
                <w:color w:val="auto"/>
                <w:szCs w:val="21"/>
              </w:rPr>
              <w:t>加强周边绿化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color w:val="auto"/>
                <w:spacing w:val="-8"/>
                <w:szCs w:val="21"/>
              </w:rPr>
            </w:pPr>
            <w:r>
              <w:rPr>
                <w:color w:val="auto"/>
                <w:spacing w:val="-8"/>
                <w:szCs w:val="21"/>
              </w:rPr>
              <w:t>环境风险</w:t>
            </w:r>
          </w:p>
          <w:p>
            <w:pPr>
              <w:adjustRightInd w:val="0"/>
              <w:snapToGrid w:val="0"/>
              <w:jc w:val="center"/>
              <w:rPr>
                <w:color w:val="auto"/>
                <w:spacing w:val="-8"/>
                <w:szCs w:val="21"/>
              </w:rPr>
            </w:pPr>
            <w:r>
              <w:rPr>
                <w:color w:val="auto"/>
                <w:spacing w:val="-8"/>
                <w:szCs w:val="21"/>
              </w:rPr>
              <w:t>防范措施</w:t>
            </w:r>
          </w:p>
        </w:tc>
        <w:tc>
          <w:tcPr>
            <w:tcW w:w="7022" w:type="dxa"/>
            <w:gridSpan w:val="4"/>
            <w:vAlign w:val="center"/>
          </w:tcPr>
          <w:p>
            <w:pPr>
              <w:spacing w:line="360" w:lineRule="auto"/>
              <w:ind w:firstLine="480"/>
              <w:jc w:val="left"/>
              <w:rPr>
                <w:color w:val="auto"/>
                <w:szCs w:val="21"/>
              </w:rPr>
            </w:pPr>
            <w:r>
              <w:rPr>
                <w:rFonts w:hint="eastAsia" w:ascii="Times New Roman" w:hAnsi="Times New Roman" w:eastAsia="宋体" w:cs="Times New Roman"/>
                <w:color w:val="auto"/>
                <w:sz w:val="24"/>
                <w:szCs w:val="24"/>
                <w:lang w:val="en-US" w:eastAsia="zh-CN"/>
              </w:rPr>
              <w:t>严格按照消防安全的相关规定，在车间内设置灭火器材。产品和液态原辅料均存储于仓库内，</w:t>
            </w:r>
            <w:r>
              <w:rPr>
                <w:rFonts w:hint="eastAsia"/>
                <w:color w:val="auto"/>
                <w:sz w:val="24"/>
                <w:szCs w:val="24"/>
              </w:rPr>
              <w:t>地面做防渗处理；</w:t>
            </w:r>
            <w:r>
              <w:rPr>
                <w:rFonts w:hint="eastAsia" w:ascii="Times New Roman" w:hAnsi="Times New Roman" w:eastAsia="宋体" w:cs="Times New Roman"/>
                <w:color w:val="auto"/>
                <w:sz w:val="24"/>
                <w:szCs w:val="24"/>
                <w:lang w:val="en-US" w:eastAsia="zh-CN"/>
              </w:rPr>
              <w:t>危险废物暂存间、原料储存区、成品储存区建设截流边沟、应急池，生产车间临时存放的少量液态物料存放在接液托盘上，收集泄漏物，避免进入环境</w:t>
            </w:r>
            <w:r>
              <w:rPr>
                <w:rFonts w:hint="eastAsia"/>
                <w:color w:val="auto"/>
                <w:sz w:val="24"/>
                <w:szCs w:val="24"/>
                <w:lang w:eastAsia="zh-CN"/>
              </w:rPr>
              <w:t>；</w:t>
            </w:r>
            <w:r>
              <w:rPr>
                <w:rFonts w:hint="eastAsia"/>
                <w:color w:val="auto"/>
                <w:sz w:val="24"/>
                <w:szCs w:val="24"/>
              </w:rPr>
              <w:t>危废间做好“四防”措施，将危险废物控制在危废间内</w:t>
            </w:r>
            <w:r>
              <w:rPr>
                <w:rFonts w:hint="eastAsia"/>
                <w:color w:val="auto"/>
                <w:sz w:val="24"/>
                <w:szCs w:val="24"/>
                <w:lang w:eastAsia="zh-CN"/>
              </w:rPr>
              <w:t>。</w:t>
            </w:r>
            <w:r>
              <w:rPr>
                <w:rFonts w:hint="eastAsia"/>
                <w:color w:val="auto"/>
                <w:sz w:val="24"/>
                <w:szCs w:val="24"/>
              </w:rPr>
              <w:t>危废由专人负责收集，收集过程中按危废类别分类收集，收集容器采用危废专用收集容器，并及时送交有资质的单位进行处置。根据国家环保部相关文件要求，企业应制定环境污染事故发生的工作计划，消除事故隐患的实施及突发性事故的应急办法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pPr>
              <w:adjustRightInd w:val="0"/>
              <w:snapToGrid w:val="0"/>
              <w:jc w:val="center"/>
              <w:rPr>
                <w:color w:val="auto"/>
                <w:spacing w:val="-8"/>
                <w:szCs w:val="21"/>
              </w:rPr>
            </w:pPr>
            <w:r>
              <w:rPr>
                <w:color w:val="auto"/>
                <w:spacing w:val="-8"/>
                <w:szCs w:val="21"/>
              </w:rPr>
              <w:t>其他环境</w:t>
            </w:r>
          </w:p>
          <w:p>
            <w:pPr>
              <w:adjustRightInd w:val="0"/>
              <w:snapToGrid w:val="0"/>
              <w:jc w:val="center"/>
              <w:rPr>
                <w:color w:val="auto"/>
                <w:spacing w:val="-8"/>
                <w:szCs w:val="21"/>
              </w:rPr>
            </w:pPr>
            <w:r>
              <w:rPr>
                <w:color w:val="auto"/>
                <w:spacing w:val="-8"/>
                <w:szCs w:val="21"/>
              </w:rPr>
              <w:t>管理要求</w:t>
            </w:r>
          </w:p>
        </w:tc>
        <w:tc>
          <w:tcPr>
            <w:tcW w:w="7022" w:type="dxa"/>
            <w:gridSpan w:val="4"/>
            <w:vAlign w:val="center"/>
          </w:tcPr>
          <w:p>
            <w:pPr>
              <w:spacing w:line="360" w:lineRule="auto"/>
              <w:ind w:firstLine="480"/>
              <w:jc w:val="left"/>
              <w:rPr>
                <w:color w:val="auto"/>
                <w:szCs w:val="21"/>
              </w:rPr>
            </w:pPr>
            <w:r>
              <w:rPr>
                <w:color w:val="auto"/>
                <w:szCs w:val="21"/>
              </w:rPr>
              <w:t>公司应建立完善的环境管理和</w:t>
            </w:r>
            <w:r>
              <w:rPr>
                <w:rFonts w:hint="eastAsia"/>
                <w:color w:val="auto"/>
                <w:szCs w:val="21"/>
                <w:lang w:val="en-US" w:eastAsia="zh-CN"/>
              </w:rPr>
              <w:t>环保</w:t>
            </w:r>
            <w:r>
              <w:rPr>
                <w:color w:val="auto"/>
                <w:szCs w:val="21"/>
              </w:rPr>
              <w:t>机构，本次工程建成后，应抓好环境保护措施、项目施工、安装、调试、验收工作的正常运行，健全环境保护机构、环境管理档案，健全企业环境管理的各项规章制度，完善环境保护设施的技术规程和操作规程，开展环境保护教育，培训环保设施的操作人员，以保证投产后顺利开展环境保护工作，委托有资质的监测单位负责对全厂主要污染源监测。同时对建设单位提出向公众公开企业环境保护相关信息及排污口信息管理等相关要求。</w:t>
            </w:r>
          </w:p>
          <w:p>
            <w:pPr>
              <w:spacing w:line="360" w:lineRule="auto"/>
              <w:ind w:firstLine="480"/>
              <w:jc w:val="left"/>
              <w:rPr>
                <w:color w:val="auto"/>
                <w:szCs w:val="21"/>
              </w:rPr>
            </w:pPr>
            <w:r>
              <w:rPr>
                <w:color w:val="auto"/>
                <w:szCs w:val="21"/>
              </w:rPr>
              <w:t>按要求设置规范化排污口</w:t>
            </w:r>
          </w:p>
          <w:p>
            <w:pPr>
              <w:spacing w:line="360" w:lineRule="auto"/>
              <w:ind w:firstLine="480" w:firstLineChars="200"/>
              <w:jc w:val="left"/>
              <w:rPr>
                <w:color w:val="auto"/>
                <w:szCs w:val="21"/>
              </w:rPr>
            </w:pPr>
            <w:r>
              <w:rPr>
                <w:color w:val="auto"/>
                <w:szCs w:val="21"/>
              </w:rPr>
              <w:drawing>
                <wp:inline distT="0" distB="0" distL="0" distR="0">
                  <wp:extent cx="3799205" cy="11823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t="2089" b="3464"/>
                          <a:stretch>
                            <a:fillRect/>
                          </a:stretch>
                        </pic:blipFill>
                        <pic:spPr>
                          <a:xfrm>
                            <a:off x="0" y="0"/>
                            <a:ext cx="3799205" cy="1182370"/>
                          </a:xfrm>
                          <a:prstGeom prst="rect">
                            <a:avLst/>
                          </a:prstGeom>
                          <a:noFill/>
                          <a:ln>
                            <a:noFill/>
                          </a:ln>
                        </pic:spPr>
                      </pic:pic>
                    </a:graphicData>
                  </a:graphic>
                </wp:inline>
              </w:drawing>
            </w:r>
          </w:p>
          <w:p>
            <w:pPr>
              <w:tabs>
                <w:tab w:val="left" w:pos="4680"/>
              </w:tabs>
              <w:spacing w:line="360" w:lineRule="auto"/>
              <w:ind w:firstLine="480" w:firstLineChars="200"/>
              <w:jc w:val="left"/>
              <w:rPr>
                <w:color w:val="auto"/>
              </w:rPr>
            </w:pPr>
            <w:r>
              <w:rPr>
                <w:color w:val="auto"/>
                <w:szCs w:val="21"/>
              </w:rPr>
              <w:t>按照《固定污染源排污许可分类管理名录（2019版）》和《排污许可管理办法（试行）》（环境保护部令 第48号）相关要求，本公司为</w:t>
            </w:r>
            <w:r>
              <w:rPr>
                <w:rFonts w:hint="eastAsia"/>
                <w:color w:val="auto"/>
                <w:szCs w:val="21"/>
                <w:lang w:val="en-US" w:eastAsia="zh-CN"/>
              </w:rPr>
              <w:t>涂料制造</w:t>
            </w:r>
            <w:r>
              <w:rPr>
                <w:color w:val="auto"/>
                <w:szCs w:val="21"/>
              </w:rPr>
              <w:t>项目，为实施</w:t>
            </w:r>
            <w:r>
              <w:rPr>
                <w:rFonts w:hint="eastAsia"/>
                <w:color w:val="auto"/>
                <w:szCs w:val="21"/>
                <w:lang w:val="en-US" w:eastAsia="zh-CN"/>
              </w:rPr>
              <w:t>简化</w:t>
            </w:r>
            <w:r>
              <w:rPr>
                <w:color w:val="auto"/>
                <w:szCs w:val="21"/>
              </w:rPr>
              <w:t>管理的行业，参考《</w:t>
            </w:r>
            <w:r>
              <w:rPr>
                <w:rFonts w:hint="eastAsia"/>
                <w:color w:val="auto"/>
                <w:szCs w:val="21"/>
              </w:rPr>
              <w:t>排污许可证申请与核发技术规范 涂料、油墨、</w:t>
            </w:r>
            <w:r>
              <w:rPr>
                <w:rFonts w:hint="eastAsia"/>
                <w:color w:val="auto"/>
                <w:szCs w:val="21"/>
                <w:lang w:eastAsia="zh-CN"/>
              </w:rPr>
              <w:t>原料</w:t>
            </w:r>
            <w:r>
              <w:rPr>
                <w:rFonts w:hint="eastAsia"/>
                <w:color w:val="auto"/>
                <w:szCs w:val="21"/>
              </w:rPr>
              <w:t>及类似产品制造业</w:t>
            </w:r>
            <w:r>
              <w:rPr>
                <w:color w:val="auto"/>
                <w:szCs w:val="21"/>
              </w:rPr>
              <w:t>》（HJ</w:t>
            </w:r>
            <w:r>
              <w:rPr>
                <w:rFonts w:hint="eastAsia"/>
                <w:color w:val="auto"/>
                <w:szCs w:val="21"/>
              </w:rPr>
              <w:t>HJ 1116—2020</w:t>
            </w:r>
            <w:r>
              <w:rPr>
                <w:color w:val="auto"/>
                <w:szCs w:val="21"/>
              </w:rPr>
              <w:t>）申请排污许可</w:t>
            </w:r>
            <w:r>
              <w:rPr>
                <w:rFonts w:hint="eastAsia"/>
                <w:color w:val="auto"/>
                <w:szCs w:val="21"/>
                <w:lang w:val="en-US" w:eastAsia="zh-CN"/>
              </w:rPr>
              <w:t>证</w:t>
            </w:r>
            <w:r>
              <w:rPr>
                <w:color w:val="auto"/>
                <w:szCs w:val="21"/>
              </w:rPr>
              <w:t>，依</w:t>
            </w:r>
            <w:r>
              <w:rPr>
                <w:rFonts w:hint="eastAsia"/>
                <w:color w:val="auto"/>
                <w:szCs w:val="21"/>
              </w:rPr>
              <w:t>法</w:t>
            </w:r>
            <w:r>
              <w:rPr>
                <w:color w:val="auto"/>
                <w:szCs w:val="21"/>
              </w:rPr>
              <w:t>排污。</w:t>
            </w:r>
          </w:p>
          <w:p>
            <w:pPr>
              <w:adjustRightInd w:val="0"/>
              <w:snapToGrid w:val="0"/>
              <w:rPr>
                <w:color w:val="auto"/>
                <w:szCs w:val="21"/>
              </w:rPr>
            </w:pPr>
          </w:p>
        </w:tc>
      </w:tr>
    </w:tbl>
    <w:p>
      <w:pPr>
        <w:pStyle w:val="29"/>
        <w:jc w:val="center"/>
        <w:outlineLvl w:val="0"/>
        <w:rPr>
          <w:rFonts w:ascii="Times New Roman" w:hAnsi="Times New Roman" w:eastAsia="黑体"/>
          <w:snapToGrid w:val="0"/>
          <w:color w:val="auto"/>
          <w:sz w:val="30"/>
          <w:szCs w:val="30"/>
        </w:rPr>
      </w:pPr>
      <w:r>
        <w:rPr>
          <w:rFonts w:ascii="Times New Roman" w:hAnsi="Times New Roman"/>
          <w:snapToGrid w:val="0"/>
          <w:color w:val="auto"/>
        </w:rPr>
        <w:br w:type="page"/>
      </w:r>
      <w:bookmarkStart w:id="16" w:name="_Toc71631408"/>
      <w:r>
        <w:rPr>
          <w:rStyle w:val="46"/>
          <w:rFonts w:ascii="Times New Roman" w:hAnsi="Times New Roman"/>
          <w:color w:val="auto"/>
        </w:rPr>
        <w:t>六、结论</w:t>
      </w:r>
      <w:bookmarkEnd w:id="16"/>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总结论：</w:t>
            </w:r>
          </w:p>
          <w:p>
            <w:pPr>
              <w:pStyle w:val="19"/>
              <w:keepNext w:val="0"/>
              <w:keepLines w:val="0"/>
              <w:pageBreakBefore w:val="0"/>
              <w:widowControl w:val="0"/>
              <w:kinsoku/>
              <w:wordWrap/>
              <w:overflowPunct/>
              <w:topLinePunct w:val="0"/>
              <w:autoSpaceDE/>
              <w:autoSpaceDN/>
              <w:bidi w:val="0"/>
              <w:adjustRightInd/>
              <w:snapToGrid/>
              <w:spacing w:line="480" w:lineRule="exact"/>
              <w:ind w:firstLine="42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综上所述，本项目符合国家产业政策，选址合理，总平面布置基本合理，</w:t>
            </w:r>
            <w:r>
              <w:rPr>
                <w:rFonts w:hint="default" w:ascii="Times New Roman" w:hAnsi="Times New Roman" w:eastAsia="宋体" w:cs="Times New Roman"/>
                <w:color w:val="auto"/>
                <w:sz w:val="24"/>
                <w:szCs w:val="24"/>
                <w:lang w:val="en-US" w:eastAsia="zh-CN"/>
              </w:rPr>
              <w:t>项目在认真落实各项环境污染治理和环境管理措施的前提下，均能实现污染物达标排放，对环境的污染影响较小。从环境保护的角度出发，该项目建设可行。</w:t>
            </w:r>
          </w:p>
          <w:p>
            <w:pPr>
              <w:pStyle w:val="19"/>
              <w:keepNext w:val="0"/>
              <w:keepLines w:val="0"/>
              <w:pageBreakBefore w:val="0"/>
              <w:widowControl w:val="0"/>
              <w:kinsoku/>
              <w:wordWrap/>
              <w:overflowPunct/>
              <w:topLinePunct w:val="0"/>
              <w:autoSpaceDE/>
              <w:autoSpaceDN/>
              <w:bidi w:val="0"/>
              <w:adjustRightInd/>
              <w:snapToGrid/>
              <w:spacing w:line="480" w:lineRule="exact"/>
              <w:ind w:firstLine="42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建议：</w:t>
            </w:r>
          </w:p>
          <w:p>
            <w:pPr>
              <w:pStyle w:val="19"/>
              <w:keepNext w:val="0"/>
              <w:keepLines w:val="0"/>
              <w:pageBreakBefore w:val="0"/>
              <w:widowControl w:val="0"/>
              <w:kinsoku/>
              <w:wordWrap/>
              <w:overflowPunct/>
              <w:topLinePunct w:val="0"/>
              <w:autoSpaceDE/>
              <w:autoSpaceDN/>
              <w:bidi w:val="0"/>
              <w:adjustRightInd/>
              <w:snapToGrid/>
              <w:spacing w:line="480" w:lineRule="exact"/>
              <w:ind w:firstLine="42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严格执行环保“三同时”制度，落实各项污染治理措施，确保环保资金的投入，真正做到污染物稳定达标排放；选用低噪声设备、加装消声装置、种植树木等措施，使企业厂界噪声达标；做好分区防渗，防止地下水和土壤受污染。</w:t>
            </w:r>
          </w:p>
          <w:p>
            <w:pPr>
              <w:spacing w:line="360" w:lineRule="auto"/>
              <w:jc w:val="both"/>
              <w:rPr>
                <w:color w:val="auto"/>
              </w:rPr>
            </w:pPr>
          </w:p>
        </w:tc>
      </w:tr>
    </w:tbl>
    <w:p>
      <w:pPr>
        <w:rPr>
          <w:color w:val="auto"/>
        </w:rPr>
        <w:sectPr>
          <w:pgSz w:w="11906" w:h="16838"/>
          <w:pgMar w:top="1701" w:right="1531" w:bottom="1701" w:left="1531" w:header="851" w:footer="851" w:gutter="0"/>
          <w:pgNumType w:fmt="decimal"/>
          <w:cols w:space="720" w:num="1"/>
          <w:docGrid w:linePitch="312" w:charSpace="0"/>
        </w:sectPr>
      </w:pPr>
    </w:p>
    <w:p>
      <w:pPr>
        <w:pStyle w:val="29"/>
        <w:adjustRightInd w:val="0"/>
        <w:snapToGrid w:val="0"/>
        <w:spacing w:before="0" w:beforeAutospacing="0" w:after="0" w:afterAutospacing="0"/>
        <w:outlineLvl w:val="0"/>
        <w:rPr>
          <w:rFonts w:ascii="Times New Roman" w:hAnsi="Times New Roman" w:eastAsia="黑体"/>
          <w:snapToGrid w:val="0"/>
          <w:color w:val="auto"/>
          <w:sz w:val="32"/>
          <w:szCs w:val="32"/>
        </w:rPr>
      </w:pPr>
      <w:bookmarkStart w:id="17" w:name="_Toc71631409"/>
      <w:r>
        <w:rPr>
          <w:rFonts w:ascii="Times New Roman" w:hAnsi="Times New Roman" w:eastAsia="黑体"/>
          <w:snapToGrid w:val="0"/>
          <w:color w:val="auto"/>
          <w:sz w:val="32"/>
          <w:szCs w:val="32"/>
        </w:rPr>
        <w:t>附表</w:t>
      </w:r>
      <w:bookmarkEnd w:id="17"/>
    </w:p>
    <w:p>
      <w:pPr>
        <w:pStyle w:val="29"/>
        <w:adjustRightInd w:val="0"/>
        <w:snapToGrid w:val="0"/>
        <w:spacing w:before="0" w:beforeAutospacing="0" w:after="0" w:afterAutospacing="0"/>
        <w:jc w:val="center"/>
        <w:outlineLvl w:val="0"/>
        <w:rPr>
          <w:rFonts w:ascii="Times New Roman" w:hAnsi="Times New Roman" w:eastAsia="方正小标宋_GBK"/>
          <w:snapToGrid w:val="0"/>
          <w:color w:val="auto"/>
          <w:sz w:val="38"/>
          <w:szCs w:val="38"/>
        </w:rPr>
      </w:pPr>
      <w:bookmarkStart w:id="18" w:name="_Toc71631410"/>
      <w:r>
        <w:rPr>
          <w:rFonts w:ascii="Times New Roman" w:hAnsi="Times New Roman" w:eastAsia="方正小标宋_GBK"/>
          <w:snapToGrid w:val="0"/>
          <w:color w:val="auto"/>
          <w:sz w:val="38"/>
          <w:szCs w:val="38"/>
        </w:rPr>
        <w:t>建设项目污染物排放量汇总表</w:t>
      </w:r>
      <w:bookmarkEnd w:id="18"/>
    </w:p>
    <w:tbl>
      <w:tblPr>
        <w:tblStyle w:val="3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891"/>
        <w:gridCol w:w="8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jc w:val="right"/>
              <w:textAlignment w:val="baseline"/>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项目</w:t>
            </w:r>
          </w:p>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jc w:val="left"/>
              <w:textAlignment w:val="baseline"/>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分类</w:t>
            </w:r>
          </w:p>
        </w:tc>
        <w:tc>
          <w:tcPr>
            <w:tcW w:w="1417" w:type="dxa"/>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污染物名称</w:t>
            </w:r>
          </w:p>
        </w:tc>
        <w:tc>
          <w:tcPr>
            <w:tcW w:w="1701" w:type="dxa"/>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现有工程</w:t>
            </w:r>
          </w:p>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排放量（固体废物产生量）</w:t>
            </w:r>
            <w:r>
              <w:rPr>
                <w:rFonts w:ascii="Times New Roman" w:hAnsi="Times New Roman" w:eastAsia="黑体"/>
                <w:snapToGrid w:val="0"/>
                <w:color w:val="auto"/>
                <w:spacing w:val="-6"/>
                <w:kern w:val="21"/>
                <w:szCs w:val="21"/>
              </w:rPr>
              <w:fldChar w:fldCharType="begin"/>
            </w:r>
            <w:r>
              <w:rPr>
                <w:rFonts w:ascii="Times New Roman" w:hAnsi="Times New Roman" w:eastAsia="黑体"/>
                <w:snapToGrid w:val="0"/>
                <w:color w:val="auto"/>
                <w:spacing w:val="-6"/>
                <w:kern w:val="21"/>
                <w:szCs w:val="21"/>
              </w:rPr>
              <w:instrText xml:space="preserve"> = 1 \* GB3 \* MERGEFORMAT </w:instrText>
            </w:r>
            <w:r>
              <w:rPr>
                <w:rFonts w:ascii="Times New Roman" w:hAnsi="Times New Roman" w:eastAsia="黑体"/>
                <w:snapToGrid w:val="0"/>
                <w:color w:val="auto"/>
                <w:spacing w:val="-6"/>
                <w:kern w:val="21"/>
                <w:szCs w:val="21"/>
              </w:rPr>
              <w:fldChar w:fldCharType="separate"/>
            </w:r>
            <w:r>
              <w:rPr>
                <w:rFonts w:ascii="Times New Roman" w:hAnsi="Times New Roman" w:eastAsia="黑体"/>
                <w:color w:val="auto"/>
                <w:kern w:val="2"/>
                <w:szCs w:val="21"/>
              </w:rPr>
              <w:t>①</w:t>
            </w:r>
            <w:r>
              <w:rPr>
                <w:rFonts w:ascii="Times New Roman" w:hAnsi="Times New Roman" w:eastAsia="黑体"/>
                <w:snapToGrid w:val="0"/>
                <w:color w:val="auto"/>
                <w:spacing w:val="-6"/>
                <w:kern w:val="21"/>
                <w:szCs w:val="21"/>
              </w:rPr>
              <w:fldChar w:fldCharType="end"/>
            </w:r>
          </w:p>
        </w:tc>
        <w:tc>
          <w:tcPr>
            <w:tcW w:w="1276" w:type="dxa"/>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现有工程</w:t>
            </w:r>
          </w:p>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许可排放量</w:t>
            </w:r>
          </w:p>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fldChar w:fldCharType="begin"/>
            </w:r>
            <w:r>
              <w:rPr>
                <w:rFonts w:ascii="Times New Roman" w:hAnsi="Times New Roman" w:eastAsia="黑体"/>
                <w:snapToGrid w:val="0"/>
                <w:color w:val="auto"/>
                <w:spacing w:val="-6"/>
                <w:kern w:val="21"/>
                <w:szCs w:val="21"/>
              </w:rPr>
              <w:instrText xml:space="preserve"> = 2 \* GB3 \* MERGEFORMAT </w:instrText>
            </w:r>
            <w:r>
              <w:rPr>
                <w:rFonts w:ascii="Times New Roman" w:hAnsi="Times New Roman" w:eastAsia="黑体"/>
                <w:snapToGrid w:val="0"/>
                <w:color w:val="auto"/>
                <w:spacing w:val="-6"/>
                <w:kern w:val="21"/>
                <w:szCs w:val="21"/>
              </w:rPr>
              <w:fldChar w:fldCharType="separate"/>
            </w:r>
            <w:r>
              <w:rPr>
                <w:rFonts w:ascii="Times New Roman" w:hAnsi="Times New Roman" w:eastAsia="黑体"/>
                <w:snapToGrid w:val="0"/>
                <w:color w:val="auto"/>
                <w:spacing w:val="-6"/>
                <w:kern w:val="21"/>
                <w:szCs w:val="21"/>
              </w:rPr>
              <w:t>②</w:t>
            </w:r>
            <w:r>
              <w:rPr>
                <w:rFonts w:ascii="Times New Roman" w:hAnsi="Times New Roman" w:eastAsia="黑体"/>
                <w:snapToGrid w:val="0"/>
                <w:color w:val="auto"/>
                <w:spacing w:val="-6"/>
                <w:kern w:val="21"/>
                <w:szCs w:val="21"/>
              </w:rPr>
              <w:fldChar w:fldCharType="end"/>
            </w:r>
          </w:p>
        </w:tc>
        <w:tc>
          <w:tcPr>
            <w:tcW w:w="1701" w:type="dxa"/>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在建工程</w:t>
            </w:r>
          </w:p>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排放量（固体废物产生量）</w:t>
            </w:r>
            <w:r>
              <w:rPr>
                <w:rFonts w:ascii="Times New Roman" w:hAnsi="Times New Roman" w:eastAsia="黑体"/>
                <w:snapToGrid w:val="0"/>
                <w:color w:val="auto"/>
                <w:spacing w:val="-6"/>
                <w:kern w:val="21"/>
                <w:szCs w:val="21"/>
              </w:rPr>
              <w:fldChar w:fldCharType="begin"/>
            </w:r>
            <w:r>
              <w:rPr>
                <w:rFonts w:ascii="Times New Roman" w:hAnsi="Times New Roman" w:eastAsia="黑体"/>
                <w:snapToGrid w:val="0"/>
                <w:color w:val="auto"/>
                <w:spacing w:val="-6"/>
                <w:kern w:val="21"/>
                <w:szCs w:val="21"/>
              </w:rPr>
              <w:instrText xml:space="preserve"> = 3 \* GB3 \* MERGEFORMAT </w:instrText>
            </w:r>
            <w:r>
              <w:rPr>
                <w:rFonts w:ascii="Times New Roman" w:hAnsi="Times New Roman" w:eastAsia="黑体"/>
                <w:snapToGrid w:val="0"/>
                <w:color w:val="auto"/>
                <w:spacing w:val="-6"/>
                <w:kern w:val="21"/>
                <w:szCs w:val="21"/>
              </w:rPr>
              <w:fldChar w:fldCharType="separate"/>
            </w:r>
            <w:r>
              <w:rPr>
                <w:rFonts w:ascii="Times New Roman" w:hAnsi="Times New Roman" w:eastAsia="黑体"/>
                <w:color w:val="auto"/>
                <w:kern w:val="2"/>
                <w:szCs w:val="21"/>
              </w:rPr>
              <w:t>③</w:t>
            </w:r>
            <w:r>
              <w:rPr>
                <w:rFonts w:ascii="Times New Roman" w:hAnsi="Times New Roman" w:eastAsia="黑体"/>
                <w:snapToGrid w:val="0"/>
                <w:color w:val="auto"/>
                <w:spacing w:val="-6"/>
                <w:kern w:val="21"/>
                <w:szCs w:val="21"/>
              </w:rPr>
              <w:fldChar w:fldCharType="end"/>
            </w:r>
          </w:p>
        </w:tc>
        <w:tc>
          <w:tcPr>
            <w:tcW w:w="1559" w:type="dxa"/>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本项目</w:t>
            </w:r>
          </w:p>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排放量（固体废物产生量）</w:t>
            </w:r>
            <w:r>
              <w:rPr>
                <w:rFonts w:ascii="Times New Roman" w:hAnsi="Times New Roman" w:eastAsia="黑体"/>
                <w:snapToGrid w:val="0"/>
                <w:color w:val="auto"/>
                <w:spacing w:val="-6"/>
                <w:kern w:val="21"/>
                <w:szCs w:val="21"/>
              </w:rPr>
              <w:fldChar w:fldCharType="begin"/>
            </w:r>
            <w:r>
              <w:rPr>
                <w:rFonts w:ascii="Times New Roman" w:hAnsi="Times New Roman" w:eastAsia="黑体"/>
                <w:snapToGrid w:val="0"/>
                <w:color w:val="auto"/>
                <w:spacing w:val="-6"/>
                <w:kern w:val="21"/>
                <w:szCs w:val="21"/>
              </w:rPr>
              <w:instrText xml:space="preserve"> = 4 \* GB3 \* MERGEFORMAT </w:instrText>
            </w:r>
            <w:r>
              <w:rPr>
                <w:rFonts w:ascii="Times New Roman" w:hAnsi="Times New Roman" w:eastAsia="黑体"/>
                <w:snapToGrid w:val="0"/>
                <w:color w:val="auto"/>
                <w:spacing w:val="-6"/>
                <w:kern w:val="21"/>
                <w:szCs w:val="21"/>
              </w:rPr>
              <w:fldChar w:fldCharType="separate"/>
            </w:r>
            <w:r>
              <w:rPr>
                <w:rFonts w:ascii="Times New Roman" w:hAnsi="Times New Roman" w:eastAsia="黑体"/>
                <w:color w:val="auto"/>
                <w:kern w:val="2"/>
                <w:szCs w:val="21"/>
              </w:rPr>
              <w:t>④</w:t>
            </w:r>
            <w:r>
              <w:rPr>
                <w:rFonts w:ascii="Times New Roman" w:hAnsi="Times New Roman" w:eastAsia="黑体"/>
                <w:snapToGrid w:val="0"/>
                <w:color w:val="auto"/>
                <w:spacing w:val="-6"/>
                <w:kern w:val="21"/>
                <w:szCs w:val="21"/>
              </w:rPr>
              <w:fldChar w:fldCharType="end"/>
            </w:r>
          </w:p>
        </w:tc>
        <w:tc>
          <w:tcPr>
            <w:tcW w:w="1761" w:type="dxa"/>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16"/>
                <w:kern w:val="21"/>
                <w:szCs w:val="21"/>
              </w:rPr>
            </w:pPr>
            <w:r>
              <w:rPr>
                <w:rFonts w:ascii="Times New Roman" w:hAnsi="Times New Roman" w:eastAsia="黑体"/>
                <w:snapToGrid w:val="0"/>
                <w:color w:val="auto"/>
                <w:spacing w:val="-16"/>
                <w:kern w:val="21"/>
                <w:szCs w:val="21"/>
              </w:rPr>
              <w:t>以新带老削减量</w:t>
            </w:r>
          </w:p>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16"/>
                <w:kern w:val="21"/>
                <w:szCs w:val="21"/>
              </w:rPr>
            </w:pPr>
            <w:r>
              <w:rPr>
                <w:rFonts w:ascii="Times New Roman" w:hAnsi="Times New Roman" w:eastAsia="黑体"/>
                <w:snapToGrid w:val="0"/>
                <w:color w:val="auto"/>
                <w:spacing w:val="-16"/>
                <w:kern w:val="21"/>
                <w:szCs w:val="21"/>
              </w:rPr>
              <w:t>（新建项目不填）</w:t>
            </w:r>
            <w:r>
              <w:rPr>
                <w:rFonts w:ascii="Times New Roman" w:hAnsi="Times New Roman" w:eastAsia="黑体"/>
                <w:snapToGrid w:val="0"/>
                <w:color w:val="auto"/>
                <w:spacing w:val="-16"/>
                <w:kern w:val="21"/>
                <w:szCs w:val="21"/>
              </w:rPr>
              <w:fldChar w:fldCharType="begin"/>
            </w:r>
            <w:r>
              <w:rPr>
                <w:rFonts w:ascii="Times New Roman" w:hAnsi="Times New Roman" w:eastAsia="黑体"/>
                <w:snapToGrid w:val="0"/>
                <w:color w:val="auto"/>
                <w:spacing w:val="-16"/>
                <w:kern w:val="21"/>
                <w:szCs w:val="21"/>
              </w:rPr>
              <w:instrText xml:space="preserve"> = 5 \* GB3 \* MERGEFORMAT </w:instrText>
            </w:r>
            <w:r>
              <w:rPr>
                <w:rFonts w:ascii="Times New Roman" w:hAnsi="Times New Roman" w:eastAsia="黑体"/>
                <w:snapToGrid w:val="0"/>
                <w:color w:val="auto"/>
                <w:spacing w:val="-16"/>
                <w:kern w:val="21"/>
                <w:szCs w:val="21"/>
              </w:rPr>
              <w:fldChar w:fldCharType="separate"/>
            </w:r>
            <w:r>
              <w:rPr>
                <w:rFonts w:ascii="Times New Roman" w:hAnsi="Times New Roman" w:eastAsia="黑体"/>
                <w:color w:val="auto"/>
                <w:kern w:val="2"/>
                <w:szCs w:val="21"/>
              </w:rPr>
              <w:t>⑤</w:t>
            </w:r>
            <w:r>
              <w:rPr>
                <w:rFonts w:ascii="Times New Roman" w:hAnsi="Times New Roman" w:eastAsia="黑体"/>
                <w:snapToGrid w:val="0"/>
                <w:color w:val="auto"/>
                <w:spacing w:val="-16"/>
                <w:kern w:val="21"/>
                <w:szCs w:val="21"/>
              </w:rPr>
              <w:fldChar w:fldCharType="end"/>
            </w:r>
          </w:p>
        </w:tc>
        <w:tc>
          <w:tcPr>
            <w:tcW w:w="1891" w:type="dxa"/>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16"/>
                <w:kern w:val="21"/>
                <w:szCs w:val="21"/>
              </w:rPr>
            </w:pPr>
            <w:r>
              <w:rPr>
                <w:rFonts w:ascii="Times New Roman" w:hAnsi="Times New Roman" w:eastAsia="黑体"/>
                <w:snapToGrid w:val="0"/>
                <w:color w:val="auto"/>
                <w:spacing w:val="-16"/>
                <w:kern w:val="21"/>
                <w:szCs w:val="21"/>
              </w:rPr>
              <w:t>本项目建成后</w:t>
            </w:r>
          </w:p>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16"/>
                <w:kern w:val="21"/>
                <w:szCs w:val="21"/>
              </w:rPr>
            </w:pPr>
            <w:r>
              <w:rPr>
                <w:rFonts w:ascii="Times New Roman" w:hAnsi="Times New Roman" w:eastAsia="黑体"/>
                <w:snapToGrid w:val="0"/>
                <w:color w:val="auto"/>
                <w:spacing w:val="-16"/>
                <w:kern w:val="21"/>
                <w:szCs w:val="21"/>
              </w:rPr>
              <w:t>全厂排放量（固体废物产生量）</w:t>
            </w:r>
            <w:r>
              <w:rPr>
                <w:rFonts w:ascii="Times New Roman" w:hAnsi="Times New Roman" w:eastAsia="黑体"/>
                <w:snapToGrid w:val="0"/>
                <w:color w:val="auto"/>
                <w:spacing w:val="-16"/>
                <w:kern w:val="21"/>
                <w:szCs w:val="21"/>
              </w:rPr>
              <w:fldChar w:fldCharType="begin"/>
            </w:r>
            <w:r>
              <w:rPr>
                <w:rFonts w:ascii="Times New Roman" w:hAnsi="Times New Roman" w:eastAsia="黑体"/>
                <w:snapToGrid w:val="0"/>
                <w:color w:val="auto"/>
                <w:spacing w:val="-16"/>
                <w:kern w:val="21"/>
                <w:szCs w:val="21"/>
              </w:rPr>
              <w:instrText xml:space="preserve"> = 6 \* GB3 \* MERGEFORMAT </w:instrText>
            </w:r>
            <w:r>
              <w:rPr>
                <w:rFonts w:ascii="Times New Roman" w:hAnsi="Times New Roman" w:eastAsia="黑体"/>
                <w:snapToGrid w:val="0"/>
                <w:color w:val="auto"/>
                <w:spacing w:val="-16"/>
                <w:kern w:val="21"/>
                <w:szCs w:val="21"/>
              </w:rPr>
              <w:fldChar w:fldCharType="separate"/>
            </w:r>
            <w:r>
              <w:rPr>
                <w:rFonts w:ascii="Times New Roman" w:hAnsi="Times New Roman" w:eastAsia="黑体"/>
                <w:color w:val="auto"/>
                <w:kern w:val="2"/>
                <w:szCs w:val="21"/>
              </w:rPr>
              <w:t>⑥</w:t>
            </w:r>
            <w:r>
              <w:rPr>
                <w:rFonts w:ascii="Times New Roman" w:hAnsi="Times New Roman" w:eastAsia="黑体"/>
                <w:snapToGrid w:val="0"/>
                <w:color w:val="auto"/>
                <w:spacing w:val="-16"/>
                <w:kern w:val="21"/>
                <w:szCs w:val="21"/>
              </w:rPr>
              <w:fldChar w:fldCharType="end"/>
            </w:r>
          </w:p>
        </w:tc>
        <w:tc>
          <w:tcPr>
            <w:tcW w:w="894" w:type="dxa"/>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变化量</w:t>
            </w:r>
          </w:p>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fldChar w:fldCharType="begin"/>
            </w:r>
            <w:r>
              <w:rPr>
                <w:rFonts w:ascii="Times New Roman" w:hAnsi="Times New Roman" w:eastAsia="黑体"/>
                <w:snapToGrid w:val="0"/>
                <w:color w:val="auto"/>
                <w:spacing w:val="-6"/>
                <w:kern w:val="21"/>
                <w:szCs w:val="21"/>
              </w:rPr>
              <w:instrText xml:space="preserve"> = 7 \* GB3 \* MERGEFORMAT </w:instrText>
            </w:r>
            <w:r>
              <w:rPr>
                <w:rFonts w:ascii="Times New Roman" w:hAnsi="Times New Roman" w:eastAsia="黑体"/>
                <w:snapToGrid w:val="0"/>
                <w:color w:val="auto"/>
                <w:spacing w:val="-6"/>
                <w:kern w:val="21"/>
                <w:szCs w:val="21"/>
              </w:rPr>
              <w:fldChar w:fldCharType="separate"/>
            </w:r>
            <w:r>
              <w:rPr>
                <w:rFonts w:ascii="Times New Roman" w:hAnsi="Times New Roman" w:eastAsia="黑体"/>
                <w:color w:val="auto"/>
                <w:kern w:val="2"/>
                <w:szCs w:val="21"/>
              </w:rPr>
              <w:t>⑦</w:t>
            </w:r>
            <w:r>
              <w:rPr>
                <w:rFonts w:ascii="Times New Roman" w:hAnsi="Times New Roman" w:eastAsia="黑体"/>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ascii="Times New Roman" w:hAnsi="Times New Roman"/>
                <w:snapToGrid w:val="0"/>
                <w:color w:val="auto"/>
                <w:kern w:val="21"/>
                <w:szCs w:val="21"/>
              </w:rPr>
              <w:t>废气</w:t>
            </w:r>
          </w:p>
        </w:tc>
        <w:tc>
          <w:tcPr>
            <w:tcW w:w="1417"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ascii="Times New Roman" w:hAnsi="Times New Roman"/>
                <w:snapToGrid w:val="0"/>
                <w:color w:val="auto"/>
                <w:kern w:val="21"/>
                <w:szCs w:val="21"/>
              </w:rPr>
              <w:t>颗粒物</w:t>
            </w: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276"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559"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eastAsia" w:ascii="Times New Roman" w:hAnsi="Times New Roman" w:eastAsia="宋体"/>
                <w:snapToGrid w:val="0"/>
                <w:color w:val="auto"/>
                <w:kern w:val="21"/>
                <w:szCs w:val="21"/>
                <w:lang w:val="en-US" w:eastAsia="zh-CN"/>
              </w:rPr>
            </w:pPr>
            <w:r>
              <w:rPr>
                <w:rFonts w:hint="eastAsia"/>
                <w:snapToGrid w:val="0"/>
                <w:color w:val="auto"/>
                <w:kern w:val="21"/>
                <w:szCs w:val="21"/>
                <w:lang w:eastAsia="zh-CN"/>
              </w:rPr>
              <w:t>0.973</w:t>
            </w:r>
          </w:p>
        </w:tc>
        <w:tc>
          <w:tcPr>
            <w:tcW w:w="176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89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eastAsia" w:ascii="Times New Roman" w:hAnsi="Times New Roman" w:eastAsia="宋体"/>
                <w:snapToGrid w:val="0"/>
                <w:color w:val="auto"/>
                <w:kern w:val="21"/>
                <w:szCs w:val="21"/>
                <w:lang w:eastAsia="zh-CN"/>
              </w:rPr>
            </w:pPr>
            <w:r>
              <w:rPr>
                <w:rFonts w:hint="eastAsia"/>
                <w:snapToGrid w:val="0"/>
                <w:color w:val="auto"/>
                <w:kern w:val="21"/>
                <w:szCs w:val="21"/>
                <w:lang w:eastAsia="zh-CN"/>
              </w:rPr>
              <w:t>0.973</w:t>
            </w:r>
          </w:p>
        </w:tc>
        <w:tc>
          <w:tcPr>
            <w:tcW w:w="894"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eastAsia" w:ascii="Times New Roman" w:hAnsi="Times New Roman" w:eastAsia="宋体"/>
                <w:snapToGrid w:val="0"/>
                <w:color w:val="auto"/>
                <w:kern w:val="21"/>
                <w:szCs w:val="21"/>
                <w:lang w:eastAsia="zh-CN"/>
              </w:rPr>
            </w:pPr>
            <w:r>
              <w:rPr>
                <w:rFonts w:hint="eastAsia"/>
                <w:snapToGrid w:val="0"/>
                <w:color w:val="auto"/>
                <w:kern w:val="21"/>
                <w:szCs w:val="21"/>
                <w:lang w:val="en-US" w:eastAsia="zh-CN"/>
              </w:rPr>
              <w:t>+</w:t>
            </w:r>
            <w:r>
              <w:rPr>
                <w:rFonts w:hint="eastAsia"/>
                <w:snapToGrid w:val="0"/>
                <w:color w:val="auto"/>
                <w:kern w:val="21"/>
                <w:szCs w:val="21"/>
                <w:lang w:eastAsia="zh-CN"/>
              </w:rPr>
              <w:t>0.973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417"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ascii="Times New Roman" w:hAnsi="Times New Roman"/>
                <w:snapToGrid w:val="0"/>
                <w:color w:val="auto"/>
                <w:kern w:val="21"/>
                <w:szCs w:val="21"/>
              </w:rPr>
              <w:t>二氧化硫</w:t>
            </w: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276"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559"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ascii="Times New Roman" w:hAnsi="Times New Roman"/>
                <w:snapToGrid w:val="0"/>
                <w:color w:val="auto"/>
                <w:kern w:val="21"/>
                <w:szCs w:val="21"/>
              </w:rPr>
              <w:t>0</w:t>
            </w:r>
          </w:p>
        </w:tc>
        <w:tc>
          <w:tcPr>
            <w:tcW w:w="176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89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ascii="Times New Roman" w:hAnsi="Times New Roman"/>
                <w:snapToGrid w:val="0"/>
                <w:color w:val="auto"/>
                <w:kern w:val="21"/>
                <w:szCs w:val="21"/>
              </w:rPr>
              <w:t>0</w:t>
            </w:r>
          </w:p>
        </w:tc>
        <w:tc>
          <w:tcPr>
            <w:tcW w:w="894"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hint="eastAsia" w:ascii="Times New Roman" w:hAnsi="Times New Roman"/>
                <w:snapToGrid w:val="0"/>
                <w:color w:val="auto"/>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417"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ascii="Times New Roman" w:hAnsi="Times New Roman"/>
                <w:snapToGrid w:val="0"/>
                <w:color w:val="auto"/>
                <w:kern w:val="21"/>
                <w:szCs w:val="21"/>
              </w:rPr>
              <w:t>氮氧化物</w:t>
            </w: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276"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559"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ascii="Times New Roman" w:hAnsi="Times New Roman"/>
                <w:snapToGrid w:val="0"/>
                <w:color w:val="auto"/>
                <w:kern w:val="21"/>
                <w:szCs w:val="21"/>
              </w:rPr>
              <w:t>0</w:t>
            </w:r>
          </w:p>
        </w:tc>
        <w:tc>
          <w:tcPr>
            <w:tcW w:w="176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89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ascii="Times New Roman" w:hAnsi="Times New Roman"/>
                <w:snapToGrid w:val="0"/>
                <w:color w:val="auto"/>
                <w:kern w:val="21"/>
                <w:szCs w:val="21"/>
              </w:rPr>
              <w:t>0</w:t>
            </w:r>
          </w:p>
        </w:tc>
        <w:tc>
          <w:tcPr>
            <w:tcW w:w="894"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hint="eastAsia" w:ascii="Times New Roman" w:hAnsi="Times New Roman"/>
                <w:snapToGrid w:val="0"/>
                <w:color w:val="auto"/>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417"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hint="eastAsia" w:ascii="Times New Roman" w:hAnsi="Times New Roman"/>
                <w:snapToGrid w:val="0"/>
                <w:color w:val="auto"/>
                <w:kern w:val="21"/>
                <w:szCs w:val="21"/>
              </w:rPr>
              <w:t>VOCs</w:t>
            </w: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276"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559"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default" w:ascii="Times New Roman" w:hAnsi="Times New Roman" w:eastAsia="宋体"/>
                <w:snapToGrid w:val="0"/>
                <w:color w:val="auto"/>
                <w:kern w:val="21"/>
                <w:szCs w:val="21"/>
                <w:lang w:val="en-US" w:eastAsia="zh-CN"/>
              </w:rPr>
            </w:pPr>
            <w:r>
              <w:rPr>
                <w:rFonts w:hint="eastAsia"/>
                <w:snapToGrid w:val="0"/>
                <w:color w:val="auto"/>
                <w:kern w:val="21"/>
                <w:szCs w:val="21"/>
                <w:lang w:val="en-US" w:eastAsia="zh-CN"/>
              </w:rPr>
              <w:t>1.85</w:t>
            </w:r>
          </w:p>
        </w:tc>
        <w:tc>
          <w:tcPr>
            <w:tcW w:w="176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89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eastAsia" w:ascii="Times New Roman" w:hAnsi="Times New Roman" w:eastAsia="宋体"/>
                <w:snapToGrid w:val="0"/>
                <w:color w:val="auto"/>
                <w:kern w:val="21"/>
                <w:szCs w:val="21"/>
                <w:lang w:eastAsia="zh-CN"/>
              </w:rPr>
            </w:pPr>
            <w:r>
              <w:rPr>
                <w:rFonts w:hint="eastAsia"/>
                <w:snapToGrid w:val="0"/>
                <w:color w:val="auto"/>
                <w:kern w:val="21"/>
                <w:szCs w:val="21"/>
                <w:lang w:eastAsia="zh-CN"/>
              </w:rPr>
              <w:t>1.85</w:t>
            </w:r>
          </w:p>
        </w:tc>
        <w:tc>
          <w:tcPr>
            <w:tcW w:w="894"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eastAsia" w:ascii="Times New Roman" w:hAnsi="Times New Roman" w:eastAsia="宋体"/>
                <w:snapToGrid w:val="0"/>
                <w:color w:val="auto"/>
                <w:kern w:val="21"/>
                <w:szCs w:val="21"/>
                <w:lang w:eastAsia="zh-CN"/>
              </w:rPr>
            </w:pPr>
            <w:r>
              <w:rPr>
                <w:rFonts w:ascii="Times New Roman" w:hAnsi="Times New Roman"/>
                <w:snapToGrid w:val="0"/>
                <w:color w:val="auto"/>
                <w:kern w:val="21"/>
                <w:szCs w:val="21"/>
              </w:rPr>
              <w:t>+</w:t>
            </w:r>
            <w:r>
              <w:rPr>
                <w:rFonts w:hint="eastAsia"/>
                <w:snapToGrid w:val="0"/>
                <w:color w:val="auto"/>
                <w:kern w:val="21"/>
                <w:szCs w:val="21"/>
                <w:lang w:eastAsia="zh-CN"/>
              </w:rPr>
              <w:t>1.85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ascii="Times New Roman" w:hAnsi="Times New Roman"/>
                <w:snapToGrid w:val="0"/>
                <w:color w:val="auto"/>
                <w:kern w:val="21"/>
                <w:szCs w:val="21"/>
              </w:rPr>
              <w:t>废水</w:t>
            </w:r>
          </w:p>
        </w:tc>
        <w:tc>
          <w:tcPr>
            <w:tcW w:w="1417"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hint="eastAsia" w:ascii="Times New Roman" w:hAnsi="Times New Roman"/>
                <w:snapToGrid w:val="0"/>
                <w:color w:val="auto"/>
                <w:kern w:val="21"/>
                <w:szCs w:val="21"/>
              </w:rPr>
              <w:t>COD</w:t>
            </w: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276"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559"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default" w:ascii="Times New Roman" w:hAnsi="Times New Roman" w:eastAsia="宋体"/>
                <w:snapToGrid w:val="0"/>
                <w:color w:val="auto"/>
                <w:kern w:val="21"/>
                <w:szCs w:val="21"/>
                <w:lang w:val="en-US" w:eastAsia="zh-CN"/>
              </w:rPr>
            </w:pPr>
            <w:r>
              <w:rPr>
                <w:rFonts w:hint="eastAsia"/>
                <w:snapToGrid w:val="0"/>
                <w:color w:val="auto"/>
                <w:kern w:val="21"/>
                <w:szCs w:val="21"/>
                <w:lang w:val="en-US" w:eastAsia="zh-CN"/>
              </w:rPr>
              <w:t>0.03</w:t>
            </w:r>
          </w:p>
        </w:tc>
        <w:tc>
          <w:tcPr>
            <w:tcW w:w="176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89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default" w:ascii="Times New Roman" w:hAnsi="Times New Roman" w:eastAsia="宋体"/>
                <w:snapToGrid w:val="0"/>
                <w:color w:val="auto"/>
                <w:kern w:val="21"/>
                <w:szCs w:val="21"/>
                <w:lang w:val="en-US" w:eastAsia="zh-CN"/>
              </w:rPr>
            </w:pPr>
            <w:r>
              <w:rPr>
                <w:rFonts w:hint="eastAsia"/>
                <w:snapToGrid w:val="0"/>
                <w:color w:val="auto"/>
                <w:kern w:val="21"/>
                <w:szCs w:val="21"/>
                <w:lang w:val="en-US" w:eastAsia="zh-CN"/>
              </w:rPr>
              <w:t>0.03</w:t>
            </w:r>
          </w:p>
        </w:tc>
        <w:tc>
          <w:tcPr>
            <w:tcW w:w="894"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rPr>
              <w:t>+</w:t>
            </w:r>
            <w:r>
              <w:rPr>
                <w:rFonts w:hint="eastAsia"/>
                <w:snapToGrid w:val="0"/>
                <w:color w:val="auto"/>
                <w:kern w:val="21"/>
                <w:szCs w:val="21"/>
                <w:lang w:val="en-US" w:eastAsia="zh-CN"/>
              </w:rPr>
              <w:t>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417"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hint="eastAsia" w:ascii="Times New Roman" w:hAnsi="Times New Roman"/>
                <w:snapToGrid w:val="0"/>
                <w:color w:val="auto"/>
                <w:kern w:val="21"/>
                <w:szCs w:val="21"/>
              </w:rPr>
              <w:t>氨氮</w:t>
            </w: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276"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559"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val="en-US" w:eastAsia="zh-CN"/>
              </w:rPr>
              <w:t>0.</w:t>
            </w:r>
            <w:r>
              <w:rPr>
                <w:rFonts w:hint="eastAsia"/>
                <w:snapToGrid w:val="0"/>
                <w:color w:val="auto"/>
                <w:kern w:val="21"/>
                <w:szCs w:val="21"/>
                <w:lang w:val="en-US" w:eastAsia="zh-CN"/>
              </w:rPr>
              <w:t>003</w:t>
            </w:r>
          </w:p>
        </w:tc>
        <w:tc>
          <w:tcPr>
            <w:tcW w:w="176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89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hint="eastAsia" w:ascii="Times New Roman" w:hAnsi="Times New Roman"/>
                <w:snapToGrid w:val="0"/>
                <w:color w:val="auto"/>
                <w:kern w:val="21"/>
                <w:szCs w:val="21"/>
                <w:lang w:val="en-US" w:eastAsia="zh-CN"/>
              </w:rPr>
              <w:t>0.</w:t>
            </w:r>
            <w:r>
              <w:rPr>
                <w:rFonts w:hint="eastAsia"/>
                <w:snapToGrid w:val="0"/>
                <w:color w:val="auto"/>
                <w:kern w:val="21"/>
                <w:szCs w:val="21"/>
                <w:lang w:val="en-US" w:eastAsia="zh-CN"/>
              </w:rPr>
              <w:t>003</w:t>
            </w:r>
          </w:p>
        </w:tc>
        <w:tc>
          <w:tcPr>
            <w:tcW w:w="894"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hint="eastAsia" w:ascii="Times New Roman" w:hAnsi="Times New Roman"/>
                <w:snapToGrid w:val="0"/>
                <w:color w:val="auto"/>
                <w:kern w:val="21"/>
                <w:szCs w:val="21"/>
              </w:rPr>
              <w:t>+</w:t>
            </w:r>
            <w:r>
              <w:rPr>
                <w:rFonts w:hint="eastAsia" w:ascii="Times New Roman" w:hAnsi="Times New Roman"/>
                <w:snapToGrid w:val="0"/>
                <w:color w:val="auto"/>
                <w:kern w:val="21"/>
                <w:szCs w:val="21"/>
                <w:lang w:val="en-US" w:eastAsia="zh-CN"/>
              </w:rPr>
              <w:t>0.</w:t>
            </w:r>
            <w:r>
              <w:rPr>
                <w:rFonts w:hint="eastAsia"/>
                <w:snapToGrid w:val="0"/>
                <w:color w:val="auto"/>
                <w:kern w:val="21"/>
                <w:szCs w:val="21"/>
                <w:lang w:val="en-US" w:eastAsia="zh-CN"/>
              </w:rPr>
              <w:t>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ascii="Times New Roman" w:hAnsi="Times New Roman"/>
                <w:snapToGrid w:val="0"/>
                <w:color w:val="auto"/>
                <w:kern w:val="21"/>
                <w:szCs w:val="21"/>
              </w:rPr>
              <w:t>一般工业</w:t>
            </w:r>
          </w:p>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ascii="Times New Roman" w:hAnsi="Times New Roman"/>
                <w:snapToGrid w:val="0"/>
                <w:color w:val="auto"/>
                <w:kern w:val="21"/>
                <w:szCs w:val="21"/>
              </w:rPr>
              <w:t>固体废物</w:t>
            </w:r>
          </w:p>
        </w:tc>
        <w:tc>
          <w:tcPr>
            <w:tcW w:w="1417"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eastAsia"/>
                <w:snapToGrid w:val="0"/>
                <w:color w:val="auto"/>
                <w:kern w:val="21"/>
                <w:szCs w:val="21"/>
                <w:lang w:eastAsia="zh-CN"/>
              </w:rPr>
            </w:pPr>
            <w:r>
              <w:rPr>
                <w:rFonts w:hint="eastAsia"/>
                <w:snapToGrid w:val="0"/>
                <w:color w:val="auto"/>
                <w:kern w:val="21"/>
                <w:szCs w:val="21"/>
                <w:lang w:eastAsia="zh-CN"/>
              </w:rPr>
              <w:t>废包装袋</w:t>
            </w: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276"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559"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default" w:ascii="Times New Roman" w:hAnsi="Times New Roman"/>
                <w:snapToGrid w:val="0"/>
                <w:color w:val="auto"/>
                <w:kern w:val="21"/>
                <w:szCs w:val="21"/>
                <w:lang w:val="en-US" w:eastAsia="zh-CN"/>
              </w:rPr>
            </w:pPr>
            <w:r>
              <w:rPr>
                <w:rFonts w:hint="eastAsia"/>
                <w:snapToGrid w:val="0"/>
                <w:color w:val="auto"/>
                <w:kern w:val="21"/>
                <w:szCs w:val="21"/>
                <w:lang w:val="en-US" w:eastAsia="zh-CN"/>
              </w:rPr>
              <w:t>0.5</w:t>
            </w:r>
          </w:p>
        </w:tc>
        <w:tc>
          <w:tcPr>
            <w:tcW w:w="176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89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leftChars="0" w:right="0" w:rightChars="0" w:firstLine="0" w:firstLineChars="0"/>
              <w:textAlignment w:val="baseline"/>
              <w:rPr>
                <w:rFonts w:hint="eastAsia" w:ascii="Times New Roman" w:hAnsi="Times New Roman"/>
                <w:snapToGrid w:val="0"/>
                <w:color w:val="auto"/>
                <w:kern w:val="21"/>
                <w:szCs w:val="21"/>
                <w:lang w:val="en-US" w:eastAsia="zh-CN"/>
              </w:rPr>
            </w:pPr>
            <w:r>
              <w:rPr>
                <w:rFonts w:hint="eastAsia"/>
                <w:snapToGrid w:val="0"/>
                <w:color w:val="auto"/>
                <w:kern w:val="21"/>
                <w:szCs w:val="21"/>
                <w:lang w:val="en-US" w:eastAsia="zh-CN"/>
              </w:rPr>
              <w:t>0.5</w:t>
            </w:r>
          </w:p>
        </w:tc>
        <w:tc>
          <w:tcPr>
            <w:tcW w:w="894"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leftChars="0" w:right="0" w:rightChars="0" w:firstLine="0" w:firstLineChars="0"/>
              <w:textAlignment w:val="baseline"/>
              <w:rPr>
                <w:rFonts w:hint="eastAsia" w:ascii="Times New Roman" w:hAnsi="Times New Roman"/>
                <w:snapToGrid w:val="0"/>
                <w:color w:val="auto"/>
                <w:kern w:val="21"/>
                <w:szCs w:val="21"/>
              </w:rPr>
            </w:pPr>
            <w:r>
              <w:rPr>
                <w:rFonts w:hint="eastAsia"/>
                <w:snapToGrid w:val="0"/>
                <w:color w:val="auto"/>
                <w:kern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417"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default"/>
                <w:snapToGrid w:val="0"/>
                <w:color w:val="auto"/>
                <w:kern w:val="21"/>
                <w:szCs w:val="21"/>
                <w:lang w:val="en-US" w:eastAsia="zh-CN"/>
              </w:rPr>
            </w:pPr>
            <w:r>
              <w:rPr>
                <w:rFonts w:hint="eastAsia"/>
                <w:snapToGrid w:val="0"/>
                <w:color w:val="auto"/>
                <w:kern w:val="21"/>
                <w:szCs w:val="21"/>
                <w:lang w:val="en-US" w:eastAsia="zh-CN"/>
              </w:rPr>
              <w:t>废包装桶</w:t>
            </w: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276"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559"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default" w:ascii="Times New Roman" w:hAnsi="Times New Roman"/>
                <w:snapToGrid w:val="0"/>
                <w:color w:val="auto"/>
                <w:kern w:val="21"/>
                <w:szCs w:val="21"/>
                <w:lang w:val="en-US" w:eastAsia="zh-CN"/>
              </w:rPr>
            </w:pPr>
            <w:r>
              <w:rPr>
                <w:rFonts w:hint="eastAsia"/>
                <w:snapToGrid w:val="0"/>
                <w:color w:val="auto"/>
                <w:kern w:val="21"/>
                <w:szCs w:val="21"/>
                <w:lang w:val="en-US" w:eastAsia="zh-CN"/>
              </w:rPr>
              <w:t>2</w:t>
            </w:r>
          </w:p>
        </w:tc>
        <w:tc>
          <w:tcPr>
            <w:tcW w:w="176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89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leftChars="0" w:right="0" w:rightChars="0" w:firstLine="0" w:firstLineChars="0"/>
              <w:textAlignment w:val="baseline"/>
              <w:rPr>
                <w:rFonts w:hint="eastAsia" w:ascii="Times New Roman" w:hAnsi="Times New Roman"/>
                <w:snapToGrid w:val="0"/>
                <w:color w:val="auto"/>
                <w:kern w:val="21"/>
                <w:szCs w:val="21"/>
                <w:lang w:val="en-US" w:eastAsia="zh-CN"/>
              </w:rPr>
            </w:pPr>
            <w:r>
              <w:rPr>
                <w:rFonts w:hint="eastAsia"/>
                <w:snapToGrid w:val="0"/>
                <w:color w:val="auto"/>
                <w:kern w:val="21"/>
                <w:szCs w:val="21"/>
                <w:lang w:val="en-US" w:eastAsia="zh-CN"/>
              </w:rPr>
              <w:t>2</w:t>
            </w:r>
          </w:p>
        </w:tc>
        <w:tc>
          <w:tcPr>
            <w:tcW w:w="894"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leftChars="0" w:right="0" w:rightChars="0" w:firstLine="0" w:firstLineChars="0"/>
              <w:textAlignment w:val="baseline"/>
              <w:rPr>
                <w:rFonts w:hint="eastAsia" w:ascii="Times New Roman" w:hAnsi="Times New Roman"/>
                <w:snapToGrid w:val="0"/>
                <w:color w:val="auto"/>
                <w:kern w:val="21"/>
                <w:szCs w:val="21"/>
              </w:rPr>
            </w:pPr>
            <w:r>
              <w:rPr>
                <w:rFonts w:hint="eastAsia"/>
                <w:snapToGrid w:val="0"/>
                <w:color w:val="auto"/>
                <w:kern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417"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default" w:ascii="Times New Roman" w:hAnsi="Times New Roman" w:eastAsia="宋体"/>
                <w:snapToGrid w:val="0"/>
                <w:color w:val="auto"/>
                <w:kern w:val="21"/>
                <w:szCs w:val="21"/>
                <w:lang w:val="en-US" w:eastAsia="zh-CN"/>
              </w:rPr>
            </w:pPr>
            <w:r>
              <w:rPr>
                <w:rFonts w:hint="eastAsia"/>
                <w:snapToGrid w:val="0"/>
                <w:color w:val="auto"/>
                <w:kern w:val="21"/>
                <w:szCs w:val="21"/>
                <w:lang w:val="en-US" w:eastAsia="zh-CN"/>
              </w:rPr>
              <w:t>布袋除尘器粉尘</w:t>
            </w: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276"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559"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default" w:ascii="Times New Roman" w:hAnsi="Times New Roman" w:eastAsia="宋体"/>
                <w:snapToGrid w:val="0"/>
                <w:color w:val="auto"/>
                <w:kern w:val="21"/>
                <w:szCs w:val="21"/>
                <w:lang w:val="en-US" w:eastAsia="zh-CN"/>
              </w:rPr>
            </w:pPr>
            <w:r>
              <w:rPr>
                <w:rFonts w:hint="eastAsia"/>
                <w:snapToGrid w:val="0"/>
                <w:color w:val="auto"/>
                <w:kern w:val="21"/>
                <w:szCs w:val="21"/>
                <w:lang w:val="en-US" w:eastAsia="zh-CN"/>
              </w:rPr>
              <w:t>44</w:t>
            </w:r>
          </w:p>
        </w:tc>
        <w:tc>
          <w:tcPr>
            <w:tcW w:w="176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89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default" w:ascii="Times New Roman" w:hAnsi="Times New Roman" w:eastAsia="宋体"/>
                <w:snapToGrid w:val="0"/>
                <w:color w:val="auto"/>
                <w:kern w:val="21"/>
                <w:szCs w:val="21"/>
                <w:lang w:val="en-US" w:eastAsia="zh-CN"/>
              </w:rPr>
            </w:pPr>
            <w:r>
              <w:rPr>
                <w:rFonts w:hint="eastAsia"/>
                <w:snapToGrid w:val="0"/>
                <w:color w:val="auto"/>
                <w:kern w:val="21"/>
                <w:szCs w:val="21"/>
                <w:lang w:val="en-US" w:eastAsia="zh-CN"/>
              </w:rPr>
              <w:t>44</w:t>
            </w:r>
          </w:p>
        </w:tc>
        <w:tc>
          <w:tcPr>
            <w:tcW w:w="894"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rPr>
              <w:t>+</w:t>
            </w:r>
            <w:r>
              <w:rPr>
                <w:rFonts w:hint="eastAsia"/>
                <w:snapToGrid w:val="0"/>
                <w:color w:val="auto"/>
                <w:kern w:val="21"/>
                <w:szCs w:val="21"/>
                <w:lang w:val="en-US" w:eastAsia="zh-CN"/>
              </w:rPr>
              <w:t>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417"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hint="default" w:ascii="Times New Roman" w:hAnsi="Times New Roman"/>
                <w:snapToGrid w:val="0"/>
                <w:color w:val="auto"/>
                <w:kern w:val="21"/>
                <w:szCs w:val="21"/>
                <w:lang w:val="en-US"/>
              </w:rPr>
            </w:pPr>
            <w:r>
              <w:rPr>
                <w:rFonts w:hint="eastAsia"/>
                <w:snapToGrid w:val="0"/>
                <w:color w:val="auto"/>
                <w:kern w:val="21"/>
                <w:szCs w:val="21"/>
                <w:lang w:val="en-US" w:eastAsia="zh-CN"/>
              </w:rPr>
              <w:t>反渗透膜</w:t>
            </w: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276"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559"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leftChars="0" w:right="0" w:rightChars="0" w:firstLine="0" w:firstLineChars="0"/>
              <w:textAlignment w:val="baseline"/>
              <w:rPr>
                <w:rFonts w:ascii="Times New Roman" w:hAnsi="Times New Roman"/>
                <w:snapToGrid w:val="0"/>
                <w:color w:val="auto"/>
                <w:kern w:val="21"/>
                <w:szCs w:val="21"/>
              </w:rPr>
            </w:pPr>
            <w:r>
              <w:rPr>
                <w:rFonts w:hint="eastAsia"/>
                <w:snapToGrid w:val="0"/>
                <w:color w:val="auto"/>
                <w:kern w:val="21"/>
                <w:szCs w:val="21"/>
                <w:lang w:val="en-US" w:eastAsia="zh-CN"/>
              </w:rPr>
              <w:t>0.03</w:t>
            </w:r>
          </w:p>
        </w:tc>
        <w:tc>
          <w:tcPr>
            <w:tcW w:w="176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leftChars="0" w:right="0" w:rightChars="0" w:firstLine="0" w:firstLineChars="0"/>
              <w:textAlignment w:val="baseline"/>
              <w:rPr>
                <w:rFonts w:ascii="Times New Roman" w:hAnsi="Times New Roman"/>
                <w:snapToGrid w:val="0"/>
                <w:color w:val="auto"/>
                <w:kern w:val="21"/>
                <w:szCs w:val="21"/>
              </w:rPr>
            </w:pPr>
          </w:p>
        </w:tc>
        <w:tc>
          <w:tcPr>
            <w:tcW w:w="189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leftChars="0" w:right="0" w:rightChars="0" w:firstLine="0" w:firstLineChars="0"/>
              <w:textAlignment w:val="baseline"/>
              <w:rPr>
                <w:rFonts w:ascii="Times New Roman" w:hAnsi="Times New Roman"/>
                <w:snapToGrid w:val="0"/>
                <w:color w:val="auto"/>
                <w:kern w:val="21"/>
                <w:szCs w:val="21"/>
              </w:rPr>
            </w:pPr>
            <w:r>
              <w:rPr>
                <w:rFonts w:hint="eastAsia"/>
                <w:snapToGrid w:val="0"/>
                <w:color w:val="auto"/>
                <w:kern w:val="21"/>
                <w:szCs w:val="21"/>
                <w:lang w:val="en-US" w:eastAsia="zh-CN"/>
              </w:rPr>
              <w:t>0.03</w:t>
            </w:r>
          </w:p>
        </w:tc>
        <w:tc>
          <w:tcPr>
            <w:tcW w:w="894"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leftChars="0" w:right="0" w:rightChars="0" w:firstLine="0" w:firstLineChars="0"/>
              <w:textAlignment w:val="baseline"/>
              <w:rPr>
                <w:rFonts w:ascii="Times New Roman" w:hAnsi="Times New Roman"/>
                <w:snapToGrid w:val="0"/>
                <w:color w:val="auto"/>
                <w:kern w:val="21"/>
                <w:szCs w:val="21"/>
              </w:rPr>
            </w:pPr>
            <w:r>
              <w:rPr>
                <w:rFonts w:hint="eastAsia" w:ascii="Times New Roman" w:hAnsi="Times New Roman" w:eastAsia="宋体" w:cs="Times New Roman"/>
                <w:snapToGrid w:val="0"/>
                <w:color w:val="auto"/>
                <w:kern w:val="21"/>
                <w:szCs w:val="21"/>
                <w:lang w:val="en-US" w:eastAsia="zh-CN"/>
              </w:rPr>
              <w:t>+</w:t>
            </w:r>
            <w:r>
              <w:rPr>
                <w:rFonts w:hint="eastAsia"/>
                <w:snapToGrid w:val="0"/>
                <w:color w:val="auto"/>
                <w:kern w:val="21"/>
                <w:szCs w:val="21"/>
                <w:lang w:val="en-US" w:eastAsia="zh-CN"/>
              </w:rPr>
              <w:t>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ascii="Times New Roman" w:hAnsi="Times New Roman"/>
                <w:snapToGrid w:val="0"/>
                <w:color w:val="auto"/>
                <w:kern w:val="21"/>
                <w:szCs w:val="21"/>
              </w:rPr>
              <w:t>危险废物</w:t>
            </w:r>
          </w:p>
        </w:tc>
        <w:tc>
          <w:tcPr>
            <w:tcW w:w="1417"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r>
              <w:rPr>
                <w:rFonts w:hint="eastAsia" w:ascii="Times New Roman" w:hAnsi="Times New Roman"/>
                <w:snapToGrid w:val="0"/>
                <w:color w:val="auto"/>
                <w:kern w:val="21"/>
                <w:szCs w:val="21"/>
              </w:rPr>
              <w:t>废活性炭</w:t>
            </w: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276"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559"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leftChars="0" w:right="0" w:rightChars="0" w:firstLine="0" w:firstLineChars="0"/>
              <w:textAlignment w:val="baseline"/>
              <w:rPr>
                <w:rFonts w:hint="default" w:ascii="Times New Roman" w:hAnsi="Times New Roman"/>
                <w:snapToGrid w:val="0"/>
                <w:color w:val="auto"/>
                <w:kern w:val="21"/>
                <w:szCs w:val="21"/>
                <w:lang w:val="en-US"/>
              </w:rPr>
            </w:pPr>
            <w:r>
              <w:rPr>
                <w:rFonts w:hint="eastAsia"/>
                <w:snapToGrid w:val="0"/>
                <w:color w:val="auto"/>
                <w:kern w:val="21"/>
                <w:szCs w:val="21"/>
                <w:lang w:val="en-US" w:eastAsia="zh-CN"/>
              </w:rPr>
              <w:t>10.5</w:t>
            </w:r>
          </w:p>
        </w:tc>
        <w:tc>
          <w:tcPr>
            <w:tcW w:w="176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leftChars="0" w:right="0" w:rightChars="0" w:firstLine="0" w:firstLineChars="0"/>
              <w:textAlignment w:val="baseline"/>
              <w:rPr>
                <w:rFonts w:ascii="Times New Roman" w:hAnsi="Times New Roman"/>
                <w:snapToGrid w:val="0"/>
                <w:color w:val="auto"/>
                <w:kern w:val="21"/>
                <w:szCs w:val="21"/>
              </w:rPr>
            </w:pPr>
          </w:p>
        </w:tc>
        <w:tc>
          <w:tcPr>
            <w:tcW w:w="189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leftChars="0" w:right="0" w:rightChars="0" w:firstLine="0" w:firstLineChars="0"/>
              <w:textAlignment w:val="baseline"/>
              <w:rPr>
                <w:rFonts w:hint="default" w:ascii="Times New Roman" w:hAnsi="Times New Roman"/>
                <w:snapToGrid w:val="0"/>
                <w:color w:val="auto"/>
                <w:kern w:val="21"/>
                <w:szCs w:val="21"/>
                <w:lang w:val="en-US"/>
              </w:rPr>
            </w:pPr>
            <w:r>
              <w:rPr>
                <w:rFonts w:hint="eastAsia"/>
                <w:snapToGrid w:val="0"/>
                <w:color w:val="auto"/>
                <w:kern w:val="21"/>
                <w:szCs w:val="21"/>
                <w:lang w:val="en-US" w:eastAsia="zh-CN"/>
              </w:rPr>
              <w:t>10.5</w:t>
            </w:r>
          </w:p>
        </w:tc>
        <w:tc>
          <w:tcPr>
            <w:tcW w:w="894"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leftChars="0" w:right="0" w:rightChars="0" w:firstLine="0" w:firstLineChars="0"/>
              <w:textAlignment w:val="baseline"/>
              <w:rPr>
                <w:rFonts w:hint="default" w:ascii="Times New Roman" w:hAnsi="Times New Roman"/>
                <w:snapToGrid w:val="0"/>
                <w:color w:val="auto"/>
                <w:kern w:val="21"/>
                <w:szCs w:val="21"/>
                <w:lang w:val="en-US"/>
              </w:rPr>
            </w:pPr>
            <w:r>
              <w:rPr>
                <w:rFonts w:hint="eastAsia"/>
                <w:snapToGrid w:val="0"/>
                <w:color w:val="auto"/>
                <w:kern w:val="21"/>
                <w:szCs w:val="21"/>
                <w:lang w:val="en-US" w:eastAsia="zh-CN"/>
              </w:rPr>
              <w:t>+10.5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417"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276"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70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559"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76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right="0" w:firstLine="0"/>
              <w:textAlignment w:val="baseline"/>
              <w:rPr>
                <w:rFonts w:ascii="Times New Roman" w:hAnsi="Times New Roman"/>
                <w:snapToGrid w:val="0"/>
                <w:color w:val="auto"/>
                <w:kern w:val="21"/>
                <w:szCs w:val="21"/>
              </w:rPr>
            </w:pPr>
          </w:p>
        </w:tc>
        <w:tc>
          <w:tcPr>
            <w:tcW w:w="1891"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leftChars="0" w:right="0" w:rightChars="0" w:firstLine="0" w:firstLineChars="0"/>
              <w:textAlignment w:val="baseline"/>
              <w:rPr>
                <w:rFonts w:hint="eastAsia" w:ascii="Times New Roman" w:hAnsi="Times New Roman" w:eastAsia="宋体" w:cs="Times New Roman"/>
                <w:snapToGrid w:val="0"/>
                <w:color w:val="auto"/>
                <w:kern w:val="21"/>
                <w:szCs w:val="21"/>
                <w:lang w:val="en-US" w:eastAsia="zh-CN"/>
              </w:rPr>
            </w:pPr>
          </w:p>
        </w:tc>
        <w:tc>
          <w:tcPr>
            <w:tcW w:w="894" w:type="dxa"/>
            <w:vAlign w:val="center"/>
          </w:tcPr>
          <w:p>
            <w:pPr>
              <w:pStyle w:val="58"/>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left="0" w:leftChars="0" w:right="0" w:rightChars="0" w:firstLine="0" w:firstLineChars="0"/>
              <w:textAlignment w:val="baseline"/>
              <w:rPr>
                <w:rFonts w:hint="eastAsia" w:ascii="Times New Roman" w:hAnsi="Times New Roman" w:eastAsia="宋体" w:cs="Times New Roman"/>
                <w:snapToGrid w:val="0"/>
                <w:color w:val="auto"/>
                <w:kern w:val="21"/>
                <w:szCs w:val="21"/>
                <w:lang w:val="en-US" w:eastAsia="zh-CN"/>
              </w:rPr>
            </w:pPr>
          </w:p>
        </w:tc>
      </w:tr>
    </w:tbl>
    <w:p>
      <w:pPr>
        <w:pStyle w:val="58"/>
        <w:spacing w:before="192" w:beforeLines="80" w:after="24"/>
        <w:jc w:val="left"/>
        <w:rPr>
          <w:rFonts w:ascii="Times New Roman" w:hAnsi="Times New Roman"/>
          <w:snapToGrid w:val="0"/>
          <w:color w:val="auto"/>
          <w:spacing w:val="-6"/>
          <w:kern w:val="21"/>
          <w:szCs w:val="21"/>
        </w:rPr>
      </w:pPr>
      <w:r>
        <w:rPr>
          <w:rFonts w:ascii="Times New Roman" w:hAnsi="Times New Roman"/>
          <w:snapToGrid w:val="0"/>
          <w:color w:val="auto"/>
          <w:kern w:val="21"/>
          <w:szCs w:val="21"/>
        </w:rPr>
        <w:t>注：</w:t>
      </w:r>
      <w:r>
        <w:rPr>
          <w:rFonts w:ascii="Times New Roman" w:hAnsi="Times New Roman"/>
          <w:snapToGrid w:val="0"/>
          <w:color w:val="auto"/>
          <w:spacing w:val="-16"/>
          <w:kern w:val="21"/>
          <w:szCs w:val="21"/>
        </w:rPr>
        <w:fldChar w:fldCharType="begin"/>
      </w:r>
      <w:r>
        <w:rPr>
          <w:rFonts w:ascii="Times New Roman" w:hAnsi="Times New Roman"/>
          <w:snapToGrid w:val="0"/>
          <w:color w:val="auto"/>
          <w:spacing w:val="-16"/>
          <w:kern w:val="21"/>
          <w:szCs w:val="21"/>
        </w:rPr>
        <w:instrText xml:space="preserve"> = 6 \* GB3 \* MERGEFORMAT </w:instrText>
      </w:r>
      <w:r>
        <w:rPr>
          <w:rFonts w:ascii="Times New Roman" w:hAnsi="Times New Roman"/>
          <w:snapToGrid w:val="0"/>
          <w:color w:val="auto"/>
          <w:spacing w:val="-16"/>
          <w:kern w:val="21"/>
          <w:szCs w:val="21"/>
        </w:rPr>
        <w:fldChar w:fldCharType="separate"/>
      </w:r>
      <w:r>
        <w:rPr>
          <w:rFonts w:ascii="Times New Roman" w:hAnsi="Times New Roman"/>
          <w:color w:val="auto"/>
          <w:szCs w:val="21"/>
        </w:rPr>
        <w:t>⑥</w:t>
      </w:r>
      <w:r>
        <w:rPr>
          <w:rFonts w:ascii="Times New Roman" w:hAnsi="Times New Roman"/>
          <w:snapToGrid w:val="0"/>
          <w:color w:val="auto"/>
          <w:spacing w:val="-16"/>
          <w:kern w:val="21"/>
          <w:szCs w:val="21"/>
        </w:rPr>
        <w:fldChar w:fldCharType="end"/>
      </w:r>
      <w:r>
        <w:rPr>
          <w:rFonts w:ascii="Times New Roman" w:hAnsi="Times New Roman"/>
          <w:snapToGrid w:val="0"/>
          <w:color w:val="auto"/>
          <w:spacing w:val="-1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1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①</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3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③</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4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④</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16"/>
          <w:kern w:val="21"/>
          <w:szCs w:val="21"/>
        </w:rPr>
        <w:fldChar w:fldCharType="begin"/>
      </w:r>
      <w:r>
        <w:rPr>
          <w:rFonts w:ascii="Times New Roman" w:hAnsi="Times New Roman"/>
          <w:snapToGrid w:val="0"/>
          <w:color w:val="auto"/>
          <w:spacing w:val="-16"/>
          <w:kern w:val="21"/>
          <w:szCs w:val="21"/>
        </w:rPr>
        <w:instrText xml:space="preserve"> = 5 \* GB3 \* MERGEFORMAT </w:instrText>
      </w:r>
      <w:r>
        <w:rPr>
          <w:rFonts w:ascii="Times New Roman" w:hAnsi="Times New Roman"/>
          <w:snapToGrid w:val="0"/>
          <w:color w:val="auto"/>
          <w:spacing w:val="-16"/>
          <w:kern w:val="21"/>
          <w:szCs w:val="21"/>
        </w:rPr>
        <w:fldChar w:fldCharType="separate"/>
      </w:r>
      <w:r>
        <w:rPr>
          <w:rFonts w:ascii="Times New Roman" w:hAnsi="Times New Roman"/>
          <w:color w:val="auto"/>
          <w:szCs w:val="21"/>
        </w:rPr>
        <w:t>⑤</w:t>
      </w:r>
      <w:r>
        <w:rPr>
          <w:rFonts w:ascii="Times New Roman" w:hAnsi="Times New Roman"/>
          <w:snapToGrid w:val="0"/>
          <w:color w:val="auto"/>
          <w:spacing w:val="-16"/>
          <w:kern w:val="21"/>
          <w:szCs w:val="21"/>
        </w:rPr>
        <w:fldChar w:fldCharType="end"/>
      </w:r>
      <w:r>
        <w:rPr>
          <w:rFonts w:ascii="Times New Roman" w:hAnsi="Times New Roman"/>
          <w:snapToGrid w:val="0"/>
          <w:color w:val="auto"/>
          <w:spacing w:val="-1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7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⑦</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16"/>
          <w:kern w:val="21"/>
          <w:szCs w:val="21"/>
        </w:rPr>
        <w:fldChar w:fldCharType="begin"/>
      </w:r>
      <w:r>
        <w:rPr>
          <w:rFonts w:ascii="Times New Roman" w:hAnsi="Times New Roman"/>
          <w:snapToGrid w:val="0"/>
          <w:color w:val="auto"/>
          <w:spacing w:val="-16"/>
          <w:kern w:val="21"/>
          <w:szCs w:val="21"/>
        </w:rPr>
        <w:instrText xml:space="preserve"> = 6 \* GB3 \* MERGEFORMAT </w:instrText>
      </w:r>
      <w:r>
        <w:rPr>
          <w:rFonts w:ascii="Times New Roman" w:hAnsi="Times New Roman"/>
          <w:snapToGrid w:val="0"/>
          <w:color w:val="auto"/>
          <w:spacing w:val="-16"/>
          <w:kern w:val="21"/>
          <w:szCs w:val="21"/>
        </w:rPr>
        <w:fldChar w:fldCharType="separate"/>
      </w:r>
      <w:r>
        <w:rPr>
          <w:rFonts w:ascii="Times New Roman" w:hAnsi="Times New Roman"/>
          <w:color w:val="auto"/>
          <w:szCs w:val="21"/>
        </w:rPr>
        <w:t>⑥</w:t>
      </w:r>
      <w:r>
        <w:rPr>
          <w:rFonts w:ascii="Times New Roman" w:hAnsi="Times New Roman"/>
          <w:snapToGrid w:val="0"/>
          <w:color w:val="auto"/>
          <w:spacing w:val="-16"/>
          <w:kern w:val="21"/>
          <w:szCs w:val="21"/>
        </w:rPr>
        <w:fldChar w:fldCharType="end"/>
      </w:r>
      <w:r>
        <w:rPr>
          <w:rFonts w:ascii="Times New Roman" w:hAnsi="Times New Roman"/>
          <w:snapToGrid w:val="0"/>
          <w:color w:val="auto"/>
          <w:spacing w:val="-1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1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①</w:t>
      </w:r>
      <w:r>
        <w:rPr>
          <w:rFonts w:ascii="Times New Roman" w:hAnsi="Times New Roman"/>
          <w:snapToGrid w:val="0"/>
          <w:color w:val="auto"/>
          <w:spacing w:val="-6"/>
          <w:kern w:val="21"/>
          <w:szCs w:val="21"/>
        </w:rPr>
        <w:fldChar w:fldCharType="end"/>
      </w:r>
    </w:p>
    <w:p>
      <w:pPr>
        <w:spacing w:line="560" w:lineRule="exact"/>
        <w:jc w:val="center"/>
        <w:rPr>
          <w:rFonts w:ascii="黑体" w:eastAsia="黑体"/>
          <w:b/>
          <w:color w:val="auto"/>
          <w:sz w:val="28"/>
          <w:szCs w:val="28"/>
        </w:rPr>
      </w:pPr>
    </w:p>
    <w:sectPr>
      <w:headerReference r:id="rId7" w:type="default"/>
      <w:footerReference r:id="rId8" w:type="default"/>
      <w:pgSz w:w="16838" w:h="11906" w:orient="landscape"/>
      <w:pgMar w:top="1440" w:right="1440" w:bottom="1440" w:left="1440" w:header="851" w:footer="992" w:gutter="0"/>
      <w:pgNumType w:fmt="decimal"/>
      <w:cols w:space="0" w:num="1"/>
      <w:rtlGutter w:val="0"/>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8"/>
      </w:rPr>
    </w:pPr>
    <w:r>
      <w:fldChar w:fldCharType="begin"/>
    </w:r>
    <w:r>
      <w:rPr>
        <w:rStyle w:val="38"/>
      </w:rPr>
      <w:instrText xml:space="preserve">PAGE  </w:instrText>
    </w:r>
    <w:r>
      <w:fldChar w:fldCharType="end"/>
    </w:r>
  </w:p>
  <w:p>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92553958"/>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sdt>
                    <w:sdtPr>
                      <w:id w:val="-1092553958"/>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8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52983"/>
    <w:multiLevelType w:val="singleLevel"/>
    <w:tmpl w:val="ED552983"/>
    <w:lvl w:ilvl="0" w:tentative="0">
      <w:start w:val="1"/>
      <w:numFmt w:val="decimal"/>
      <w:suff w:val="nothing"/>
      <w:lvlText w:val="（%1）"/>
      <w:lvlJc w:val="left"/>
    </w:lvl>
  </w:abstractNum>
  <w:abstractNum w:abstractNumId="1">
    <w:nsid w:val="19F5A77B"/>
    <w:multiLevelType w:val="singleLevel"/>
    <w:tmpl w:val="19F5A77B"/>
    <w:lvl w:ilvl="0" w:tentative="0">
      <w:start w:val="1"/>
      <w:numFmt w:val="decimal"/>
      <w:suff w:val="nothing"/>
      <w:lvlText w:val="%1、"/>
      <w:lvlJc w:val="left"/>
    </w:lvl>
  </w:abstractNum>
  <w:abstractNum w:abstractNumId="2">
    <w:nsid w:val="33700111"/>
    <w:multiLevelType w:val="multilevel"/>
    <w:tmpl w:val="33700111"/>
    <w:lvl w:ilvl="0" w:tentative="0">
      <w:start w:val="1"/>
      <w:numFmt w:val="decimal"/>
      <w:lvlText w:val="%1"/>
      <w:lvlJc w:val="left"/>
      <w:pPr>
        <w:ind w:left="425" w:hanging="425"/>
      </w:pPr>
      <w:rPr>
        <w:rFonts w:hint="default" w:ascii="Times New Roman" w:hAnsi="Times New Roman" w:eastAsia="华文中宋"/>
        <w:b/>
        <w:sz w:val="36"/>
      </w:rPr>
    </w:lvl>
    <w:lvl w:ilvl="1" w:tentative="0">
      <w:start w:val="1"/>
      <w:numFmt w:val="decimal"/>
      <w:lvlText w:val="%1.%2"/>
      <w:lvlJc w:val="left"/>
      <w:pPr>
        <w:ind w:left="425" w:hanging="425"/>
      </w:pPr>
      <w:rPr>
        <w:rFonts w:hint="eastAsia"/>
      </w:rPr>
    </w:lvl>
    <w:lvl w:ilvl="2" w:tentative="0">
      <w:start w:val="1"/>
      <w:numFmt w:val="decimal"/>
      <w:lvlText w:val="%1.%2.%3"/>
      <w:lvlJc w:val="left"/>
      <w:pPr>
        <w:ind w:left="425" w:hanging="425"/>
      </w:pPr>
      <w:rPr>
        <w:rFonts w:hint="eastAsia"/>
      </w:rPr>
    </w:lvl>
    <w:lvl w:ilvl="3" w:tentative="0">
      <w:start w:val="1"/>
      <w:numFmt w:val="decimal"/>
      <w:pStyle w:val="69"/>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240"/>
  <w:drawingGridVerticalSpacing w:val="16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zODk5NjA5YWJhMTU2NTMwYWIyNDBlYjhlNTBiNDUifQ=="/>
  </w:docVars>
  <w:rsids>
    <w:rsidRoot w:val="00A14947"/>
    <w:rsid w:val="00002FCE"/>
    <w:rsid w:val="000060B3"/>
    <w:rsid w:val="000060BC"/>
    <w:rsid w:val="000262D6"/>
    <w:rsid w:val="00033470"/>
    <w:rsid w:val="00033CD5"/>
    <w:rsid w:val="000372AC"/>
    <w:rsid w:val="0004364B"/>
    <w:rsid w:val="00061B1F"/>
    <w:rsid w:val="00064B69"/>
    <w:rsid w:val="000733C4"/>
    <w:rsid w:val="00074783"/>
    <w:rsid w:val="0008070B"/>
    <w:rsid w:val="000810AC"/>
    <w:rsid w:val="00081A02"/>
    <w:rsid w:val="00082231"/>
    <w:rsid w:val="00092D38"/>
    <w:rsid w:val="0009377B"/>
    <w:rsid w:val="00097136"/>
    <w:rsid w:val="00097DF4"/>
    <w:rsid w:val="000A20C9"/>
    <w:rsid w:val="000B058F"/>
    <w:rsid w:val="000B4467"/>
    <w:rsid w:val="000B4DB9"/>
    <w:rsid w:val="000C09AC"/>
    <w:rsid w:val="000C0DBD"/>
    <w:rsid w:val="000C767F"/>
    <w:rsid w:val="000D0303"/>
    <w:rsid w:val="000D5A44"/>
    <w:rsid w:val="000E3ED2"/>
    <w:rsid w:val="00113DAD"/>
    <w:rsid w:val="00120308"/>
    <w:rsid w:val="00122B86"/>
    <w:rsid w:val="00131F42"/>
    <w:rsid w:val="001357F1"/>
    <w:rsid w:val="00140FA8"/>
    <w:rsid w:val="00142FEB"/>
    <w:rsid w:val="00143A2D"/>
    <w:rsid w:val="00143C8F"/>
    <w:rsid w:val="00144ABC"/>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2F9A"/>
    <w:rsid w:val="001C69B3"/>
    <w:rsid w:val="001D4275"/>
    <w:rsid w:val="001D5595"/>
    <w:rsid w:val="001D7874"/>
    <w:rsid w:val="001D7F22"/>
    <w:rsid w:val="001E3AF0"/>
    <w:rsid w:val="001F0F17"/>
    <w:rsid w:val="001F3347"/>
    <w:rsid w:val="001F69E4"/>
    <w:rsid w:val="00200204"/>
    <w:rsid w:val="00205320"/>
    <w:rsid w:val="0020749D"/>
    <w:rsid w:val="00210957"/>
    <w:rsid w:val="00211B64"/>
    <w:rsid w:val="002125B4"/>
    <w:rsid w:val="002155B8"/>
    <w:rsid w:val="00224839"/>
    <w:rsid w:val="002249B2"/>
    <w:rsid w:val="00226574"/>
    <w:rsid w:val="00226C2A"/>
    <w:rsid w:val="002278EC"/>
    <w:rsid w:val="0023280E"/>
    <w:rsid w:val="002377D1"/>
    <w:rsid w:val="002506BC"/>
    <w:rsid w:val="00254345"/>
    <w:rsid w:val="00264557"/>
    <w:rsid w:val="002805AB"/>
    <w:rsid w:val="00284204"/>
    <w:rsid w:val="00291773"/>
    <w:rsid w:val="002A168C"/>
    <w:rsid w:val="002A3DC7"/>
    <w:rsid w:val="002A401D"/>
    <w:rsid w:val="002B49E2"/>
    <w:rsid w:val="002B7B00"/>
    <w:rsid w:val="002B7C44"/>
    <w:rsid w:val="002C2B17"/>
    <w:rsid w:val="002D3DD0"/>
    <w:rsid w:val="002E1F3A"/>
    <w:rsid w:val="002E298A"/>
    <w:rsid w:val="002E2F8C"/>
    <w:rsid w:val="002F14C5"/>
    <w:rsid w:val="002F3233"/>
    <w:rsid w:val="002F57B3"/>
    <w:rsid w:val="00301978"/>
    <w:rsid w:val="0030332C"/>
    <w:rsid w:val="003051C2"/>
    <w:rsid w:val="003121A1"/>
    <w:rsid w:val="00312296"/>
    <w:rsid w:val="00314F0E"/>
    <w:rsid w:val="00321D8E"/>
    <w:rsid w:val="00325928"/>
    <w:rsid w:val="00332863"/>
    <w:rsid w:val="0033522F"/>
    <w:rsid w:val="0033684D"/>
    <w:rsid w:val="00337B42"/>
    <w:rsid w:val="003409DC"/>
    <w:rsid w:val="00341B42"/>
    <w:rsid w:val="0034348F"/>
    <w:rsid w:val="00356653"/>
    <w:rsid w:val="0035743F"/>
    <w:rsid w:val="00357BE2"/>
    <w:rsid w:val="0036170C"/>
    <w:rsid w:val="00366E0F"/>
    <w:rsid w:val="00381A72"/>
    <w:rsid w:val="00384676"/>
    <w:rsid w:val="003862A4"/>
    <w:rsid w:val="00386EA4"/>
    <w:rsid w:val="00390857"/>
    <w:rsid w:val="00391E5E"/>
    <w:rsid w:val="00397B30"/>
    <w:rsid w:val="003A4BF3"/>
    <w:rsid w:val="003B2487"/>
    <w:rsid w:val="003B420D"/>
    <w:rsid w:val="003B764C"/>
    <w:rsid w:val="003C6C16"/>
    <w:rsid w:val="003D735B"/>
    <w:rsid w:val="003D794D"/>
    <w:rsid w:val="003E3058"/>
    <w:rsid w:val="003E76A9"/>
    <w:rsid w:val="003F0809"/>
    <w:rsid w:val="003F2B5B"/>
    <w:rsid w:val="003F6A8C"/>
    <w:rsid w:val="003F755C"/>
    <w:rsid w:val="00406F01"/>
    <w:rsid w:val="00416D50"/>
    <w:rsid w:val="00416FD5"/>
    <w:rsid w:val="00417772"/>
    <w:rsid w:val="00420E6A"/>
    <w:rsid w:val="00425A9E"/>
    <w:rsid w:val="00426D6B"/>
    <w:rsid w:val="00427E13"/>
    <w:rsid w:val="00430A1E"/>
    <w:rsid w:val="00431E6C"/>
    <w:rsid w:val="00432343"/>
    <w:rsid w:val="00433CE7"/>
    <w:rsid w:val="004515CC"/>
    <w:rsid w:val="00452738"/>
    <w:rsid w:val="00456091"/>
    <w:rsid w:val="00466321"/>
    <w:rsid w:val="00484B9B"/>
    <w:rsid w:val="004855F6"/>
    <w:rsid w:val="0048661E"/>
    <w:rsid w:val="00491693"/>
    <w:rsid w:val="004922FF"/>
    <w:rsid w:val="00494670"/>
    <w:rsid w:val="004955E0"/>
    <w:rsid w:val="004A3823"/>
    <w:rsid w:val="004B41B3"/>
    <w:rsid w:val="004E6946"/>
    <w:rsid w:val="004F1AD8"/>
    <w:rsid w:val="00501A69"/>
    <w:rsid w:val="005039CB"/>
    <w:rsid w:val="0050558F"/>
    <w:rsid w:val="00506286"/>
    <w:rsid w:val="00510813"/>
    <w:rsid w:val="00511990"/>
    <w:rsid w:val="00511DE0"/>
    <w:rsid w:val="00514870"/>
    <w:rsid w:val="00514B9B"/>
    <w:rsid w:val="00517F02"/>
    <w:rsid w:val="00524303"/>
    <w:rsid w:val="005258A2"/>
    <w:rsid w:val="00526A5B"/>
    <w:rsid w:val="005401AE"/>
    <w:rsid w:val="00542E07"/>
    <w:rsid w:val="00545424"/>
    <w:rsid w:val="00554A7B"/>
    <w:rsid w:val="0055572C"/>
    <w:rsid w:val="0056106A"/>
    <w:rsid w:val="00565852"/>
    <w:rsid w:val="005720AE"/>
    <w:rsid w:val="00586050"/>
    <w:rsid w:val="00594D77"/>
    <w:rsid w:val="005969E4"/>
    <w:rsid w:val="005A06B7"/>
    <w:rsid w:val="005A1759"/>
    <w:rsid w:val="005A592F"/>
    <w:rsid w:val="005A68A7"/>
    <w:rsid w:val="005A6D2E"/>
    <w:rsid w:val="005C0302"/>
    <w:rsid w:val="005D36AB"/>
    <w:rsid w:val="005D4603"/>
    <w:rsid w:val="00606F83"/>
    <w:rsid w:val="00617CC3"/>
    <w:rsid w:val="00633B44"/>
    <w:rsid w:val="00636396"/>
    <w:rsid w:val="006377A6"/>
    <w:rsid w:val="00637A3D"/>
    <w:rsid w:val="006411EF"/>
    <w:rsid w:val="0066635B"/>
    <w:rsid w:val="006748B8"/>
    <w:rsid w:val="006775C3"/>
    <w:rsid w:val="00682010"/>
    <w:rsid w:val="00682CE8"/>
    <w:rsid w:val="00684594"/>
    <w:rsid w:val="0069290A"/>
    <w:rsid w:val="0069775A"/>
    <w:rsid w:val="00697813"/>
    <w:rsid w:val="006A1C9C"/>
    <w:rsid w:val="006A3EE8"/>
    <w:rsid w:val="006A72BF"/>
    <w:rsid w:val="006B03F2"/>
    <w:rsid w:val="006B37DC"/>
    <w:rsid w:val="006B4F68"/>
    <w:rsid w:val="006C0592"/>
    <w:rsid w:val="006C1080"/>
    <w:rsid w:val="006C272E"/>
    <w:rsid w:val="006C5479"/>
    <w:rsid w:val="006D13B5"/>
    <w:rsid w:val="006D2668"/>
    <w:rsid w:val="006E0022"/>
    <w:rsid w:val="006E12FF"/>
    <w:rsid w:val="006E607E"/>
    <w:rsid w:val="006F3994"/>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29E8"/>
    <w:rsid w:val="007A3323"/>
    <w:rsid w:val="007B72B8"/>
    <w:rsid w:val="007B7A58"/>
    <w:rsid w:val="007C1952"/>
    <w:rsid w:val="007C21B5"/>
    <w:rsid w:val="007D1716"/>
    <w:rsid w:val="007D1926"/>
    <w:rsid w:val="007E4BD2"/>
    <w:rsid w:val="00801393"/>
    <w:rsid w:val="00802F88"/>
    <w:rsid w:val="0081293E"/>
    <w:rsid w:val="00815465"/>
    <w:rsid w:val="00817E9A"/>
    <w:rsid w:val="00825E08"/>
    <w:rsid w:val="008306BD"/>
    <w:rsid w:val="00831A80"/>
    <w:rsid w:val="00833743"/>
    <w:rsid w:val="008340A4"/>
    <w:rsid w:val="00866888"/>
    <w:rsid w:val="0087135F"/>
    <w:rsid w:val="00872D94"/>
    <w:rsid w:val="00880364"/>
    <w:rsid w:val="00891592"/>
    <w:rsid w:val="00891E9E"/>
    <w:rsid w:val="008948EA"/>
    <w:rsid w:val="008A2F68"/>
    <w:rsid w:val="008B4FA6"/>
    <w:rsid w:val="008B5282"/>
    <w:rsid w:val="008B7C17"/>
    <w:rsid w:val="008C2D01"/>
    <w:rsid w:val="008C40E6"/>
    <w:rsid w:val="008D0F7A"/>
    <w:rsid w:val="008D4038"/>
    <w:rsid w:val="008D68E4"/>
    <w:rsid w:val="008E0506"/>
    <w:rsid w:val="008E0CFF"/>
    <w:rsid w:val="008E5D6B"/>
    <w:rsid w:val="008E76F0"/>
    <w:rsid w:val="008F15FE"/>
    <w:rsid w:val="008F2D29"/>
    <w:rsid w:val="008F30D9"/>
    <w:rsid w:val="008F5187"/>
    <w:rsid w:val="008F60D8"/>
    <w:rsid w:val="00901DFA"/>
    <w:rsid w:val="00902727"/>
    <w:rsid w:val="0090312B"/>
    <w:rsid w:val="0091736D"/>
    <w:rsid w:val="00927603"/>
    <w:rsid w:val="0093037A"/>
    <w:rsid w:val="0093786C"/>
    <w:rsid w:val="0094154D"/>
    <w:rsid w:val="00947246"/>
    <w:rsid w:val="0095155F"/>
    <w:rsid w:val="00954429"/>
    <w:rsid w:val="009563CE"/>
    <w:rsid w:val="00966894"/>
    <w:rsid w:val="0097180B"/>
    <w:rsid w:val="00976328"/>
    <w:rsid w:val="0097680D"/>
    <w:rsid w:val="00982438"/>
    <w:rsid w:val="0098404C"/>
    <w:rsid w:val="00985283"/>
    <w:rsid w:val="00986455"/>
    <w:rsid w:val="00992449"/>
    <w:rsid w:val="00995992"/>
    <w:rsid w:val="009A03E5"/>
    <w:rsid w:val="009A0F3B"/>
    <w:rsid w:val="009A1BB4"/>
    <w:rsid w:val="009A2628"/>
    <w:rsid w:val="009A3200"/>
    <w:rsid w:val="009B0897"/>
    <w:rsid w:val="009B42B1"/>
    <w:rsid w:val="009B60FE"/>
    <w:rsid w:val="009B7BD9"/>
    <w:rsid w:val="009C7DD5"/>
    <w:rsid w:val="009D0557"/>
    <w:rsid w:val="009D4410"/>
    <w:rsid w:val="009E227D"/>
    <w:rsid w:val="009E5019"/>
    <w:rsid w:val="00A04F1B"/>
    <w:rsid w:val="00A0501B"/>
    <w:rsid w:val="00A14947"/>
    <w:rsid w:val="00A32A83"/>
    <w:rsid w:val="00A368DB"/>
    <w:rsid w:val="00A423AA"/>
    <w:rsid w:val="00A53EC6"/>
    <w:rsid w:val="00A55C0F"/>
    <w:rsid w:val="00A80ACE"/>
    <w:rsid w:val="00A8713F"/>
    <w:rsid w:val="00A90BA1"/>
    <w:rsid w:val="00A97A9A"/>
    <w:rsid w:val="00AA0671"/>
    <w:rsid w:val="00AA2531"/>
    <w:rsid w:val="00AB1E09"/>
    <w:rsid w:val="00AB2C5E"/>
    <w:rsid w:val="00AB5330"/>
    <w:rsid w:val="00AB7747"/>
    <w:rsid w:val="00AC14CE"/>
    <w:rsid w:val="00AC2A56"/>
    <w:rsid w:val="00AD055E"/>
    <w:rsid w:val="00AD47A7"/>
    <w:rsid w:val="00AD4BF5"/>
    <w:rsid w:val="00AE0044"/>
    <w:rsid w:val="00AE28E4"/>
    <w:rsid w:val="00AF0CBF"/>
    <w:rsid w:val="00AF257F"/>
    <w:rsid w:val="00AF33CF"/>
    <w:rsid w:val="00AF4D50"/>
    <w:rsid w:val="00AF6179"/>
    <w:rsid w:val="00B1295A"/>
    <w:rsid w:val="00B20A45"/>
    <w:rsid w:val="00B212A5"/>
    <w:rsid w:val="00B22C5C"/>
    <w:rsid w:val="00B24F30"/>
    <w:rsid w:val="00B31ABF"/>
    <w:rsid w:val="00B33BE3"/>
    <w:rsid w:val="00B37FEE"/>
    <w:rsid w:val="00B53B5D"/>
    <w:rsid w:val="00B6055E"/>
    <w:rsid w:val="00B6317D"/>
    <w:rsid w:val="00B7723F"/>
    <w:rsid w:val="00B80534"/>
    <w:rsid w:val="00B8433C"/>
    <w:rsid w:val="00B87491"/>
    <w:rsid w:val="00BA29E9"/>
    <w:rsid w:val="00BA7142"/>
    <w:rsid w:val="00BB237C"/>
    <w:rsid w:val="00BB41A3"/>
    <w:rsid w:val="00BC32DC"/>
    <w:rsid w:val="00BC35B6"/>
    <w:rsid w:val="00BC65A9"/>
    <w:rsid w:val="00BD1B51"/>
    <w:rsid w:val="00BD4596"/>
    <w:rsid w:val="00BD54DC"/>
    <w:rsid w:val="00BD5F42"/>
    <w:rsid w:val="00BE1405"/>
    <w:rsid w:val="00BE312D"/>
    <w:rsid w:val="00BE61BE"/>
    <w:rsid w:val="00BF1C20"/>
    <w:rsid w:val="00BF2F45"/>
    <w:rsid w:val="00BF532E"/>
    <w:rsid w:val="00BF69D5"/>
    <w:rsid w:val="00C10578"/>
    <w:rsid w:val="00C135BC"/>
    <w:rsid w:val="00C15C95"/>
    <w:rsid w:val="00C17442"/>
    <w:rsid w:val="00C2596A"/>
    <w:rsid w:val="00C27537"/>
    <w:rsid w:val="00C328FE"/>
    <w:rsid w:val="00C33507"/>
    <w:rsid w:val="00C4409D"/>
    <w:rsid w:val="00C44E72"/>
    <w:rsid w:val="00C45A06"/>
    <w:rsid w:val="00C47E5B"/>
    <w:rsid w:val="00C5693C"/>
    <w:rsid w:val="00C576E5"/>
    <w:rsid w:val="00C61E4B"/>
    <w:rsid w:val="00C64BFF"/>
    <w:rsid w:val="00C704E9"/>
    <w:rsid w:val="00C763C9"/>
    <w:rsid w:val="00C76727"/>
    <w:rsid w:val="00C7725F"/>
    <w:rsid w:val="00C80057"/>
    <w:rsid w:val="00C82232"/>
    <w:rsid w:val="00C82913"/>
    <w:rsid w:val="00C87036"/>
    <w:rsid w:val="00C91E2D"/>
    <w:rsid w:val="00C972B1"/>
    <w:rsid w:val="00CA2CCE"/>
    <w:rsid w:val="00CA43FD"/>
    <w:rsid w:val="00CA7EF8"/>
    <w:rsid w:val="00CB286B"/>
    <w:rsid w:val="00CB796F"/>
    <w:rsid w:val="00CC489B"/>
    <w:rsid w:val="00CD2BCD"/>
    <w:rsid w:val="00CD3A4C"/>
    <w:rsid w:val="00CE10E9"/>
    <w:rsid w:val="00CE2910"/>
    <w:rsid w:val="00CE5393"/>
    <w:rsid w:val="00CF0710"/>
    <w:rsid w:val="00CF36BE"/>
    <w:rsid w:val="00CF6000"/>
    <w:rsid w:val="00D003F3"/>
    <w:rsid w:val="00D0364F"/>
    <w:rsid w:val="00D06834"/>
    <w:rsid w:val="00D173D8"/>
    <w:rsid w:val="00D308ED"/>
    <w:rsid w:val="00D340F8"/>
    <w:rsid w:val="00D36D86"/>
    <w:rsid w:val="00D428AA"/>
    <w:rsid w:val="00D50A34"/>
    <w:rsid w:val="00D53EFA"/>
    <w:rsid w:val="00D70DD8"/>
    <w:rsid w:val="00D741D6"/>
    <w:rsid w:val="00D94A7C"/>
    <w:rsid w:val="00D95896"/>
    <w:rsid w:val="00DB1475"/>
    <w:rsid w:val="00DB2983"/>
    <w:rsid w:val="00DB59C2"/>
    <w:rsid w:val="00DC1257"/>
    <w:rsid w:val="00DC3DC0"/>
    <w:rsid w:val="00DC5B2B"/>
    <w:rsid w:val="00DC7748"/>
    <w:rsid w:val="00DD23E2"/>
    <w:rsid w:val="00DD318D"/>
    <w:rsid w:val="00DF2E12"/>
    <w:rsid w:val="00DF514A"/>
    <w:rsid w:val="00DF6690"/>
    <w:rsid w:val="00DF6804"/>
    <w:rsid w:val="00E0358D"/>
    <w:rsid w:val="00E04323"/>
    <w:rsid w:val="00E070A2"/>
    <w:rsid w:val="00E075C8"/>
    <w:rsid w:val="00E10B92"/>
    <w:rsid w:val="00E123D4"/>
    <w:rsid w:val="00E2656A"/>
    <w:rsid w:val="00E412D0"/>
    <w:rsid w:val="00E421D7"/>
    <w:rsid w:val="00E5467F"/>
    <w:rsid w:val="00E54940"/>
    <w:rsid w:val="00E56322"/>
    <w:rsid w:val="00E60982"/>
    <w:rsid w:val="00E62C62"/>
    <w:rsid w:val="00E654C1"/>
    <w:rsid w:val="00E65D97"/>
    <w:rsid w:val="00E6616A"/>
    <w:rsid w:val="00E72A5A"/>
    <w:rsid w:val="00E73354"/>
    <w:rsid w:val="00E83370"/>
    <w:rsid w:val="00E842EE"/>
    <w:rsid w:val="00E9242D"/>
    <w:rsid w:val="00E96D8D"/>
    <w:rsid w:val="00EB5255"/>
    <w:rsid w:val="00EB5C47"/>
    <w:rsid w:val="00EC6F92"/>
    <w:rsid w:val="00ED0639"/>
    <w:rsid w:val="00EF4755"/>
    <w:rsid w:val="00EF5B81"/>
    <w:rsid w:val="00EF7135"/>
    <w:rsid w:val="00F027DB"/>
    <w:rsid w:val="00F10CD3"/>
    <w:rsid w:val="00F14A7A"/>
    <w:rsid w:val="00F22985"/>
    <w:rsid w:val="00F32C5A"/>
    <w:rsid w:val="00F3383E"/>
    <w:rsid w:val="00F465A7"/>
    <w:rsid w:val="00F50B7C"/>
    <w:rsid w:val="00F550E6"/>
    <w:rsid w:val="00F71AD7"/>
    <w:rsid w:val="00F74272"/>
    <w:rsid w:val="00F74345"/>
    <w:rsid w:val="00F80A0A"/>
    <w:rsid w:val="00F82B19"/>
    <w:rsid w:val="00F876CA"/>
    <w:rsid w:val="00F9212D"/>
    <w:rsid w:val="00F965DA"/>
    <w:rsid w:val="00FA406A"/>
    <w:rsid w:val="00FB503A"/>
    <w:rsid w:val="00FB516C"/>
    <w:rsid w:val="00FC3130"/>
    <w:rsid w:val="00FD0236"/>
    <w:rsid w:val="00FD18F4"/>
    <w:rsid w:val="00FD54DB"/>
    <w:rsid w:val="00FD619F"/>
    <w:rsid w:val="00FF1891"/>
    <w:rsid w:val="0105533E"/>
    <w:rsid w:val="010D4BF8"/>
    <w:rsid w:val="01104941"/>
    <w:rsid w:val="012748E4"/>
    <w:rsid w:val="01290F7E"/>
    <w:rsid w:val="012A166D"/>
    <w:rsid w:val="012D520F"/>
    <w:rsid w:val="0135550E"/>
    <w:rsid w:val="013578B2"/>
    <w:rsid w:val="01531503"/>
    <w:rsid w:val="01532619"/>
    <w:rsid w:val="0159301C"/>
    <w:rsid w:val="015D1E09"/>
    <w:rsid w:val="015D50B6"/>
    <w:rsid w:val="016402B4"/>
    <w:rsid w:val="01642E39"/>
    <w:rsid w:val="016F37C7"/>
    <w:rsid w:val="01771648"/>
    <w:rsid w:val="017F6D8E"/>
    <w:rsid w:val="01831DFA"/>
    <w:rsid w:val="0197275E"/>
    <w:rsid w:val="019F0889"/>
    <w:rsid w:val="01CC5EE4"/>
    <w:rsid w:val="01E46E20"/>
    <w:rsid w:val="01FE2B11"/>
    <w:rsid w:val="02094DEB"/>
    <w:rsid w:val="02287764"/>
    <w:rsid w:val="02325BBF"/>
    <w:rsid w:val="023A325D"/>
    <w:rsid w:val="023B5D0F"/>
    <w:rsid w:val="023D4FBA"/>
    <w:rsid w:val="023E7936"/>
    <w:rsid w:val="024C3C06"/>
    <w:rsid w:val="02502671"/>
    <w:rsid w:val="02594E16"/>
    <w:rsid w:val="025B7189"/>
    <w:rsid w:val="02697903"/>
    <w:rsid w:val="027B5E48"/>
    <w:rsid w:val="02873946"/>
    <w:rsid w:val="02A92AF9"/>
    <w:rsid w:val="02BE4C75"/>
    <w:rsid w:val="02C646E1"/>
    <w:rsid w:val="02D47050"/>
    <w:rsid w:val="02F764E6"/>
    <w:rsid w:val="02F96569"/>
    <w:rsid w:val="02FE3E7B"/>
    <w:rsid w:val="031F2A9B"/>
    <w:rsid w:val="032764B0"/>
    <w:rsid w:val="03391357"/>
    <w:rsid w:val="038E07C0"/>
    <w:rsid w:val="03A367D0"/>
    <w:rsid w:val="03A8028B"/>
    <w:rsid w:val="03EA7B21"/>
    <w:rsid w:val="040D32DE"/>
    <w:rsid w:val="041E02B4"/>
    <w:rsid w:val="041E3651"/>
    <w:rsid w:val="041F6A07"/>
    <w:rsid w:val="04302BB6"/>
    <w:rsid w:val="04566EBF"/>
    <w:rsid w:val="045E19D4"/>
    <w:rsid w:val="04642403"/>
    <w:rsid w:val="04656FDF"/>
    <w:rsid w:val="047B213D"/>
    <w:rsid w:val="048020CE"/>
    <w:rsid w:val="0489058D"/>
    <w:rsid w:val="048E3DFD"/>
    <w:rsid w:val="049D7F44"/>
    <w:rsid w:val="049F79C7"/>
    <w:rsid w:val="04C37DD9"/>
    <w:rsid w:val="04C9670A"/>
    <w:rsid w:val="04D51645"/>
    <w:rsid w:val="04EA3D89"/>
    <w:rsid w:val="04EC386C"/>
    <w:rsid w:val="04EE2D73"/>
    <w:rsid w:val="04F14530"/>
    <w:rsid w:val="050A4E57"/>
    <w:rsid w:val="050E7063"/>
    <w:rsid w:val="05106822"/>
    <w:rsid w:val="05234149"/>
    <w:rsid w:val="05351486"/>
    <w:rsid w:val="05516E9D"/>
    <w:rsid w:val="055661F0"/>
    <w:rsid w:val="05645862"/>
    <w:rsid w:val="0578781A"/>
    <w:rsid w:val="057F0120"/>
    <w:rsid w:val="058014BF"/>
    <w:rsid w:val="05A32BC9"/>
    <w:rsid w:val="05A351AD"/>
    <w:rsid w:val="05B947B0"/>
    <w:rsid w:val="05C07B0D"/>
    <w:rsid w:val="05C13BE9"/>
    <w:rsid w:val="05C34D67"/>
    <w:rsid w:val="05CF7D50"/>
    <w:rsid w:val="05D05F53"/>
    <w:rsid w:val="05D9297D"/>
    <w:rsid w:val="05F83EAE"/>
    <w:rsid w:val="05FC4EDD"/>
    <w:rsid w:val="06026C28"/>
    <w:rsid w:val="06052AED"/>
    <w:rsid w:val="061B3E89"/>
    <w:rsid w:val="061F0BA5"/>
    <w:rsid w:val="062104A5"/>
    <w:rsid w:val="06220096"/>
    <w:rsid w:val="06367DD0"/>
    <w:rsid w:val="063D75E1"/>
    <w:rsid w:val="063E7D85"/>
    <w:rsid w:val="064F1E2F"/>
    <w:rsid w:val="06510766"/>
    <w:rsid w:val="06703609"/>
    <w:rsid w:val="067116DF"/>
    <w:rsid w:val="06787270"/>
    <w:rsid w:val="06964EDF"/>
    <w:rsid w:val="06B9078C"/>
    <w:rsid w:val="06BC21C5"/>
    <w:rsid w:val="06BC2B18"/>
    <w:rsid w:val="06BF22FD"/>
    <w:rsid w:val="06C6337C"/>
    <w:rsid w:val="06C86C9A"/>
    <w:rsid w:val="06D2567A"/>
    <w:rsid w:val="06D44285"/>
    <w:rsid w:val="06FC72FD"/>
    <w:rsid w:val="071B6159"/>
    <w:rsid w:val="071C6D8E"/>
    <w:rsid w:val="072147A2"/>
    <w:rsid w:val="07293586"/>
    <w:rsid w:val="07295285"/>
    <w:rsid w:val="074616CE"/>
    <w:rsid w:val="07462294"/>
    <w:rsid w:val="07636392"/>
    <w:rsid w:val="0765096C"/>
    <w:rsid w:val="076E33FD"/>
    <w:rsid w:val="077624E6"/>
    <w:rsid w:val="07770C56"/>
    <w:rsid w:val="077E1657"/>
    <w:rsid w:val="079D4AAA"/>
    <w:rsid w:val="07A76608"/>
    <w:rsid w:val="07BA7178"/>
    <w:rsid w:val="07C82CA9"/>
    <w:rsid w:val="07F963D9"/>
    <w:rsid w:val="07FB327D"/>
    <w:rsid w:val="080249D8"/>
    <w:rsid w:val="08125EB6"/>
    <w:rsid w:val="08144640"/>
    <w:rsid w:val="081D2ACE"/>
    <w:rsid w:val="08306B20"/>
    <w:rsid w:val="086461C0"/>
    <w:rsid w:val="086A245D"/>
    <w:rsid w:val="0870641B"/>
    <w:rsid w:val="0879136E"/>
    <w:rsid w:val="08935065"/>
    <w:rsid w:val="08BA6DE4"/>
    <w:rsid w:val="08BC64C8"/>
    <w:rsid w:val="08BF5E5A"/>
    <w:rsid w:val="08CB57E4"/>
    <w:rsid w:val="08D15696"/>
    <w:rsid w:val="08E753B1"/>
    <w:rsid w:val="08ED3A94"/>
    <w:rsid w:val="08EF0AF2"/>
    <w:rsid w:val="08F17900"/>
    <w:rsid w:val="090E1D94"/>
    <w:rsid w:val="092217DD"/>
    <w:rsid w:val="093A7294"/>
    <w:rsid w:val="093E52DA"/>
    <w:rsid w:val="09492000"/>
    <w:rsid w:val="095E2288"/>
    <w:rsid w:val="096609CC"/>
    <w:rsid w:val="09755B60"/>
    <w:rsid w:val="09764D3C"/>
    <w:rsid w:val="0981681B"/>
    <w:rsid w:val="09881A9D"/>
    <w:rsid w:val="098C760D"/>
    <w:rsid w:val="098D79DE"/>
    <w:rsid w:val="09945938"/>
    <w:rsid w:val="0995305F"/>
    <w:rsid w:val="09C703AA"/>
    <w:rsid w:val="09DF68E3"/>
    <w:rsid w:val="09EC3009"/>
    <w:rsid w:val="09EC6DDF"/>
    <w:rsid w:val="09EE2E1B"/>
    <w:rsid w:val="09F71624"/>
    <w:rsid w:val="09FB015D"/>
    <w:rsid w:val="0A073F5D"/>
    <w:rsid w:val="0A0F2E11"/>
    <w:rsid w:val="0A222B45"/>
    <w:rsid w:val="0A263993"/>
    <w:rsid w:val="0A2D3AC2"/>
    <w:rsid w:val="0A3B13A2"/>
    <w:rsid w:val="0A47085C"/>
    <w:rsid w:val="0A554F13"/>
    <w:rsid w:val="0A704ABF"/>
    <w:rsid w:val="0A742C7A"/>
    <w:rsid w:val="0A7B2255"/>
    <w:rsid w:val="0A952703"/>
    <w:rsid w:val="0AA755DF"/>
    <w:rsid w:val="0AA81837"/>
    <w:rsid w:val="0AFF50A2"/>
    <w:rsid w:val="0B120D44"/>
    <w:rsid w:val="0B13248D"/>
    <w:rsid w:val="0B260A1E"/>
    <w:rsid w:val="0B362C1B"/>
    <w:rsid w:val="0B6F7F34"/>
    <w:rsid w:val="0BB66088"/>
    <w:rsid w:val="0BBE48C4"/>
    <w:rsid w:val="0BD27BF6"/>
    <w:rsid w:val="0BF027CF"/>
    <w:rsid w:val="0C032502"/>
    <w:rsid w:val="0C0B13B7"/>
    <w:rsid w:val="0C0D4C1D"/>
    <w:rsid w:val="0C1069CD"/>
    <w:rsid w:val="0C275B5F"/>
    <w:rsid w:val="0C3B3C7D"/>
    <w:rsid w:val="0C3F738E"/>
    <w:rsid w:val="0C41513A"/>
    <w:rsid w:val="0C816873"/>
    <w:rsid w:val="0C8F0F5D"/>
    <w:rsid w:val="0C957BBA"/>
    <w:rsid w:val="0C9910B8"/>
    <w:rsid w:val="0CA0395D"/>
    <w:rsid w:val="0CAB2EAE"/>
    <w:rsid w:val="0CAD7C08"/>
    <w:rsid w:val="0CBB6D50"/>
    <w:rsid w:val="0CD204B9"/>
    <w:rsid w:val="0CE06091"/>
    <w:rsid w:val="0CE426D0"/>
    <w:rsid w:val="0CE8511D"/>
    <w:rsid w:val="0CED5BB9"/>
    <w:rsid w:val="0D014F54"/>
    <w:rsid w:val="0D02335B"/>
    <w:rsid w:val="0D097B42"/>
    <w:rsid w:val="0D1C45BF"/>
    <w:rsid w:val="0D1E1110"/>
    <w:rsid w:val="0D340C0D"/>
    <w:rsid w:val="0D3F1266"/>
    <w:rsid w:val="0D3F53E9"/>
    <w:rsid w:val="0D444B80"/>
    <w:rsid w:val="0D534B7B"/>
    <w:rsid w:val="0D586B0A"/>
    <w:rsid w:val="0D621C7D"/>
    <w:rsid w:val="0D6841FB"/>
    <w:rsid w:val="0D6925F4"/>
    <w:rsid w:val="0D6E2278"/>
    <w:rsid w:val="0D7903B8"/>
    <w:rsid w:val="0D7E7B62"/>
    <w:rsid w:val="0D7F13F6"/>
    <w:rsid w:val="0D8B27AF"/>
    <w:rsid w:val="0D8F2CAE"/>
    <w:rsid w:val="0DA43871"/>
    <w:rsid w:val="0DA66037"/>
    <w:rsid w:val="0DBE5170"/>
    <w:rsid w:val="0DBE5D43"/>
    <w:rsid w:val="0DD235BB"/>
    <w:rsid w:val="0DDD4A39"/>
    <w:rsid w:val="0DED16BC"/>
    <w:rsid w:val="0DF114B4"/>
    <w:rsid w:val="0DFD245E"/>
    <w:rsid w:val="0E124C7E"/>
    <w:rsid w:val="0E2C23ED"/>
    <w:rsid w:val="0E706309"/>
    <w:rsid w:val="0E73034D"/>
    <w:rsid w:val="0E8A740A"/>
    <w:rsid w:val="0E947A72"/>
    <w:rsid w:val="0E985625"/>
    <w:rsid w:val="0ECA4A2A"/>
    <w:rsid w:val="0ED32360"/>
    <w:rsid w:val="0ED77B89"/>
    <w:rsid w:val="0EDB666C"/>
    <w:rsid w:val="0EDE1EA9"/>
    <w:rsid w:val="0EE663A2"/>
    <w:rsid w:val="0EE96CAF"/>
    <w:rsid w:val="0EF6634E"/>
    <w:rsid w:val="0F064CE4"/>
    <w:rsid w:val="0F0E407A"/>
    <w:rsid w:val="0F1124FF"/>
    <w:rsid w:val="0F13775A"/>
    <w:rsid w:val="0F1D5951"/>
    <w:rsid w:val="0F3E26EF"/>
    <w:rsid w:val="0F5777A7"/>
    <w:rsid w:val="0F5F45FE"/>
    <w:rsid w:val="0F6D0022"/>
    <w:rsid w:val="0F78001F"/>
    <w:rsid w:val="0F917478"/>
    <w:rsid w:val="0F9A112B"/>
    <w:rsid w:val="0F9B6FFB"/>
    <w:rsid w:val="0FA35888"/>
    <w:rsid w:val="0FAD21F4"/>
    <w:rsid w:val="0FC36648"/>
    <w:rsid w:val="0FCB208A"/>
    <w:rsid w:val="0FED7E9D"/>
    <w:rsid w:val="10327B05"/>
    <w:rsid w:val="10352E28"/>
    <w:rsid w:val="104878DF"/>
    <w:rsid w:val="104B2014"/>
    <w:rsid w:val="105C29C8"/>
    <w:rsid w:val="10640022"/>
    <w:rsid w:val="106D2F64"/>
    <w:rsid w:val="109F6B23"/>
    <w:rsid w:val="10B06406"/>
    <w:rsid w:val="10B63710"/>
    <w:rsid w:val="10CB3188"/>
    <w:rsid w:val="10D87E2C"/>
    <w:rsid w:val="10E74519"/>
    <w:rsid w:val="10F10820"/>
    <w:rsid w:val="11036B00"/>
    <w:rsid w:val="110B1F80"/>
    <w:rsid w:val="11130C98"/>
    <w:rsid w:val="111727C5"/>
    <w:rsid w:val="111C2F7A"/>
    <w:rsid w:val="113B5AF2"/>
    <w:rsid w:val="113B7395"/>
    <w:rsid w:val="115832F0"/>
    <w:rsid w:val="115F162A"/>
    <w:rsid w:val="11665CA1"/>
    <w:rsid w:val="116F6C37"/>
    <w:rsid w:val="1173012A"/>
    <w:rsid w:val="117417AC"/>
    <w:rsid w:val="11A402D3"/>
    <w:rsid w:val="11A976A8"/>
    <w:rsid w:val="11B0043B"/>
    <w:rsid w:val="11C36C8B"/>
    <w:rsid w:val="11CA0B96"/>
    <w:rsid w:val="11CC783A"/>
    <w:rsid w:val="11CD38A7"/>
    <w:rsid w:val="11D05955"/>
    <w:rsid w:val="11FC528B"/>
    <w:rsid w:val="12187DEF"/>
    <w:rsid w:val="1233783F"/>
    <w:rsid w:val="125A32B3"/>
    <w:rsid w:val="12623816"/>
    <w:rsid w:val="12685B93"/>
    <w:rsid w:val="126B3023"/>
    <w:rsid w:val="12744159"/>
    <w:rsid w:val="127740BA"/>
    <w:rsid w:val="128A341A"/>
    <w:rsid w:val="128B46DD"/>
    <w:rsid w:val="12970BD5"/>
    <w:rsid w:val="12A44C9E"/>
    <w:rsid w:val="12AD296B"/>
    <w:rsid w:val="12BB3B36"/>
    <w:rsid w:val="12BD7A66"/>
    <w:rsid w:val="12D7148B"/>
    <w:rsid w:val="12EA441C"/>
    <w:rsid w:val="12EE4983"/>
    <w:rsid w:val="13060840"/>
    <w:rsid w:val="13196AAF"/>
    <w:rsid w:val="131C1188"/>
    <w:rsid w:val="133108B1"/>
    <w:rsid w:val="134173EF"/>
    <w:rsid w:val="134B66D7"/>
    <w:rsid w:val="137B23F3"/>
    <w:rsid w:val="137B5103"/>
    <w:rsid w:val="13867D80"/>
    <w:rsid w:val="13910E76"/>
    <w:rsid w:val="13951726"/>
    <w:rsid w:val="13961FEB"/>
    <w:rsid w:val="13B54A2A"/>
    <w:rsid w:val="13C1041D"/>
    <w:rsid w:val="13C60E07"/>
    <w:rsid w:val="13CB1562"/>
    <w:rsid w:val="13CB3911"/>
    <w:rsid w:val="13CD13F7"/>
    <w:rsid w:val="13FA68E0"/>
    <w:rsid w:val="13FD1F2D"/>
    <w:rsid w:val="14026DC9"/>
    <w:rsid w:val="14281871"/>
    <w:rsid w:val="14396509"/>
    <w:rsid w:val="14432035"/>
    <w:rsid w:val="144348A8"/>
    <w:rsid w:val="144C010F"/>
    <w:rsid w:val="147D6AD9"/>
    <w:rsid w:val="147F2942"/>
    <w:rsid w:val="14BA1BCC"/>
    <w:rsid w:val="14C36CD2"/>
    <w:rsid w:val="14C5353F"/>
    <w:rsid w:val="14D64C58"/>
    <w:rsid w:val="14D966DB"/>
    <w:rsid w:val="14DD2C3C"/>
    <w:rsid w:val="15181774"/>
    <w:rsid w:val="151D6B77"/>
    <w:rsid w:val="15260B17"/>
    <w:rsid w:val="154D1EF6"/>
    <w:rsid w:val="15596485"/>
    <w:rsid w:val="155C4FF5"/>
    <w:rsid w:val="155C713F"/>
    <w:rsid w:val="1561649E"/>
    <w:rsid w:val="15750BB6"/>
    <w:rsid w:val="15755586"/>
    <w:rsid w:val="157649D1"/>
    <w:rsid w:val="157707B1"/>
    <w:rsid w:val="15A77268"/>
    <w:rsid w:val="15BB713F"/>
    <w:rsid w:val="15C471A6"/>
    <w:rsid w:val="15CD77D3"/>
    <w:rsid w:val="15D13671"/>
    <w:rsid w:val="15D53D40"/>
    <w:rsid w:val="15DE69E2"/>
    <w:rsid w:val="15E038B4"/>
    <w:rsid w:val="15FE6059"/>
    <w:rsid w:val="16012553"/>
    <w:rsid w:val="16071EE7"/>
    <w:rsid w:val="16087E1D"/>
    <w:rsid w:val="16113A6D"/>
    <w:rsid w:val="161D0E90"/>
    <w:rsid w:val="161E5DAB"/>
    <w:rsid w:val="16204625"/>
    <w:rsid w:val="163037C2"/>
    <w:rsid w:val="16362253"/>
    <w:rsid w:val="16442E4A"/>
    <w:rsid w:val="1672329C"/>
    <w:rsid w:val="16806CF3"/>
    <w:rsid w:val="16827290"/>
    <w:rsid w:val="168F4FC6"/>
    <w:rsid w:val="1691733D"/>
    <w:rsid w:val="169E79F7"/>
    <w:rsid w:val="16A2215D"/>
    <w:rsid w:val="16D21EC3"/>
    <w:rsid w:val="16DA2173"/>
    <w:rsid w:val="16E16394"/>
    <w:rsid w:val="16F869F9"/>
    <w:rsid w:val="170F5D0B"/>
    <w:rsid w:val="1731373A"/>
    <w:rsid w:val="17474610"/>
    <w:rsid w:val="174D5A93"/>
    <w:rsid w:val="175B7F61"/>
    <w:rsid w:val="176B60B4"/>
    <w:rsid w:val="17701D14"/>
    <w:rsid w:val="17735226"/>
    <w:rsid w:val="177C7D54"/>
    <w:rsid w:val="17954610"/>
    <w:rsid w:val="17A00294"/>
    <w:rsid w:val="17AB3A40"/>
    <w:rsid w:val="17B17E8E"/>
    <w:rsid w:val="17BA733C"/>
    <w:rsid w:val="17D97FBC"/>
    <w:rsid w:val="1801472E"/>
    <w:rsid w:val="18025FB9"/>
    <w:rsid w:val="180F0F75"/>
    <w:rsid w:val="18215CC9"/>
    <w:rsid w:val="182D138A"/>
    <w:rsid w:val="183723DD"/>
    <w:rsid w:val="18720CCA"/>
    <w:rsid w:val="187C1837"/>
    <w:rsid w:val="18934ABD"/>
    <w:rsid w:val="189F624C"/>
    <w:rsid w:val="18A05DF5"/>
    <w:rsid w:val="18B851E2"/>
    <w:rsid w:val="18C1380B"/>
    <w:rsid w:val="18C57645"/>
    <w:rsid w:val="18DA7A5B"/>
    <w:rsid w:val="18E145F5"/>
    <w:rsid w:val="190D67B4"/>
    <w:rsid w:val="190F470D"/>
    <w:rsid w:val="19200741"/>
    <w:rsid w:val="194960BC"/>
    <w:rsid w:val="19550115"/>
    <w:rsid w:val="195F1D11"/>
    <w:rsid w:val="19662322"/>
    <w:rsid w:val="197565E1"/>
    <w:rsid w:val="19786F5D"/>
    <w:rsid w:val="197B5DCD"/>
    <w:rsid w:val="197C1B46"/>
    <w:rsid w:val="19801636"/>
    <w:rsid w:val="19C95E82"/>
    <w:rsid w:val="19D761CE"/>
    <w:rsid w:val="19DD0E67"/>
    <w:rsid w:val="19E06CA3"/>
    <w:rsid w:val="19E971DB"/>
    <w:rsid w:val="19E9731E"/>
    <w:rsid w:val="19EA4D01"/>
    <w:rsid w:val="19EC2827"/>
    <w:rsid w:val="19EF2779"/>
    <w:rsid w:val="19F7110D"/>
    <w:rsid w:val="1A032819"/>
    <w:rsid w:val="1A0348EE"/>
    <w:rsid w:val="1A1C66C0"/>
    <w:rsid w:val="1A2937C2"/>
    <w:rsid w:val="1A42393B"/>
    <w:rsid w:val="1A433B22"/>
    <w:rsid w:val="1A5C641B"/>
    <w:rsid w:val="1A6A2D33"/>
    <w:rsid w:val="1A8008F1"/>
    <w:rsid w:val="1A807414"/>
    <w:rsid w:val="1A85626F"/>
    <w:rsid w:val="1A8B5B34"/>
    <w:rsid w:val="1A8E4080"/>
    <w:rsid w:val="1A98354B"/>
    <w:rsid w:val="1A9A2D99"/>
    <w:rsid w:val="1A9A6727"/>
    <w:rsid w:val="1AAD45DE"/>
    <w:rsid w:val="1AB764EA"/>
    <w:rsid w:val="1ACC3A43"/>
    <w:rsid w:val="1AD44D0C"/>
    <w:rsid w:val="1AFC2F3E"/>
    <w:rsid w:val="1B0026B5"/>
    <w:rsid w:val="1B046F80"/>
    <w:rsid w:val="1B0B3181"/>
    <w:rsid w:val="1B297ED6"/>
    <w:rsid w:val="1B2E0674"/>
    <w:rsid w:val="1B3267B5"/>
    <w:rsid w:val="1B40161D"/>
    <w:rsid w:val="1B441859"/>
    <w:rsid w:val="1B4A1757"/>
    <w:rsid w:val="1B6606B1"/>
    <w:rsid w:val="1B79458F"/>
    <w:rsid w:val="1B8B4BC6"/>
    <w:rsid w:val="1B8F3DB2"/>
    <w:rsid w:val="1BAB41C7"/>
    <w:rsid w:val="1BC14165"/>
    <w:rsid w:val="1BD313CC"/>
    <w:rsid w:val="1BE757F0"/>
    <w:rsid w:val="1BE907B7"/>
    <w:rsid w:val="1C3944B6"/>
    <w:rsid w:val="1C3A43DB"/>
    <w:rsid w:val="1C51122C"/>
    <w:rsid w:val="1C5A55B5"/>
    <w:rsid w:val="1C5D17BA"/>
    <w:rsid w:val="1C5D7A0C"/>
    <w:rsid w:val="1C5E7925"/>
    <w:rsid w:val="1C6005E9"/>
    <w:rsid w:val="1C6A3D23"/>
    <w:rsid w:val="1C7552D6"/>
    <w:rsid w:val="1C794C2E"/>
    <w:rsid w:val="1C8F4147"/>
    <w:rsid w:val="1C902603"/>
    <w:rsid w:val="1CA078F9"/>
    <w:rsid w:val="1CA349AF"/>
    <w:rsid w:val="1CBA37A2"/>
    <w:rsid w:val="1CBB6D9C"/>
    <w:rsid w:val="1CBD3A53"/>
    <w:rsid w:val="1CD55BF3"/>
    <w:rsid w:val="1CFD070F"/>
    <w:rsid w:val="1CFF7EAE"/>
    <w:rsid w:val="1D0054A3"/>
    <w:rsid w:val="1D11438A"/>
    <w:rsid w:val="1D17290C"/>
    <w:rsid w:val="1D3D48D7"/>
    <w:rsid w:val="1D493E36"/>
    <w:rsid w:val="1D592E3F"/>
    <w:rsid w:val="1D5F6196"/>
    <w:rsid w:val="1D6132A5"/>
    <w:rsid w:val="1D6718C3"/>
    <w:rsid w:val="1D864B05"/>
    <w:rsid w:val="1D8E56D5"/>
    <w:rsid w:val="1D910FFE"/>
    <w:rsid w:val="1DA358F3"/>
    <w:rsid w:val="1DB356EE"/>
    <w:rsid w:val="1DB64890"/>
    <w:rsid w:val="1DCB145F"/>
    <w:rsid w:val="1DCD1B4E"/>
    <w:rsid w:val="1DCD6634"/>
    <w:rsid w:val="1DE26170"/>
    <w:rsid w:val="1DE54D71"/>
    <w:rsid w:val="1DEB3D2A"/>
    <w:rsid w:val="1DF44852"/>
    <w:rsid w:val="1E0E486F"/>
    <w:rsid w:val="1E101FEC"/>
    <w:rsid w:val="1E1862E1"/>
    <w:rsid w:val="1E42335E"/>
    <w:rsid w:val="1E4C1AE7"/>
    <w:rsid w:val="1E556CA9"/>
    <w:rsid w:val="1E6257AE"/>
    <w:rsid w:val="1E746F69"/>
    <w:rsid w:val="1E7A43DA"/>
    <w:rsid w:val="1E803E86"/>
    <w:rsid w:val="1E85043A"/>
    <w:rsid w:val="1E8B0D87"/>
    <w:rsid w:val="1E9F22A4"/>
    <w:rsid w:val="1EA6790D"/>
    <w:rsid w:val="1EB63404"/>
    <w:rsid w:val="1EBD54DD"/>
    <w:rsid w:val="1EC424AF"/>
    <w:rsid w:val="1EC55CDE"/>
    <w:rsid w:val="1ECC70CB"/>
    <w:rsid w:val="1ED33FB6"/>
    <w:rsid w:val="1EE56A9D"/>
    <w:rsid w:val="1EF67CA4"/>
    <w:rsid w:val="1EFB241B"/>
    <w:rsid w:val="1F084565"/>
    <w:rsid w:val="1F242A63"/>
    <w:rsid w:val="1F2B58DD"/>
    <w:rsid w:val="1F3B30B8"/>
    <w:rsid w:val="1F772C82"/>
    <w:rsid w:val="1F782980"/>
    <w:rsid w:val="1F7A10C0"/>
    <w:rsid w:val="1F880B3B"/>
    <w:rsid w:val="1F91168C"/>
    <w:rsid w:val="1F937263"/>
    <w:rsid w:val="1F9674D7"/>
    <w:rsid w:val="1FA77DFF"/>
    <w:rsid w:val="1FE7539E"/>
    <w:rsid w:val="1FED11A4"/>
    <w:rsid w:val="1FF7538B"/>
    <w:rsid w:val="1FFA41DF"/>
    <w:rsid w:val="201605FE"/>
    <w:rsid w:val="20165393"/>
    <w:rsid w:val="2026336E"/>
    <w:rsid w:val="203A7969"/>
    <w:rsid w:val="204618FE"/>
    <w:rsid w:val="20577B78"/>
    <w:rsid w:val="205B24B5"/>
    <w:rsid w:val="20671BE0"/>
    <w:rsid w:val="207A5ACF"/>
    <w:rsid w:val="207F7433"/>
    <w:rsid w:val="20963CB8"/>
    <w:rsid w:val="20A81A1B"/>
    <w:rsid w:val="20B07FB6"/>
    <w:rsid w:val="20B125D3"/>
    <w:rsid w:val="20B646FB"/>
    <w:rsid w:val="20B706DA"/>
    <w:rsid w:val="20CC0C70"/>
    <w:rsid w:val="20D12CE9"/>
    <w:rsid w:val="20D21372"/>
    <w:rsid w:val="20D34084"/>
    <w:rsid w:val="20D34D09"/>
    <w:rsid w:val="20E8490A"/>
    <w:rsid w:val="20F51C50"/>
    <w:rsid w:val="210070F3"/>
    <w:rsid w:val="2112058A"/>
    <w:rsid w:val="21163520"/>
    <w:rsid w:val="211E6AE7"/>
    <w:rsid w:val="212766B2"/>
    <w:rsid w:val="21284FCD"/>
    <w:rsid w:val="21316F3F"/>
    <w:rsid w:val="213276BA"/>
    <w:rsid w:val="213956CB"/>
    <w:rsid w:val="213B74B1"/>
    <w:rsid w:val="215018EE"/>
    <w:rsid w:val="215A2310"/>
    <w:rsid w:val="215C584D"/>
    <w:rsid w:val="215F116F"/>
    <w:rsid w:val="2169341D"/>
    <w:rsid w:val="21823082"/>
    <w:rsid w:val="218B7CDA"/>
    <w:rsid w:val="219205F6"/>
    <w:rsid w:val="21B2322D"/>
    <w:rsid w:val="21BF4458"/>
    <w:rsid w:val="21C705C2"/>
    <w:rsid w:val="21C84ADA"/>
    <w:rsid w:val="21DE318A"/>
    <w:rsid w:val="21E40271"/>
    <w:rsid w:val="21E85946"/>
    <w:rsid w:val="21EF3D24"/>
    <w:rsid w:val="21EF5B80"/>
    <w:rsid w:val="21EF64E6"/>
    <w:rsid w:val="22041547"/>
    <w:rsid w:val="22056B7C"/>
    <w:rsid w:val="220B2BF8"/>
    <w:rsid w:val="2225748E"/>
    <w:rsid w:val="22452604"/>
    <w:rsid w:val="22576990"/>
    <w:rsid w:val="22600256"/>
    <w:rsid w:val="226329AF"/>
    <w:rsid w:val="22703D3B"/>
    <w:rsid w:val="22851A94"/>
    <w:rsid w:val="2293268A"/>
    <w:rsid w:val="22D219B2"/>
    <w:rsid w:val="22DF2757"/>
    <w:rsid w:val="22E94692"/>
    <w:rsid w:val="22F132C7"/>
    <w:rsid w:val="22F47480"/>
    <w:rsid w:val="22F54F30"/>
    <w:rsid w:val="2316176A"/>
    <w:rsid w:val="232E432F"/>
    <w:rsid w:val="2351500E"/>
    <w:rsid w:val="235D389F"/>
    <w:rsid w:val="23743548"/>
    <w:rsid w:val="23AD717B"/>
    <w:rsid w:val="23DE1C48"/>
    <w:rsid w:val="23EF1892"/>
    <w:rsid w:val="23F21B76"/>
    <w:rsid w:val="240210CD"/>
    <w:rsid w:val="2417728C"/>
    <w:rsid w:val="24186818"/>
    <w:rsid w:val="2426271A"/>
    <w:rsid w:val="24297D82"/>
    <w:rsid w:val="244109FA"/>
    <w:rsid w:val="244A4A8C"/>
    <w:rsid w:val="244F7BF3"/>
    <w:rsid w:val="245051B0"/>
    <w:rsid w:val="24553EB9"/>
    <w:rsid w:val="245F1650"/>
    <w:rsid w:val="246102DC"/>
    <w:rsid w:val="24A11200"/>
    <w:rsid w:val="24A3646D"/>
    <w:rsid w:val="24B814B6"/>
    <w:rsid w:val="24BF09F7"/>
    <w:rsid w:val="24C17129"/>
    <w:rsid w:val="24C3687B"/>
    <w:rsid w:val="24D46CDA"/>
    <w:rsid w:val="24D5441B"/>
    <w:rsid w:val="24E85608"/>
    <w:rsid w:val="250977CE"/>
    <w:rsid w:val="250E0000"/>
    <w:rsid w:val="252257E6"/>
    <w:rsid w:val="252D53FE"/>
    <w:rsid w:val="255A6191"/>
    <w:rsid w:val="255E5ADD"/>
    <w:rsid w:val="25771359"/>
    <w:rsid w:val="2580152D"/>
    <w:rsid w:val="258453FD"/>
    <w:rsid w:val="25964180"/>
    <w:rsid w:val="25CC57C3"/>
    <w:rsid w:val="25DF0E57"/>
    <w:rsid w:val="25EC2D81"/>
    <w:rsid w:val="26001160"/>
    <w:rsid w:val="260E6546"/>
    <w:rsid w:val="261015E3"/>
    <w:rsid w:val="261948BD"/>
    <w:rsid w:val="26202F69"/>
    <w:rsid w:val="2636268D"/>
    <w:rsid w:val="26525570"/>
    <w:rsid w:val="265309FE"/>
    <w:rsid w:val="26552118"/>
    <w:rsid w:val="267B1C9E"/>
    <w:rsid w:val="26853E51"/>
    <w:rsid w:val="26A01DFA"/>
    <w:rsid w:val="26BA4661"/>
    <w:rsid w:val="26C04235"/>
    <w:rsid w:val="26C27AA9"/>
    <w:rsid w:val="26D703A7"/>
    <w:rsid w:val="26DA0F79"/>
    <w:rsid w:val="26DF171E"/>
    <w:rsid w:val="26DF56EA"/>
    <w:rsid w:val="26E054C2"/>
    <w:rsid w:val="270119C3"/>
    <w:rsid w:val="271956ED"/>
    <w:rsid w:val="273712C3"/>
    <w:rsid w:val="273B7762"/>
    <w:rsid w:val="27611F57"/>
    <w:rsid w:val="27614E14"/>
    <w:rsid w:val="277057A2"/>
    <w:rsid w:val="277D5D0F"/>
    <w:rsid w:val="27815FB5"/>
    <w:rsid w:val="278D4871"/>
    <w:rsid w:val="27BA3F65"/>
    <w:rsid w:val="27BC5653"/>
    <w:rsid w:val="27BE7572"/>
    <w:rsid w:val="27CA6AC0"/>
    <w:rsid w:val="27DA63B5"/>
    <w:rsid w:val="27F27F4F"/>
    <w:rsid w:val="27F93513"/>
    <w:rsid w:val="27F97A92"/>
    <w:rsid w:val="27FC452E"/>
    <w:rsid w:val="27FE2C63"/>
    <w:rsid w:val="28085B5F"/>
    <w:rsid w:val="2814356F"/>
    <w:rsid w:val="28175240"/>
    <w:rsid w:val="282D7CAC"/>
    <w:rsid w:val="283221E5"/>
    <w:rsid w:val="284303FE"/>
    <w:rsid w:val="28455012"/>
    <w:rsid w:val="28512CBF"/>
    <w:rsid w:val="28605258"/>
    <w:rsid w:val="28622B1E"/>
    <w:rsid w:val="28671046"/>
    <w:rsid w:val="28733BCE"/>
    <w:rsid w:val="28743209"/>
    <w:rsid w:val="288703C8"/>
    <w:rsid w:val="28BF566D"/>
    <w:rsid w:val="28C171E4"/>
    <w:rsid w:val="28CF56B3"/>
    <w:rsid w:val="28D873AF"/>
    <w:rsid w:val="28E05C4D"/>
    <w:rsid w:val="28F61E82"/>
    <w:rsid w:val="29057462"/>
    <w:rsid w:val="2910099B"/>
    <w:rsid w:val="29117C93"/>
    <w:rsid w:val="29206EB8"/>
    <w:rsid w:val="29282D6F"/>
    <w:rsid w:val="292B0388"/>
    <w:rsid w:val="292E522E"/>
    <w:rsid w:val="293C106B"/>
    <w:rsid w:val="29464A50"/>
    <w:rsid w:val="294B6442"/>
    <w:rsid w:val="29595666"/>
    <w:rsid w:val="295C42FC"/>
    <w:rsid w:val="29606C84"/>
    <w:rsid w:val="29775566"/>
    <w:rsid w:val="298625FD"/>
    <w:rsid w:val="29874881"/>
    <w:rsid w:val="29987347"/>
    <w:rsid w:val="29A4584F"/>
    <w:rsid w:val="29A56F92"/>
    <w:rsid w:val="29C24232"/>
    <w:rsid w:val="29CB205F"/>
    <w:rsid w:val="29DB2586"/>
    <w:rsid w:val="29DF7363"/>
    <w:rsid w:val="29E325E0"/>
    <w:rsid w:val="29FA13E4"/>
    <w:rsid w:val="2A015A68"/>
    <w:rsid w:val="2A1959B6"/>
    <w:rsid w:val="2A1F07AA"/>
    <w:rsid w:val="2A1F6D8E"/>
    <w:rsid w:val="2A2B008A"/>
    <w:rsid w:val="2A364A1E"/>
    <w:rsid w:val="2A452503"/>
    <w:rsid w:val="2A587257"/>
    <w:rsid w:val="2A5A6C6E"/>
    <w:rsid w:val="2A625883"/>
    <w:rsid w:val="2A641C11"/>
    <w:rsid w:val="2A8354A3"/>
    <w:rsid w:val="2A9A4BC2"/>
    <w:rsid w:val="2A9E191C"/>
    <w:rsid w:val="2A9F5140"/>
    <w:rsid w:val="2AAE4219"/>
    <w:rsid w:val="2ACB6DF0"/>
    <w:rsid w:val="2ACE376E"/>
    <w:rsid w:val="2AD36372"/>
    <w:rsid w:val="2ADA143E"/>
    <w:rsid w:val="2AFB08A2"/>
    <w:rsid w:val="2B062F11"/>
    <w:rsid w:val="2B0A3400"/>
    <w:rsid w:val="2B1E6EF9"/>
    <w:rsid w:val="2B234F0D"/>
    <w:rsid w:val="2B3623B5"/>
    <w:rsid w:val="2B376DEE"/>
    <w:rsid w:val="2B4C581C"/>
    <w:rsid w:val="2B68647F"/>
    <w:rsid w:val="2B783B58"/>
    <w:rsid w:val="2B785ADF"/>
    <w:rsid w:val="2B8E1990"/>
    <w:rsid w:val="2B8E2C8D"/>
    <w:rsid w:val="2B926FEC"/>
    <w:rsid w:val="2BA936A8"/>
    <w:rsid w:val="2BAA42F0"/>
    <w:rsid w:val="2BB22049"/>
    <w:rsid w:val="2BDC1C79"/>
    <w:rsid w:val="2C176C4D"/>
    <w:rsid w:val="2C315A5A"/>
    <w:rsid w:val="2C385DA0"/>
    <w:rsid w:val="2C4B1C25"/>
    <w:rsid w:val="2C4E2ECE"/>
    <w:rsid w:val="2C5D416C"/>
    <w:rsid w:val="2C5F02EE"/>
    <w:rsid w:val="2C6E3570"/>
    <w:rsid w:val="2C7013B3"/>
    <w:rsid w:val="2C77558C"/>
    <w:rsid w:val="2C8D1C48"/>
    <w:rsid w:val="2C970D19"/>
    <w:rsid w:val="2CA35075"/>
    <w:rsid w:val="2CBF471A"/>
    <w:rsid w:val="2CC12DBD"/>
    <w:rsid w:val="2CC4650E"/>
    <w:rsid w:val="2CC87181"/>
    <w:rsid w:val="2CC97F35"/>
    <w:rsid w:val="2CCF5930"/>
    <w:rsid w:val="2CD379ED"/>
    <w:rsid w:val="2CEA1242"/>
    <w:rsid w:val="2CF451C7"/>
    <w:rsid w:val="2D005C52"/>
    <w:rsid w:val="2D0C28EF"/>
    <w:rsid w:val="2D0D1DA6"/>
    <w:rsid w:val="2D102879"/>
    <w:rsid w:val="2D195DE1"/>
    <w:rsid w:val="2D1E099B"/>
    <w:rsid w:val="2D22001E"/>
    <w:rsid w:val="2D3B6010"/>
    <w:rsid w:val="2D3F4C1F"/>
    <w:rsid w:val="2D5569BE"/>
    <w:rsid w:val="2D567313"/>
    <w:rsid w:val="2D5F09FD"/>
    <w:rsid w:val="2D70362E"/>
    <w:rsid w:val="2D74227E"/>
    <w:rsid w:val="2D746964"/>
    <w:rsid w:val="2D781B60"/>
    <w:rsid w:val="2D81538E"/>
    <w:rsid w:val="2D8E3661"/>
    <w:rsid w:val="2D964B2C"/>
    <w:rsid w:val="2D9669D2"/>
    <w:rsid w:val="2D9E56F5"/>
    <w:rsid w:val="2DA44080"/>
    <w:rsid w:val="2DAA05D8"/>
    <w:rsid w:val="2DAF3E40"/>
    <w:rsid w:val="2DB47354"/>
    <w:rsid w:val="2DB811C4"/>
    <w:rsid w:val="2DC16BE6"/>
    <w:rsid w:val="2DC378EB"/>
    <w:rsid w:val="2DCA68B6"/>
    <w:rsid w:val="2DE11D38"/>
    <w:rsid w:val="2DE81B39"/>
    <w:rsid w:val="2DF20294"/>
    <w:rsid w:val="2DF34E18"/>
    <w:rsid w:val="2DFC1C52"/>
    <w:rsid w:val="2E0A7559"/>
    <w:rsid w:val="2E13617D"/>
    <w:rsid w:val="2E19133F"/>
    <w:rsid w:val="2E1F708E"/>
    <w:rsid w:val="2E3529D4"/>
    <w:rsid w:val="2E41718E"/>
    <w:rsid w:val="2E527120"/>
    <w:rsid w:val="2E540893"/>
    <w:rsid w:val="2E652F0D"/>
    <w:rsid w:val="2E667F96"/>
    <w:rsid w:val="2E7741A2"/>
    <w:rsid w:val="2E8226AB"/>
    <w:rsid w:val="2E963988"/>
    <w:rsid w:val="2E9F178F"/>
    <w:rsid w:val="2EA130D2"/>
    <w:rsid w:val="2EB0182B"/>
    <w:rsid w:val="2EC3728A"/>
    <w:rsid w:val="2ECE6C13"/>
    <w:rsid w:val="2ED82F59"/>
    <w:rsid w:val="2ED9746B"/>
    <w:rsid w:val="2EEC1546"/>
    <w:rsid w:val="2EEE50CE"/>
    <w:rsid w:val="2F103754"/>
    <w:rsid w:val="2F1369A1"/>
    <w:rsid w:val="2F2355BB"/>
    <w:rsid w:val="2F56001B"/>
    <w:rsid w:val="2F6F2F65"/>
    <w:rsid w:val="2F762E2A"/>
    <w:rsid w:val="2F8A6913"/>
    <w:rsid w:val="2F8B4B46"/>
    <w:rsid w:val="2F9939E1"/>
    <w:rsid w:val="2F9D679E"/>
    <w:rsid w:val="2FA60E0F"/>
    <w:rsid w:val="2FA61B37"/>
    <w:rsid w:val="2FCE5DA8"/>
    <w:rsid w:val="2FD065E6"/>
    <w:rsid w:val="2FD96870"/>
    <w:rsid w:val="2FEC55C4"/>
    <w:rsid w:val="2FFA19EE"/>
    <w:rsid w:val="300B3EF7"/>
    <w:rsid w:val="30142680"/>
    <w:rsid w:val="303008BA"/>
    <w:rsid w:val="304D0955"/>
    <w:rsid w:val="30580BC9"/>
    <w:rsid w:val="30741976"/>
    <w:rsid w:val="3082583C"/>
    <w:rsid w:val="30854422"/>
    <w:rsid w:val="308C231D"/>
    <w:rsid w:val="30921059"/>
    <w:rsid w:val="30964BCF"/>
    <w:rsid w:val="30A1026E"/>
    <w:rsid w:val="30A26617"/>
    <w:rsid w:val="30CE282F"/>
    <w:rsid w:val="30CF184C"/>
    <w:rsid w:val="30EA0FB0"/>
    <w:rsid w:val="310B0A43"/>
    <w:rsid w:val="311E2ED7"/>
    <w:rsid w:val="312E53DA"/>
    <w:rsid w:val="31301A43"/>
    <w:rsid w:val="31340CBC"/>
    <w:rsid w:val="315619EE"/>
    <w:rsid w:val="315C449C"/>
    <w:rsid w:val="315F16D9"/>
    <w:rsid w:val="31603915"/>
    <w:rsid w:val="31703404"/>
    <w:rsid w:val="31774C75"/>
    <w:rsid w:val="31845BBD"/>
    <w:rsid w:val="318D4F78"/>
    <w:rsid w:val="31953464"/>
    <w:rsid w:val="319E7876"/>
    <w:rsid w:val="31A76597"/>
    <w:rsid w:val="31B26644"/>
    <w:rsid w:val="31B82709"/>
    <w:rsid w:val="31C05417"/>
    <w:rsid w:val="31C83722"/>
    <w:rsid w:val="31D05482"/>
    <w:rsid w:val="31D06852"/>
    <w:rsid w:val="31D6051C"/>
    <w:rsid w:val="31E0052D"/>
    <w:rsid w:val="31EF0CAF"/>
    <w:rsid w:val="32381352"/>
    <w:rsid w:val="32400B34"/>
    <w:rsid w:val="32422CCD"/>
    <w:rsid w:val="32466766"/>
    <w:rsid w:val="325133BE"/>
    <w:rsid w:val="328D7E23"/>
    <w:rsid w:val="329C208F"/>
    <w:rsid w:val="329E6876"/>
    <w:rsid w:val="32B31CDC"/>
    <w:rsid w:val="32C40523"/>
    <w:rsid w:val="32DC3AB9"/>
    <w:rsid w:val="32E306CB"/>
    <w:rsid w:val="330D0678"/>
    <w:rsid w:val="333015F2"/>
    <w:rsid w:val="334B6229"/>
    <w:rsid w:val="334B6320"/>
    <w:rsid w:val="334C2231"/>
    <w:rsid w:val="334F3C22"/>
    <w:rsid w:val="3352267B"/>
    <w:rsid w:val="3356167F"/>
    <w:rsid w:val="335B71D1"/>
    <w:rsid w:val="335B7248"/>
    <w:rsid w:val="3367103F"/>
    <w:rsid w:val="3372595F"/>
    <w:rsid w:val="337B40DA"/>
    <w:rsid w:val="337C3E6B"/>
    <w:rsid w:val="33AA671E"/>
    <w:rsid w:val="33D21C44"/>
    <w:rsid w:val="33D934D4"/>
    <w:rsid w:val="33DD1FF5"/>
    <w:rsid w:val="33EA680B"/>
    <w:rsid w:val="33FE2F6A"/>
    <w:rsid w:val="3406364F"/>
    <w:rsid w:val="340E07E5"/>
    <w:rsid w:val="34187598"/>
    <w:rsid w:val="3419267E"/>
    <w:rsid w:val="341A1925"/>
    <w:rsid w:val="341A485F"/>
    <w:rsid w:val="341C7E07"/>
    <w:rsid w:val="34235BF7"/>
    <w:rsid w:val="342B0E0B"/>
    <w:rsid w:val="342D4C47"/>
    <w:rsid w:val="3458222B"/>
    <w:rsid w:val="346028F8"/>
    <w:rsid w:val="34621E3D"/>
    <w:rsid w:val="34752511"/>
    <w:rsid w:val="34777CB5"/>
    <w:rsid w:val="347B0287"/>
    <w:rsid w:val="347D4810"/>
    <w:rsid w:val="348F3D0E"/>
    <w:rsid w:val="34965966"/>
    <w:rsid w:val="349E076A"/>
    <w:rsid w:val="34A26B0B"/>
    <w:rsid w:val="34A76AFA"/>
    <w:rsid w:val="34A8735C"/>
    <w:rsid w:val="34BF0D6C"/>
    <w:rsid w:val="34BF3B1B"/>
    <w:rsid w:val="34C24459"/>
    <w:rsid w:val="34F4181B"/>
    <w:rsid w:val="35193263"/>
    <w:rsid w:val="35213E7A"/>
    <w:rsid w:val="35414D4C"/>
    <w:rsid w:val="354B08F2"/>
    <w:rsid w:val="35525164"/>
    <w:rsid w:val="355F2018"/>
    <w:rsid w:val="35623905"/>
    <w:rsid w:val="35637EBC"/>
    <w:rsid w:val="35657B2A"/>
    <w:rsid w:val="357065AB"/>
    <w:rsid w:val="35883C42"/>
    <w:rsid w:val="358C5FA8"/>
    <w:rsid w:val="359D06F7"/>
    <w:rsid w:val="35BE2E72"/>
    <w:rsid w:val="35C15DF1"/>
    <w:rsid w:val="35C3796D"/>
    <w:rsid w:val="35DB0ABC"/>
    <w:rsid w:val="35F14A76"/>
    <w:rsid w:val="35F92AF9"/>
    <w:rsid w:val="35FE41C7"/>
    <w:rsid w:val="36015438"/>
    <w:rsid w:val="36074A7F"/>
    <w:rsid w:val="360C73FF"/>
    <w:rsid w:val="360F7B72"/>
    <w:rsid w:val="361E2DF6"/>
    <w:rsid w:val="362658B3"/>
    <w:rsid w:val="36370F4E"/>
    <w:rsid w:val="363F1A1A"/>
    <w:rsid w:val="36516D34"/>
    <w:rsid w:val="365F321D"/>
    <w:rsid w:val="365F3EE0"/>
    <w:rsid w:val="36632F99"/>
    <w:rsid w:val="366B5E6C"/>
    <w:rsid w:val="36923549"/>
    <w:rsid w:val="36985284"/>
    <w:rsid w:val="369E5592"/>
    <w:rsid w:val="36B57CDE"/>
    <w:rsid w:val="36B75FBF"/>
    <w:rsid w:val="36BD0C45"/>
    <w:rsid w:val="36D057C6"/>
    <w:rsid w:val="36F6315A"/>
    <w:rsid w:val="370A249A"/>
    <w:rsid w:val="370C723C"/>
    <w:rsid w:val="37137EE3"/>
    <w:rsid w:val="37291EC8"/>
    <w:rsid w:val="372F597E"/>
    <w:rsid w:val="372F7379"/>
    <w:rsid w:val="37396354"/>
    <w:rsid w:val="374C257A"/>
    <w:rsid w:val="37533A8E"/>
    <w:rsid w:val="37722E08"/>
    <w:rsid w:val="377A7029"/>
    <w:rsid w:val="378F7662"/>
    <w:rsid w:val="37A72497"/>
    <w:rsid w:val="37AE5168"/>
    <w:rsid w:val="37B856C7"/>
    <w:rsid w:val="37CE23A8"/>
    <w:rsid w:val="37CF70F1"/>
    <w:rsid w:val="37D01AFB"/>
    <w:rsid w:val="37DF2223"/>
    <w:rsid w:val="37E00298"/>
    <w:rsid w:val="37E14C4F"/>
    <w:rsid w:val="37E76254"/>
    <w:rsid w:val="37EB3CC7"/>
    <w:rsid w:val="37EE2C48"/>
    <w:rsid w:val="37F0194D"/>
    <w:rsid w:val="37F75599"/>
    <w:rsid w:val="37FA18DB"/>
    <w:rsid w:val="380F7804"/>
    <w:rsid w:val="382858DB"/>
    <w:rsid w:val="38433B03"/>
    <w:rsid w:val="384653A1"/>
    <w:rsid w:val="38474908"/>
    <w:rsid w:val="384F6A52"/>
    <w:rsid w:val="3865417B"/>
    <w:rsid w:val="38727005"/>
    <w:rsid w:val="38783A37"/>
    <w:rsid w:val="38794F9A"/>
    <w:rsid w:val="387A436D"/>
    <w:rsid w:val="38873C6C"/>
    <w:rsid w:val="38B14D7A"/>
    <w:rsid w:val="38B302F9"/>
    <w:rsid w:val="38C37F7A"/>
    <w:rsid w:val="38D4238A"/>
    <w:rsid w:val="38DA6126"/>
    <w:rsid w:val="38EC5BDF"/>
    <w:rsid w:val="38F12CD3"/>
    <w:rsid w:val="38F23B1D"/>
    <w:rsid w:val="38F94775"/>
    <w:rsid w:val="39237531"/>
    <w:rsid w:val="392971ED"/>
    <w:rsid w:val="392F6881"/>
    <w:rsid w:val="39325651"/>
    <w:rsid w:val="393A22E1"/>
    <w:rsid w:val="39504729"/>
    <w:rsid w:val="39554B5F"/>
    <w:rsid w:val="39622946"/>
    <w:rsid w:val="39822C77"/>
    <w:rsid w:val="398D02FA"/>
    <w:rsid w:val="39915F47"/>
    <w:rsid w:val="39B169CC"/>
    <w:rsid w:val="39BD71E7"/>
    <w:rsid w:val="39CC24DF"/>
    <w:rsid w:val="39D103B5"/>
    <w:rsid w:val="39E61A20"/>
    <w:rsid w:val="39F40EEF"/>
    <w:rsid w:val="3A0A523E"/>
    <w:rsid w:val="3A237169"/>
    <w:rsid w:val="3A2D6C50"/>
    <w:rsid w:val="3A3751D7"/>
    <w:rsid w:val="3A451DB4"/>
    <w:rsid w:val="3A485D32"/>
    <w:rsid w:val="3A522186"/>
    <w:rsid w:val="3A5D0BC2"/>
    <w:rsid w:val="3A807AE7"/>
    <w:rsid w:val="3A872856"/>
    <w:rsid w:val="3A9D0716"/>
    <w:rsid w:val="3AA82B79"/>
    <w:rsid w:val="3AAB5F8E"/>
    <w:rsid w:val="3AB90C85"/>
    <w:rsid w:val="3ABB72C0"/>
    <w:rsid w:val="3ADD0C66"/>
    <w:rsid w:val="3ADD745E"/>
    <w:rsid w:val="3AF332ED"/>
    <w:rsid w:val="3B0A37FD"/>
    <w:rsid w:val="3B117EE8"/>
    <w:rsid w:val="3B295BF7"/>
    <w:rsid w:val="3B342408"/>
    <w:rsid w:val="3B3763D1"/>
    <w:rsid w:val="3B3C7DFF"/>
    <w:rsid w:val="3B5B09CB"/>
    <w:rsid w:val="3B667592"/>
    <w:rsid w:val="3B675D5A"/>
    <w:rsid w:val="3B6A2462"/>
    <w:rsid w:val="3B6E7F0C"/>
    <w:rsid w:val="3B8163C4"/>
    <w:rsid w:val="3B9C4260"/>
    <w:rsid w:val="3BAB2EAF"/>
    <w:rsid w:val="3BB25100"/>
    <w:rsid w:val="3BB908DD"/>
    <w:rsid w:val="3BCB62E9"/>
    <w:rsid w:val="3BE911F5"/>
    <w:rsid w:val="3BF52D34"/>
    <w:rsid w:val="3C0F2569"/>
    <w:rsid w:val="3C1C4B03"/>
    <w:rsid w:val="3C1F43B8"/>
    <w:rsid w:val="3C21415B"/>
    <w:rsid w:val="3C2235BA"/>
    <w:rsid w:val="3C2F3163"/>
    <w:rsid w:val="3C2F6E1E"/>
    <w:rsid w:val="3C3814A4"/>
    <w:rsid w:val="3C4F64BA"/>
    <w:rsid w:val="3C554CC3"/>
    <w:rsid w:val="3C5C5BEA"/>
    <w:rsid w:val="3C752089"/>
    <w:rsid w:val="3C9A11D3"/>
    <w:rsid w:val="3CA030BA"/>
    <w:rsid w:val="3CA55C21"/>
    <w:rsid w:val="3CAE50C4"/>
    <w:rsid w:val="3CC23DE1"/>
    <w:rsid w:val="3CC86AC9"/>
    <w:rsid w:val="3CDA245A"/>
    <w:rsid w:val="3CE22D0B"/>
    <w:rsid w:val="3D0114B0"/>
    <w:rsid w:val="3D090C78"/>
    <w:rsid w:val="3D0F0457"/>
    <w:rsid w:val="3D15795C"/>
    <w:rsid w:val="3D1E06B7"/>
    <w:rsid w:val="3D3D3216"/>
    <w:rsid w:val="3D687B67"/>
    <w:rsid w:val="3D6D4830"/>
    <w:rsid w:val="3D84234E"/>
    <w:rsid w:val="3D866D52"/>
    <w:rsid w:val="3D897631"/>
    <w:rsid w:val="3DB96A9B"/>
    <w:rsid w:val="3DC47627"/>
    <w:rsid w:val="3DC76CF2"/>
    <w:rsid w:val="3DCA1869"/>
    <w:rsid w:val="3DDB59B2"/>
    <w:rsid w:val="3DDF7B5D"/>
    <w:rsid w:val="3DEE0FF3"/>
    <w:rsid w:val="3E1E2BFE"/>
    <w:rsid w:val="3E2569F1"/>
    <w:rsid w:val="3E30185E"/>
    <w:rsid w:val="3E4C4223"/>
    <w:rsid w:val="3E53582A"/>
    <w:rsid w:val="3E551CA6"/>
    <w:rsid w:val="3E5A7DAF"/>
    <w:rsid w:val="3E6415B0"/>
    <w:rsid w:val="3E6C7122"/>
    <w:rsid w:val="3E9F2D46"/>
    <w:rsid w:val="3EAB7532"/>
    <w:rsid w:val="3EBD5D8E"/>
    <w:rsid w:val="3ECA5217"/>
    <w:rsid w:val="3ED25F7E"/>
    <w:rsid w:val="3EDA0523"/>
    <w:rsid w:val="3EEF07FC"/>
    <w:rsid w:val="3EEF2F6D"/>
    <w:rsid w:val="3EF85E3E"/>
    <w:rsid w:val="3EFA4481"/>
    <w:rsid w:val="3EFC04B0"/>
    <w:rsid w:val="3F010273"/>
    <w:rsid w:val="3F0761B3"/>
    <w:rsid w:val="3F1538A4"/>
    <w:rsid w:val="3F1C1543"/>
    <w:rsid w:val="3F306DCE"/>
    <w:rsid w:val="3F520217"/>
    <w:rsid w:val="3F5C7407"/>
    <w:rsid w:val="3F5F49B6"/>
    <w:rsid w:val="3F624F39"/>
    <w:rsid w:val="3F626752"/>
    <w:rsid w:val="3F6B0C4D"/>
    <w:rsid w:val="3F7F1CC2"/>
    <w:rsid w:val="3F8769CB"/>
    <w:rsid w:val="3F9065BB"/>
    <w:rsid w:val="3FB50B36"/>
    <w:rsid w:val="3FDA1DC1"/>
    <w:rsid w:val="3FF118DF"/>
    <w:rsid w:val="3FF94B75"/>
    <w:rsid w:val="40016D33"/>
    <w:rsid w:val="400527AD"/>
    <w:rsid w:val="40157338"/>
    <w:rsid w:val="40184E6E"/>
    <w:rsid w:val="403E3F00"/>
    <w:rsid w:val="40446BE4"/>
    <w:rsid w:val="406B009A"/>
    <w:rsid w:val="407A6407"/>
    <w:rsid w:val="408B024B"/>
    <w:rsid w:val="409F442F"/>
    <w:rsid w:val="40A43D9A"/>
    <w:rsid w:val="40AD6E86"/>
    <w:rsid w:val="40BC53AA"/>
    <w:rsid w:val="40D003A8"/>
    <w:rsid w:val="40E9499C"/>
    <w:rsid w:val="40EC27D7"/>
    <w:rsid w:val="41047192"/>
    <w:rsid w:val="410C5A2A"/>
    <w:rsid w:val="41135D4F"/>
    <w:rsid w:val="411B2922"/>
    <w:rsid w:val="41210759"/>
    <w:rsid w:val="41306BEE"/>
    <w:rsid w:val="4131270D"/>
    <w:rsid w:val="4132486F"/>
    <w:rsid w:val="415F7B0B"/>
    <w:rsid w:val="417E1B83"/>
    <w:rsid w:val="41874AD3"/>
    <w:rsid w:val="41AF1136"/>
    <w:rsid w:val="41ED016D"/>
    <w:rsid w:val="41EE7681"/>
    <w:rsid w:val="41F30C91"/>
    <w:rsid w:val="4200449D"/>
    <w:rsid w:val="420D0C5A"/>
    <w:rsid w:val="420E5181"/>
    <w:rsid w:val="42113415"/>
    <w:rsid w:val="423A3BCC"/>
    <w:rsid w:val="424B1A5D"/>
    <w:rsid w:val="424E57D2"/>
    <w:rsid w:val="42941769"/>
    <w:rsid w:val="42AE24C0"/>
    <w:rsid w:val="42B26C49"/>
    <w:rsid w:val="42BF115A"/>
    <w:rsid w:val="42D40176"/>
    <w:rsid w:val="42F205FF"/>
    <w:rsid w:val="42F76572"/>
    <w:rsid w:val="42F8373B"/>
    <w:rsid w:val="42FC38DD"/>
    <w:rsid w:val="4306788F"/>
    <w:rsid w:val="431D774E"/>
    <w:rsid w:val="43205B8C"/>
    <w:rsid w:val="43220D86"/>
    <w:rsid w:val="432E057C"/>
    <w:rsid w:val="43346E69"/>
    <w:rsid w:val="433A6FE6"/>
    <w:rsid w:val="43480868"/>
    <w:rsid w:val="4350713C"/>
    <w:rsid w:val="435B65F1"/>
    <w:rsid w:val="436052E8"/>
    <w:rsid w:val="436653E0"/>
    <w:rsid w:val="4371523D"/>
    <w:rsid w:val="437859F5"/>
    <w:rsid w:val="43857E78"/>
    <w:rsid w:val="4386034F"/>
    <w:rsid w:val="438C286B"/>
    <w:rsid w:val="43B753A5"/>
    <w:rsid w:val="43BB707E"/>
    <w:rsid w:val="43BD00F4"/>
    <w:rsid w:val="43C4431A"/>
    <w:rsid w:val="43CF0377"/>
    <w:rsid w:val="43DC73A0"/>
    <w:rsid w:val="43E066F3"/>
    <w:rsid w:val="43E21F24"/>
    <w:rsid w:val="43E81747"/>
    <w:rsid w:val="43FC53CA"/>
    <w:rsid w:val="43FE5AA1"/>
    <w:rsid w:val="44006D4C"/>
    <w:rsid w:val="440B1C16"/>
    <w:rsid w:val="441032D4"/>
    <w:rsid w:val="44107610"/>
    <w:rsid w:val="441824C4"/>
    <w:rsid w:val="441D5105"/>
    <w:rsid w:val="44250906"/>
    <w:rsid w:val="444C2D3E"/>
    <w:rsid w:val="44676DCB"/>
    <w:rsid w:val="4481499A"/>
    <w:rsid w:val="44825E1E"/>
    <w:rsid w:val="44B951CC"/>
    <w:rsid w:val="44BE3157"/>
    <w:rsid w:val="44C512A4"/>
    <w:rsid w:val="44C60872"/>
    <w:rsid w:val="44CD14E0"/>
    <w:rsid w:val="44F20B0B"/>
    <w:rsid w:val="44F53BA5"/>
    <w:rsid w:val="44FB6E36"/>
    <w:rsid w:val="45025A28"/>
    <w:rsid w:val="452E5F4C"/>
    <w:rsid w:val="45314252"/>
    <w:rsid w:val="45421857"/>
    <w:rsid w:val="45485EB6"/>
    <w:rsid w:val="45492F04"/>
    <w:rsid w:val="455455A1"/>
    <w:rsid w:val="45610513"/>
    <w:rsid w:val="45612018"/>
    <w:rsid w:val="45714169"/>
    <w:rsid w:val="45744C02"/>
    <w:rsid w:val="4582210E"/>
    <w:rsid w:val="458946E9"/>
    <w:rsid w:val="458A1B54"/>
    <w:rsid w:val="45A14A3F"/>
    <w:rsid w:val="45A47C0E"/>
    <w:rsid w:val="45B74470"/>
    <w:rsid w:val="45D86F40"/>
    <w:rsid w:val="45F54EF3"/>
    <w:rsid w:val="45F631AF"/>
    <w:rsid w:val="45FB31A5"/>
    <w:rsid w:val="46040002"/>
    <w:rsid w:val="460A5C60"/>
    <w:rsid w:val="460B738D"/>
    <w:rsid w:val="460D7447"/>
    <w:rsid w:val="461C648C"/>
    <w:rsid w:val="46277248"/>
    <w:rsid w:val="463A7D48"/>
    <w:rsid w:val="463B0106"/>
    <w:rsid w:val="463F30E9"/>
    <w:rsid w:val="46535BE8"/>
    <w:rsid w:val="46577FD6"/>
    <w:rsid w:val="46650844"/>
    <w:rsid w:val="46663A77"/>
    <w:rsid w:val="46761E79"/>
    <w:rsid w:val="467D28D5"/>
    <w:rsid w:val="467E0606"/>
    <w:rsid w:val="467E3CDB"/>
    <w:rsid w:val="46895B79"/>
    <w:rsid w:val="468C54D5"/>
    <w:rsid w:val="46902609"/>
    <w:rsid w:val="469D0B34"/>
    <w:rsid w:val="46AF2A7D"/>
    <w:rsid w:val="46CA3300"/>
    <w:rsid w:val="46D14F2A"/>
    <w:rsid w:val="46D718D1"/>
    <w:rsid w:val="46D955A7"/>
    <w:rsid w:val="47110A51"/>
    <w:rsid w:val="4711312A"/>
    <w:rsid w:val="47133957"/>
    <w:rsid w:val="471A7FEB"/>
    <w:rsid w:val="472D0BC8"/>
    <w:rsid w:val="472E243C"/>
    <w:rsid w:val="473567F9"/>
    <w:rsid w:val="47364996"/>
    <w:rsid w:val="4768030F"/>
    <w:rsid w:val="476C137E"/>
    <w:rsid w:val="47812B1E"/>
    <w:rsid w:val="47830694"/>
    <w:rsid w:val="4796695E"/>
    <w:rsid w:val="47A07E0C"/>
    <w:rsid w:val="47AD0F98"/>
    <w:rsid w:val="47B500EF"/>
    <w:rsid w:val="47B624EC"/>
    <w:rsid w:val="47B76381"/>
    <w:rsid w:val="47D37608"/>
    <w:rsid w:val="47D81500"/>
    <w:rsid w:val="47E46AFC"/>
    <w:rsid w:val="47E954F6"/>
    <w:rsid w:val="47F85237"/>
    <w:rsid w:val="48213971"/>
    <w:rsid w:val="482B5853"/>
    <w:rsid w:val="48335654"/>
    <w:rsid w:val="48392CE6"/>
    <w:rsid w:val="48516091"/>
    <w:rsid w:val="48596102"/>
    <w:rsid w:val="4870272E"/>
    <w:rsid w:val="487D6BBD"/>
    <w:rsid w:val="487F6479"/>
    <w:rsid w:val="48801162"/>
    <w:rsid w:val="4883304F"/>
    <w:rsid w:val="48837022"/>
    <w:rsid w:val="48841525"/>
    <w:rsid w:val="48862689"/>
    <w:rsid w:val="489C79F9"/>
    <w:rsid w:val="489F52C5"/>
    <w:rsid w:val="48B90A81"/>
    <w:rsid w:val="48BE59E3"/>
    <w:rsid w:val="48C07DA8"/>
    <w:rsid w:val="48C200B9"/>
    <w:rsid w:val="48C9372B"/>
    <w:rsid w:val="48ED6219"/>
    <w:rsid w:val="48FB335F"/>
    <w:rsid w:val="48FF1654"/>
    <w:rsid w:val="49032719"/>
    <w:rsid w:val="490B49A0"/>
    <w:rsid w:val="4926391E"/>
    <w:rsid w:val="49267254"/>
    <w:rsid w:val="492A31F9"/>
    <w:rsid w:val="49351359"/>
    <w:rsid w:val="494335CF"/>
    <w:rsid w:val="494C5593"/>
    <w:rsid w:val="495971A2"/>
    <w:rsid w:val="498B428D"/>
    <w:rsid w:val="498B5309"/>
    <w:rsid w:val="4995161B"/>
    <w:rsid w:val="49A21D17"/>
    <w:rsid w:val="49AA1110"/>
    <w:rsid w:val="49BF133E"/>
    <w:rsid w:val="49DC7715"/>
    <w:rsid w:val="49DD404B"/>
    <w:rsid w:val="49E163DF"/>
    <w:rsid w:val="49ED443D"/>
    <w:rsid w:val="49F4133E"/>
    <w:rsid w:val="49FF6FF1"/>
    <w:rsid w:val="4A023139"/>
    <w:rsid w:val="4A070779"/>
    <w:rsid w:val="4A1D68D3"/>
    <w:rsid w:val="4A1F0425"/>
    <w:rsid w:val="4A3459A1"/>
    <w:rsid w:val="4A3F08F2"/>
    <w:rsid w:val="4A411E05"/>
    <w:rsid w:val="4A571C98"/>
    <w:rsid w:val="4A5E2A1E"/>
    <w:rsid w:val="4A6A7279"/>
    <w:rsid w:val="4A7B576F"/>
    <w:rsid w:val="4A865A8E"/>
    <w:rsid w:val="4A875AD1"/>
    <w:rsid w:val="4A881517"/>
    <w:rsid w:val="4A987169"/>
    <w:rsid w:val="4A9E1141"/>
    <w:rsid w:val="4AA158F4"/>
    <w:rsid w:val="4AA20776"/>
    <w:rsid w:val="4AB34B18"/>
    <w:rsid w:val="4AB4479A"/>
    <w:rsid w:val="4AD36049"/>
    <w:rsid w:val="4AF561A9"/>
    <w:rsid w:val="4AFD2237"/>
    <w:rsid w:val="4AFD4603"/>
    <w:rsid w:val="4B210706"/>
    <w:rsid w:val="4B223E38"/>
    <w:rsid w:val="4B27036E"/>
    <w:rsid w:val="4B290281"/>
    <w:rsid w:val="4B36089F"/>
    <w:rsid w:val="4B3A6FE7"/>
    <w:rsid w:val="4B3B5F7E"/>
    <w:rsid w:val="4B517646"/>
    <w:rsid w:val="4B5765EE"/>
    <w:rsid w:val="4B5D559C"/>
    <w:rsid w:val="4B6949F7"/>
    <w:rsid w:val="4B6B4D95"/>
    <w:rsid w:val="4B706E15"/>
    <w:rsid w:val="4B73506D"/>
    <w:rsid w:val="4B793136"/>
    <w:rsid w:val="4B7E5A8A"/>
    <w:rsid w:val="4B923955"/>
    <w:rsid w:val="4BAE158A"/>
    <w:rsid w:val="4BCB0C2C"/>
    <w:rsid w:val="4BCD1F3D"/>
    <w:rsid w:val="4BE355D2"/>
    <w:rsid w:val="4BEB0388"/>
    <w:rsid w:val="4BEE6EF5"/>
    <w:rsid w:val="4BFE576F"/>
    <w:rsid w:val="4C2509A1"/>
    <w:rsid w:val="4C2D4A1A"/>
    <w:rsid w:val="4C3C0B3D"/>
    <w:rsid w:val="4C3C28C6"/>
    <w:rsid w:val="4C4A0649"/>
    <w:rsid w:val="4C4A6292"/>
    <w:rsid w:val="4C6205A3"/>
    <w:rsid w:val="4C672963"/>
    <w:rsid w:val="4C71003F"/>
    <w:rsid w:val="4C7E5ECA"/>
    <w:rsid w:val="4C876AA5"/>
    <w:rsid w:val="4C8A0545"/>
    <w:rsid w:val="4C8A0DCD"/>
    <w:rsid w:val="4C9B5251"/>
    <w:rsid w:val="4C9D4E05"/>
    <w:rsid w:val="4CB50D4E"/>
    <w:rsid w:val="4CBE77A4"/>
    <w:rsid w:val="4CC63C42"/>
    <w:rsid w:val="4CCB6E74"/>
    <w:rsid w:val="4CCD39EF"/>
    <w:rsid w:val="4CCE79E7"/>
    <w:rsid w:val="4CCF1A87"/>
    <w:rsid w:val="4CF17B79"/>
    <w:rsid w:val="4CF44EC9"/>
    <w:rsid w:val="4CF72EC6"/>
    <w:rsid w:val="4D041D9D"/>
    <w:rsid w:val="4D0E00FB"/>
    <w:rsid w:val="4D176606"/>
    <w:rsid w:val="4D2D4FE0"/>
    <w:rsid w:val="4D3F37C9"/>
    <w:rsid w:val="4D436F0D"/>
    <w:rsid w:val="4D4E5CB0"/>
    <w:rsid w:val="4D5B69AA"/>
    <w:rsid w:val="4D643AD4"/>
    <w:rsid w:val="4D706A97"/>
    <w:rsid w:val="4D7D459E"/>
    <w:rsid w:val="4D8323B5"/>
    <w:rsid w:val="4DAB721B"/>
    <w:rsid w:val="4DAC5097"/>
    <w:rsid w:val="4DBF44B5"/>
    <w:rsid w:val="4DCA0B8E"/>
    <w:rsid w:val="4DCA69F7"/>
    <w:rsid w:val="4DD35DAD"/>
    <w:rsid w:val="4DEC4FB0"/>
    <w:rsid w:val="4E075D8A"/>
    <w:rsid w:val="4E155FB2"/>
    <w:rsid w:val="4E1862AB"/>
    <w:rsid w:val="4E2273D8"/>
    <w:rsid w:val="4E2C756D"/>
    <w:rsid w:val="4EAB20BE"/>
    <w:rsid w:val="4EAF5206"/>
    <w:rsid w:val="4EB75949"/>
    <w:rsid w:val="4EBB205B"/>
    <w:rsid w:val="4EC00FAD"/>
    <w:rsid w:val="4ECC79AF"/>
    <w:rsid w:val="4ECF1DA5"/>
    <w:rsid w:val="4ED86D28"/>
    <w:rsid w:val="4F0C47F7"/>
    <w:rsid w:val="4F0F14E1"/>
    <w:rsid w:val="4F287A2F"/>
    <w:rsid w:val="4F316C39"/>
    <w:rsid w:val="4F4026F2"/>
    <w:rsid w:val="4F4E005F"/>
    <w:rsid w:val="4F557EFF"/>
    <w:rsid w:val="4F6208BA"/>
    <w:rsid w:val="4F7811EC"/>
    <w:rsid w:val="4F82761E"/>
    <w:rsid w:val="4F9843DC"/>
    <w:rsid w:val="4FBB2829"/>
    <w:rsid w:val="4FC62A8C"/>
    <w:rsid w:val="4FD92614"/>
    <w:rsid w:val="4FDD7643"/>
    <w:rsid w:val="4FE20F0D"/>
    <w:rsid w:val="4FE51552"/>
    <w:rsid w:val="4FFE0285"/>
    <w:rsid w:val="50210776"/>
    <w:rsid w:val="502B5150"/>
    <w:rsid w:val="502E780B"/>
    <w:rsid w:val="50395ABF"/>
    <w:rsid w:val="503E624C"/>
    <w:rsid w:val="50504C4B"/>
    <w:rsid w:val="506066BE"/>
    <w:rsid w:val="506B1BA5"/>
    <w:rsid w:val="50766769"/>
    <w:rsid w:val="507C7EF6"/>
    <w:rsid w:val="508F6DAA"/>
    <w:rsid w:val="50933415"/>
    <w:rsid w:val="509C6E7C"/>
    <w:rsid w:val="509D0A06"/>
    <w:rsid w:val="50B04260"/>
    <w:rsid w:val="50B06A05"/>
    <w:rsid w:val="50C84498"/>
    <w:rsid w:val="50CE26AB"/>
    <w:rsid w:val="50CE6726"/>
    <w:rsid w:val="50CF7142"/>
    <w:rsid w:val="50DA2FFD"/>
    <w:rsid w:val="50F04171"/>
    <w:rsid w:val="50FF2FEE"/>
    <w:rsid w:val="511C2571"/>
    <w:rsid w:val="511F39A3"/>
    <w:rsid w:val="513B38C9"/>
    <w:rsid w:val="514639B3"/>
    <w:rsid w:val="514A640F"/>
    <w:rsid w:val="5162104E"/>
    <w:rsid w:val="516C4567"/>
    <w:rsid w:val="516D72A6"/>
    <w:rsid w:val="518F536F"/>
    <w:rsid w:val="519D7494"/>
    <w:rsid w:val="51B51175"/>
    <w:rsid w:val="51C8643E"/>
    <w:rsid w:val="51D01631"/>
    <w:rsid w:val="51D326C1"/>
    <w:rsid w:val="51DD2A1F"/>
    <w:rsid w:val="51EE40C8"/>
    <w:rsid w:val="51F32363"/>
    <w:rsid w:val="51F37EF0"/>
    <w:rsid w:val="51F5370F"/>
    <w:rsid w:val="5201260D"/>
    <w:rsid w:val="520420FD"/>
    <w:rsid w:val="521654D6"/>
    <w:rsid w:val="52484C73"/>
    <w:rsid w:val="524D5BC9"/>
    <w:rsid w:val="525614D3"/>
    <w:rsid w:val="526F57C8"/>
    <w:rsid w:val="527B23BF"/>
    <w:rsid w:val="528172AA"/>
    <w:rsid w:val="528230F2"/>
    <w:rsid w:val="528D20F2"/>
    <w:rsid w:val="528E6D72"/>
    <w:rsid w:val="52A579F1"/>
    <w:rsid w:val="52D52C62"/>
    <w:rsid w:val="52ED5F81"/>
    <w:rsid w:val="52FD3BCA"/>
    <w:rsid w:val="53074F0A"/>
    <w:rsid w:val="531838E0"/>
    <w:rsid w:val="53301F3C"/>
    <w:rsid w:val="533802B0"/>
    <w:rsid w:val="53467ABA"/>
    <w:rsid w:val="535B1921"/>
    <w:rsid w:val="53724AC2"/>
    <w:rsid w:val="53795A57"/>
    <w:rsid w:val="53973F16"/>
    <w:rsid w:val="53A039CC"/>
    <w:rsid w:val="53A1505A"/>
    <w:rsid w:val="53AA5789"/>
    <w:rsid w:val="53B60FFA"/>
    <w:rsid w:val="53C2401E"/>
    <w:rsid w:val="53D068B5"/>
    <w:rsid w:val="53D17DBD"/>
    <w:rsid w:val="54063E08"/>
    <w:rsid w:val="54087393"/>
    <w:rsid w:val="540C2B5C"/>
    <w:rsid w:val="540D39E0"/>
    <w:rsid w:val="54190266"/>
    <w:rsid w:val="541F72D6"/>
    <w:rsid w:val="542460F2"/>
    <w:rsid w:val="542D7D2F"/>
    <w:rsid w:val="543437E8"/>
    <w:rsid w:val="543E0235"/>
    <w:rsid w:val="54481302"/>
    <w:rsid w:val="544B3614"/>
    <w:rsid w:val="544D4516"/>
    <w:rsid w:val="54520EFE"/>
    <w:rsid w:val="548D63DA"/>
    <w:rsid w:val="549E6353"/>
    <w:rsid w:val="549F0B68"/>
    <w:rsid w:val="54A55E90"/>
    <w:rsid w:val="54B12930"/>
    <w:rsid w:val="54BA1FFE"/>
    <w:rsid w:val="54BA7674"/>
    <w:rsid w:val="54BB274E"/>
    <w:rsid w:val="54CB2A60"/>
    <w:rsid w:val="54D93B3F"/>
    <w:rsid w:val="54E029AD"/>
    <w:rsid w:val="54ED6668"/>
    <w:rsid w:val="54F06381"/>
    <w:rsid w:val="54F73313"/>
    <w:rsid w:val="54F80955"/>
    <w:rsid w:val="54F92E6F"/>
    <w:rsid w:val="54FA5B8C"/>
    <w:rsid w:val="54FB77E7"/>
    <w:rsid w:val="550146D2"/>
    <w:rsid w:val="55027A43"/>
    <w:rsid w:val="5505573E"/>
    <w:rsid w:val="550732B2"/>
    <w:rsid w:val="550A4E46"/>
    <w:rsid w:val="55265234"/>
    <w:rsid w:val="552D7F8A"/>
    <w:rsid w:val="552E75A7"/>
    <w:rsid w:val="555170A7"/>
    <w:rsid w:val="555A5A9C"/>
    <w:rsid w:val="555F4016"/>
    <w:rsid w:val="55620488"/>
    <w:rsid w:val="557B0769"/>
    <w:rsid w:val="5587536D"/>
    <w:rsid w:val="5590201E"/>
    <w:rsid w:val="559B174B"/>
    <w:rsid w:val="55AC0244"/>
    <w:rsid w:val="55B11C07"/>
    <w:rsid w:val="55BF2F94"/>
    <w:rsid w:val="55CB6607"/>
    <w:rsid w:val="55CE0CF4"/>
    <w:rsid w:val="55D402A3"/>
    <w:rsid w:val="560C4F0A"/>
    <w:rsid w:val="56276E91"/>
    <w:rsid w:val="56390023"/>
    <w:rsid w:val="563A433F"/>
    <w:rsid w:val="563E5DBB"/>
    <w:rsid w:val="564554D2"/>
    <w:rsid w:val="565D1DDC"/>
    <w:rsid w:val="56933116"/>
    <w:rsid w:val="569D1EDD"/>
    <w:rsid w:val="56B22A9C"/>
    <w:rsid w:val="56BD29B0"/>
    <w:rsid w:val="56D339E5"/>
    <w:rsid w:val="56F42740"/>
    <w:rsid w:val="57024D24"/>
    <w:rsid w:val="570C248C"/>
    <w:rsid w:val="57121EE2"/>
    <w:rsid w:val="571C7522"/>
    <w:rsid w:val="57236B81"/>
    <w:rsid w:val="572A52CC"/>
    <w:rsid w:val="573E4B9B"/>
    <w:rsid w:val="57597814"/>
    <w:rsid w:val="576136D4"/>
    <w:rsid w:val="57666886"/>
    <w:rsid w:val="57700FEE"/>
    <w:rsid w:val="578E4E7B"/>
    <w:rsid w:val="579D6934"/>
    <w:rsid w:val="57B72A76"/>
    <w:rsid w:val="57BF40B1"/>
    <w:rsid w:val="57C3426C"/>
    <w:rsid w:val="57CE1F93"/>
    <w:rsid w:val="57EC1669"/>
    <w:rsid w:val="581B0D4D"/>
    <w:rsid w:val="585979A0"/>
    <w:rsid w:val="58607961"/>
    <w:rsid w:val="58637791"/>
    <w:rsid w:val="587F3C9E"/>
    <w:rsid w:val="588743D1"/>
    <w:rsid w:val="5887701A"/>
    <w:rsid w:val="588F4AF6"/>
    <w:rsid w:val="58970D67"/>
    <w:rsid w:val="589837F9"/>
    <w:rsid w:val="58A106A5"/>
    <w:rsid w:val="58A61818"/>
    <w:rsid w:val="58AC0E84"/>
    <w:rsid w:val="58C312ED"/>
    <w:rsid w:val="58C41DEB"/>
    <w:rsid w:val="58DA3ACF"/>
    <w:rsid w:val="58E2451F"/>
    <w:rsid w:val="58EE2CC5"/>
    <w:rsid w:val="590B2A11"/>
    <w:rsid w:val="59341E66"/>
    <w:rsid w:val="59392E6F"/>
    <w:rsid w:val="59406867"/>
    <w:rsid w:val="59424CBF"/>
    <w:rsid w:val="594B5645"/>
    <w:rsid w:val="59597D14"/>
    <w:rsid w:val="595B2B12"/>
    <w:rsid w:val="5968459F"/>
    <w:rsid w:val="597038EA"/>
    <w:rsid w:val="59741916"/>
    <w:rsid w:val="598F52F9"/>
    <w:rsid w:val="59965CDC"/>
    <w:rsid w:val="59C0439F"/>
    <w:rsid w:val="59C71612"/>
    <w:rsid w:val="59CE514F"/>
    <w:rsid w:val="59D56D20"/>
    <w:rsid w:val="59DB1F4D"/>
    <w:rsid w:val="59DC145C"/>
    <w:rsid w:val="59ED7B42"/>
    <w:rsid w:val="5A090808"/>
    <w:rsid w:val="5A0F3C88"/>
    <w:rsid w:val="5A131694"/>
    <w:rsid w:val="5A1B06E3"/>
    <w:rsid w:val="5A2A25DA"/>
    <w:rsid w:val="5A2D64FB"/>
    <w:rsid w:val="5A453744"/>
    <w:rsid w:val="5A4E119A"/>
    <w:rsid w:val="5A583767"/>
    <w:rsid w:val="5A782E5C"/>
    <w:rsid w:val="5A913F85"/>
    <w:rsid w:val="5AAD7CB9"/>
    <w:rsid w:val="5AB0321C"/>
    <w:rsid w:val="5ABE2233"/>
    <w:rsid w:val="5ADA027C"/>
    <w:rsid w:val="5ADE04FC"/>
    <w:rsid w:val="5AEB0C6F"/>
    <w:rsid w:val="5AEE74A6"/>
    <w:rsid w:val="5AF009E7"/>
    <w:rsid w:val="5AFA763F"/>
    <w:rsid w:val="5B004A3D"/>
    <w:rsid w:val="5B040A0C"/>
    <w:rsid w:val="5B044931"/>
    <w:rsid w:val="5B044F1C"/>
    <w:rsid w:val="5B0A0784"/>
    <w:rsid w:val="5B0D6FD7"/>
    <w:rsid w:val="5B1C2265"/>
    <w:rsid w:val="5B207EB6"/>
    <w:rsid w:val="5B490C9B"/>
    <w:rsid w:val="5B5826CE"/>
    <w:rsid w:val="5B5E0630"/>
    <w:rsid w:val="5B6967D6"/>
    <w:rsid w:val="5B7958C1"/>
    <w:rsid w:val="5B7E5101"/>
    <w:rsid w:val="5B922BC6"/>
    <w:rsid w:val="5BA9721D"/>
    <w:rsid w:val="5BAE2A57"/>
    <w:rsid w:val="5BBC052E"/>
    <w:rsid w:val="5BBC108A"/>
    <w:rsid w:val="5BC10B74"/>
    <w:rsid w:val="5BC64B2D"/>
    <w:rsid w:val="5BDF5D95"/>
    <w:rsid w:val="5BE67103"/>
    <w:rsid w:val="5BF605B4"/>
    <w:rsid w:val="5BFB38A8"/>
    <w:rsid w:val="5BFB6F02"/>
    <w:rsid w:val="5BFE7528"/>
    <w:rsid w:val="5C034012"/>
    <w:rsid w:val="5C043451"/>
    <w:rsid w:val="5C1F10A6"/>
    <w:rsid w:val="5C235D9D"/>
    <w:rsid w:val="5C2D30B3"/>
    <w:rsid w:val="5C41449D"/>
    <w:rsid w:val="5C477D7A"/>
    <w:rsid w:val="5C562EC5"/>
    <w:rsid w:val="5C58551F"/>
    <w:rsid w:val="5C89723A"/>
    <w:rsid w:val="5C8A2D91"/>
    <w:rsid w:val="5CAB0108"/>
    <w:rsid w:val="5CAB38A1"/>
    <w:rsid w:val="5CD01559"/>
    <w:rsid w:val="5CE92D94"/>
    <w:rsid w:val="5CED4CED"/>
    <w:rsid w:val="5CFB6437"/>
    <w:rsid w:val="5CFD53E3"/>
    <w:rsid w:val="5D1347F7"/>
    <w:rsid w:val="5D182EB3"/>
    <w:rsid w:val="5D30277E"/>
    <w:rsid w:val="5D41204F"/>
    <w:rsid w:val="5D5B15A2"/>
    <w:rsid w:val="5D804D2D"/>
    <w:rsid w:val="5D8059B0"/>
    <w:rsid w:val="5D8468FE"/>
    <w:rsid w:val="5D964F2C"/>
    <w:rsid w:val="5DBB0499"/>
    <w:rsid w:val="5DD170CA"/>
    <w:rsid w:val="5DDA7609"/>
    <w:rsid w:val="5DE72676"/>
    <w:rsid w:val="5DF64FF0"/>
    <w:rsid w:val="5E026481"/>
    <w:rsid w:val="5E04453C"/>
    <w:rsid w:val="5E066646"/>
    <w:rsid w:val="5E0F4505"/>
    <w:rsid w:val="5E155AE6"/>
    <w:rsid w:val="5E2467F1"/>
    <w:rsid w:val="5E2B3F2A"/>
    <w:rsid w:val="5E311D48"/>
    <w:rsid w:val="5E3C3A9E"/>
    <w:rsid w:val="5E50155E"/>
    <w:rsid w:val="5E6222F7"/>
    <w:rsid w:val="5E677F8E"/>
    <w:rsid w:val="5E7303EE"/>
    <w:rsid w:val="5EBD3CCB"/>
    <w:rsid w:val="5EC575AF"/>
    <w:rsid w:val="5ECA73AA"/>
    <w:rsid w:val="5EE85289"/>
    <w:rsid w:val="5EEE6124"/>
    <w:rsid w:val="5F1A2B43"/>
    <w:rsid w:val="5F4050DC"/>
    <w:rsid w:val="5F490D07"/>
    <w:rsid w:val="5F521464"/>
    <w:rsid w:val="5F6366B5"/>
    <w:rsid w:val="5F7206A6"/>
    <w:rsid w:val="5F73151B"/>
    <w:rsid w:val="5F8634A3"/>
    <w:rsid w:val="5F8D35A6"/>
    <w:rsid w:val="5F97635E"/>
    <w:rsid w:val="5F996E7C"/>
    <w:rsid w:val="5FB837BB"/>
    <w:rsid w:val="5FE22E15"/>
    <w:rsid w:val="5FE43474"/>
    <w:rsid w:val="5FFE74ED"/>
    <w:rsid w:val="600C310B"/>
    <w:rsid w:val="60143FB4"/>
    <w:rsid w:val="603367C4"/>
    <w:rsid w:val="603C5116"/>
    <w:rsid w:val="603E4864"/>
    <w:rsid w:val="60587223"/>
    <w:rsid w:val="6071095D"/>
    <w:rsid w:val="607C3B9D"/>
    <w:rsid w:val="60887432"/>
    <w:rsid w:val="608A688B"/>
    <w:rsid w:val="608C110E"/>
    <w:rsid w:val="6098238E"/>
    <w:rsid w:val="60A02D04"/>
    <w:rsid w:val="60A5159D"/>
    <w:rsid w:val="60B00C6D"/>
    <w:rsid w:val="60B070F9"/>
    <w:rsid w:val="60B25613"/>
    <w:rsid w:val="60B84925"/>
    <w:rsid w:val="60CC405A"/>
    <w:rsid w:val="60CF40BA"/>
    <w:rsid w:val="61374220"/>
    <w:rsid w:val="613A041A"/>
    <w:rsid w:val="61422E18"/>
    <w:rsid w:val="614A581A"/>
    <w:rsid w:val="615564D1"/>
    <w:rsid w:val="616C4617"/>
    <w:rsid w:val="61AC5B96"/>
    <w:rsid w:val="61AD3C17"/>
    <w:rsid w:val="61BF1344"/>
    <w:rsid w:val="61C86CA3"/>
    <w:rsid w:val="61E215D8"/>
    <w:rsid w:val="61E47AE5"/>
    <w:rsid w:val="61E85FC3"/>
    <w:rsid w:val="61EF2918"/>
    <w:rsid w:val="61F0076C"/>
    <w:rsid w:val="61FF6B08"/>
    <w:rsid w:val="62097E11"/>
    <w:rsid w:val="620B6B90"/>
    <w:rsid w:val="620D2908"/>
    <w:rsid w:val="621041A6"/>
    <w:rsid w:val="621B3775"/>
    <w:rsid w:val="622916B3"/>
    <w:rsid w:val="622D7BDE"/>
    <w:rsid w:val="62364782"/>
    <w:rsid w:val="62500E2D"/>
    <w:rsid w:val="62587DB9"/>
    <w:rsid w:val="625C4DA5"/>
    <w:rsid w:val="626A7554"/>
    <w:rsid w:val="627C760C"/>
    <w:rsid w:val="6283706E"/>
    <w:rsid w:val="628D7BAE"/>
    <w:rsid w:val="62913539"/>
    <w:rsid w:val="62AD27FD"/>
    <w:rsid w:val="62B540FC"/>
    <w:rsid w:val="62D653F0"/>
    <w:rsid w:val="63135815"/>
    <w:rsid w:val="632773E8"/>
    <w:rsid w:val="633A19C4"/>
    <w:rsid w:val="63471E49"/>
    <w:rsid w:val="63676FE6"/>
    <w:rsid w:val="637F7835"/>
    <w:rsid w:val="6394356A"/>
    <w:rsid w:val="639C3AC3"/>
    <w:rsid w:val="639E4977"/>
    <w:rsid w:val="63A231B5"/>
    <w:rsid w:val="63B9251B"/>
    <w:rsid w:val="63C25103"/>
    <w:rsid w:val="63C61B2C"/>
    <w:rsid w:val="63C93F37"/>
    <w:rsid w:val="63D40BE9"/>
    <w:rsid w:val="63DB1D76"/>
    <w:rsid w:val="64094ED5"/>
    <w:rsid w:val="64102431"/>
    <w:rsid w:val="641146E4"/>
    <w:rsid w:val="6412354C"/>
    <w:rsid w:val="64257A8F"/>
    <w:rsid w:val="642B176B"/>
    <w:rsid w:val="643D3646"/>
    <w:rsid w:val="64673B6D"/>
    <w:rsid w:val="6482343E"/>
    <w:rsid w:val="648B53D8"/>
    <w:rsid w:val="64A443C3"/>
    <w:rsid w:val="64A5243A"/>
    <w:rsid w:val="64B140B0"/>
    <w:rsid w:val="64B85AD9"/>
    <w:rsid w:val="64D25417"/>
    <w:rsid w:val="64E42046"/>
    <w:rsid w:val="64EC07C4"/>
    <w:rsid w:val="64F531DE"/>
    <w:rsid w:val="650217F0"/>
    <w:rsid w:val="65051FBC"/>
    <w:rsid w:val="65140852"/>
    <w:rsid w:val="65373578"/>
    <w:rsid w:val="653C154E"/>
    <w:rsid w:val="654E5711"/>
    <w:rsid w:val="65530F79"/>
    <w:rsid w:val="655A5155"/>
    <w:rsid w:val="655C6080"/>
    <w:rsid w:val="655E46E0"/>
    <w:rsid w:val="65652A5B"/>
    <w:rsid w:val="65705687"/>
    <w:rsid w:val="657A4758"/>
    <w:rsid w:val="658A11AF"/>
    <w:rsid w:val="659F3BF9"/>
    <w:rsid w:val="65A47839"/>
    <w:rsid w:val="65B10CEB"/>
    <w:rsid w:val="65ED1C09"/>
    <w:rsid w:val="65FD3A5C"/>
    <w:rsid w:val="660E7C8A"/>
    <w:rsid w:val="66133C96"/>
    <w:rsid w:val="662516AC"/>
    <w:rsid w:val="662929A8"/>
    <w:rsid w:val="66442670"/>
    <w:rsid w:val="665E7BD6"/>
    <w:rsid w:val="666D606B"/>
    <w:rsid w:val="667B55CF"/>
    <w:rsid w:val="668C2043"/>
    <w:rsid w:val="669F50E5"/>
    <w:rsid w:val="66B321BB"/>
    <w:rsid w:val="66B52E9B"/>
    <w:rsid w:val="66CC6887"/>
    <w:rsid w:val="66DB1226"/>
    <w:rsid w:val="66DB6B7C"/>
    <w:rsid w:val="66FC4601"/>
    <w:rsid w:val="67013260"/>
    <w:rsid w:val="6708103C"/>
    <w:rsid w:val="671470A3"/>
    <w:rsid w:val="671E68A5"/>
    <w:rsid w:val="671F124A"/>
    <w:rsid w:val="672B0DBA"/>
    <w:rsid w:val="6740552D"/>
    <w:rsid w:val="67430C0A"/>
    <w:rsid w:val="675C61A3"/>
    <w:rsid w:val="677A33C6"/>
    <w:rsid w:val="6788627E"/>
    <w:rsid w:val="67915D89"/>
    <w:rsid w:val="67B5607D"/>
    <w:rsid w:val="67CD6111"/>
    <w:rsid w:val="67D75C7D"/>
    <w:rsid w:val="67E67F22"/>
    <w:rsid w:val="67F26828"/>
    <w:rsid w:val="67FC1F7D"/>
    <w:rsid w:val="68036975"/>
    <w:rsid w:val="68160142"/>
    <w:rsid w:val="681A5224"/>
    <w:rsid w:val="681B0417"/>
    <w:rsid w:val="681F6961"/>
    <w:rsid w:val="682765F0"/>
    <w:rsid w:val="682C160E"/>
    <w:rsid w:val="684670FA"/>
    <w:rsid w:val="6847118A"/>
    <w:rsid w:val="685F5FF7"/>
    <w:rsid w:val="68607C52"/>
    <w:rsid w:val="68610A2F"/>
    <w:rsid w:val="68754D5D"/>
    <w:rsid w:val="68805514"/>
    <w:rsid w:val="68AB7B0E"/>
    <w:rsid w:val="68AF64C7"/>
    <w:rsid w:val="68C37D72"/>
    <w:rsid w:val="68D26659"/>
    <w:rsid w:val="68D372AF"/>
    <w:rsid w:val="68D577E6"/>
    <w:rsid w:val="68DB5359"/>
    <w:rsid w:val="68DC77DA"/>
    <w:rsid w:val="690131D4"/>
    <w:rsid w:val="69015836"/>
    <w:rsid w:val="690B3121"/>
    <w:rsid w:val="692D34BE"/>
    <w:rsid w:val="692F027D"/>
    <w:rsid w:val="69316E2F"/>
    <w:rsid w:val="693926BB"/>
    <w:rsid w:val="694E2071"/>
    <w:rsid w:val="694E3301"/>
    <w:rsid w:val="6955116B"/>
    <w:rsid w:val="695F2A54"/>
    <w:rsid w:val="69766163"/>
    <w:rsid w:val="697A3B33"/>
    <w:rsid w:val="697C077A"/>
    <w:rsid w:val="69856F41"/>
    <w:rsid w:val="699D3163"/>
    <w:rsid w:val="699D7D21"/>
    <w:rsid w:val="69B7170E"/>
    <w:rsid w:val="69C90C5E"/>
    <w:rsid w:val="69CA3C4D"/>
    <w:rsid w:val="69CD62F0"/>
    <w:rsid w:val="69D44760"/>
    <w:rsid w:val="69DC34E0"/>
    <w:rsid w:val="69E75C44"/>
    <w:rsid w:val="69F16ABE"/>
    <w:rsid w:val="6A052B74"/>
    <w:rsid w:val="6A0960AB"/>
    <w:rsid w:val="6A18291B"/>
    <w:rsid w:val="6A1D140C"/>
    <w:rsid w:val="6A3E3335"/>
    <w:rsid w:val="6A520EC7"/>
    <w:rsid w:val="6A694163"/>
    <w:rsid w:val="6A7827E8"/>
    <w:rsid w:val="6A8120E5"/>
    <w:rsid w:val="6A8A2CD2"/>
    <w:rsid w:val="6A8F5B83"/>
    <w:rsid w:val="6A96655E"/>
    <w:rsid w:val="6AA87855"/>
    <w:rsid w:val="6AB027C3"/>
    <w:rsid w:val="6AC779EC"/>
    <w:rsid w:val="6AE117AB"/>
    <w:rsid w:val="6AF87E20"/>
    <w:rsid w:val="6AF95FD9"/>
    <w:rsid w:val="6B1C3002"/>
    <w:rsid w:val="6B322639"/>
    <w:rsid w:val="6B6D649E"/>
    <w:rsid w:val="6B713F07"/>
    <w:rsid w:val="6B80239C"/>
    <w:rsid w:val="6B9B28D9"/>
    <w:rsid w:val="6BAA1565"/>
    <w:rsid w:val="6BB16B0F"/>
    <w:rsid w:val="6BD74667"/>
    <w:rsid w:val="6BD95370"/>
    <w:rsid w:val="6BDD29C8"/>
    <w:rsid w:val="6BE91C61"/>
    <w:rsid w:val="6BEF2F77"/>
    <w:rsid w:val="6BF340A7"/>
    <w:rsid w:val="6BFF21C3"/>
    <w:rsid w:val="6C0B610A"/>
    <w:rsid w:val="6C0C0713"/>
    <w:rsid w:val="6C2B047D"/>
    <w:rsid w:val="6C2E62F3"/>
    <w:rsid w:val="6C3071FD"/>
    <w:rsid w:val="6C636C38"/>
    <w:rsid w:val="6C6D7750"/>
    <w:rsid w:val="6C7F39CC"/>
    <w:rsid w:val="6C8368E0"/>
    <w:rsid w:val="6C9231F4"/>
    <w:rsid w:val="6C950A52"/>
    <w:rsid w:val="6CD5760F"/>
    <w:rsid w:val="6CE84139"/>
    <w:rsid w:val="6CF72EE9"/>
    <w:rsid w:val="6CF94337"/>
    <w:rsid w:val="6D12171A"/>
    <w:rsid w:val="6D140FEE"/>
    <w:rsid w:val="6D2A55D5"/>
    <w:rsid w:val="6D36256C"/>
    <w:rsid w:val="6D395051"/>
    <w:rsid w:val="6D5D610D"/>
    <w:rsid w:val="6D5E670D"/>
    <w:rsid w:val="6D6830B0"/>
    <w:rsid w:val="6D865300"/>
    <w:rsid w:val="6D916AE4"/>
    <w:rsid w:val="6DAA1953"/>
    <w:rsid w:val="6DB34098"/>
    <w:rsid w:val="6DB545B6"/>
    <w:rsid w:val="6DC40E15"/>
    <w:rsid w:val="6DC45C3C"/>
    <w:rsid w:val="6DCE2698"/>
    <w:rsid w:val="6DD71E8F"/>
    <w:rsid w:val="6DDC2A10"/>
    <w:rsid w:val="6DE02FB4"/>
    <w:rsid w:val="6DE4177C"/>
    <w:rsid w:val="6E006686"/>
    <w:rsid w:val="6E0153FA"/>
    <w:rsid w:val="6E015C61"/>
    <w:rsid w:val="6E0A5EF3"/>
    <w:rsid w:val="6E0E6EBC"/>
    <w:rsid w:val="6E433B5F"/>
    <w:rsid w:val="6E4D7E28"/>
    <w:rsid w:val="6E514CED"/>
    <w:rsid w:val="6E677844"/>
    <w:rsid w:val="6E6C0590"/>
    <w:rsid w:val="6E7A58C9"/>
    <w:rsid w:val="6E8B196F"/>
    <w:rsid w:val="6E8C13F6"/>
    <w:rsid w:val="6EAC69F0"/>
    <w:rsid w:val="6EB563D5"/>
    <w:rsid w:val="6EBB7B97"/>
    <w:rsid w:val="6EC00957"/>
    <w:rsid w:val="6ED651FE"/>
    <w:rsid w:val="6ED92677"/>
    <w:rsid w:val="6EDB462A"/>
    <w:rsid w:val="6EE11ECB"/>
    <w:rsid w:val="6EE80984"/>
    <w:rsid w:val="6F051659"/>
    <w:rsid w:val="6F1352D6"/>
    <w:rsid w:val="6F180D0E"/>
    <w:rsid w:val="6F1F3DC5"/>
    <w:rsid w:val="6F1F6294"/>
    <w:rsid w:val="6F225983"/>
    <w:rsid w:val="6F321C00"/>
    <w:rsid w:val="6F3C2A7E"/>
    <w:rsid w:val="6F3D7F91"/>
    <w:rsid w:val="6F41277F"/>
    <w:rsid w:val="6F5C479A"/>
    <w:rsid w:val="6F5C4ECE"/>
    <w:rsid w:val="6F62323E"/>
    <w:rsid w:val="6F651FD5"/>
    <w:rsid w:val="6F8624AA"/>
    <w:rsid w:val="6FB757E7"/>
    <w:rsid w:val="6FB8056D"/>
    <w:rsid w:val="6FBF33C8"/>
    <w:rsid w:val="6FC83B57"/>
    <w:rsid w:val="6FCA073A"/>
    <w:rsid w:val="6FCD7DD6"/>
    <w:rsid w:val="6FE27182"/>
    <w:rsid w:val="6FFC5590"/>
    <w:rsid w:val="70125292"/>
    <w:rsid w:val="70131865"/>
    <w:rsid w:val="701C2440"/>
    <w:rsid w:val="701F4285"/>
    <w:rsid w:val="70302102"/>
    <w:rsid w:val="703036E8"/>
    <w:rsid w:val="7045553E"/>
    <w:rsid w:val="704716DB"/>
    <w:rsid w:val="706D1DD0"/>
    <w:rsid w:val="70714DB4"/>
    <w:rsid w:val="707B1EF8"/>
    <w:rsid w:val="70841959"/>
    <w:rsid w:val="70856B87"/>
    <w:rsid w:val="709E59A6"/>
    <w:rsid w:val="70A07585"/>
    <w:rsid w:val="70A1528F"/>
    <w:rsid w:val="70A22DB5"/>
    <w:rsid w:val="70B279D1"/>
    <w:rsid w:val="70B84386"/>
    <w:rsid w:val="70CA03E7"/>
    <w:rsid w:val="70D527EE"/>
    <w:rsid w:val="70DE2499"/>
    <w:rsid w:val="70F901A1"/>
    <w:rsid w:val="70FD56AA"/>
    <w:rsid w:val="71067406"/>
    <w:rsid w:val="71136971"/>
    <w:rsid w:val="711A7673"/>
    <w:rsid w:val="712348A1"/>
    <w:rsid w:val="712C58BD"/>
    <w:rsid w:val="713A4D9B"/>
    <w:rsid w:val="713C1280"/>
    <w:rsid w:val="715B5300"/>
    <w:rsid w:val="71781D99"/>
    <w:rsid w:val="71807F66"/>
    <w:rsid w:val="719721EE"/>
    <w:rsid w:val="71A374FC"/>
    <w:rsid w:val="71A86077"/>
    <w:rsid w:val="71AB6039"/>
    <w:rsid w:val="71BE59CD"/>
    <w:rsid w:val="71D27F8A"/>
    <w:rsid w:val="71E46C53"/>
    <w:rsid w:val="71E70508"/>
    <w:rsid w:val="720703BE"/>
    <w:rsid w:val="720F5CED"/>
    <w:rsid w:val="72181581"/>
    <w:rsid w:val="721E46BD"/>
    <w:rsid w:val="7227348C"/>
    <w:rsid w:val="72344A5B"/>
    <w:rsid w:val="723C01A7"/>
    <w:rsid w:val="72553024"/>
    <w:rsid w:val="72590278"/>
    <w:rsid w:val="726102FF"/>
    <w:rsid w:val="726F3E79"/>
    <w:rsid w:val="727A6F20"/>
    <w:rsid w:val="727F5C20"/>
    <w:rsid w:val="728E1467"/>
    <w:rsid w:val="72912ED8"/>
    <w:rsid w:val="72961ED8"/>
    <w:rsid w:val="729D1BA8"/>
    <w:rsid w:val="72A52880"/>
    <w:rsid w:val="72A94A72"/>
    <w:rsid w:val="72D56CAB"/>
    <w:rsid w:val="72D77BAE"/>
    <w:rsid w:val="72DC4E02"/>
    <w:rsid w:val="72DE1014"/>
    <w:rsid w:val="72ED647C"/>
    <w:rsid w:val="72F12EAF"/>
    <w:rsid w:val="72FE0D65"/>
    <w:rsid w:val="73122968"/>
    <w:rsid w:val="731F5D5E"/>
    <w:rsid w:val="73234DDA"/>
    <w:rsid w:val="73336265"/>
    <w:rsid w:val="733F48EB"/>
    <w:rsid w:val="73613DC2"/>
    <w:rsid w:val="73700F48"/>
    <w:rsid w:val="737A60AA"/>
    <w:rsid w:val="73842476"/>
    <w:rsid w:val="73892CCE"/>
    <w:rsid w:val="738A025C"/>
    <w:rsid w:val="7395275D"/>
    <w:rsid w:val="739A1177"/>
    <w:rsid w:val="73C51AD5"/>
    <w:rsid w:val="73D16302"/>
    <w:rsid w:val="73E165EA"/>
    <w:rsid w:val="73F93B71"/>
    <w:rsid w:val="73FB336F"/>
    <w:rsid w:val="73FC65B7"/>
    <w:rsid w:val="74002805"/>
    <w:rsid w:val="740162E0"/>
    <w:rsid w:val="7410378C"/>
    <w:rsid w:val="7412174D"/>
    <w:rsid w:val="741E793C"/>
    <w:rsid w:val="7423746D"/>
    <w:rsid w:val="74272537"/>
    <w:rsid w:val="742D1BD6"/>
    <w:rsid w:val="744230C6"/>
    <w:rsid w:val="74424693"/>
    <w:rsid w:val="744C5CAB"/>
    <w:rsid w:val="745D13E1"/>
    <w:rsid w:val="745E3944"/>
    <w:rsid w:val="746E36E3"/>
    <w:rsid w:val="748B1920"/>
    <w:rsid w:val="74934EEE"/>
    <w:rsid w:val="749A6A55"/>
    <w:rsid w:val="749C7803"/>
    <w:rsid w:val="74A6700D"/>
    <w:rsid w:val="74C07270"/>
    <w:rsid w:val="74C66A84"/>
    <w:rsid w:val="74CC40DC"/>
    <w:rsid w:val="74D923D7"/>
    <w:rsid w:val="74FB2A94"/>
    <w:rsid w:val="74FF07D6"/>
    <w:rsid w:val="75287D2D"/>
    <w:rsid w:val="753120BD"/>
    <w:rsid w:val="754B0EB2"/>
    <w:rsid w:val="75817E26"/>
    <w:rsid w:val="758328FC"/>
    <w:rsid w:val="75856CF0"/>
    <w:rsid w:val="75916426"/>
    <w:rsid w:val="75954F0D"/>
    <w:rsid w:val="75BF7F65"/>
    <w:rsid w:val="75C707EB"/>
    <w:rsid w:val="75C91D28"/>
    <w:rsid w:val="75CD2B28"/>
    <w:rsid w:val="75DC21E0"/>
    <w:rsid w:val="75E832BF"/>
    <w:rsid w:val="75F44DBA"/>
    <w:rsid w:val="760B4F58"/>
    <w:rsid w:val="760E646D"/>
    <w:rsid w:val="7614205F"/>
    <w:rsid w:val="761A73D1"/>
    <w:rsid w:val="7635099D"/>
    <w:rsid w:val="764E232E"/>
    <w:rsid w:val="766308F1"/>
    <w:rsid w:val="76781DCD"/>
    <w:rsid w:val="76893931"/>
    <w:rsid w:val="768D3D86"/>
    <w:rsid w:val="768F16E6"/>
    <w:rsid w:val="7692457D"/>
    <w:rsid w:val="76B311B6"/>
    <w:rsid w:val="76B836DA"/>
    <w:rsid w:val="76CA2E1E"/>
    <w:rsid w:val="76D104BE"/>
    <w:rsid w:val="76D94D41"/>
    <w:rsid w:val="76DB3220"/>
    <w:rsid w:val="76DD526C"/>
    <w:rsid w:val="76E01DD3"/>
    <w:rsid w:val="76E21F95"/>
    <w:rsid w:val="7701101A"/>
    <w:rsid w:val="771547AA"/>
    <w:rsid w:val="771B11CB"/>
    <w:rsid w:val="771D3195"/>
    <w:rsid w:val="77440722"/>
    <w:rsid w:val="77503B5B"/>
    <w:rsid w:val="77762421"/>
    <w:rsid w:val="77A57E99"/>
    <w:rsid w:val="77B56B1F"/>
    <w:rsid w:val="77C17FC5"/>
    <w:rsid w:val="77C70FE5"/>
    <w:rsid w:val="77CA3D56"/>
    <w:rsid w:val="77CC683C"/>
    <w:rsid w:val="77E617D9"/>
    <w:rsid w:val="77F51A1C"/>
    <w:rsid w:val="77F80F29"/>
    <w:rsid w:val="77FC541A"/>
    <w:rsid w:val="78034403"/>
    <w:rsid w:val="780F09F4"/>
    <w:rsid w:val="781F223A"/>
    <w:rsid w:val="782515A2"/>
    <w:rsid w:val="782F3920"/>
    <w:rsid w:val="7863107C"/>
    <w:rsid w:val="78702E66"/>
    <w:rsid w:val="78706794"/>
    <w:rsid w:val="78717294"/>
    <w:rsid w:val="78796E72"/>
    <w:rsid w:val="788F24A3"/>
    <w:rsid w:val="789648AD"/>
    <w:rsid w:val="789E20B4"/>
    <w:rsid w:val="78A30967"/>
    <w:rsid w:val="78A37FD4"/>
    <w:rsid w:val="78A6274E"/>
    <w:rsid w:val="78A90480"/>
    <w:rsid w:val="78B13B95"/>
    <w:rsid w:val="78B56A54"/>
    <w:rsid w:val="78BE0FF9"/>
    <w:rsid w:val="78DB3308"/>
    <w:rsid w:val="78E24696"/>
    <w:rsid w:val="78E75809"/>
    <w:rsid w:val="78E94955"/>
    <w:rsid w:val="78EC0DD5"/>
    <w:rsid w:val="78EC7438"/>
    <w:rsid w:val="78F04D73"/>
    <w:rsid w:val="78F12113"/>
    <w:rsid w:val="78F43388"/>
    <w:rsid w:val="78FF4B03"/>
    <w:rsid w:val="79095AD6"/>
    <w:rsid w:val="79184E76"/>
    <w:rsid w:val="791D122B"/>
    <w:rsid w:val="792C01EA"/>
    <w:rsid w:val="792F33DE"/>
    <w:rsid w:val="79367DD8"/>
    <w:rsid w:val="79556A7C"/>
    <w:rsid w:val="79690685"/>
    <w:rsid w:val="798D175A"/>
    <w:rsid w:val="7995421D"/>
    <w:rsid w:val="799B2481"/>
    <w:rsid w:val="79A571B4"/>
    <w:rsid w:val="79AE5663"/>
    <w:rsid w:val="79C422C5"/>
    <w:rsid w:val="79DF70EE"/>
    <w:rsid w:val="7A126621"/>
    <w:rsid w:val="7A23658E"/>
    <w:rsid w:val="7A364017"/>
    <w:rsid w:val="7A430DB1"/>
    <w:rsid w:val="7A475D0E"/>
    <w:rsid w:val="7A4D7EA7"/>
    <w:rsid w:val="7A50630F"/>
    <w:rsid w:val="7A6F5AB6"/>
    <w:rsid w:val="7A8265E1"/>
    <w:rsid w:val="7A903C7E"/>
    <w:rsid w:val="7A967146"/>
    <w:rsid w:val="7A98070E"/>
    <w:rsid w:val="7A9F001C"/>
    <w:rsid w:val="7AA66C91"/>
    <w:rsid w:val="7AB4229F"/>
    <w:rsid w:val="7ABD1848"/>
    <w:rsid w:val="7AC24D97"/>
    <w:rsid w:val="7AC45C0F"/>
    <w:rsid w:val="7ADC2056"/>
    <w:rsid w:val="7B033B94"/>
    <w:rsid w:val="7B05795F"/>
    <w:rsid w:val="7B1D547E"/>
    <w:rsid w:val="7B2C74D4"/>
    <w:rsid w:val="7B30793B"/>
    <w:rsid w:val="7B460E30"/>
    <w:rsid w:val="7B4743BA"/>
    <w:rsid w:val="7B542790"/>
    <w:rsid w:val="7B6503BE"/>
    <w:rsid w:val="7B677A47"/>
    <w:rsid w:val="7B677C32"/>
    <w:rsid w:val="7B686D42"/>
    <w:rsid w:val="7B841746"/>
    <w:rsid w:val="7BB0282A"/>
    <w:rsid w:val="7BBD594C"/>
    <w:rsid w:val="7BC45576"/>
    <w:rsid w:val="7BC94709"/>
    <w:rsid w:val="7BD54A1B"/>
    <w:rsid w:val="7BE405C1"/>
    <w:rsid w:val="7BF27B05"/>
    <w:rsid w:val="7BF3530E"/>
    <w:rsid w:val="7BF65004"/>
    <w:rsid w:val="7C1B32FE"/>
    <w:rsid w:val="7C202466"/>
    <w:rsid w:val="7C236C55"/>
    <w:rsid w:val="7C257735"/>
    <w:rsid w:val="7C2A7D38"/>
    <w:rsid w:val="7C38319F"/>
    <w:rsid w:val="7C3A0ECC"/>
    <w:rsid w:val="7C4E4E05"/>
    <w:rsid w:val="7C596A1E"/>
    <w:rsid w:val="7C684EB3"/>
    <w:rsid w:val="7C6A478F"/>
    <w:rsid w:val="7C6C5AC7"/>
    <w:rsid w:val="7C74744D"/>
    <w:rsid w:val="7C774E0B"/>
    <w:rsid w:val="7C8449A1"/>
    <w:rsid w:val="7C8D4118"/>
    <w:rsid w:val="7C8F4766"/>
    <w:rsid w:val="7C951866"/>
    <w:rsid w:val="7CA77ABC"/>
    <w:rsid w:val="7CC558AB"/>
    <w:rsid w:val="7CC6544B"/>
    <w:rsid w:val="7CD705DD"/>
    <w:rsid w:val="7CF3683B"/>
    <w:rsid w:val="7CF60710"/>
    <w:rsid w:val="7D0239FF"/>
    <w:rsid w:val="7D3272C9"/>
    <w:rsid w:val="7D414152"/>
    <w:rsid w:val="7D5E40CD"/>
    <w:rsid w:val="7D7B5746"/>
    <w:rsid w:val="7D823D52"/>
    <w:rsid w:val="7D864B31"/>
    <w:rsid w:val="7D8E0949"/>
    <w:rsid w:val="7D981060"/>
    <w:rsid w:val="7DA60CEF"/>
    <w:rsid w:val="7DCD56F2"/>
    <w:rsid w:val="7DDD367E"/>
    <w:rsid w:val="7E0A5DEF"/>
    <w:rsid w:val="7E4C610E"/>
    <w:rsid w:val="7E4D7C1D"/>
    <w:rsid w:val="7E5876C4"/>
    <w:rsid w:val="7E703060"/>
    <w:rsid w:val="7E7827B2"/>
    <w:rsid w:val="7E7A711F"/>
    <w:rsid w:val="7EAF6B7F"/>
    <w:rsid w:val="7ECD1147"/>
    <w:rsid w:val="7ED90DA4"/>
    <w:rsid w:val="7EED19DC"/>
    <w:rsid w:val="7F001CE7"/>
    <w:rsid w:val="7F065136"/>
    <w:rsid w:val="7F0709B3"/>
    <w:rsid w:val="7F284D0C"/>
    <w:rsid w:val="7F2C53B3"/>
    <w:rsid w:val="7F3F666C"/>
    <w:rsid w:val="7F597D3E"/>
    <w:rsid w:val="7F5F3392"/>
    <w:rsid w:val="7F63601A"/>
    <w:rsid w:val="7FA366A6"/>
    <w:rsid w:val="7FA856B7"/>
    <w:rsid w:val="7FC52436"/>
    <w:rsid w:val="7FD058CF"/>
    <w:rsid w:val="7FD159C3"/>
    <w:rsid w:val="7FE47E50"/>
    <w:rsid w:val="7FE5504C"/>
    <w:rsid w:val="7FE67798"/>
    <w:rsid w:val="7FF10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0"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iPriority="99"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iPriority="99"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6"/>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5"/>
    <w:next w:val="1"/>
    <w:qFormat/>
    <w:locked/>
    <w:uiPriority w:val="0"/>
    <w:pPr>
      <w:keepNext/>
      <w:keepLines/>
      <w:tabs>
        <w:tab w:val="left" w:pos="360"/>
        <w:tab w:val="left" w:pos="432"/>
      </w:tabs>
      <w:spacing w:line="360" w:lineRule="auto"/>
      <w:outlineLvl w:val="1"/>
    </w:pPr>
    <w:rPr>
      <w:rFonts w:ascii="Arial" w:hAnsi="Arial"/>
      <w:szCs w:val="32"/>
    </w:rPr>
  </w:style>
  <w:style w:type="paragraph" w:styleId="2">
    <w:name w:val="heading 3"/>
    <w:basedOn w:val="1"/>
    <w:next w:val="1"/>
    <w:qFormat/>
    <w:locked/>
    <w:uiPriority w:val="0"/>
    <w:pPr>
      <w:keepNext/>
      <w:keepLines/>
      <w:spacing w:before="20" w:after="20"/>
      <w:jc w:val="left"/>
      <w:outlineLvl w:val="2"/>
    </w:pPr>
    <w:rPr>
      <w:rFonts w:ascii="Calibri" w:hAnsi="Calibri"/>
    </w:rPr>
  </w:style>
  <w:style w:type="paragraph" w:styleId="8">
    <w:name w:val="heading 4"/>
    <w:basedOn w:val="1"/>
    <w:next w:val="1"/>
    <w:qFormat/>
    <w:locked/>
    <w:uiPriority w:val="0"/>
    <w:pPr>
      <w:keepNext/>
      <w:keepLines/>
      <w:spacing w:line="360" w:lineRule="auto"/>
      <w:outlineLvl w:val="3"/>
    </w:pPr>
    <w:rPr>
      <w:b/>
      <w:bCs/>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5">
    <w:name w:val="一级条标题"/>
    <w:basedOn w:val="6"/>
    <w:next w:val="1"/>
    <w:qFormat/>
    <w:uiPriority w:val="0"/>
    <w:pPr>
      <w:keepNext w:val="0"/>
      <w:keepLines w:val="0"/>
      <w:pageBreakBefore w:val="0"/>
      <w:widowControl/>
      <w:numPr>
        <w:ilvl w:val="0"/>
        <w:numId w:val="0"/>
      </w:numPr>
      <w:tabs>
        <w:tab w:val="left" w:pos="360"/>
        <w:tab w:val="left" w:pos="432"/>
      </w:tabs>
      <w:spacing w:before="0" w:after="0" w:line="240" w:lineRule="auto"/>
      <w:outlineLvl w:val="2"/>
    </w:pPr>
    <w:rPr>
      <w:rFonts w:ascii="黑体" w:eastAsia="黑体"/>
      <w:kern w:val="0"/>
      <w:sz w:val="21"/>
    </w:rPr>
  </w:style>
  <w:style w:type="paragraph" w:customStyle="1" w:styleId="6">
    <w:name w:val="章标题"/>
    <w:next w:val="7"/>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7">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List 3"/>
    <w:basedOn w:val="1"/>
    <w:qFormat/>
    <w:locked/>
    <w:uiPriority w:val="0"/>
    <w:pPr>
      <w:autoSpaceDE w:val="0"/>
      <w:autoSpaceDN w:val="0"/>
      <w:adjustRightInd w:val="0"/>
      <w:jc w:val="center"/>
      <w:textAlignment w:val="baseline"/>
    </w:pPr>
    <w:rPr>
      <w:kern w:val="0"/>
      <w:szCs w:val="20"/>
    </w:rPr>
  </w:style>
  <w:style w:type="paragraph" w:styleId="10">
    <w:name w:val="Normal Indent"/>
    <w:basedOn w:val="1"/>
    <w:next w:val="1"/>
    <w:qFormat/>
    <w:locked/>
    <w:uiPriority w:val="0"/>
    <w:pPr>
      <w:spacing w:line="480" w:lineRule="atLeast"/>
      <w:ind w:firstLine="595"/>
    </w:pPr>
    <w:rPr>
      <w:sz w:val="28"/>
    </w:rPr>
  </w:style>
  <w:style w:type="paragraph" w:styleId="11">
    <w:name w:val="caption"/>
    <w:basedOn w:val="1"/>
    <w:next w:val="1"/>
    <w:qFormat/>
    <w:locked/>
    <w:uiPriority w:val="0"/>
    <w:pPr>
      <w:keepNext/>
      <w:spacing w:beforeLines="50"/>
      <w:jc w:val="center"/>
    </w:pPr>
    <w:rPr>
      <w:rFonts w:ascii="宋体" w:hAnsi="宋体"/>
      <w:b/>
      <w:szCs w:val="21"/>
    </w:rPr>
  </w:style>
  <w:style w:type="paragraph" w:styleId="12">
    <w:name w:val="annotation text"/>
    <w:basedOn w:val="1"/>
    <w:link w:val="50"/>
    <w:semiHidden/>
    <w:qFormat/>
    <w:uiPriority w:val="0"/>
    <w:pPr>
      <w:jc w:val="left"/>
    </w:pPr>
    <w:rPr>
      <w:kern w:val="0"/>
      <w:szCs w:val="20"/>
    </w:rPr>
  </w:style>
  <w:style w:type="paragraph" w:styleId="13">
    <w:name w:val="Salutation"/>
    <w:basedOn w:val="1"/>
    <w:next w:val="1"/>
    <w:unhideWhenUsed/>
    <w:qFormat/>
    <w:locked/>
    <w:uiPriority w:val="99"/>
  </w:style>
  <w:style w:type="paragraph" w:styleId="14">
    <w:name w:val="Body Text"/>
    <w:basedOn w:val="1"/>
    <w:next w:val="15"/>
    <w:link w:val="53"/>
    <w:qFormat/>
    <w:uiPriority w:val="0"/>
    <w:pPr>
      <w:widowControl/>
      <w:snapToGrid w:val="0"/>
      <w:spacing w:before="60" w:after="160" w:line="259" w:lineRule="auto"/>
      <w:ind w:right="113"/>
    </w:pPr>
    <w:rPr>
      <w:kern w:val="0"/>
      <w:sz w:val="18"/>
      <w:szCs w:val="20"/>
    </w:rPr>
  </w:style>
  <w:style w:type="paragraph" w:customStyle="1" w:styleId="15">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styleId="16">
    <w:name w:val="Body Text Indent"/>
    <w:basedOn w:val="1"/>
    <w:next w:val="17"/>
    <w:link w:val="49"/>
    <w:qFormat/>
    <w:uiPriority w:val="0"/>
    <w:pPr>
      <w:spacing w:after="120"/>
      <w:ind w:left="420" w:leftChars="200"/>
    </w:pPr>
    <w:rPr>
      <w:kern w:val="0"/>
      <w:szCs w:val="20"/>
    </w:rPr>
  </w:style>
  <w:style w:type="paragraph" w:styleId="17">
    <w:name w:val="header"/>
    <w:basedOn w:val="1"/>
    <w:next w:val="18"/>
    <w:link w:val="47"/>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8">
    <w:name w:val="样式5"/>
    <w:basedOn w:val="19"/>
    <w:qFormat/>
    <w:uiPriority w:val="0"/>
    <w:pPr>
      <w:spacing w:line="360" w:lineRule="auto"/>
      <w:ind w:firstLine="510"/>
    </w:pPr>
  </w:style>
  <w:style w:type="paragraph" w:customStyle="1" w:styleId="19">
    <w:name w:val="正文1"/>
    <w:basedOn w:val="1"/>
    <w:qFormat/>
    <w:uiPriority w:val="0"/>
    <w:pPr>
      <w:snapToGrid w:val="0"/>
      <w:spacing w:beforeLines="20" w:afterLines="20" w:line="312" w:lineRule="auto"/>
      <w:ind w:firstLine="475" w:firstLineChars="198"/>
    </w:pPr>
    <w:rPr>
      <w:rFonts w:ascii="宋体" w:hAnsi="宋体"/>
      <w:color w:val="000000"/>
      <w:szCs w:val="20"/>
    </w:rPr>
  </w:style>
  <w:style w:type="paragraph" w:styleId="20">
    <w:name w:val="toc 3"/>
    <w:basedOn w:val="1"/>
    <w:next w:val="1"/>
    <w:unhideWhenUsed/>
    <w:qFormat/>
    <w:locked/>
    <w:uiPriority w:val="39"/>
    <w:pPr>
      <w:ind w:left="840" w:leftChars="400"/>
    </w:pPr>
  </w:style>
  <w:style w:type="paragraph" w:styleId="21">
    <w:name w:val="Plain Text"/>
    <w:basedOn w:val="1"/>
    <w:next w:val="13"/>
    <w:qFormat/>
    <w:locked/>
    <w:uiPriority w:val="0"/>
    <w:rPr>
      <w:rFonts w:ascii="宋体" w:hAnsi="Courier New"/>
    </w:rPr>
  </w:style>
  <w:style w:type="paragraph" w:styleId="22">
    <w:name w:val="Date"/>
    <w:basedOn w:val="1"/>
    <w:next w:val="1"/>
    <w:link w:val="54"/>
    <w:qFormat/>
    <w:uiPriority w:val="0"/>
    <w:pPr>
      <w:ind w:left="100" w:leftChars="2500"/>
    </w:pPr>
    <w:rPr>
      <w:kern w:val="0"/>
      <w:szCs w:val="20"/>
    </w:rPr>
  </w:style>
  <w:style w:type="paragraph" w:styleId="23">
    <w:name w:val="Body Text Indent 2"/>
    <w:basedOn w:val="1"/>
    <w:qFormat/>
    <w:locked/>
    <w:uiPriority w:val="0"/>
    <w:pPr>
      <w:spacing w:after="120" w:line="480" w:lineRule="auto"/>
      <w:ind w:left="420" w:leftChars="200"/>
    </w:pPr>
  </w:style>
  <w:style w:type="paragraph" w:styleId="24">
    <w:name w:val="Balloon Text"/>
    <w:basedOn w:val="1"/>
    <w:link w:val="55"/>
    <w:semiHidden/>
    <w:qFormat/>
    <w:uiPriority w:val="0"/>
    <w:rPr>
      <w:kern w:val="0"/>
      <w:sz w:val="18"/>
      <w:szCs w:val="20"/>
    </w:rPr>
  </w:style>
  <w:style w:type="paragraph" w:styleId="25">
    <w:name w:val="footer"/>
    <w:basedOn w:val="1"/>
    <w:link w:val="56"/>
    <w:qFormat/>
    <w:uiPriority w:val="99"/>
    <w:pPr>
      <w:tabs>
        <w:tab w:val="center" w:pos="4153"/>
        <w:tab w:val="right" w:pos="8306"/>
      </w:tabs>
      <w:snapToGrid w:val="0"/>
      <w:jc w:val="left"/>
    </w:pPr>
    <w:rPr>
      <w:kern w:val="0"/>
      <w:sz w:val="18"/>
      <w:szCs w:val="20"/>
    </w:rPr>
  </w:style>
  <w:style w:type="paragraph" w:styleId="26">
    <w:name w:val="toc 1"/>
    <w:basedOn w:val="1"/>
    <w:next w:val="1"/>
    <w:qFormat/>
    <w:locked/>
    <w:uiPriority w:val="39"/>
  </w:style>
  <w:style w:type="paragraph" w:styleId="27">
    <w:name w:val="Body Text Indent 3"/>
    <w:basedOn w:val="1"/>
    <w:unhideWhenUsed/>
    <w:qFormat/>
    <w:locked/>
    <w:uiPriority w:val="99"/>
    <w:pPr>
      <w:spacing w:line="380" w:lineRule="exact"/>
      <w:ind w:left="44" w:firstLine="435" w:firstLineChars="207"/>
    </w:pPr>
    <w:rPr>
      <w:szCs w:val="21"/>
    </w:rPr>
  </w:style>
  <w:style w:type="paragraph" w:styleId="28">
    <w:name w:val="toc 2"/>
    <w:basedOn w:val="1"/>
    <w:next w:val="1"/>
    <w:qFormat/>
    <w:locked/>
    <w:uiPriority w:val="0"/>
    <w:pPr>
      <w:ind w:left="420" w:leftChars="200"/>
    </w:pPr>
  </w:style>
  <w:style w:type="paragraph" w:styleId="29">
    <w:name w:val="Normal (Web)"/>
    <w:basedOn w:val="1"/>
    <w:link w:val="45"/>
    <w:qFormat/>
    <w:uiPriority w:val="0"/>
    <w:pPr>
      <w:widowControl/>
      <w:spacing w:before="100" w:beforeAutospacing="1" w:after="100" w:afterAutospacing="1"/>
      <w:jc w:val="left"/>
    </w:pPr>
    <w:rPr>
      <w:rFonts w:ascii="宋体" w:hAnsi="宋体"/>
      <w:kern w:val="0"/>
      <w:szCs w:val="20"/>
    </w:rPr>
  </w:style>
  <w:style w:type="paragraph" w:styleId="30">
    <w:name w:val="annotation subject"/>
    <w:basedOn w:val="12"/>
    <w:next w:val="12"/>
    <w:link w:val="51"/>
    <w:semiHidden/>
    <w:qFormat/>
    <w:uiPriority w:val="0"/>
    <w:rPr>
      <w:b/>
    </w:rPr>
  </w:style>
  <w:style w:type="paragraph" w:styleId="31">
    <w:name w:val="Body Text First Indent"/>
    <w:basedOn w:val="14"/>
    <w:next w:val="32"/>
    <w:qFormat/>
    <w:locked/>
    <w:uiPriority w:val="0"/>
    <w:pPr>
      <w:ind w:firstLine="420" w:firstLineChars="100"/>
    </w:pPr>
  </w:style>
  <w:style w:type="paragraph" w:customStyle="1" w:styleId="32">
    <w:name w:val="正文文字（首行缩进2字）"/>
    <w:basedOn w:val="1"/>
    <w:qFormat/>
    <w:uiPriority w:val="0"/>
    <w:pPr>
      <w:spacing w:line="360" w:lineRule="auto"/>
      <w:ind w:firstLine="200" w:firstLineChars="200"/>
    </w:pPr>
    <w:rPr>
      <w:rFonts w:ascii="Arial" w:hAnsi="Arial"/>
      <w:position w:val="-30"/>
    </w:rPr>
  </w:style>
  <w:style w:type="paragraph" w:styleId="33">
    <w:name w:val="Body Text First Indent 2"/>
    <w:basedOn w:val="16"/>
    <w:next w:val="1"/>
    <w:qFormat/>
    <w:locked/>
    <w:uiPriority w:val="0"/>
    <w:pPr>
      <w:spacing w:line="480" w:lineRule="exact"/>
      <w:ind w:left="0" w:leftChars="0"/>
    </w:p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locked/>
    <w:uiPriority w:val="0"/>
    <w:rPr>
      <w:b/>
      <w:sz w:val="21"/>
      <w:szCs w:val="20"/>
    </w:rPr>
  </w:style>
  <w:style w:type="character" w:styleId="38">
    <w:name w:val="page number"/>
    <w:basedOn w:val="36"/>
    <w:qFormat/>
    <w:locked/>
    <w:uiPriority w:val="0"/>
  </w:style>
  <w:style w:type="character" w:styleId="39">
    <w:name w:val="Hyperlink"/>
    <w:qFormat/>
    <w:locked/>
    <w:uiPriority w:val="99"/>
    <w:rPr>
      <w:color w:val="0000FF"/>
      <w:u w:val="single"/>
    </w:rPr>
  </w:style>
  <w:style w:type="character" w:styleId="40">
    <w:name w:val="annotation reference"/>
    <w:semiHidden/>
    <w:qFormat/>
    <w:uiPriority w:val="0"/>
    <w:rPr>
      <w:sz w:val="21"/>
    </w:rPr>
  </w:style>
  <w:style w:type="paragraph" w:customStyle="1" w:styleId="41">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Default"/>
    <w:basedOn w:val="43"/>
    <w:next w:val="44"/>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3">
    <w:name w:val="纯文本1"/>
    <w:basedOn w:val="1"/>
    <w:qFormat/>
    <w:uiPriority w:val="0"/>
    <w:pPr>
      <w:adjustRightInd w:val="0"/>
    </w:pPr>
    <w:rPr>
      <w:rFonts w:ascii="宋体" w:hAnsi="Courier New"/>
      <w:szCs w:val="20"/>
    </w:rPr>
  </w:style>
  <w:style w:type="paragraph" w:customStyle="1" w:styleId="44">
    <w:name w:val="表格文字"/>
    <w:basedOn w:val="14"/>
    <w:next w:val="1"/>
    <w:qFormat/>
    <w:uiPriority w:val="0"/>
    <w:pPr>
      <w:widowControl w:val="0"/>
      <w:autoSpaceDE w:val="0"/>
      <w:autoSpaceDN w:val="0"/>
      <w:adjustRightInd w:val="0"/>
      <w:textAlignment w:val="baseline"/>
    </w:pPr>
    <w:rPr>
      <w:rFonts w:ascii="宋体" w:hAnsi="Times New Roman" w:eastAsia="宋体" w:cs="Times New Roman"/>
      <w:color w:val="000000"/>
      <w:sz w:val="24"/>
      <w:szCs w:val="22"/>
      <w:lang w:val="en-US" w:eastAsia="zh-CN" w:bidi="ar-SA"/>
    </w:rPr>
  </w:style>
  <w:style w:type="character" w:customStyle="1" w:styleId="45">
    <w:name w:val="普通(网站) 字符"/>
    <w:link w:val="29"/>
    <w:qFormat/>
    <w:locked/>
    <w:uiPriority w:val="0"/>
    <w:rPr>
      <w:rFonts w:ascii="宋体" w:hAnsi="宋体" w:eastAsia="宋体"/>
      <w:sz w:val="24"/>
    </w:rPr>
  </w:style>
  <w:style w:type="character" w:customStyle="1" w:styleId="46">
    <w:name w:val="标题 1 字符"/>
    <w:link w:val="3"/>
    <w:qFormat/>
    <w:uiPriority w:val="99"/>
    <w:rPr>
      <w:rFonts w:eastAsia="黑体"/>
      <w:b/>
      <w:bCs/>
      <w:color w:val="000000"/>
      <w:kern w:val="44"/>
      <w:sz w:val="30"/>
      <w:szCs w:val="30"/>
    </w:rPr>
  </w:style>
  <w:style w:type="character" w:customStyle="1" w:styleId="47">
    <w:name w:val="页眉 字符"/>
    <w:link w:val="17"/>
    <w:qFormat/>
    <w:locked/>
    <w:uiPriority w:val="0"/>
    <w:rPr>
      <w:sz w:val="18"/>
    </w:rPr>
  </w:style>
  <w:style w:type="character" w:customStyle="1" w:styleId="48">
    <w:name w:val="页脚 字符"/>
    <w:basedOn w:val="36"/>
    <w:qFormat/>
    <w:uiPriority w:val="99"/>
  </w:style>
  <w:style w:type="character" w:customStyle="1" w:styleId="49">
    <w:name w:val="正文文本缩进 字符"/>
    <w:link w:val="16"/>
    <w:semiHidden/>
    <w:qFormat/>
    <w:locked/>
    <w:uiPriority w:val="0"/>
    <w:rPr>
      <w:rFonts w:ascii="Times New Roman" w:hAnsi="Times New Roman" w:eastAsia="宋体"/>
      <w:sz w:val="24"/>
    </w:rPr>
  </w:style>
  <w:style w:type="character" w:customStyle="1" w:styleId="50">
    <w:name w:val="批注文字 字符"/>
    <w:link w:val="12"/>
    <w:qFormat/>
    <w:locked/>
    <w:uiPriority w:val="0"/>
    <w:rPr>
      <w:rFonts w:ascii="Times New Roman" w:hAnsi="Times New Roman" w:eastAsia="宋体"/>
      <w:sz w:val="24"/>
    </w:rPr>
  </w:style>
  <w:style w:type="character" w:customStyle="1" w:styleId="51">
    <w:name w:val="批注主题 字符"/>
    <w:link w:val="30"/>
    <w:semiHidden/>
    <w:qFormat/>
    <w:locked/>
    <w:uiPriority w:val="0"/>
    <w:rPr>
      <w:rFonts w:ascii="Times New Roman" w:hAnsi="Times New Roman" w:eastAsia="宋体"/>
      <w:b/>
      <w:kern w:val="2"/>
      <w:sz w:val="24"/>
    </w:rPr>
  </w:style>
  <w:style w:type="character" w:customStyle="1" w:styleId="52">
    <w:name w:val="正文文本 字符1"/>
    <w:semiHidden/>
    <w:qFormat/>
    <w:uiPriority w:val="0"/>
    <w:rPr>
      <w:rFonts w:ascii="Times New Roman" w:hAnsi="Times New Roman" w:eastAsia="宋体"/>
      <w:sz w:val="24"/>
    </w:rPr>
  </w:style>
  <w:style w:type="character" w:customStyle="1" w:styleId="53">
    <w:name w:val="正文文本 字符"/>
    <w:link w:val="14"/>
    <w:qFormat/>
    <w:locked/>
    <w:uiPriority w:val="0"/>
    <w:rPr>
      <w:sz w:val="18"/>
    </w:rPr>
  </w:style>
  <w:style w:type="character" w:customStyle="1" w:styleId="54">
    <w:name w:val="日期 字符1"/>
    <w:link w:val="22"/>
    <w:qFormat/>
    <w:locked/>
    <w:uiPriority w:val="0"/>
    <w:rPr>
      <w:rFonts w:ascii="Times New Roman" w:hAnsi="Times New Roman" w:eastAsia="宋体"/>
      <w:sz w:val="24"/>
    </w:rPr>
  </w:style>
  <w:style w:type="character" w:customStyle="1" w:styleId="55">
    <w:name w:val="批注框文本 字符"/>
    <w:link w:val="24"/>
    <w:semiHidden/>
    <w:qFormat/>
    <w:locked/>
    <w:uiPriority w:val="0"/>
    <w:rPr>
      <w:rFonts w:ascii="Times New Roman" w:hAnsi="Times New Roman" w:eastAsia="宋体"/>
      <w:sz w:val="18"/>
    </w:rPr>
  </w:style>
  <w:style w:type="character" w:customStyle="1" w:styleId="56">
    <w:name w:val="页脚 字符1"/>
    <w:link w:val="25"/>
    <w:qFormat/>
    <w:locked/>
    <w:uiPriority w:val="99"/>
    <w:rPr>
      <w:sz w:val="18"/>
    </w:rPr>
  </w:style>
  <w:style w:type="character" w:customStyle="1" w:styleId="57">
    <w:name w:val="表格 Char"/>
    <w:link w:val="58"/>
    <w:qFormat/>
    <w:locked/>
    <w:uiPriority w:val="0"/>
    <w:rPr>
      <w:rFonts w:ascii="宋体"/>
      <w:sz w:val="21"/>
    </w:rPr>
  </w:style>
  <w:style w:type="paragraph" w:customStyle="1" w:styleId="58">
    <w:name w:val="表格"/>
    <w:basedOn w:val="59"/>
    <w:next w:val="1"/>
    <w:link w:val="57"/>
    <w:qFormat/>
    <w:uiPriority w:val="0"/>
    <w:pPr>
      <w:adjustRightInd w:val="0"/>
      <w:snapToGrid w:val="0"/>
      <w:spacing w:beforeLines="10" w:afterLines="10" w:line="259" w:lineRule="auto"/>
      <w:jc w:val="center"/>
    </w:pPr>
    <w:rPr>
      <w:kern w:val="0"/>
      <w:szCs w:val="20"/>
    </w:rPr>
  </w:style>
  <w:style w:type="paragraph" w:customStyle="1" w:styleId="59">
    <w:name w:val="表头"/>
    <w:basedOn w:val="60"/>
    <w:next w:val="27"/>
    <w:qFormat/>
    <w:uiPriority w:val="0"/>
    <w:pPr>
      <w:spacing w:before="156" w:beforeLines="50"/>
      <w:jc w:val="center"/>
      <w:outlineLvl w:val="3"/>
    </w:pPr>
    <w:rPr>
      <w:b/>
      <w:kern w:val="0"/>
      <w:sz w:val="20"/>
      <w:szCs w:val="20"/>
    </w:rPr>
  </w:style>
  <w:style w:type="paragraph" w:customStyle="1" w:styleId="60">
    <w:name w:val="报告表正文"/>
    <w:basedOn w:val="1"/>
    <w:qFormat/>
    <w:uiPriority w:val="0"/>
    <w:pPr>
      <w:adjustRightInd w:val="0"/>
      <w:spacing w:line="312" w:lineRule="auto"/>
      <w:ind w:left="113" w:right="113" w:firstLine="482"/>
      <w:jc w:val="left"/>
      <w:textAlignment w:val="baseline"/>
    </w:pPr>
    <w:rPr>
      <w:kern w:val="0"/>
      <w:sz w:val="24"/>
    </w:rPr>
  </w:style>
  <w:style w:type="character" w:customStyle="1" w:styleId="61">
    <w:name w:val="日期 字符"/>
    <w:semiHidden/>
    <w:qFormat/>
    <w:uiPriority w:val="0"/>
    <w:rPr>
      <w:rFonts w:ascii="Times New Roman" w:hAnsi="Times New Roman" w:eastAsia="宋体"/>
      <w:sz w:val="24"/>
    </w:rPr>
  </w:style>
  <w:style w:type="character" w:customStyle="1" w:styleId="62">
    <w:name w:val="样式 正文01 + Times New Roman Char"/>
    <w:link w:val="63"/>
    <w:qFormat/>
    <w:uiPriority w:val="0"/>
    <w:rPr>
      <w:bCs/>
      <w:kern w:val="0"/>
      <w:sz w:val="20"/>
      <w:szCs w:val="20"/>
    </w:rPr>
  </w:style>
  <w:style w:type="paragraph" w:customStyle="1" w:styleId="63">
    <w:name w:val="样式 正文01 + Times New Roman"/>
    <w:basedOn w:val="64"/>
    <w:link w:val="62"/>
    <w:qFormat/>
    <w:uiPriority w:val="0"/>
    <w:pPr>
      <w:ind w:firstLine="0" w:firstLineChars="0"/>
    </w:pPr>
    <w:rPr>
      <w:bCs/>
      <w:kern w:val="0"/>
      <w:sz w:val="20"/>
      <w:szCs w:val="20"/>
    </w:rPr>
  </w:style>
  <w:style w:type="paragraph" w:customStyle="1" w:styleId="64">
    <w:name w:val="正文01"/>
    <w:basedOn w:val="10"/>
    <w:qFormat/>
    <w:uiPriority w:val="0"/>
    <w:pPr>
      <w:ind w:firstLine="480" w:firstLineChars="200"/>
    </w:pPr>
  </w:style>
  <w:style w:type="character" w:customStyle="1" w:styleId="65">
    <w:name w:val="批注文字 字符1"/>
    <w:semiHidden/>
    <w:qFormat/>
    <w:uiPriority w:val="0"/>
    <w:rPr>
      <w:rFonts w:ascii="Times New Roman" w:hAnsi="Times New Roman" w:eastAsia="宋体"/>
      <w:sz w:val="24"/>
    </w:rPr>
  </w:style>
  <w:style w:type="character" w:customStyle="1" w:styleId="66">
    <w:name w:val="font11"/>
    <w:qFormat/>
    <w:uiPriority w:val="0"/>
    <w:rPr>
      <w:rFonts w:hint="eastAsia" w:ascii="宋体" w:hAnsi="宋体" w:eastAsia="宋体" w:cs="宋体"/>
      <w:color w:val="000000"/>
      <w:sz w:val="20"/>
      <w:szCs w:val="20"/>
      <w:u w:val="none"/>
    </w:rPr>
  </w:style>
  <w:style w:type="character" w:customStyle="1" w:styleId="67">
    <w:name w:val="font21"/>
    <w:qFormat/>
    <w:uiPriority w:val="0"/>
    <w:rPr>
      <w:rFonts w:hint="default" w:ascii="Times New Roman" w:hAnsi="Times New Roman" w:cs="Times New Roman"/>
      <w:color w:val="000000"/>
      <w:sz w:val="20"/>
      <w:szCs w:val="20"/>
      <w:u w:val="none"/>
    </w:rPr>
  </w:style>
  <w:style w:type="paragraph" w:customStyle="1" w:styleId="68">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69">
    <w:name w:val="国投标题4"/>
    <w:basedOn w:val="1"/>
    <w:qFormat/>
    <w:uiPriority w:val="0"/>
    <w:pPr>
      <w:numPr>
        <w:ilvl w:val="3"/>
        <w:numId w:val="1"/>
      </w:numPr>
      <w:spacing w:line="420" w:lineRule="exact"/>
      <w:outlineLvl w:val="3"/>
    </w:pPr>
  </w:style>
  <w:style w:type="paragraph" w:customStyle="1" w:styleId="70">
    <w:name w:val="样式9"/>
    <w:basedOn w:val="1"/>
    <w:qFormat/>
    <w:uiPriority w:val="0"/>
    <w:pPr>
      <w:adjustRightInd w:val="0"/>
      <w:snapToGrid w:val="0"/>
      <w:spacing w:line="460" w:lineRule="exact"/>
      <w:ind w:firstLine="520" w:firstLineChars="200"/>
    </w:pPr>
    <w:rPr>
      <w:sz w:val="26"/>
      <w:szCs w:val="26"/>
    </w:rPr>
  </w:style>
  <w:style w:type="paragraph" w:customStyle="1" w:styleId="71">
    <w:name w:val="表文字"/>
    <w:basedOn w:val="1"/>
    <w:qFormat/>
    <w:uiPriority w:val="0"/>
    <w:pPr>
      <w:overflowPunct w:val="0"/>
      <w:autoSpaceDE w:val="0"/>
      <w:autoSpaceDN w:val="0"/>
      <w:adjustRightInd w:val="0"/>
      <w:spacing w:line="240" w:lineRule="atLeast"/>
      <w:textAlignment w:val="baseline"/>
    </w:pPr>
  </w:style>
  <w:style w:type="paragraph" w:customStyle="1" w:styleId="72">
    <w:name w:val="表"/>
    <w:basedOn w:val="1"/>
    <w:qFormat/>
    <w:uiPriority w:val="0"/>
    <w:pPr>
      <w:keepNext/>
      <w:keepLines/>
      <w:autoSpaceDE w:val="0"/>
      <w:autoSpaceDN w:val="0"/>
      <w:adjustRightInd w:val="0"/>
      <w:spacing w:before="40" w:after="40" w:line="240" w:lineRule="exact"/>
      <w:jc w:val="center"/>
    </w:pPr>
    <w:rPr>
      <w:kern w:val="21"/>
    </w:rPr>
  </w:style>
  <w:style w:type="paragraph" w:customStyle="1" w:styleId="73">
    <w:name w:val="样式11"/>
    <w:basedOn w:val="26"/>
    <w:qFormat/>
    <w:uiPriority w:val="0"/>
    <w:pPr>
      <w:spacing w:before="100" w:beforeAutospacing="1"/>
    </w:pPr>
  </w:style>
  <w:style w:type="paragraph" w:customStyle="1" w:styleId="7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Table Paragraph"/>
    <w:basedOn w:val="1"/>
    <w:qFormat/>
    <w:uiPriority w:val="1"/>
    <w:pPr>
      <w:autoSpaceDE w:val="0"/>
      <w:autoSpaceDN w:val="0"/>
      <w:adjustRightInd w:val="0"/>
      <w:jc w:val="left"/>
    </w:pPr>
    <w:rPr>
      <w:kern w:val="0"/>
    </w:rPr>
  </w:style>
  <w:style w:type="paragraph" w:customStyle="1" w:styleId="76">
    <w:name w:val="表样式2"/>
    <w:basedOn w:val="1"/>
    <w:qFormat/>
    <w:uiPriority w:val="0"/>
    <w:pPr>
      <w:adjustRightInd w:val="0"/>
      <w:snapToGrid w:val="0"/>
      <w:jc w:val="center"/>
    </w:pPr>
    <w:rPr>
      <w:rFonts w:hAnsi="宋体"/>
      <w:szCs w:val="21"/>
    </w:rPr>
  </w:style>
  <w:style w:type="paragraph" w:customStyle="1" w:styleId="77">
    <w:name w:val="表格内"/>
    <w:qFormat/>
    <w:uiPriority w:val="99"/>
    <w:pPr>
      <w:jc w:val="center"/>
    </w:pPr>
    <w:rPr>
      <w:rFonts w:ascii="宋体" w:hAnsi="宋体" w:eastAsia="宋体" w:cs="Times New Roman"/>
      <w:sz w:val="24"/>
      <w:szCs w:val="22"/>
      <w:lang w:val="en-US" w:eastAsia="zh-CN" w:bidi="ar-SA"/>
    </w:rPr>
  </w:style>
  <w:style w:type="paragraph" w:customStyle="1" w:styleId="78">
    <w:name w:val="正文文本2"/>
    <w:basedOn w:val="14"/>
    <w:qFormat/>
    <w:uiPriority w:val="0"/>
    <w:pPr>
      <w:spacing w:line="360" w:lineRule="auto"/>
      <w:ind w:firstLine="480" w:firstLineChars="200"/>
    </w:pPr>
    <w:rPr>
      <w:rFonts w:ascii="宋体" w:cs="宋体"/>
    </w:rPr>
  </w:style>
  <w:style w:type="paragraph" w:customStyle="1" w:styleId="79">
    <w:name w:val="表头2"/>
    <w:basedOn w:val="1"/>
    <w:qFormat/>
    <w:uiPriority w:val="0"/>
    <w:pPr>
      <w:spacing w:beforeLines="50" w:afterLines="50"/>
      <w:jc w:val="center"/>
    </w:pPr>
    <w:rPr>
      <w:b/>
      <w:bCs/>
      <w:kern w:val="0"/>
      <w:sz w:val="20"/>
      <w:szCs w:val="21"/>
    </w:rPr>
  </w:style>
  <w:style w:type="paragraph" w:customStyle="1" w:styleId="80">
    <w:name w:val="朔电正文"/>
    <w:basedOn w:val="1"/>
    <w:qFormat/>
    <w:uiPriority w:val="0"/>
    <w:pPr>
      <w:adjustRightInd w:val="0"/>
      <w:snapToGrid w:val="0"/>
      <w:spacing w:beforeLines="25" w:line="440" w:lineRule="exact"/>
      <w:ind w:firstLine="200" w:firstLineChars="200"/>
    </w:pPr>
    <w:rPr>
      <w:color w:val="000000"/>
      <w:kern w:val="32"/>
    </w:rPr>
  </w:style>
  <w:style w:type="paragraph" w:customStyle="1" w:styleId="81">
    <w:name w:val="A常用文字"/>
    <w:basedOn w:val="1"/>
    <w:qFormat/>
    <w:uiPriority w:val="0"/>
    <w:pPr>
      <w:adjustRightInd w:val="0"/>
      <w:snapToGrid w:val="0"/>
      <w:spacing w:line="440" w:lineRule="exact"/>
      <w:ind w:firstLine="567"/>
    </w:pPr>
  </w:style>
  <w:style w:type="paragraph" w:customStyle="1" w:styleId="82">
    <w:name w:val="中文报告书样式"/>
    <w:basedOn w:val="1"/>
    <w:qFormat/>
    <w:uiPriority w:val="0"/>
    <w:pPr>
      <w:adjustRightInd w:val="0"/>
      <w:spacing w:line="480" w:lineRule="atLeast"/>
      <w:ind w:firstLine="482"/>
      <w:textAlignment w:val="baseline"/>
    </w:pPr>
    <w:rPr>
      <w:kern w:val="24"/>
    </w:rPr>
  </w:style>
  <w:style w:type="paragraph" w:customStyle="1" w:styleId="83">
    <w:name w:val="样式1"/>
    <w:basedOn w:val="10"/>
    <w:qFormat/>
    <w:uiPriority w:val="0"/>
    <w:pPr>
      <w:spacing w:line="240" w:lineRule="auto"/>
      <w:jc w:val="center"/>
    </w:pPr>
    <w:rPr>
      <w:color w:val="000000"/>
      <w:sz w:val="24"/>
    </w:rPr>
  </w:style>
  <w:style w:type="paragraph" w:customStyle="1" w:styleId="84">
    <w:name w:val="样式35"/>
    <w:basedOn w:val="1"/>
    <w:next w:val="1"/>
    <w:qFormat/>
    <w:uiPriority w:val="0"/>
    <w:pPr>
      <w:spacing w:line="312" w:lineRule="auto"/>
      <w:ind w:firstLine="567"/>
    </w:pPr>
    <w:rPr>
      <w:rFonts w:ascii="宋体"/>
      <w:sz w:val="28"/>
    </w:rPr>
  </w:style>
  <w:style w:type="paragraph" w:customStyle="1" w:styleId="85">
    <w:name w:val="样式10"/>
    <w:basedOn w:val="3"/>
    <w:next w:val="1"/>
    <w:qFormat/>
    <w:uiPriority w:val="0"/>
    <w:pPr>
      <w:spacing w:before="100" w:beforeAutospacing="1"/>
    </w:pPr>
  </w:style>
  <w:style w:type="paragraph" w:customStyle="1" w:styleId="86">
    <w:name w:val="_Style 2"/>
    <w:basedOn w:val="1"/>
    <w:qFormat/>
    <w:uiPriority w:val="34"/>
    <w:pPr>
      <w:ind w:firstLine="420" w:firstLineChars="200"/>
    </w:pPr>
  </w:style>
  <w:style w:type="paragraph" w:customStyle="1" w:styleId="87">
    <w:name w:val="正文 首行缩进:  2 字符"/>
    <w:basedOn w:val="1"/>
    <w:qFormat/>
    <w:uiPriority w:val="0"/>
    <w:pPr>
      <w:adjustRightInd w:val="0"/>
      <w:snapToGrid w:val="0"/>
      <w:spacing w:line="500" w:lineRule="exact"/>
      <w:ind w:firstLine="200" w:firstLineChars="200"/>
      <w:jc w:val="left"/>
    </w:pPr>
    <w:rPr>
      <w:rFonts w:cs="宋体"/>
      <w:szCs w:val="20"/>
    </w:rPr>
  </w:style>
  <w:style w:type="paragraph" w:customStyle="1" w:styleId="88">
    <w:name w:val="表中"/>
    <w:basedOn w:val="1"/>
    <w:qFormat/>
    <w:uiPriority w:val="0"/>
    <w:pPr>
      <w:spacing w:line="360" w:lineRule="exact"/>
      <w:jc w:val="center"/>
    </w:pPr>
    <w:rPr>
      <w:szCs w:val="21"/>
      <w:lang w:val="de-DE"/>
    </w:rPr>
  </w:style>
  <w:style w:type="paragraph" w:customStyle="1" w:styleId="89">
    <w:name w:val="defaultfont"/>
    <w:basedOn w:val="1"/>
    <w:qFormat/>
    <w:uiPriority w:val="0"/>
    <w:pPr>
      <w:widowControl/>
      <w:spacing w:before="100" w:beforeAutospacing="1" w:after="100" w:afterAutospacing="1"/>
      <w:jc w:val="left"/>
    </w:pPr>
    <w:rPr>
      <w:rFonts w:ascii="宋体" w:hAnsi="宋体" w:cs="宋体"/>
      <w:kern w:val="0"/>
    </w:rPr>
  </w:style>
  <w:style w:type="paragraph" w:customStyle="1" w:styleId="90">
    <w:name w:val="表内容"/>
    <w:basedOn w:val="1"/>
    <w:next w:val="1"/>
    <w:qFormat/>
    <w:uiPriority w:val="0"/>
    <w:pPr>
      <w:spacing w:line="320" w:lineRule="exact"/>
      <w:jc w:val="center"/>
    </w:pPr>
  </w:style>
  <w:style w:type="paragraph" w:customStyle="1" w:styleId="91">
    <w:name w:val="黄酒表格标题"/>
    <w:qFormat/>
    <w:uiPriority w:val="0"/>
    <w:pPr>
      <w:tabs>
        <w:tab w:val="left" w:pos="-2848"/>
      </w:tabs>
      <w:jc w:val="center"/>
    </w:pPr>
    <w:rPr>
      <w:rFonts w:ascii="Times New Roman" w:hAnsi="Times New Roman" w:eastAsia="宋体" w:cs="宋体"/>
      <w:b/>
      <w:sz w:val="21"/>
      <w:szCs w:val="21"/>
      <w:lang w:val="en-US" w:eastAsia="zh-CN" w:bidi="ar-SA"/>
    </w:rPr>
  </w:style>
  <w:style w:type="paragraph" w:customStyle="1" w:styleId="92">
    <w:name w:val="正文首行缩进2个字"/>
    <w:basedOn w:val="1"/>
    <w:qFormat/>
    <w:uiPriority w:val="0"/>
    <w:pPr>
      <w:spacing w:line="480" w:lineRule="exact"/>
      <w:ind w:firstLine="600" w:firstLineChars="200"/>
    </w:pPr>
    <w:rPr>
      <w:spacing w:val="3"/>
    </w:rPr>
  </w:style>
  <w:style w:type="paragraph" w:customStyle="1" w:styleId="9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94">
    <w:name w:val="正文文本1"/>
    <w:basedOn w:val="14"/>
    <w:qFormat/>
    <w:uiPriority w:val="0"/>
    <w:pPr>
      <w:spacing w:line="360" w:lineRule="auto"/>
      <w:ind w:firstLine="1044" w:firstLineChars="200"/>
    </w:pPr>
    <w:rPr>
      <w:rFonts w:ascii="Times New Roman" w:hAnsi="Times New Roman" w:eastAsia="宋体" w:cs="Times New Roman"/>
      <w:lang w:val="zh-CN" w:bidi="zh-CN"/>
    </w:rPr>
  </w:style>
  <w:style w:type="character" w:customStyle="1" w:styleId="95">
    <w:name w:val="报告正文 Char"/>
    <w:link w:val="96"/>
    <w:qFormat/>
    <w:uiPriority w:val="0"/>
    <w:rPr>
      <w:color w:val="000000"/>
      <w:kern w:val="0"/>
      <w:sz w:val="24"/>
    </w:rPr>
  </w:style>
  <w:style w:type="paragraph" w:customStyle="1" w:styleId="96">
    <w:name w:val="报告正文"/>
    <w:basedOn w:val="1"/>
    <w:link w:val="95"/>
    <w:qFormat/>
    <w:uiPriority w:val="0"/>
    <w:pPr>
      <w:spacing w:line="480" w:lineRule="exact"/>
      <w:ind w:firstLine="200" w:firstLineChars="200"/>
    </w:pPr>
    <w:rPr>
      <w:color w:val="000000"/>
      <w:kern w:val="0"/>
      <w:sz w:val="24"/>
    </w:rPr>
  </w:style>
  <w:style w:type="paragraph" w:customStyle="1" w:styleId="97">
    <w:name w:val="段落"/>
    <w:basedOn w:val="1"/>
    <w:qFormat/>
    <w:uiPriority w:val="0"/>
    <w:pPr>
      <w:ind w:firstLine="200"/>
    </w:pPr>
    <w:rPr>
      <w:szCs w:val="24"/>
    </w:rPr>
  </w:style>
  <w:style w:type="paragraph" w:customStyle="1" w:styleId="98">
    <w:name w:val="全文"/>
    <w:basedOn w:val="1"/>
    <w:qFormat/>
    <w:uiPriority w:val="0"/>
    <w:pPr>
      <w:widowControl/>
      <w:spacing w:line="500" w:lineRule="exact"/>
      <w:ind w:firstLine="200" w:firstLineChars="200"/>
      <w:jc w:val="left"/>
    </w:pPr>
    <w:rPr>
      <w:kern w:val="0"/>
      <w:szCs w:val="24"/>
      <w:lang w:eastAsia="en-US" w:bidi="en-US"/>
    </w:rPr>
  </w:style>
  <w:style w:type="paragraph" w:customStyle="1" w:styleId="99">
    <w:name w:val="曹1.1"/>
    <w:basedOn w:val="1"/>
    <w:qFormat/>
    <w:uiPriority w:val="0"/>
    <w:pPr>
      <w:spacing w:line="360" w:lineRule="auto"/>
    </w:pPr>
    <w:rPr>
      <w:b/>
      <w:sz w:val="24"/>
    </w:rPr>
  </w:style>
  <w:style w:type="paragraph" w:customStyle="1" w:styleId="100">
    <w:name w:val="表格标题--中祥"/>
    <w:basedOn w:val="1"/>
    <w:qFormat/>
    <w:uiPriority w:val="0"/>
    <w:pPr>
      <w:spacing w:line="320" w:lineRule="exact"/>
      <w:ind w:firstLine="482"/>
      <w:jc w:val="center"/>
    </w:pPr>
    <w:rPr>
      <w:rFonts w:ascii="宋体" w:hAnsi="宋体"/>
      <w:b/>
      <w:lang w:val="zh-CN"/>
    </w:rPr>
  </w:style>
  <w:style w:type="paragraph" w:customStyle="1" w:styleId="101">
    <w:name w:val="表格内正文"/>
    <w:basedOn w:val="1"/>
    <w:qFormat/>
    <w:uiPriority w:val="99"/>
    <w:pPr>
      <w:spacing w:line="360" w:lineRule="auto"/>
      <w:ind w:firstLine="499"/>
    </w:pPr>
    <w:rPr>
      <w:rFonts w:ascii="宋体" w:hAnsi="宋体" w:cs="宋体"/>
      <w:spacing w:val="4"/>
      <w:kern w:val="18"/>
      <w:sz w:val="24"/>
      <w:szCs w:val="24"/>
    </w:rPr>
  </w:style>
  <w:style w:type="paragraph" w:customStyle="1" w:styleId="102">
    <w:name w:val="RAINYON的段落"/>
    <w:qFormat/>
    <w:uiPriority w:val="0"/>
    <w:pPr>
      <w:widowControl w:val="0"/>
      <w:suppressAutoHyphens/>
      <w:topLinePunct/>
      <w:autoSpaceDE w:val="0"/>
      <w:spacing w:line="540" w:lineRule="exact"/>
      <w:ind w:firstLine="200" w:firstLineChars="200"/>
    </w:pPr>
    <w:rPr>
      <w:rFonts w:ascii="Times New Roman" w:hAnsi="Times New Roman" w:eastAsia="宋体" w:cs="Times New Roman"/>
      <w:color w:val="000000"/>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6F8D5-EF8C-4AB2-8452-C4BBC126EA95}">
  <ds:schemaRefs/>
</ds:datastoreItem>
</file>

<file path=docProps/app.xml><?xml version="1.0" encoding="utf-8"?>
<Properties xmlns="http://schemas.openxmlformats.org/officeDocument/2006/extended-properties" xmlns:vt="http://schemas.openxmlformats.org/officeDocument/2006/docPropsVTypes">
  <Template>Normal</Template>
  <Pages>56</Pages>
  <Words>29583</Words>
  <Characters>33108</Characters>
  <Lines>254</Lines>
  <Paragraphs>71</Paragraphs>
  <TotalTime>6</TotalTime>
  <ScaleCrop>false</ScaleCrop>
  <LinksUpToDate>false</LinksUpToDate>
  <CharactersWithSpaces>34307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2021-05-27T13:29:00Z</dcterms:created>
  <dcterms:modified xsi:type="dcterms:W3CDTF">2022-11-18T03:37:54Z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E3B003CEB6604542B94C100571C26E86</vt:lpwstr>
  </property>
  <property fmtid="{D5CDD505-2E9C-101B-9397-08002B2CF9AE}" pid="4" name="commondata">
    <vt:lpwstr>eyJoZGlkIjoiYmIzODk5NjA5YWJhMTU2NTMwYWIyNDBlYjhlNTBiNDUifQ==</vt:lpwstr>
  </property>
</Properties>
</file>