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eastAsia="宋体"/>
          <w:b/>
          <w:bCs/>
          <w:sz w:val="32"/>
          <w:szCs w:val="32"/>
          <w:lang w:val="en-US" w:eastAsia="zh-CN"/>
        </w:rPr>
      </w:pPr>
      <w:r>
        <w:rPr>
          <w:rFonts w:hint="eastAsia"/>
          <w:b/>
          <w:sz w:val="28"/>
          <w:szCs w:val="28"/>
        </w:rPr>
        <w:t>修正表</w:t>
      </w:r>
    </w:p>
    <w:tbl>
      <w:tblPr>
        <w:tblStyle w:val="13"/>
        <w:tblW w:w="92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70"/>
        <w:gridCol w:w="1609"/>
        <w:gridCol w:w="50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4179" w:type="dxa"/>
            <w:gridSpan w:val="2"/>
            <w:vAlign w:val="center"/>
          </w:tcPr>
          <w:p>
            <w:pPr>
              <w:keepNext w:val="0"/>
              <w:keepLines w:val="0"/>
              <w:pageBreakBefore w:val="0"/>
              <w:widowControl w:val="0"/>
              <w:kinsoku/>
              <w:wordWrap/>
              <w:overflowPunct/>
              <w:topLinePunct w:val="0"/>
              <w:autoSpaceDE/>
              <w:autoSpaceDN/>
              <w:bidi w:val="0"/>
              <w:ind w:firstLine="0" w:firstLineChars="0"/>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评审意见</w:t>
            </w:r>
          </w:p>
        </w:tc>
        <w:tc>
          <w:tcPr>
            <w:tcW w:w="5060" w:type="dxa"/>
            <w:vAlign w:val="center"/>
          </w:tcPr>
          <w:p>
            <w:pPr>
              <w:keepNext w:val="0"/>
              <w:keepLines w:val="0"/>
              <w:pageBreakBefore w:val="0"/>
              <w:widowControl w:val="0"/>
              <w:kinsoku/>
              <w:wordWrap/>
              <w:overflowPunct/>
              <w:topLinePunct w:val="0"/>
              <w:autoSpaceDE/>
              <w:autoSpaceDN/>
              <w:bidi w:val="0"/>
              <w:ind w:firstLine="0" w:firstLineChars="0"/>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修改说明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4179" w:type="dxa"/>
            <w:gridSpan w:val="2"/>
            <w:vAlign w:val="center"/>
          </w:tcPr>
          <w:p>
            <w:pPr>
              <w:rPr>
                <w:rFonts w:hint="eastAsia"/>
                <w:lang w:val="en-US" w:eastAsia="zh-CN"/>
              </w:rPr>
            </w:pPr>
            <w:r>
              <w:rPr>
                <w:rFonts w:hint="eastAsia"/>
                <w:lang w:val="en-US" w:eastAsia="zh-CN"/>
              </w:rPr>
              <w:t>1、补充核实主要原料来源情况、产品市场供需情况、项目拟建设用地的现状和利用规划，进一步说明项目建设的必要性和选址的合理性。核实项目与“三线一单”的符合性分析。核实项目与《关于进一步规范和加强产业园区生态环境管理的通知》（湘环发[2020] 27号）、《湖南省人民政府办公厅关于加快推进产业园区改革和创新发展的实施意见》（湘政办发[2018]15号）要求的符合性分析。核实项目与《产业结构调整指导目录（2019年本）》的符合性分析。</w:t>
            </w:r>
          </w:p>
        </w:tc>
        <w:tc>
          <w:tcPr>
            <w:tcW w:w="5060" w:type="dxa"/>
            <w:vAlign w:val="center"/>
          </w:tcPr>
          <w:p>
            <w:pPr>
              <w:rPr>
                <w:rFonts w:hint="default" w:ascii="Times New Roman" w:hAnsi="Times New Roman" w:eastAsia="宋体" w:cs="Times New Roman"/>
                <w:kern w:val="2"/>
                <w:sz w:val="21"/>
                <w:szCs w:val="21"/>
                <w:lang w:val="en-US" w:eastAsia="zh-CN" w:bidi="ar-SA"/>
              </w:rPr>
            </w:pPr>
            <w:r>
              <w:rPr>
                <w:rFonts w:hint="eastAsia"/>
                <w:lang w:val="en-US" w:eastAsia="zh-CN"/>
              </w:rPr>
              <w:t>已补充核实主要原料来源情况、产品市场供需情况、项目拟建设用地的现状和利用规划，进一步说明项目建设的必要性和选址的合理性，详见P6、4。核实项目与“三线一单”的符合性分析，详见P2-4。已核实项目与《关于进一步规范和加强产业园区生态环境管理的通知》（湘环发[2020] 27号）、《湖南省人民政府办公厅关于加快推进产业园区改革和创新发展的实施意见》（湘政办发[2018]15号）要求的符合性分析。已核实项目与《产业结构调整指导目录（2019年本）》的符合性分析，详见P1、2。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4179" w:type="dxa"/>
            <w:gridSpan w:val="2"/>
            <w:vAlign w:val="center"/>
          </w:tcPr>
          <w:p>
            <w:pPr>
              <w:rPr>
                <w:rFonts w:hint="eastAsia"/>
                <w:lang w:val="en-US" w:eastAsia="zh-CN"/>
              </w:rPr>
            </w:pPr>
            <w:r>
              <w:rPr>
                <w:rFonts w:hint="eastAsia"/>
                <w:lang w:val="en-US" w:eastAsia="zh-CN"/>
              </w:rPr>
              <w:t>2、核实项目占地面积、占地范围，补充项目租赁场地的用地性质说明。核实项目建设内容，完善项目组成一览表。核实设备清单、原辅材料来源、消耗情况。完善产品方案和运输方案。</w:t>
            </w:r>
          </w:p>
        </w:tc>
        <w:tc>
          <w:tcPr>
            <w:tcW w:w="5060" w:type="dxa"/>
            <w:vAlign w:val="center"/>
          </w:tcPr>
          <w:p>
            <w:pPr>
              <w:rPr>
                <w:rFonts w:hint="default" w:ascii="Times New Roman" w:hAnsi="Times New Roman" w:eastAsia="宋体" w:cs="Times New Roman"/>
                <w:kern w:val="2"/>
                <w:sz w:val="21"/>
                <w:szCs w:val="21"/>
                <w:lang w:val="en-US" w:eastAsia="zh-CN" w:bidi="ar-SA"/>
              </w:rPr>
            </w:pPr>
            <w:r>
              <w:rPr>
                <w:rFonts w:hint="eastAsia"/>
                <w:lang w:val="en-US" w:eastAsia="zh-CN"/>
              </w:rPr>
              <w:t>已核实项目占地面积、占地范围，补充项目租赁场地的用地性质说明，详见P6。已核实项目建设内容，完善项目组成一览表。已核实设备清单、原辅材料来源、消耗情况。完善产品方案和运输方案，详见P7-8。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4179" w:type="dxa"/>
            <w:gridSpan w:val="2"/>
            <w:vAlign w:val="center"/>
          </w:tcPr>
          <w:p>
            <w:pPr>
              <w:rPr>
                <w:rFonts w:hint="eastAsia"/>
                <w:lang w:val="en-US" w:eastAsia="zh-CN"/>
              </w:rPr>
            </w:pPr>
            <w:r>
              <w:rPr>
                <w:rFonts w:hint="eastAsia"/>
                <w:lang w:val="en-US" w:eastAsia="zh-CN"/>
              </w:rPr>
              <w:t>3、核实项目建设地周边的情况调查，核实环境保护目标、评价标准。补充黄丝凼水库水文情况、主要功能、水质监测。完善环境质量现状监测数据的有效性、代表性。补充雨水排放路径图。</w:t>
            </w:r>
          </w:p>
        </w:tc>
        <w:tc>
          <w:tcPr>
            <w:tcW w:w="5060" w:type="dxa"/>
            <w:vAlign w:val="center"/>
          </w:tcPr>
          <w:p>
            <w:pPr>
              <w:rPr>
                <w:rFonts w:hint="default" w:ascii="Times New Roman" w:hAnsi="Times New Roman" w:eastAsia="宋体" w:cs="Times New Roman"/>
                <w:kern w:val="2"/>
                <w:sz w:val="21"/>
                <w:szCs w:val="21"/>
                <w:lang w:val="en-US" w:eastAsia="zh-CN" w:bidi="ar-SA"/>
              </w:rPr>
            </w:pPr>
            <w:r>
              <w:rPr>
                <w:rFonts w:hint="eastAsia"/>
                <w:lang w:val="en-US" w:eastAsia="zh-CN"/>
              </w:rPr>
              <w:t>已核实项目建设地周边的情况调查，核实环境保护目标、评价标准，详见P16。已补充黄丝凼水库水文情况、主要功能，详见P14。已完善环境质量现状监测数据的有效性、代表性，详见P13-15。补充雨水排放路径图，详见P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4179" w:type="dxa"/>
            <w:gridSpan w:val="2"/>
            <w:vAlign w:val="center"/>
          </w:tcPr>
          <w:p>
            <w:pPr>
              <w:rPr>
                <w:rFonts w:hint="eastAsia"/>
                <w:lang w:val="en-US" w:eastAsia="zh-CN"/>
              </w:rPr>
            </w:pPr>
            <w:r>
              <w:rPr>
                <w:rFonts w:hint="eastAsia"/>
                <w:lang w:val="en-US" w:eastAsia="zh-CN"/>
              </w:rPr>
              <w:t>4、细化说明粉尘产污环节、产生情况、处理措施、处理效率、排放情况及其排放方式，补充达标排放可行性分析及其对周边环保目标的影响分析，核实废气监测要求。</w:t>
            </w:r>
          </w:p>
        </w:tc>
        <w:tc>
          <w:tcPr>
            <w:tcW w:w="5060" w:type="dxa"/>
            <w:vAlign w:val="center"/>
          </w:tcPr>
          <w:p>
            <w:pPr>
              <w:rPr>
                <w:rFonts w:hint="default" w:ascii="Times New Roman" w:hAnsi="Times New Roman" w:eastAsia="宋体" w:cs="Times New Roman"/>
                <w:kern w:val="2"/>
                <w:sz w:val="21"/>
                <w:szCs w:val="21"/>
                <w:lang w:val="en-US" w:eastAsia="zh-CN" w:bidi="ar-SA"/>
              </w:rPr>
            </w:pPr>
            <w:r>
              <w:rPr>
                <w:rFonts w:hint="eastAsia"/>
                <w:lang w:val="en-US" w:eastAsia="zh-CN"/>
              </w:rPr>
              <w:t>已细化说明粉尘产污环节、产生情况、处理措施、处理效率、排放情况及其排放方式，补充达标排放可行性分析及其对周边环保目标的影响分析，核实废气监测要求，详见P26-29。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4179" w:type="dxa"/>
            <w:gridSpan w:val="2"/>
            <w:tcBorders>
              <w:bottom w:val="single" w:color="auto" w:sz="4" w:space="0"/>
            </w:tcBorders>
            <w:vAlign w:val="center"/>
          </w:tcPr>
          <w:p>
            <w:pPr>
              <w:rPr>
                <w:rFonts w:hint="eastAsia"/>
                <w:lang w:val="en-US" w:eastAsia="zh-CN"/>
              </w:rPr>
            </w:pPr>
            <w:r>
              <w:rPr>
                <w:rFonts w:hint="eastAsia"/>
                <w:lang w:val="en-US" w:eastAsia="zh-CN"/>
              </w:rPr>
              <w:t>5、核实废水产排情况及废水不外排的可行性，细化污水处置措施。</w:t>
            </w:r>
          </w:p>
        </w:tc>
        <w:tc>
          <w:tcPr>
            <w:tcW w:w="5060" w:type="dxa"/>
            <w:tcBorders>
              <w:bottom w:val="single" w:color="auto" w:sz="4" w:space="0"/>
            </w:tcBorders>
            <w:vAlign w:val="center"/>
          </w:tcPr>
          <w:p>
            <w:pPr>
              <w:rPr>
                <w:rFonts w:hint="default" w:ascii="Times New Roman" w:hAnsi="Times New Roman" w:eastAsia="宋体" w:cs="Times New Roman"/>
                <w:kern w:val="2"/>
                <w:sz w:val="21"/>
                <w:szCs w:val="21"/>
                <w:lang w:val="en-US" w:eastAsia="zh-CN" w:bidi="ar-SA"/>
              </w:rPr>
            </w:pPr>
            <w:r>
              <w:rPr>
                <w:rFonts w:hint="eastAsia"/>
                <w:lang w:val="en-US" w:eastAsia="zh-CN"/>
              </w:rPr>
              <w:t>已核实废水产排情况及废水不外排的可行性，细化污水处置措施，详见P22。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4179" w:type="dxa"/>
            <w:gridSpan w:val="2"/>
            <w:tcBorders>
              <w:bottom w:val="single" w:color="auto" w:sz="4" w:space="0"/>
            </w:tcBorders>
            <w:vAlign w:val="center"/>
          </w:tcPr>
          <w:p>
            <w:pPr>
              <w:rPr>
                <w:rFonts w:hint="eastAsia"/>
                <w:lang w:val="en-US" w:eastAsia="zh-CN"/>
              </w:rPr>
            </w:pPr>
            <w:r>
              <w:rPr>
                <w:rFonts w:hint="eastAsia"/>
                <w:lang w:val="en-US" w:eastAsia="zh-CN"/>
              </w:rPr>
              <w:t>6、核实噪声源及其分布情况，核实噪声预测结果及监测要求。核实固废种类、属性、暂存处置措施及去向。根据柴油用量和厂内储存量，核实项目风险物质，完善项目环境风险评价内容。</w:t>
            </w:r>
          </w:p>
        </w:tc>
        <w:tc>
          <w:tcPr>
            <w:tcW w:w="5060" w:type="dxa"/>
            <w:tcBorders>
              <w:bottom w:val="single" w:color="auto" w:sz="4" w:space="0"/>
            </w:tcBorders>
            <w:vAlign w:val="center"/>
          </w:tcPr>
          <w:p>
            <w:pPr>
              <w:rPr>
                <w:rFonts w:hint="default" w:ascii="Times New Roman" w:hAnsi="Times New Roman" w:eastAsia="宋体" w:cs="Times New Roman"/>
                <w:kern w:val="2"/>
                <w:sz w:val="21"/>
                <w:szCs w:val="21"/>
                <w:lang w:val="en-US" w:eastAsia="zh-CN" w:bidi="ar-SA"/>
              </w:rPr>
            </w:pPr>
            <w:r>
              <w:rPr>
                <w:rFonts w:hint="eastAsia"/>
                <w:lang w:val="en-US" w:eastAsia="zh-CN"/>
              </w:rPr>
              <w:t>已核实噪声源及其分布情况，核实噪声预测结果及监测要求。核实固废种类、属性、暂存处置措施及去向。根据柴油用量和厂内储存量，核实项目风险物质，完善项目环境风险评价内容，详见P29-35。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4179" w:type="dxa"/>
            <w:gridSpan w:val="2"/>
            <w:tcBorders>
              <w:bottom w:val="single" w:color="auto" w:sz="4" w:space="0"/>
            </w:tcBorders>
            <w:vAlign w:val="center"/>
          </w:tcPr>
          <w:p>
            <w:pPr>
              <w:rPr>
                <w:rFonts w:hint="eastAsia"/>
                <w:lang w:val="en-US" w:eastAsia="zh-CN"/>
              </w:rPr>
            </w:pPr>
            <w:r>
              <w:rPr>
                <w:rFonts w:hint="eastAsia"/>
                <w:lang w:val="en-US" w:eastAsia="zh-CN"/>
              </w:rPr>
              <w:t>7、完善环境保护措施监督检查清单、项目竣工环境保护验收内容、附图、附件。</w:t>
            </w:r>
          </w:p>
        </w:tc>
        <w:tc>
          <w:tcPr>
            <w:tcW w:w="5060" w:type="dxa"/>
            <w:tcBorders>
              <w:bottom w:val="single" w:color="auto" w:sz="4" w:space="0"/>
            </w:tcBorders>
            <w:vAlign w:val="center"/>
          </w:tcPr>
          <w:p>
            <w:pPr>
              <w:rPr>
                <w:rFonts w:hint="default" w:ascii="Times New Roman" w:hAnsi="Times New Roman" w:eastAsia="宋体" w:cs="Times New Roman"/>
                <w:kern w:val="2"/>
                <w:sz w:val="21"/>
                <w:szCs w:val="21"/>
                <w:lang w:val="en-US" w:eastAsia="zh-CN" w:bidi="ar-SA"/>
              </w:rPr>
            </w:pPr>
            <w:r>
              <w:rPr>
                <w:rFonts w:hint="eastAsia"/>
                <w:lang w:val="en-US" w:eastAsia="zh-CN"/>
              </w:rPr>
              <w:t>已完善环境保护措施监督检查清单、项目竣工环境保护验收内容、附图、附件，详见P35-39、附图、附件</w:t>
            </w:r>
            <w:bookmarkStart w:id="0" w:name="_GoBack"/>
            <w:bookmarkEnd w:id="0"/>
            <w:r>
              <w:rPr>
                <w:rFonts w:hint="eastAsia"/>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7" w:hRule="atLeast"/>
        </w:trPr>
        <w:tc>
          <w:tcPr>
            <w:tcW w:w="2570"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ind w:firstLine="0" w:firstLineChars="0"/>
              <w:jc w:val="both"/>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专家复核签字栏</w:t>
            </w:r>
          </w:p>
        </w:tc>
        <w:tc>
          <w:tcPr>
            <w:tcW w:w="6669"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ind w:firstLine="0" w:firstLineChars="0"/>
              <w:jc w:val="both"/>
              <w:textAlignment w:val="auto"/>
              <w:rPr>
                <w:rFonts w:hint="eastAsia" w:asciiTheme="minorEastAsia" w:hAnsiTheme="minorEastAsia" w:eastAsiaTheme="minorEastAsia" w:cstheme="minorEastAsia"/>
                <w:sz w:val="21"/>
                <w:szCs w:val="21"/>
                <w:lang w:val="en-US" w:eastAsia="zh-CN"/>
              </w:rPr>
            </w:pPr>
          </w:p>
        </w:tc>
      </w:tr>
    </w:tbl>
    <w:p>
      <w:pPr>
        <w:pStyle w:val="19"/>
        <w:rPr>
          <w:rFonts w:hint="eastAsia" w:eastAsia="宋体"/>
          <w:lang w:eastAsia="zh-CN"/>
        </w:rPr>
      </w:pPr>
    </w:p>
    <w:p>
      <w:pPr>
        <w:rPr>
          <w:rFonts w:hint="eastAsia"/>
          <w:lang w:eastAsia="zh-CN"/>
        </w:rPr>
        <w:sectPr>
          <w:pgSz w:w="11906" w:h="16838"/>
          <w:pgMar w:top="703" w:right="1800" w:bottom="703" w:left="1800" w:header="851" w:footer="992" w:gutter="0"/>
          <w:cols w:space="425" w:num="1"/>
          <w:docGrid w:type="lines" w:linePitch="312" w:charSpace="0"/>
        </w:sectPr>
      </w:pPr>
    </w:p>
    <w:p>
      <w:pPr>
        <w:pStyle w:val="19"/>
        <w:rPr>
          <w:rFonts w:hint="eastAsia"/>
          <w:lang w:eastAsia="zh-CN"/>
        </w:rPr>
      </w:pPr>
      <w:r>
        <w:drawing>
          <wp:inline distT="0" distB="0" distL="114300" distR="114300">
            <wp:extent cx="9797415" cy="6050280"/>
            <wp:effectExtent l="0" t="0" r="13335"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4"/>
                    <a:stretch>
                      <a:fillRect/>
                    </a:stretch>
                  </pic:blipFill>
                  <pic:spPr>
                    <a:xfrm>
                      <a:off x="0" y="0"/>
                      <a:ext cx="9797415" cy="6050280"/>
                    </a:xfrm>
                    <a:prstGeom prst="rect">
                      <a:avLst/>
                    </a:prstGeom>
                    <a:noFill/>
                    <a:ln>
                      <a:noFill/>
                    </a:ln>
                  </pic:spPr>
                </pic:pic>
              </a:graphicData>
            </a:graphic>
          </wp:inline>
        </w:drawing>
      </w:r>
    </w:p>
    <w:sectPr>
      <w:pgSz w:w="16838" w:h="11906" w:orient="landscape"/>
      <w:pgMar w:top="624" w:right="703" w:bottom="624" w:left="703"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swiss"/>
    <w:pitch w:val="default"/>
    <w:sig w:usb0="E0002EFF" w:usb1="C000785B"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Arial Black">
    <w:panose1 w:val="020B0A04020102020204"/>
    <w:charset w:val="00"/>
    <w:family w:val="swiss"/>
    <w:pitch w:val="default"/>
    <w:sig w:usb0="A00002AF" w:usb1="400078FB" w:usb2="00000000" w:usb3="00000000" w:csb0="6000009F" w:csb1="DFD7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6"/>
    <w:multiLevelType w:val="multilevel"/>
    <w:tmpl w:val="00000006"/>
    <w:lvl w:ilvl="0" w:tentative="0">
      <w:start w:val="1"/>
      <w:numFmt w:val="none"/>
      <w:suff w:val="nothing"/>
      <w:lvlText w:val="%1"/>
      <w:lvlJc w:val="left"/>
      <w:pPr>
        <w:ind w:left="0" w:firstLine="0"/>
      </w:pPr>
      <w:rPr>
        <w:rFonts w:hint="default" w:ascii="Times New Roman" w:hAnsi="Times New Roman"/>
        <w:b/>
        <w:i w:val="0"/>
        <w:sz w:val="21"/>
      </w:rPr>
    </w:lvl>
    <w:lvl w:ilvl="1" w:tentative="0">
      <w:start w:val="1"/>
      <w:numFmt w:val="decimal"/>
      <w:lvlText w:val="%2."/>
      <w:lvlJc w:val="left"/>
      <w:pPr>
        <w:ind w:left="0" w:firstLine="0"/>
      </w:pPr>
      <w:rPr>
        <w:rFonts w:hint="eastAsia"/>
        <w:b w:val="0"/>
        <w:i w:val="0"/>
        <w:sz w:val="32"/>
        <w:szCs w:val="32"/>
      </w:rPr>
    </w:lvl>
    <w:lvl w:ilvl="2" w:tentative="0">
      <w:start w:val="1"/>
      <w:numFmt w:val="decimal"/>
      <w:pStyle w:val="3"/>
      <w:suff w:val="nothing"/>
      <w:lvlText w:val="%1%2.%3　"/>
      <w:lvlJc w:val="left"/>
      <w:pPr>
        <w:ind w:left="426" w:firstLine="0"/>
      </w:pPr>
      <w:rPr>
        <w:rFonts w:hint="eastAsia" w:ascii="黑体" w:hAnsi="Times New Roman" w:eastAsia="黑体"/>
        <w:b w:val="0"/>
        <w:i w:val="0"/>
        <w:sz w:val="28"/>
        <w:szCs w:val="28"/>
      </w:rPr>
    </w:lvl>
    <w:lvl w:ilvl="3" w:tentative="0">
      <w:start w:val="1"/>
      <w:numFmt w:val="decimal"/>
      <w:pStyle w:val="18"/>
      <w:suff w:val="nothing"/>
      <w:lvlText w:val="%1%2.%3.%4　"/>
      <w:lvlJc w:val="left"/>
      <w:pPr>
        <w:ind w:left="0" w:firstLine="0"/>
      </w:pPr>
      <w:rPr>
        <w:rFonts w:hint="eastAsia" w:ascii="黑体" w:hAnsi="Times New Roman" w:eastAsia="黑体"/>
        <w:b w:val="0"/>
        <w:i w:val="0"/>
        <w:sz w:val="24"/>
        <w:szCs w:val="24"/>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
    <w:nsid w:val="74FC2B99"/>
    <w:multiLevelType w:val="multilevel"/>
    <w:tmpl w:val="74FC2B99"/>
    <w:lvl w:ilvl="0" w:tentative="0">
      <w:start w:val="1"/>
      <w:numFmt w:val="decimal"/>
      <w:pStyle w:val="6"/>
      <w:lvlText w:val="第 %1 章"/>
      <w:lvlJc w:val="left"/>
      <w:pPr>
        <w:tabs>
          <w:tab w:val="left" w:pos="1440"/>
        </w:tabs>
        <w:ind w:left="432" w:hanging="432"/>
      </w:pPr>
      <w:rPr>
        <w:rFonts w:hint="eastAsia"/>
      </w:rPr>
    </w:lvl>
    <w:lvl w:ilvl="1" w:tentative="0">
      <w:start w:val="1"/>
      <w:numFmt w:val="decimal"/>
      <w:pStyle w:val="2"/>
      <w:lvlText w:val="%1.%2"/>
      <w:lvlJc w:val="left"/>
      <w:pPr>
        <w:tabs>
          <w:tab w:val="left" w:pos="576"/>
        </w:tabs>
        <w:ind w:left="576" w:hanging="576"/>
      </w:pPr>
      <w:rPr>
        <w:rFonts w:hint="eastAsia"/>
      </w:rPr>
    </w:lvl>
    <w:lvl w:ilvl="2" w:tentative="0">
      <w:start w:val="1"/>
      <w:numFmt w:val="decimal"/>
      <w:lvlText w:val="%1.%2.%3"/>
      <w:lvlJc w:val="left"/>
      <w:pPr>
        <w:tabs>
          <w:tab w:val="left" w:pos="720"/>
        </w:tabs>
        <w:ind w:left="720" w:hanging="720"/>
      </w:pPr>
      <w:rPr>
        <w:rFonts w:hint="eastAsia"/>
      </w:rPr>
    </w:lvl>
    <w:lvl w:ilvl="3" w:tentative="0">
      <w:start w:val="1"/>
      <w:numFmt w:val="decimal"/>
      <w:lvlText w:val="%1.%2.%3.%4"/>
      <w:lvlJc w:val="left"/>
      <w:pPr>
        <w:tabs>
          <w:tab w:val="left" w:pos="864"/>
        </w:tabs>
        <w:ind w:left="864" w:hanging="864"/>
      </w:pPr>
      <w:rPr>
        <w:rFonts w:hint="eastAsia"/>
      </w:rPr>
    </w:lvl>
    <w:lvl w:ilvl="4" w:tentative="0">
      <w:start w:val="1"/>
      <w:numFmt w:val="decimal"/>
      <w:lvlText w:val="%1.%2.%3.%4.%5"/>
      <w:lvlJc w:val="left"/>
      <w:pPr>
        <w:tabs>
          <w:tab w:val="left" w:pos="1008"/>
        </w:tabs>
        <w:ind w:left="1008" w:hanging="1008"/>
      </w:pPr>
      <w:rPr>
        <w:rFonts w:hint="eastAsia"/>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90C0BFE"/>
    <w:rsid w:val="00373915"/>
    <w:rsid w:val="005C344F"/>
    <w:rsid w:val="007E2D67"/>
    <w:rsid w:val="010D0662"/>
    <w:rsid w:val="014B45FB"/>
    <w:rsid w:val="01845294"/>
    <w:rsid w:val="01AE2F77"/>
    <w:rsid w:val="01F73349"/>
    <w:rsid w:val="042415D2"/>
    <w:rsid w:val="04795C81"/>
    <w:rsid w:val="063D4B12"/>
    <w:rsid w:val="07603348"/>
    <w:rsid w:val="09DE3124"/>
    <w:rsid w:val="0AB40521"/>
    <w:rsid w:val="0B2946E6"/>
    <w:rsid w:val="0D3908D4"/>
    <w:rsid w:val="0D8723DF"/>
    <w:rsid w:val="0D922A11"/>
    <w:rsid w:val="0F701562"/>
    <w:rsid w:val="0F7D16FF"/>
    <w:rsid w:val="10574B11"/>
    <w:rsid w:val="107E425A"/>
    <w:rsid w:val="11057FCC"/>
    <w:rsid w:val="114E3EAF"/>
    <w:rsid w:val="11894D12"/>
    <w:rsid w:val="12A3764A"/>
    <w:rsid w:val="146F41D1"/>
    <w:rsid w:val="14FE5904"/>
    <w:rsid w:val="15AA6F86"/>
    <w:rsid w:val="15D936E5"/>
    <w:rsid w:val="163F771B"/>
    <w:rsid w:val="16BE21C9"/>
    <w:rsid w:val="16C754CF"/>
    <w:rsid w:val="17C75294"/>
    <w:rsid w:val="18494752"/>
    <w:rsid w:val="18B435A0"/>
    <w:rsid w:val="1A684C42"/>
    <w:rsid w:val="1B0963B4"/>
    <w:rsid w:val="1BE86D0D"/>
    <w:rsid w:val="1DA278AD"/>
    <w:rsid w:val="1F551C35"/>
    <w:rsid w:val="204B7799"/>
    <w:rsid w:val="25304D58"/>
    <w:rsid w:val="25D86B22"/>
    <w:rsid w:val="26672983"/>
    <w:rsid w:val="279021C7"/>
    <w:rsid w:val="28AD58A1"/>
    <w:rsid w:val="28CB3CBD"/>
    <w:rsid w:val="28CC5866"/>
    <w:rsid w:val="28FA7583"/>
    <w:rsid w:val="290C0BFE"/>
    <w:rsid w:val="2AD0208F"/>
    <w:rsid w:val="2C3832A1"/>
    <w:rsid w:val="2F437EFA"/>
    <w:rsid w:val="2FD3113D"/>
    <w:rsid w:val="309562AF"/>
    <w:rsid w:val="31691C3C"/>
    <w:rsid w:val="34C57FE1"/>
    <w:rsid w:val="34F57A6F"/>
    <w:rsid w:val="36C2236D"/>
    <w:rsid w:val="37C85FBE"/>
    <w:rsid w:val="3C2B6D87"/>
    <w:rsid w:val="3C81582D"/>
    <w:rsid w:val="3D1756C0"/>
    <w:rsid w:val="3F262782"/>
    <w:rsid w:val="40EF732E"/>
    <w:rsid w:val="43340A9D"/>
    <w:rsid w:val="435746A3"/>
    <w:rsid w:val="43D54774"/>
    <w:rsid w:val="44493759"/>
    <w:rsid w:val="44BB365F"/>
    <w:rsid w:val="45A46A58"/>
    <w:rsid w:val="46380E6A"/>
    <w:rsid w:val="46827CB2"/>
    <w:rsid w:val="46A002B0"/>
    <w:rsid w:val="47220CDE"/>
    <w:rsid w:val="498110E9"/>
    <w:rsid w:val="49EA7A9B"/>
    <w:rsid w:val="49FF4D9C"/>
    <w:rsid w:val="4E2B5A06"/>
    <w:rsid w:val="4EA1758C"/>
    <w:rsid w:val="4FF831B7"/>
    <w:rsid w:val="538E299D"/>
    <w:rsid w:val="545A5B9E"/>
    <w:rsid w:val="54CD4BCF"/>
    <w:rsid w:val="557754C4"/>
    <w:rsid w:val="55AA5F11"/>
    <w:rsid w:val="56BA3B8B"/>
    <w:rsid w:val="56E12B10"/>
    <w:rsid w:val="57617732"/>
    <w:rsid w:val="57A754E3"/>
    <w:rsid w:val="58C7519B"/>
    <w:rsid w:val="59476D24"/>
    <w:rsid w:val="59C238E3"/>
    <w:rsid w:val="59CE61D6"/>
    <w:rsid w:val="5B743872"/>
    <w:rsid w:val="5BB863CC"/>
    <w:rsid w:val="5BCB446D"/>
    <w:rsid w:val="5BD523B3"/>
    <w:rsid w:val="5C9046CF"/>
    <w:rsid w:val="5DFD753B"/>
    <w:rsid w:val="5FF24043"/>
    <w:rsid w:val="602F23AD"/>
    <w:rsid w:val="61105D4E"/>
    <w:rsid w:val="611162A6"/>
    <w:rsid w:val="625A11FE"/>
    <w:rsid w:val="62754F6F"/>
    <w:rsid w:val="629938D5"/>
    <w:rsid w:val="63823F4B"/>
    <w:rsid w:val="63F95605"/>
    <w:rsid w:val="644F5EE3"/>
    <w:rsid w:val="65220F8F"/>
    <w:rsid w:val="66D251CE"/>
    <w:rsid w:val="674F456D"/>
    <w:rsid w:val="68074629"/>
    <w:rsid w:val="6A2A20F5"/>
    <w:rsid w:val="6CBB1C62"/>
    <w:rsid w:val="6D2C0E16"/>
    <w:rsid w:val="6D535020"/>
    <w:rsid w:val="6EE61498"/>
    <w:rsid w:val="6F145C66"/>
    <w:rsid w:val="6F556D85"/>
    <w:rsid w:val="70AC48E5"/>
    <w:rsid w:val="70DE6853"/>
    <w:rsid w:val="714269BA"/>
    <w:rsid w:val="717A427D"/>
    <w:rsid w:val="7252096A"/>
    <w:rsid w:val="72666663"/>
    <w:rsid w:val="72E46C86"/>
    <w:rsid w:val="735C55AD"/>
    <w:rsid w:val="736D3D61"/>
    <w:rsid w:val="74283BAE"/>
    <w:rsid w:val="742D210B"/>
    <w:rsid w:val="749769F3"/>
    <w:rsid w:val="75B3152C"/>
    <w:rsid w:val="767D0EBD"/>
    <w:rsid w:val="76AB2154"/>
    <w:rsid w:val="76F37A9C"/>
    <w:rsid w:val="78E92DD9"/>
    <w:rsid w:val="79086A21"/>
    <w:rsid w:val="7914126D"/>
    <w:rsid w:val="79BF0C33"/>
    <w:rsid w:val="7A1F2601"/>
    <w:rsid w:val="7A3D3CCB"/>
    <w:rsid w:val="7A5514A1"/>
    <w:rsid w:val="7A7D20BF"/>
    <w:rsid w:val="7A8132E0"/>
    <w:rsid w:val="7A835683"/>
    <w:rsid w:val="7A8947C7"/>
    <w:rsid w:val="7C882D55"/>
    <w:rsid w:val="7CD153DE"/>
    <w:rsid w:val="7CDF1C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1"/>
      <w:lang w:val="en-US" w:eastAsia="zh-CN" w:bidi="ar-SA"/>
    </w:rPr>
  </w:style>
  <w:style w:type="paragraph" w:styleId="6">
    <w:name w:val="heading 1"/>
    <w:basedOn w:val="1"/>
    <w:next w:val="7"/>
    <w:qFormat/>
    <w:uiPriority w:val="0"/>
    <w:pPr>
      <w:keepNext/>
      <w:pageBreakBefore/>
      <w:numPr>
        <w:ilvl w:val="0"/>
        <w:numId w:val="1"/>
      </w:numPr>
      <w:tabs>
        <w:tab w:val="left" w:pos="1304"/>
        <w:tab w:val="left" w:pos="4680"/>
        <w:tab w:val="clear" w:pos="1440"/>
      </w:tabs>
      <w:spacing w:line="300" w:lineRule="auto"/>
      <w:ind w:left="4933" w:hanging="2053"/>
      <w:outlineLvl w:val="0"/>
    </w:pPr>
    <w:rPr>
      <w:rFonts w:ascii="黑体" w:hAnsi="宋体" w:eastAsia="黑体"/>
      <w:b/>
      <w:sz w:val="36"/>
      <w:szCs w:val="36"/>
    </w:rPr>
  </w:style>
  <w:style w:type="paragraph" w:styleId="2">
    <w:name w:val="heading 2"/>
    <w:basedOn w:val="3"/>
    <w:next w:val="1"/>
    <w:qFormat/>
    <w:uiPriority w:val="0"/>
    <w:pPr>
      <w:numPr>
        <w:ilvl w:val="1"/>
        <w:numId w:val="1"/>
      </w:numPr>
      <w:tabs>
        <w:tab w:val="left" w:pos="360"/>
        <w:tab w:val="left" w:pos="432"/>
        <w:tab w:val="left" w:pos="1021"/>
        <w:tab w:val="left" w:pos="1440"/>
      </w:tabs>
      <w:spacing w:before="120" w:line="300" w:lineRule="auto"/>
      <w:outlineLvl w:val="1"/>
    </w:pPr>
    <w:rPr>
      <w:rFonts w:ascii="宋体" w:hAnsi="宋体" w:eastAsia="黑体"/>
      <w:bCs/>
      <w:sz w:val="28"/>
    </w:rPr>
  </w:style>
  <w:style w:type="character" w:default="1" w:styleId="14">
    <w:name w:val="Default Paragraph Font"/>
    <w:semiHidden/>
    <w:qFormat/>
    <w:uiPriority w:val="0"/>
  </w:style>
  <w:style w:type="table" w:default="1" w:styleId="12">
    <w:name w:val="Normal Table"/>
    <w:semiHidden/>
    <w:qFormat/>
    <w:uiPriority w:val="0"/>
    <w:tblPr>
      <w:tblCellMar>
        <w:top w:w="0" w:type="dxa"/>
        <w:left w:w="108" w:type="dxa"/>
        <w:bottom w:w="0" w:type="dxa"/>
        <w:right w:w="108" w:type="dxa"/>
      </w:tblCellMar>
    </w:tblPr>
  </w:style>
  <w:style w:type="paragraph" w:customStyle="1" w:styleId="3">
    <w:name w:val="一级条标题"/>
    <w:basedOn w:val="4"/>
    <w:next w:val="1"/>
    <w:qFormat/>
    <w:uiPriority w:val="0"/>
    <w:pPr>
      <w:numPr>
        <w:ilvl w:val="2"/>
        <w:numId w:val="2"/>
      </w:numPr>
      <w:spacing w:before="0" w:beforeLines="0" w:after="0" w:afterLines="0"/>
      <w:outlineLvl w:val="2"/>
    </w:pPr>
  </w:style>
  <w:style w:type="paragraph" w:customStyle="1" w:styleId="4">
    <w:name w:val="章标题"/>
    <w:next w:val="5"/>
    <w:qFormat/>
    <w:uiPriority w:val="0"/>
    <w:pPr>
      <w:spacing w:before="156" w:beforeLines="50" w:after="156" w:afterLines="50"/>
      <w:jc w:val="both"/>
      <w:outlineLvl w:val="1"/>
    </w:pPr>
    <w:rPr>
      <w:rFonts w:ascii="黑体" w:hAnsi="Times New Roman" w:eastAsia="黑体" w:cs="Times New Roman"/>
      <w:sz w:val="21"/>
      <w:szCs w:val="22"/>
      <w:lang w:val="en-US" w:eastAsia="zh-CN" w:bidi="ar-SA"/>
    </w:rPr>
  </w:style>
  <w:style w:type="paragraph" w:customStyle="1" w:styleId="5">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7">
    <w:name w:val="君邦正文"/>
    <w:qFormat/>
    <w:uiPriority w:val="0"/>
    <w:pPr>
      <w:spacing w:after="60" w:line="360" w:lineRule="auto"/>
      <w:ind w:firstLine="480" w:firstLineChars="200"/>
      <w:jc w:val="both"/>
    </w:pPr>
    <w:rPr>
      <w:rFonts w:ascii="Times New Roman" w:hAnsi="Times New Roman" w:eastAsia="宋体" w:cs="Times New Roman"/>
      <w:bCs/>
      <w:snapToGrid w:val="0"/>
      <w:sz w:val="24"/>
      <w:szCs w:val="22"/>
      <w:lang w:val="en-US" w:eastAsia="zh-CN" w:bidi="ar-SA"/>
    </w:rPr>
  </w:style>
  <w:style w:type="paragraph" w:styleId="8">
    <w:name w:val="annotation text"/>
    <w:basedOn w:val="1"/>
    <w:qFormat/>
    <w:uiPriority w:val="0"/>
    <w:pPr>
      <w:jc w:val="left"/>
    </w:pPr>
  </w:style>
  <w:style w:type="paragraph" w:styleId="9">
    <w:name w:val="Body Text"/>
    <w:basedOn w:val="1"/>
    <w:next w:val="10"/>
    <w:qFormat/>
    <w:uiPriority w:val="0"/>
    <w:rPr>
      <w:kern w:val="0"/>
      <w:sz w:val="20"/>
    </w:rPr>
  </w:style>
  <w:style w:type="paragraph" w:customStyle="1" w:styleId="10">
    <w:name w:val="xl27"/>
    <w:basedOn w:val="1"/>
    <w:qFormat/>
    <w:uiPriority w:val="0"/>
    <w:pPr>
      <w:widowControl/>
      <w:pBdr>
        <w:bottom w:val="single" w:color="auto" w:sz="4" w:space="0"/>
        <w:right w:val="single" w:color="auto" w:sz="4" w:space="0"/>
      </w:pBdr>
      <w:spacing w:before="100" w:beforeAutospacing="1" w:after="100" w:afterAutospacing="1"/>
      <w:jc w:val="center"/>
    </w:pPr>
    <w:rPr>
      <w:kern w:val="0"/>
      <w:szCs w:val="21"/>
    </w:rPr>
  </w:style>
  <w:style w:type="paragraph" w:styleId="11">
    <w:name w:val="toc 2"/>
    <w:basedOn w:val="1"/>
    <w:next w:val="1"/>
    <w:semiHidden/>
    <w:qFormat/>
    <w:uiPriority w:val="0"/>
    <w:pPr>
      <w:ind w:left="210"/>
      <w:jc w:val="left"/>
    </w:pPr>
    <w:rPr>
      <w:smallCaps/>
      <w:sz w:val="20"/>
      <w:szCs w:val="20"/>
    </w:rPr>
  </w:style>
  <w:style w:type="table" w:styleId="13">
    <w:name w:val="Table Grid"/>
    <w:basedOn w:val="12"/>
    <w:qFormat/>
    <w:uiPriority w:val="0"/>
    <w:pPr>
      <w:widowControl w:val="0"/>
      <w:jc w:val="both"/>
    </w:pPr>
    <w:rPr>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15">
    <w:name w:val="Body Text Indent 21"/>
    <w:basedOn w:val="1"/>
    <w:qFormat/>
    <w:uiPriority w:val="0"/>
    <w:pPr>
      <w:spacing w:line="480" w:lineRule="auto"/>
      <w:ind w:left="420" w:leftChars="200" w:firstLine="510"/>
    </w:pPr>
    <w:rPr>
      <w:sz w:val="28"/>
    </w:rPr>
  </w:style>
  <w:style w:type="paragraph" w:customStyle="1" w:styleId="16">
    <w:name w:val="四级条标题"/>
    <w:basedOn w:val="17"/>
    <w:next w:val="5"/>
    <w:qFormat/>
    <w:uiPriority w:val="0"/>
    <w:pPr>
      <w:widowControl/>
      <w:numPr>
        <w:ilvl w:val="3"/>
        <w:numId w:val="0"/>
      </w:numPr>
      <w:outlineLvl w:val="5"/>
    </w:pPr>
    <w:rPr>
      <w:rFonts w:ascii="黑体" w:eastAsia="黑体"/>
      <w:kern w:val="0"/>
      <w:szCs w:val="20"/>
    </w:rPr>
  </w:style>
  <w:style w:type="paragraph" w:customStyle="1" w:styleId="17">
    <w:name w:val="三级条标题"/>
    <w:basedOn w:val="18"/>
    <w:next w:val="5"/>
    <w:qFormat/>
    <w:uiPriority w:val="0"/>
    <w:pPr>
      <w:numPr>
        <w:ilvl w:val="3"/>
        <w:numId w:val="0"/>
      </w:numPr>
      <w:outlineLvl w:val="4"/>
    </w:pPr>
  </w:style>
  <w:style w:type="paragraph" w:customStyle="1" w:styleId="18">
    <w:name w:val="二级条标题"/>
    <w:basedOn w:val="3"/>
    <w:next w:val="5"/>
    <w:qFormat/>
    <w:uiPriority w:val="0"/>
    <w:pPr>
      <w:numPr>
        <w:ilvl w:val="3"/>
        <w:numId w:val="2"/>
      </w:numPr>
      <w:outlineLvl w:val="3"/>
    </w:pPr>
  </w:style>
  <w:style w:type="paragraph" w:customStyle="1" w:styleId="19">
    <w:name w:val="Default"/>
    <w:next w:val="9"/>
    <w:qFormat/>
    <w:uiPriority w:val="0"/>
    <w:pPr>
      <w:widowControl w:val="0"/>
      <w:autoSpaceDE w:val="0"/>
      <w:autoSpaceDN w:val="0"/>
      <w:adjustRightInd w:val="0"/>
    </w:pPr>
    <w:rPr>
      <w:rFonts w:ascii="Times New Roman" w:hAnsi="Times New Roman" w:eastAsia="宋体" w:cs="Times New Roman"/>
      <w:color w:val="000000"/>
      <w:sz w:val="24"/>
      <w:szCs w:val="24"/>
      <w:lang w:val="en-US" w:eastAsia="zh-CN" w:bidi="ar-SA"/>
    </w:rPr>
  </w:style>
  <w:style w:type="paragraph" w:customStyle="1" w:styleId="20">
    <w:name w:val="表格文字"/>
    <w:basedOn w:val="9"/>
    <w:qFormat/>
    <w:uiPriority w:val="0"/>
    <w:pPr>
      <w:jc w:val="center"/>
    </w:pPr>
    <w:rPr>
      <w:rFonts w:ascii="仿宋_GB2312" w:hAnsi="Arial Black" w:eastAsia="仿宋_GB2312"/>
      <w:kern w:val="44"/>
      <w:sz w:val="24"/>
      <w:szCs w:val="20"/>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customXml" Target="../customXml/item1.xml"/><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mon\AppData\Roaming\Kingsoft\wps\addons\pool\win-i386\knewfileres_1.0.0.3\wps\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0.docx</Template>
  <Pages>1</Pages>
  <Words>0</Words>
  <Characters>0</Characters>
  <Lines>0</Lines>
  <Paragraphs>0</Paragraphs>
  <TotalTime>0</TotalTime>
  <ScaleCrop>false</ScaleCrop>
  <LinksUpToDate>false</LinksUpToDate>
  <CharactersWithSpaces>0</CharactersWithSpaces>
  <Application>WPS Office_11.1.0.10938_F1E327BC-269C-435d-A152-05C5408002CA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2019-12-06T01:53:00Z</dcterms:created>
  <dc:creator>mao</dc:creator>
  <cp:lastModifiedBy>ASUS</cp:lastModifiedBy>
  <dcterms:modified xsi:type="dcterms:W3CDTF">2021-10-24T16:12:14Z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2052-11.1.0.10938</vt:lpwstr>
  </property>
  <property fmtid="{D5CDD505-2E9C-101B-9397-08002B2CF9AE}" pid="3" name="ICV">
    <vt:lpwstr>5302CB01DB8E48F780660D0D2F98CF76</vt:lpwstr>
  </property>
</Properties>
</file>