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新宋体" w:hAnsi="新宋体" w:eastAsia="新宋体" w:cs="新宋体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hint="eastAsia" w:ascii="黑体" w:hAnsi="黑体" w:eastAsia="黑体" w:cs="黑体"/>
          <w:color w:val="70AD47"/>
          <w:sz w:val="84"/>
          <w:szCs w:val="84"/>
          <w14:glow w14:rad="38100">
            <w14:schemeClr w14:val="accent1">
              <w14:alpha w14:val="60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  <w14:props3d w14:extrusionH="0" w14:contourW="0" w14:prstMaterial="clear"/>
        </w:rPr>
        <w:t>邵阳市水环境质量月报</w:t>
      </w:r>
    </w:p>
    <w:p>
      <w:pPr>
        <w:jc w:val="center"/>
        <w:rPr>
          <w:rFonts w:ascii="新宋体" w:hAnsi="新宋体" w:eastAsia="新宋体" w:cs="新宋体"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</w:pP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202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:lang w:val="en-US" w:eastAsia="zh-CN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2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年第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:lang w:val="en-US" w:eastAsia="zh-CN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7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期（总第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:lang w:val="en-US" w:eastAsia="zh-CN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55</w:t>
      </w:r>
      <w:r>
        <w:rPr>
          <w:rFonts w:hint="eastAsia" w:ascii="新宋体" w:hAnsi="新宋体" w:eastAsia="新宋体" w:cs="新宋体"/>
          <w:b/>
          <w:bCs/>
          <w:color w:val="4472C4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期）</w:t>
      </w:r>
    </w:p>
    <w:p>
      <w:pPr>
        <w:jc w:val="center"/>
        <w:rPr>
          <w:rFonts w:ascii="新宋体" w:hAnsi="新宋体" w:eastAsia="新宋体" w:cs="新宋体"/>
          <w:color w:val="4472C4" w:themeColor="accent5"/>
          <w:spacing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</w:pPr>
    </w:p>
    <w:p>
      <w:pPr>
        <w:rPr>
          <w:rFonts w:ascii="新宋体" w:hAnsi="新宋体" w:eastAsia="新宋体" w:cs="新宋体"/>
          <w:color w:val="4472C4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</w:pPr>
      <w:r>
        <w:rPr>
          <w:rFonts w:hint="eastAsia" w:ascii="新宋体" w:hAnsi="新宋体" w:eastAsia="新宋体" w:cs="新宋体"/>
          <w:color w:val="4472C4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 xml:space="preserve"> </w:t>
      </w:r>
    </w:p>
    <w:p>
      <w:pPr>
        <w:jc w:val="center"/>
        <w:rPr>
          <w:rFonts w:ascii="新宋体" w:hAnsi="新宋体" w:eastAsia="新宋体" w:cs="新宋体"/>
          <w:b/>
          <w:bCs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hint="eastAsia"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湖南省邵阳生态环境监测中心                             202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:lang w:val="en-US" w:eastAsia="zh-CN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2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年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:lang w:val="en-US" w:eastAsia="zh-CN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8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月</w:t>
      </w:r>
      <w:r>
        <w:rPr>
          <w:rFonts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1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:lang w:val="en-US" w:eastAsia="zh-CN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0</w:t>
      </w:r>
      <w:r>
        <w:rPr>
          <w:rFonts w:hint="eastAsia" w:ascii="黑体" w:hAnsi="黑体" w:eastAsia="黑体" w:cs="黑体"/>
          <w:b/>
          <w:bCs/>
          <w:color w:val="4472C4" w:themeColor="accent5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/>
            </w14:gradFill>
          </w14:textFill>
        </w:rPr>
        <w:t>日</w:t>
      </w:r>
    </w:p>
    <w:p>
      <w:pPr>
        <w:spacing w:line="80" w:lineRule="exact"/>
        <w:rPr>
          <w:rFonts w:ascii="新宋体" w:hAnsi="新宋体" w:eastAsia="新宋体" w:cs="新宋体"/>
          <w:highlight w:val="blue"/>
          <w:u w:val="double"/>
        </w:rPr>
      </w:pPr>
      <w:r>
        <w:rPr>
          <w:rFonts w:hint="eastAsia" w:ascii="新宋体" w:hAnsi="新宋体" w:eastAsia="新宋体" w:cs="新宋体"/>
          <w:b/>
          <w:bCs/>
          <w:color w:val="4472C4" w:themeColor="accent5"/>
          <w:u w:val="thick"/>
          <w14:textFill>
            <w14:solidFill>
              <w14:schemeClr w14:val="accent5"/>
            </w14:solidFill>
          </w14:textFill>
        </w:rPr>
        <w:t xml:space="preserve">                                                                                   </w:t>
      </w:r>
    </w:p>
    <w:p>
      <w:pPr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 xml:space="preserve"> </w:t>
      </w:r>
    </w:p>
    <w:p>
      <w:pPr>
        <w:jc w:val="center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水环境质量概况</w:t>
      </w:r>
    </w:p>
    <w:p>
      <w:pPr>
        <w:spacing w:line="600" w:lineRule="exact"/>
        <w:ind w:firstLine="561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本月，邵阳市地表水总体水质为优。开展监测的5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个断面，</w:t>
      </w:r>
      <w:r>
        <w:rPr>
          <w:rFonts w:hint="eastAsia" w:ascii="仿宋" w:hAnsi="仿宋" w:eastAsia="仿宋" w:cs="仿宋"/>
          <w:sz w:val="28"/>
          <w:szCs w:val="28"/>
        </w:rPr>
        <w:t>Ⅰ</w:t>
      </w:r>
      <w:r>
        <w:rPr>
          <w:rFonts w:hint="eastAsia" w:ascii="新宋体" w:hAnsi="新宋体" w:eastAsia="新宋体" w:cs="新宋体"/>
          <w:sz w:val="28"/>
          <w:szCs w:val="28"/>
        </w:rPr>
        <w:t>类水质断面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6个，占11.3%；</w:t>
      </w:r>
      <w:r>
        <w:rPr>
          <w:rFonts w:hint="eastAsia" w:ascii="新宋体" w:hAnsi="新宋体" w:eastAsia="新宋体" w:cs="新宋体"/>
          <w:sz w:val="28"/>
          <w:szCs w:val="28"/>
        </w:rPr>
        <w:t>Ⅱ类水质断面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47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88.7</w:t>
      </w:r>
      <w:r>
        <w:rPr>
          <w:rFonts w:hint="eastAsia" w:ascii="新宋体" w:hAnsi="新宋体" w:eastAsia="新宋体" w:cs="新宋体"/>
          <w:sz w:val="28"/>
          <w:szCs w:val="28"/>
        </w:rPr>
        <w:t>%。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按照水质综合指数（CWQI）进行评价，全市12个县市区中新邵县、新宁县和邵东市地表水环境质量相对较好。</w:t>
      </w:r>
      <w:r>
        <w:rPr>
          <w:rFonts w:hint="eastAsia" w:ascii="新宋体" w:hAnsi="新宋体" w:eastAsia="新宋体" w:cs="新宋体"/>
          <w:sz w:val="28"/>
          <w:szCs w:val="28"/>
        </w:rPr>
        <w:t>邵阳市地表水断面水质类别比例情况详见图1。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textAlignment w:val="auto"/>
        <w:rPr>
          <w:rFonts w:ascii="新宋体" w:hAnsi="新宋体" w:eastAsia="新宋体" w:cs="新宋体"/>
          <w:sz w:val="28"/>
          <w:szCs w:val="28"/>
        </w:rPr>
      </w:pPr>
      <w:r>
        <w:drawing>
          <wp:inline distT="0" distB="0" distL="114300" distR="114300">
            <wp:extent cx="4572000" cy="2445385"/>
            <wp:effectExtent l="0" t="0" r="0" b="1206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300" w:lineRule="exact"/>
        <w:ind w:firstLine="561"/>
        <w:jc w:val="center"/>
        <w:rPr>
          <w:rFonts w:ascii="新宋体" w:hAnsi="新宋体" w:eastAsia="新宋体" w:cs="新宋体"/>
          <w:b/>
          <w:szCs w:val="21"/>
        </w:rPr>
      </w:pPr>
      <w:r>
        <w:rPr>
          <w:rFonts w:hint="eastAsia" w:ascii="新宋体" w:hAnsi="新宋体" w:eastAsia="新宋体" w:cs="新宋体"/>
          <w:b/>
          <w:szCs w:val="21"/>
        </w:rPr>
        <w:t xml:space="preserve">图1   </w:t>
      </w:r>
      <w:r>
        <w:rPr>
          <w:rFonts w:hint="eastAsia" w:ascii="新宋体" w:hAnsi="新宋体" w:eastAsia="新宋体" w:cs="新宋体"/>
          <w:b/>
          <w:szCs w:val="21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szCs w:val="21"/>
        </w:rPr>
        <w:t>月邵阳</w:t>
      </w:r>
      <w:r>
        <w:rPr>
          <w:rFonts w:ascii="新宋体" w:hAnsi="新宋体" w:eastAsia="新宋体" w:cs="新宋体"/>
          <w:b/>
          <w:szCs w:val="21"/>
        </w:rPr>
        <w:t>市</w:t>
      </w:r>
      <w:r>
        <w:rPr>
          <w:rFonts w:hint="eastAsia" w:ascii="新宋体" w:hAnsi="新宋体" w:eastAsia="新宋体" w:cs="新宋体"/>
          <w:b/>
          <w:szCs w:val="21"/>
        </w:rPr>
        <w:t>地表水断面水质</w:t>
      </w:r>
      <w:r>
        <w:rPr>
          <w:rFonts w:ascii="新宋体" w:hAnsi="新宋体" w:eastAsia="新宋体" w:cs="新宋体"/>
          <w:b/>
          <w:szCs w:val="21"/>
        </w:rPr>
        <w:t>类别比例情况</w:t>
      </w:r>
    </w:p>
    <w:p>
      <w:pPr>
        <w:numPr>
          <w:ilvl w:val="0"/>
          <w:numId w:val="1"/>
        </w:numPr>
        <w:spacing w:line="600" w:lineRule="exac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地表水环境质量状况</w:t>
      </w:r>
    </w:p>
    <w:p>
      <w:pPr>
        <w:spacing w:line="600" w:lineRule="exact"/>
        <w:ind w:firstLine="561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本月，资江、沅江、湘江和珠江水系总体水质为优。</w:t>
      </w:r>
    </w:p>
    <w:p>
      <w:pPr>
        <w:spacing w:line="600" w:lineRule="exact"/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开展监测的5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个断面中：15个国控断面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Ⅰ</w:t>
      </w:r>
      <w:r>
        <w:rPr>
          <w:rFonts w:hint="eastAsia" w:ascii="新宋体" w:hAnsi="新宋体" w:eastAsia="新宋体" w:cs="新宋体"/>
          <w:sz w:val="28"/>
          <w:szCs w:val="28"/>
        </w:rPr>
        <w:t>类水质断面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2个，占13.3%；</w:t>
      </w:r>
      <w:r>
        <w:rPr>
          <w:rFonts w:hint="eastAsia" w:ascii="新宋体" w:hAnsi="新宋体" w:eastAsia="新宋体" w:cs="新宋体"/>
          <w:sz w:val="28"/>
          <w:szCs w:val="28"/>
        </w:rPr>
        <w:t>Ⅱ类水质断面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13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86.7</w:t>
      </w:r>
      <w:r>
        <w:rPr>
          <w:rFonts w:hint="eastAsia" w:ascii="新宋体" w:hAnsi="新宋体" w:eastAsia="新宋体" w:cs="新宋体"/>
          <w:sz w:val="28"/>
          <w:szCs w:val="28"/>
        </w:rPr>
        <w:t>%。3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8"/>
          <w:szCs w:val="28"/>
        </w:rPr>
        <w:t>个省控考核断面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Ⅰ</w:t>
      </w:r>
      <w:r>
        <w:rPr>
          <w:rFonts w:hint="eastAsia" w:ascii="新宋体" w:hAnsi="新宋体" w:eastAsia="新宋体" w:cs="新宋体"/>
          <w:sz w:val="28"/>
          <w:szCs w:val="28"/>
        </w:rPr>
        <w:t>类水质断面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4个，占10.5%；</w:t>
      </w:r>
      <w:r>
        <w:rPr>
          <w:rFonts w:hint="eastAsia" w:ascii="新宋体" w:hAnsi="新宋体" w:eastAsia="新宋体" w:cs="新宋体"/>
          <w:sz w:val="28"/>
          <w:szCs w:val="28"/>
        </w:rPr>
        <w:t>Ⅱ类水质断面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34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89.5</w:t>
      </w:r>
      <w:r>
        <w:rPr>
          <w:rFonts w:hint="eastAsia" w:ascii="新宋体" w:hAnsi="新宋体" w:eastAsia="新宋体" w:cs="新宋体"/>
          <w:sz w:val="28"/>
          <w:szCs w:val="28"/>
        </w:rPr>
        <w:t>%。邵阳市国控、省控断面水质类别比例情况详见图2。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textAlignment w:val="auto"/>
        <w:rPr>
          <w:rFonts w:ascii="新宋体" w:hAnsi="新宋体" w:eastAsia="新宋体" w:cs="新宋体"/>
          <w:sz w:val="28"/>
          <w:szCs w:val="28"/>
        </w:rPr>
      </w:pPr>
      <w:r>
        <w:drawing>
          <wp:inline distT="0" distB="0" distL="114300" distR="114300">
            <wp:extent cx="4635500" cy="2839085"/>
            <wp:effectExtent l="5080" t="4445" r="7620" b="1397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tabs>
          <w:tab w:val="left" w:pos="3555"/>
        </w:tabs>
        <w:spacing w:before="156" w:beforeLines="50" w:line="460" w:lineRule="exact"/>
        <w:ind w:firstLine="151" w:firstLineChars="50"/>
        <w:outlineLvl w:val="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1、</w:t>
      </w:r>
      <w:r>
        <w:rPr>
          <w:rFonts w:hint="eastAsia" w:ascii="新宋体" w:hAnsi="新宋体" w:eastAsia="新宋体" w:cs="新宋体"/>
          <w:b/>
          <w:sz w:val="28"/>
          <w:szCs w:val="28"/>
        </w:rPr>
        <w:t>资江水质状况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本月，资江流域水质总体为优。开展监测的4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个断面，</w:t>
      </w:r>
      <w:r>
        <w:rPr>
          <w:rFonts w:hint="eastAsia" w:ascii="仿宋" w:hAnsi="仿宋" w:eastAsia="仿宋" w:cs="仿宋"/>
          <w:sz w:val="28"/>
          <w:szCs w:val="28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类水质断面4个，占9.8%；</w:t>
      </w:r>
      <w:r>
        <w:rPr>
          <w:rFonts w:hint="eastAsia" w:ascii="新宋体" w:hAnsi="新宋体" w:eastAsia="新宋体" w:cs="新宋体"/>
          <w:sz w:val="28"/>
          <w:szCs w:val="28"/>
        </w:rPr>
        <w:t>Ⅱ类水质断面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37</w:t>
      </w:r>
      <w:r>
        <w:rPr>
          <w:rFonts w:hint="eastAsia" w:ascii="新宋体" w:hAnsi="新宋体" w:eastAsia="新宋体" w:cs="新宋体"/>
          <w:sz w:val="28"/>
          <w:szCs w:val="28"/>
        </w:rPr>
        <w:t>个，占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90.2</w:t>
      </w:r>
      <w:r>
        <w:rPr>
          <w:rFonts w:hint="eastAsia" w:ascii="新宋体" w:hAnsi="新宋体" w:eastAsia="新宋体" w:cs="新宋体"/>
          <w:sz w:val="28"/>
          <w:szCs w:val="28"/>
        </w:rPr>
        <w:t>%。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与上月相比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渡头桥镇光辉村断面水质由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Ⅲ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类上升为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类；邵阳双江口、木瓜山水库、南岳庙3个断面水质由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类下降为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与上年同期相比，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武冈小水村、邵阳双江口、城西水厂、柏树、球溪、桐江兴隆、邵水梅子坝、渡头桥镇光辉村、邵水入河口、邵东洪桥村西洋江洪桥、大禹庙村11个断面水质由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Ⅲ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类上升为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类；威溪水库、枫树坑水库2个断面水质由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类上升为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类；黄家坝水库</w:t>
      </w:r>
      <w:r>
        <w:rPr>
          <w:rFonts w:hint="eastAsia" w:ascii="新宋体" w:hAnsi="新宋体" w:eastAsia="新宋体" w:cs="新宋体"/>
          <w:sz w:val="28"/>
          <w:szCs w:val="28"/>
        </w:rPr>
        <w:t>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水质</w:t>
      </w:r>
      <w:r>
        <w:rPr>
          <w:rFonts w:hint="eastAsia" w:ascii="新宋体" w:hAnsi="新宋体" w:eastAsia="新宋体" w:cs="新宋体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</w:t>
      </w:r>
      <w:r>
        <w:rPr>
          <w:rFonts w:hint="eastAsia" w:ascii="新宋体" w:hAnsi="新宋体" w:eastAsia="新宋体" w:cs="新宋体"/>
          <w:sz w:val="28"/>
          <w:szCs w:val="28"/>
        </w:rPr>
        <w:t>下降为Ⅱ类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</w:p>
    <w:p>
      <w:pPr>
        <w:spacing w:before="156" w:beforeLines="50" w:line="460" w:lineRule="exact"/>
        <w:ind w:right="-176" w:rightChars="-84"/>
        <w:rPr>
          <w:rFonts w:hint="eastAsia" w:ascii="新宋体" w:hAnsi="新宋体" w:eastAsia="新宋体" w:cs="新宋体"/>
          <w:b/>
          <w:sz w:val="30"/>
          <w:szCs w:val="30"/>
        </w:rPr>
      </w:pPr>
    </w:p>
    <w:p>
      <w:pPr>
        <w:spacing w:before="156" w:beforeLines="50" w:line="460" w:lineRule="exact"/>
        <w:ind w:right="-176" w:rightChars="-84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2、</w:t>
      </w:r>
      <w:r>
        <w:rPr>
          <w:rFonts w:hint="eastAsia" w:ascii="新宋体" w:hAnsi="新宋体" w:eastAsia="新宋体" w:cs="新宋体"/>
          <w:b/>
          <w:sz w:val="28"/>
          <w:szCs w:val="28"/>
        </w:rPr>
        <w:t>沅江水质状况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本月，沅江流域水质总体为优。开展监测的6个断面，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类水质断面2个，占33.3%；Ⅱ类水质断面4个，占比66.7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%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与上月相比，绥宁河口镇断面水质由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Ⅱ类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类；白云湖、儒林镇两河口2个断面水质由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下降为Ⅱ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与上年同期相比花园阁、绥宁河口镇2个断面水质由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类上升为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spacing w:before="156" w:beforeLines="50" w:line="460" w:lineRule="exact"/>
        <w:ind w:right="-176" w:rightChars="-84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3、</w:t>
      </w:r>
      <w:r>
        <w:rPr>
          <w:rFonts w:hint="eastAsia" w:ascii="新宋体" w:hAnsi="新宋体" w:eastAsia="新宋体" w:cs="新宋体"/>
          <w:b/>
          <w:sz w:val="28"/>
          <w:szCs w:val="28"/>
        </w:rPr>
        <w:t>湘江水质状况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本月，湘江流域水质总体为优。开展监测的5个断面，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类水质断面5个，占100%，水质为优。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与上月相比，湘江流域开展监测的5个断面水质保持为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与上年同期相比，捞金桥、泉塘边2个断面水质由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Ⅲ类上升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numPr>
          <w:ilvl w:val="0"/>
          <w:numId w:val="2"/>
        </w:numPr>
        <w:spacing w:before="156" w:beforeLines="50" w:line="460" w:lineRule="exact"/>
        <w:ind w:right="-176" w:rightChars="-84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珠江水质状况</w:t>
      </w:r>
    </w:p>
    <w:p>
      <w:pPr>
        <w:spacing w:before="156" w:beforeLines="50" w:line="460" w:lineRule="exact"/>
        <w:ind w:right="-176" w:rightChars="-84" w:firstLine="536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pacing w:val="-6"/>
          <w:sz w:val="28"/>
          <w:szCs w:val="28"/>
        </w:rPr>
        <w:t>本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月，珠江流域布龙断面水质为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类，水质为优。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与上月相比，珠江流域布龙断面水质为由Ⅱ类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上升为Ⅰ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与上年同期相比，珠江流域布龙断面水质由Ⅱ类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上升为Ⅰ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邵阳市国控、省控断面水质状况详见表1、表2，12个县市区地表水环境质量状况详见表3。</w:t>
      </w:r>
    </w:p>
    <w:p>
      <w:pPr>
        <w:spacing w:before="156" w:beforeLines="50" w:line="360" w:lineRule="exact"/>
        <w:ind w:right="-176" w:rightChars="-84" w:firstLine="482" w:firstLineChars="200"/>
        <w:jc w:val="center"/>
        <w:rPr>
          <w:rFonts w:ascii="新宋体" w:hAnsi="新宋体" w:eastAsia="新宋体" w:cs="新宋体"/>
          <w:spacing w:val="-4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</w:rPr>
        <w:t xml:space="preserve">表1  </w:t>
      </w: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 xml:space="preserve"> 7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>月邵阳市国控断面水质</w:t>
      </w: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状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>况</w:t>
      </w:r>
    </w:p>
    <w:tbl>
      <w:tblPr>
        <w:tblStyle w:val="8"/>
        <w:tblW w:w="9303" w:type="dxa"/>
        <w:tblInd w:w="93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82"/>
        <w:gridCol w:w="1350"/>
        <w:gridCol w:w="1649"/>
        <w:gridCol w:w="1080"/>
        <w:gridCol w:w="1080"/>
        <w:gridCol w:w="1081"/>
        <w:gridCol w:w="152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</w:trPr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城市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河流名称</w:t>
            </w:r>
          </w:p>
        </w:tc>
        <w:tc>
          <w:tcPr>
            <w:tcW w:w="1649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断面名称</w:t>
            </w:r>
          </w:p>
        </w:tc>
        <w:tc>
          <w:tcPr>
            <w:tcW w:w="3241" w:type="dxa"/>
            <w:gridSpan w:val="3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水质类别</w:t>
            </w:r>
          </w:p>
        </w:tc>
        <w:tc>
          <w:tcPr>
            <w:tcW w:w="1529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超Ⅲ类污染物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（超标倍数）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本月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上月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上年同期</w:t>
            </w:r>
          </w:p>
        </w:tc>
        <w:tc>
          <w:tcPr>
            <w:tcW w:w="15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衡阳市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湘江蒸水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联江村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邓元泰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渡头村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桂花渡水厂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晒谷滩电站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娄底市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球溪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资江蓼水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洞口县双江口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团结坝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窑市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金家坝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塘渡口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邵水入河口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娄底市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资江大洋江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金石桥龙口湾桥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绥宁河口镇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西江柳江寻江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>
      <w:pPr>
        <w:ind w:right="-592" w:rightChars="-282"/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备注：</w:t>
      </w: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>1.国控断面监测指标为"9+X"，其中∶"9"为基本指标∶水温、pH、溶解氧、电导率、浊度、高锰酸盐指数、氨氮、总磷、总氮（湖库增测叶绿素 a、透明度等指标）。"X"为特征指标∶《地表水环境质量标准》（GB3838-2002 表1基本项目中，除9项基本指标外，上一年及当年出现过的超过III类标准限值的指标，若断面考核目标为I或Ⅱ类则为超过I或Ⅱ类标准限值的指标。特征指标结合水污染防治工作需求动态调整。</w:t>
      </w:r>
    </w:p>
    <w:p>
      <w:pPr>
        <w:ind w:right="-592" w:rightChars="-282" w:firstLine="361" w:firstLineChars="200"/>
        <w:rPr>
          <w:rFonts w:hint="eastAsia" w:ascii="新宋体" w:hAnsi="新宋体" w:eastAsia="新宋体" w:cs="新宋体"/>
          <w:b/>
          <w:bCs/>
          <w:kern w:val="0"/>
          <w:sz w:val="24"/>
        </w:rPr>
      </w:pP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 xml:space="preserve">  2.</w:t>
      </w:r>
      <w:r>
        <w:rPr>
          <w:rFonts w:hint="eastAsia" w:ascii="新宋体" w:hAnsi="新宋体" w:eastAsia="新宋体" w:cs="新宋体"/>
          <w:b/>
          <w:sz w:val="18"/>
          <w:szCs w:val="18"/>
          <w:lang w:eastAsia="zh-CN"/>
        </w:rPr>
        <w:t>国控自动站</w:t>
      </w: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>9项基本指标数据为每天数据的月均值，"X"特征指标数据为每个季度手工采测分离监测数据。</w:t>
      </w:r>
    </w:p>
    <w:p>
      <w:pPr>
        <w:spacing w:before="156" w:beforeLines="50" w:after="156" w:afterLines="50" w:line="360" w:lineRule="exact"/>
        <w:ind w:right="-176" w:rightChars="-84" w:firstLine="482" w:firstLineChars="200"/>
        <w:jc w:val="center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</w:rPr>
        <w:t xml:space="preserve">表2   </w:t>
      </w: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>月邵阳市省控断面水质</w:t>
      </w: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状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>况</w:t>
      </w:r>
    </w:p>
    <w:tbl>
      <w:tblPr>
        <w:tblStyle w:val="8"/>
        <w:tblW w:w="9137" w:type="dxa"/>
        <w:tblInd w:w="93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90"/>
        <w:gridCol w:w="1170"/>
        <w:gridCol w:w="2010"/>
        <w:gridCol w:w="913"/>
        <w:gridCol w:w="862"/>
        <w:gridCol w:w="1074"/>
        <w:gridCol w:w="147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641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城市名称</w:t>
            </w:r>
          </w:p>
        </w:tc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河流名称</w:t>
            </w:r>
          </w:p>
        </w:tc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断面名称</w:t>
            </w:r>
          </w:p>
        </w:tc>
        <w:tc>
          <w:tcPr>
            <w:tcW w:w="2849" w:type="dxa"/>
            <w:gridSpan w:val="3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水质类别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超Ⅲ类污染物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（超标倍数）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本月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上月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上年同期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湘江蒸水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佘田桥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娄底市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湘江涟水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曾木冲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娄底市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湘江涟水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捞金桥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娄底市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湘江涟水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泉塘边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武冈小水村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红光水坝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乔家村渡口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隆回县水厂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元木山电站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邵阳双江口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工业街水厂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城西水厂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资江干流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柏树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资江玉溪河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威溪水库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资江蓼水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红岩坝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洞口县二水厂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木瓜桥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隆回县木瓜山水库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资江平溪江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南岳庙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资江辰水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辰水入资江口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宛家岔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金河村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邵阳县水厂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资江夫夷水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新寨入夫夷水口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桐江兴隆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邵水梅子坝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渡头桥镇光辉村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三合水库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黄家坝水库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枫树坑水库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邵东洪桥村西洋江洪桥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资江邵水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罗市社区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资江石马江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石马江入资江口（大禹庙村）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白云湖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儒林镇两河口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83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花园阁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Ⅰ类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游家湾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邵阳市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沅江巫水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虾子溪水厂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Ⅱ类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>
      <w:pPr>
        <w:ind w:right="-592" w:rightChars="-282"/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 xml:space="preserve">  </w:t>
      </w:r>
    </w:p>
    <w:p>
      <w:pPr>
        <w:ind w:right="-592" w:rightChars="-282"/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</w:pPr>
    </w:p>
    <w:p>
      <w:pPr>
        <w:ind w:right="-592" w:rightChars="-282"/>
        <w:jc w:val="center"/>
        <w:rPr>
          <w:rFonts w:hint="default" w:ascii="新宋体" w:hAnsi="新宋体" w:eastAsia="新宋体" w:cs="新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表3</w:t>
      </w:r>
      <w:r>
        <w:rPr>
          <w:rFonts w:hint="eastAsia" w:ascii="新宋体" w:hAnsi="新宋体" w:eastAsia="新宋体" w:cs="新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7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月份12个县市区地表水环境质量状况</w:t>
      </w:r>
    </w:p>
    <w:tbl>
      <w:tblPr>
        <w:tblStyle w:val="8"/>
        <w:tblW w:w="8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01"/>
        <w:gridCol w:w="1401"/>
        <w:gridCol w:w="1411"/>
        <w:gridCol w:w="146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全市排名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考核断面个数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水质综合指数（CWQI）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水质改善程度（△CWQI）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新邵县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2.8526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-19.97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新宁县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2.7994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-10.92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邵东市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3.6746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-10.49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城步县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2.5406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-9.29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双清区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3.3401</w:t>
            </w: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-9.11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洞口县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2.7773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</w:t>
            </w:r>
            <w:r>
              <w:rPr>
                <w:rStyle w:val="1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Ⅱ</w:t>
            </w:r>
            <w:r>
              <w:rPr>
                <w:rStyle w:val="15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北塔区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2.8771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</w:t>
            </w:r>
            <w:r>
              <w:rPr>
                <w:rStyle w:val="1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Ⅱ</w:t>
            </w:r>
            <w:r>
              <w:rPr>
                <w:rStyle w:val="15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绥宁县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2.4208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</w:t>
            </w:r>
            <w:r>
              <w:rPr>
                <w:rStyle w:val="1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Ⅱ</w:t>
            </w:r>
            <w:r>
              <w:rPr>
                <w:rStyle w:val="15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大祥区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3.2363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邵阳县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3.0564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</w:t>
            </w:r>
            <w:r>
              <w:rPr>
                <w:rStyle w:val="1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Ⅱ</w:t>
            </w:r>
            <w:r>
              <w:rPr>
                <w:rStyle w:val="15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武冈市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3.4600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</w:t>
            </w:r>
            <w:r>
              <w:rPr>
                <w:rStyle w:val="1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Ⅱ</w:t>
            </w:r>
            <w:r>
              <w:rPr>
                <w:rStyle w:val="15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隆回县</w:t>
            </w:r>
            <w:bookmarkStart w:id="7" w:name="_GoBack"/>
            <w:bookmarkEnd w:id="7"/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3.3289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均优于</w:t>
            </w:r>
            <w:r>
              <w:rPr>
                <w:rStyle w:val="1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Ⅱ</w:t>
            </w:r>
            <w:r>
              <w:rPr>
                <w:rStyle w:val="15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</w:t>
            </w:r>
          </w:p>
        </w:tc>
      </w:tr>
    </w:tbl>
    <w:p>
      <w:pPr>
        <w:ind w:right="-592" w:rightChars="-282"/>
        <w:rPr>
          <w:rFonts w:hint="default" w:ascii="新宋体" w:hAnsi="新宋体" w:eastAsia="新宋体" w:cs="新宋体"/>
          <w:b/>
          <w:sz w:val="18"/>
          <w:szCs w:val="18"/>
          <w:lang w:val="en-US" w:eastAsia="zh-CN"/>
        </w:rPr>
      </w:pPr>
    </w:p>
    <w:p>
      <w:pPr>
        <w:spacing w:before="156" w:beforeLines="50" w:after="156" w:afterLines="50" w:line="360" w:lineRule="exact"/>
        <w:ind w:right="-170" w:rightChars="-81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二、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饮用水水源地水质状况</w:t>
      </w:r>
    </w:p>
    <w:p>
      <w:pPr>
        <w:spacing w:before="156" w:beforeLines="50" w:line="460" w:lineRule="exact"/>
        <w:ind w:right="-176" w:rightChars="-84" w:firstLine="219" w:firstLineChars="78"/>
        <w:rPr>
          <w:rFonts w:ascii="新宋体" w:hAnsi="新宋体" w:eastAsia="新宋体" w:cs="新宋体"/>
          <w:spacing w:val="-6"/>
          <w:sz w:val="28"/>
          <w:szCs w:val="28"/>
        </w:rPr>
      </w:pPr>
      <w:bookmarkStart w:id="0" w:name="_Toc445285462"/>
      <w:r>
        <w:rPr>
          <w:rFonts w:hint="eastAsia" w:ascii="新宋体" w:hAnsi="新宋体" w:eastAsia="新宋体" w:cs="新宋体"/>
          <w:b/>
          <w:bCs/>
          <w:sz w:val="28"/>
          <w:szCs w:val="28"/>
        </w:rPr>
        <w:t xml:space="preserve"> 1、</w:t>
      </w:r>
      <w:r>
        <w:rPr>
          <w:rFonts w:hint="eastAsia" w:ascii="新宋体" w:hAnsi="新宋体" w:eastAsia="新宋体" w:cs="新宋体"/>
          <w:b/>
          <w:bCs/>
          <w:spacing w:val="-6"/>
          <w:sz w:val="28"/>
          <w:szCs w:val="28"/>
        </w:rPr>
        <w:t>市级饮用水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本月，邵阳市市级饮用水水源地水质均达标，水质达标率为100%。开展监测的4个市级饮用水断面，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类水质断面4个，占比100%。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与上月相比，桂花渡水厂、工业街水厂饮、木瓜山水库、城西水厂4个饮用水水源地水质保持为Ⅱ类。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与上年同期相比，城西水厂、木瓜山水库2个饮用水水源地水质由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Ⅲ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类上升为Ⅱ类。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饮用水水源地水质状况详见表4。</w:t>
      </w:r>
    </w:p>
    <w:p>
      <w:pPr>
        <w:spacing w:before="156" w:beforeLines="50" w:line="460" w:lineRule="exact"/>
        <w:ind w:right="-176" w:rightChars="-84" w:firstLine="1928" w:firstLineChars="800"/>
        <w:rPr>
          <w:rFonts w:ascii="新宋体" w:hAnsi="新宋体" w:eastAsia="新宋体" w:cs="新宋体"/>
          <w:b/>
          <w:bCs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</w:rPr>
        <w:t>表</w:t>
      </w: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 xml:space="preserve">   </w:t>
      </w: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>月市级饮用水水源地水质状况</w:t>
      </w:r>
    </w:p>
    <w:tbl>
      <w:tblPr>
        <w:tblStyle w:val="8"/>
        <w:tblW w:w="963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45"/>
        <w:gridCol w:w="1216"/>
        <w:gridCol w:w="1486"/>
        <w:gridCol w:w="1180"/>
        <w:gridCol w:w="841"/>
        <w:gridCol w:w="841"/>
        <w:gridCol w:w="1111"/>
        <w:gridCol w:w="13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1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045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地区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河流名称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1180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水源地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2793" w:type="dxa"/>
            <w:gridSpan w:val="3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水质类别</w:t>
            </w:r>
          </w:p>
        </w:tc>
        <w:tc>
          <w:tcPr>
            <w:tcW w:w="1396" w:type="dxa"/>
            <w:vMerge w:val="restart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主要污染指标（超标倍数）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本月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上月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去年同期</w:t>
            </w: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邵阳市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 xml:space="preserve">资江干流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桂花渡水厂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邵阳市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 xml:space="preserve">资江干流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城西水厂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邵阳市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 xml:space="preserve">资江干流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工业街水厂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河流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隆回县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资江赧水河西洋江河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木瓜山水库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湖库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Ⅱ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Ⅲ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/</w:t>
            </w:r>
          </w:p>
        </w:tc>
      </w:tr>
    </w:tbl>
    <w:p>
      <w:pPr>
        <w:spacing w:before="156" w:beforeLines="50" w:line="460" w:lineRule="exact"/>
        <w:ind w:right="-176" w:rightChars="-84"/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 xml:space="preserve"> </w:t>
      </w:r>
    </w:p>
    <w:p>
      <w:pPr>
        <w:ind w:right="-592" w:rightChars="-282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三、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1-7月水环境质量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bCs/>
          <w:spacing w:val="-6"/>
          <w:sz w:val="28"/>
          <w:szCs w:val="28"/>
          <w:lang w:val="en-US" w:eastAsia="zh-CN"/>
        </w:rPr>
        <w:t>.地表水环境质量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1-7月，按照国家“十四五”考核要求邵阳市国控和省控断面共53个。其中国控断面15个，15个国控断面中，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类水质2个；占比11.3%，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类水质13个，占比88.7%。省控断面38个，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类水质4个，占比10.5%；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类水质34个，占比89.5%。水质类别详见表5。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spacing w:before="156" w:beforeLines="50" w:line="460" w:lineRule="exact"/>
        <w:ind w:right="-176" w:rightChars="-84"/>
        <w:jc w:val="center"/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表5   1-7月地表水考核断面月度均值统计表</w:t>
      </w:r>
    </w:p>
    <w:tbl>
      <w:tblPr>
        <w:tblStyle w:val="8"/>
        <w:tblpPr w:leftFromText="180" w:rightFromText="180" w:vertAnchor="text" w:horzAnchor="page" w:tblpX="1593" w:tblpY="160"/>
        <w:tblW w:w="852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012"/>
        <w:gridCol w:w="1012"/>
        <w:gridCol w:w="1012"/>
        <w:gridCol w:w="1012"/>
        <w:gridCol w:w="1015"/>
        <w:gridCol w:w="12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8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水系名称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（个）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Ⅰ类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（个）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Ⅱ类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（个）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Ⅲ类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（个）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Ⅳ类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（个）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0ADEE6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超标项目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8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湘江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8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资江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8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沅江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8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珠江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D5FFFD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before="156" w:beforeLines="50" w:line="460" w:lineRule="exact"/>
        <w:ind w:right="-176" w:rightChars="-84" w:firstLine="560" w:firstLineChars="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1-7月按照国家“十四五”考核要求，水质总体为优，</w:t>
      </w:r>
      <w:r>
        <w:rPr>
          <w:rFonts w:hint="eastAsia" w:ascii="新宋体" w:hAnsi="新宋体" w:eastAsia="新宋体" w:cs="新宋体"/>
          <w:sz w:val="28"/>
          <w:szCs w:val="28"/>
        </w:rPr>
        <w:t>开展监测的5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个断面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均优于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类。</w:t>
      </w:r>
    </w:p>
    <w:p>
      <w:pPr>
        <w:spacing w:before="156" w:beforeLines="50" w:line="460" w:lineRule="exact"/>
        <w:ind w:right="-176" w:rightChars="-84"/>
        <w:jc w:val="center"/>
        <w:rPr>
          <w:rFonts w:hint="default" w:ascii="新宋体" w:hAnsi="新宋体" w:eastAsia="新宋体" w:cs="新宋体"/>
          <w:b/>
          <w:bCs/>
          <w:kern w:val="0"/>
          <w:sz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lang w:val="en-US" w:eastAsia="zh-CN"/>
        </w:rPr>
        <w:t>表6   1-7月12个县市区地表水环境质量状况</w:t>
      </w:r>
    </w:p>
    <w:tbl>
      <w:tblPr>
        <w:tblStyle w:val="8"/>
        <w:tblW w:w="8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01"/>
        <w:gridCol w:w="1401"/>
        <w:gridCol w:w="1411"/>
        <w:gridCol w:w="146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全市排名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考核断面个数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水质综合指数（CWQI）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水质改善程度（△CWQI）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ADE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城步县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2.3459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-13.09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2.5640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-0.37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均优于</w:t>
            </w:r>
            <w:r>
              <w:rPr>
                <w:rStyle w:val="14"/>
                <w:lang w:val="en-US" w:eastAsia="zh-CN" w:bidi="ar"/>
              </w:rPr>
              <w:t>Ⅱ</w:t>
            </w:r>
            <w:r>
              <w:rPr>
                <w:rStyle w:val="15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2.6676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-10.02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2.9092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-6.61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2.9556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-7.77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均优于Ⅱ类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洞口县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2.9556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-2.85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武冈市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3.0165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-11.96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北塔区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3.0609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-1.92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邵阳县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3.0913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大祥区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3.3291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-1.23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双清区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3.4894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-4.28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邵东市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3.6587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5FF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均优于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</w:tbl>
    <w:p>
      <w:pPr>
        <w:ind w:right="-592" w:rightChars="-282"/>
        <w:rPr>
          <w:rFonts w:hint="default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备注：</w:t>
      </w: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>1.窑市考核属于（广西）2.桂花渡考核属于（邵阳县</w:t>
      </w:r>
      <w:r>
        <w:rPr>
          <w:rFonts w:hint="eastAsia" w:ascii="新宋体" w:hAnsi="新宋体" w:eastAsia="新宋体" w:cs="新宋体"/>
          <w:b/>
          <w:bCs/>
          <w:spacing w:val="-6"/>
          <w:sz w:val="18"/>
          <w:szCs w:val="18"/>
          <w:lang w:val="en-US" w:eastAsia="zh-CN"/>
        </w:rPr>
        <w:t>、大祥区、北塔区</w:t>
      </w: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>）；邵水入河口考核属于（双清区</w:t>
      </w:r>
      <w:r>
        <w:rPr>
          <w:rFonts w:hint="eastAsia" w:ascii="新宋体" w:hAnsi="新宋体" w:eastAsia="新宋体" w:cs="新宋体"/>
          <w:spacing w:val="-6"/>
          <w:sz w:val="18"/>
          <w:szCs w:val="18"/>
          <w:lang w:val="en-US" w:eastAsia="zh-CN"/>
        </w:rPr>
        <w:t>、</w:t>
      </w:r>
      <w:r>
        <w:rPr>
          <w:rFonts w:hint="eastAsia" w:ascii="新宋体" w:hAnsi="新宋体" w:eastAsia="新宋体" w:cs="新宋体"/>
          <w:b/>
          <w:bCs/>
          <w:spacing w:val="-6"/>
          <w:sz w:val="18"/>
          <w:szCs w:val="18"/>
          <w:lang w:val="en-US" w:eastAsia="zh-CN"/>
        </w:rPr>
        <w:t>北塔区</w:t>
      </w: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>）；工业街考核属于（双清区</w:t>
      </w:r>
      <w:r>
        <w:rPr>
          <w:rFonts w:hint="eastAsia" w:ascii="新宋体" w:hAnsi="新宋体" w:eastAsia="新宋体" w:cs="新宋体"/>
          <w:b/>
          <w:bCs/>
          <w:spacing w:val="-6"/>
          <w:sz w:val="18"/>
          <w:szCs w:val="18"/>
          <w:lang w:val="en-US" w:eastAsia="zh-CN"/>
        </w:rPr>
        <w:t>、北塔区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val="en-US" w:eastAsia="zh-CN"/>
        </w:rPr>
        <w:t>）；城西水厂考核属于（大祥区</w:t>
      </w:r>
      <w:r>
        <w:rPr>
          <w:rFonts w:hint="eastAsia" w:ascii="新宋体" w:hAnsi="新宋体" w:eastAsia="新宋体" w:cs="新宋体"/>
          <w:b/>
          <w:bCs/>
          <w:spacing w:val="-6"/>
          <w:sz w:val="18"/>
          <w:szCs w:val="18"/>
          <w:lang w:val="en-US" w:eastAsia="zh-CN"/>
        </w:rPr>
        <w:t>、北塔区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val="en-US" w:eastAsia="zh-CN"/>
        </w:rPr>
        <w:t>）；柏树考核属于（双清区</w:t>
      </w:r>
      <w:r>
        <w:rPr>
          <w:rFonts w:hint="eastAsia" w:ascii="新宋体" w:hAnsi="新宋体" w:eastAsia="新宋体" w:cs="新宋体"/>
          <w:b/>
          <w:bCs/>
          <w:spacing w:val="-6"/>
          <w:sz w:val="18"/>
          <w:szCs w:val="18"/>
          <w:lang w:val="en-US" w:eastAsia="zh-CN"/>
        </w:rPr>
        <w:t>、北塔区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val="en-US" w:eastAsia="zh-CN"/>
        </w:rPr>
        <w:t>）。</w:t>
      </w:r>
    </w:p>
    <w:p>
      <w:pPr>
        <w:numPr>
          <w:ilvl w:val="0"/>
          <w:numId w:val="3"/>
        </w:numPr>
        <w:spacing w:before="156" w:beforeLines="50" w:line="460" w:lineRule="exact"/>
        <w:ind w:right="-176" w:rightChars="-84" w:firstLine="538" w:firstLineChars="200"/>
        <w:rPr>
          <w:rFonts w:hint="eastAsia" w:ascii="新宋体" w:hAnsi="新宋体" w:eastAsia="新宋体" w:cs="新宋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-6"/>
          <w:sz w:val="28"/>
          <w:szCs w:val="28"/>
          <w:lang w:val="en-US" w:eastAsia="zh-CN"/>
        </w:rPr>
        <w:t>饮用水水源地环境质量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1-7月，对邵阳市4个在用市级饮用水水源地断面进行了监测，结果表明4个在用饮用水水源地水质全部符合国家标准，水质达标率100%。饮用水水源地水质状况详见表4。</w:t>
      </w:r>
    </w:p>
    <w:p>
      <w:pPr>
        <w:pStyle w:val="2"/>
        <w:spacing w:before="156" w:beforeLines="50" w:after="156" w:afterLines="50"/>
        <w:jc w:val="both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附  录</w:t>
      </w:r>
      <w:bookmarkEnd w:id="0"/>
    </w:p>
    <w:p>
      <w:pPr>
        <w:pStyle w:val="3"/>
        <w:spacing w:before="156" w:beforeLines="50" w:after="93" w:afterLines="30" w:line="460" w:lineRule="exact"/>
        <w:rPr>
          <w:rFonts w:ascii="新宋体" w:hAnsi="新宋体" w:eastAsia="新宋体" w:cs="新宋体"/>
          <w:sz w:val="28"/>
          <w:szCs w:val="28"/>
        </w:rPr>
      </w:pPr>
      <w:bookmarkStart w:id="1" w:name="_Toc398298508"/>
      <w:bookmarkStart w:id="2" w:name="_Toc445285464"/>
      <w:bookmarkStart w:id="3" w:name="_Toc428266489"/>
      <w:r>
        <w:rPr>
          <w:rFonts w:hint="eastAsia" w:ascii="新宋体" w:hAnsi="新宋体" w:eastAsia="新宋体" w:cs="新宋体"/>
          <w:sz w:val="28"/>
          <w:szCs w:val="28"/>
        </w:rPr>
        <w:t>1、水质评价项目及标准</w:t>
      </w:r>
      <w:bookmarkEnd w:id="1"/>
      <w:bookmarkEnd w:id="2"/>
      <w:bookmarkEnd w:id="3"/>
    </w:p>
    <w:p>
      <w:pPr>
        <w:snapToGrid w:val="0"/>
        <w:spacing w:before="156" w:beforeLines="50" w:line="460" w:lineRule="exact"/>
        <w:ind w:firstLine="562" w:firstLineChars="20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(1) 评价项目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河流型地表水水质评价：《地表水环境质量标准》(GB3838-2002)表1所列除水温、总氮和粪大肠菌群以外的其他21项指标采用单因子评价法进行评价，粪大肠菌群单独评价。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饮用水水源地水质评价：依据《全国集中式生活饮用水水源地水质监测实施方案》（环办函[2012]1266号）的要求，集中式生活饮用水水源地监测项目为《地表水环境质量标准》（GB3838-2002）表1的基本项目（23项，化学需氧量除外）、表2的补充项目（5项）和表3的优选特定项目（33项），共61项。评价项目为58项，即《地表水环境质量标准》(GB3838-2002)表1和表2所列除水温、总氮、化学需氧量和粪大肠菌群以外的25项指标，表3的优选特定项目（33项）。</w:t>
      </w:r>
    </w:p>
    <w:p>
      <w:pPr>
        <w:snapToGrid w:val="0"/>
        <w:spacing w:before="156" w:beforeLines="50" w:line="460" w:lineRule="exact"/>
        <w:ind w:firstLine="557" w:firstLineChars="198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(2) 评价标准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从2012年6月开始，地表水水质评价不再执行《地表水环境质量标准（GB3838-2002）》中相应功能区标准，而按Ⅰ类～劣Ⅴ类六个类别进行评价。当断面水质超过Ⅲ类标准时，应计算指标浓度超过Ⅲ类水质标准的倍数，即超标倍数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饮用水水源地水质根据《地表水环境质量标准》（GB3838-2002）进行评价。补充项目、特定项目采用单因子评价法进行评价。</w:t>
      </w:r>
    </w:p>
    <w:p>
      <w:pPr>
        <w:pStyle w:val="3"/>
        <w:spacing w:before="156" w:beforeLines="50" w:after="93" w:afterLines="30" w:line="460" w:lineRule="exact"/>
        <w:rPr>
          <w:rFonts w:ascii="新宋体" w:hAnsi="新宋体" w:eastAsia="新宋体" w:cs="新宋体"/>
          <w:sz w:val="28"/>
          <w:szCs w:val="28"/>
        </w:rPr>
      </w:pPr>
      <w:bookmarkStart w:id="4" w:name="_Toc398298509"/>
      <w:bookmarkStart w:id="5" w:name="_Toc428266490"/>
      <w:bookmarkStart w:id="6" w:name="_Toc445285465"/>
      <w:r>
        <w:rPr>
          <w:rFonts w:hint="eastAsia" w:ascii="新宋体" w:hAnsi="新宋体" w:eastAsia="新宋体" w:cs="新宋体"/>
          <w:sz w:val="28"/>
          <w:szCs w:val="28"/>
        </w:rPr>
        <w:t>2、水环境质量定性评价方法</w:t>
      </w:r>
      <w:bookmarkEnd w:id="4"/>
      <w:bookmarkEnd w:id="5"/>
      <w:bookmarkEnd w:id="6"/>
    </w:p>
    <w:p>
      <w:pPr>
        <w:snapToGrid w:val="0"/>
        <w:spacing w:before="156" w:beforeLines="50" w:line="460" w:lineRule="exact"/>
        <w:ind w:firstLine="562" w:firstLineChars="20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(1) 地表水环境质量定性评价方法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地表水环境质量分为：优、良好、轻度污染、中度污染、重度污染五个等级。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对应的表征颜色为：蓝色、绿色、黄色、橙色和红色。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断面、河段水质类别与水质定性评价分级的对应关系见附表1。</w:t>
      </w:r>
    </w:p>
    <w:p>
      <w:pPr>
        <w:autoSpaceDE w:val="0"/>
        <w:autoSpaceDN w:val="0"/>
        <w:adjustRightInd w:val="0"/>
        <w:spacing w:before="312" w:beforeLines="100" w:line="500" w:lineRule="exact"/>
        <w:jc w:val="center"/>
        <w:rPr>
          <w:rFonts w:ascii="新宋体" w:hAnsi="新宋体" w:eastAsia="新宋体" w:cs="新宋体"/>
          <w:b/>
          <w:kern w:val="0"/>
          <w:sz w:val="24"/>
        </w:rPr>
      </w:pPr>
      <w:r>
        <w:rPr>
          <w:rFonts w:hint="eastAsia" w:ascii="新宋体" w:hAnsi="新宋体" w:eastAsia="新宋体" w:cs="新宋体"/>
          <w:b/>
          <w:kern w:val="0"/>
          <w:sz w:val="24"/>
        </w:rPr>
        <w:t>附表</w:t>
      </w:r>
      <w:r>
        <w:rPr>
          <w:rFonts w:hint="eastAsia" w:ascii="新宋体" w:hAnsi="新宋体" w:eastAsia="新宋体" w:cs="新宋体"/>
          <w:b/>
          <w:bCs/>
          <w:kern w:val="0"/>
          <w:sz w:val="24"/>
        </w:rPr>
        <w:t xml:space="preserve">1          </w:t>
      </w:r>
      <w:r>
        <w:rPr>
          <w:rFonts w:hint="eastAsia" w:ascii="新宋体" w:hAnsi="新宋体" w:eastAsia="新宋体" w:cs="新宋体"/>
          <w:b/>
          <w:kern w:val="0"/>
          <w:sz w:val="24"/>
        </w:rPr>
        <w:t>断面、河段水质定性评价</w:t>
      </w:r>
    </w:p>
    <w:tbl>
      <w:tblPr>
        <w:tblStyle w:val="8"/>
        <w:tblW w:w="94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75"/>
        <w:gridCol w:w="602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tcBorders>
              <w:top w:val="single" w:color="auto" w:sz="12" w:space="0"/>
            </w:tcBorders>
            <w:shd w:val="clear" w:color="auto" w:fill="0ADEE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  <w:t>水质类别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shd w:val="clear" w:color="auto" w:fill="0ADEE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6021" w:type="dxa"/>
            <w:tcBorders>
              <w:top w:val="single" w:color="auto" w:sz="12" w:space="0"/>
            </w:tcBorders>
            <w:shd w:val="clear" w:color="auto" w:fill="0ADEE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18"/>
                <w:szCs w:val="18"/>
              </w:rPr>
              <w:t>水质功能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Ⅰ、Ⅱ类水质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饮用水源一级保护区、珍稀水生生物栖息地、鱼虾类产卵场、仔稚幼鱼的索饵场等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Ⅲ类水质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饮用水源二级保护区、鱼虾类越冬场、洄游通道、水产养殖区、游泳区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Ⅳ类水质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轻度污染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一般工业用水和人体非直接接触的娱乐用水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Ⅴ类水质</w:t>
            </w:r>
          </w:p>
        </w:tc>
        <w:tc>
          <w:tcPr>
            <w:tcW w:w="1575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中度污染</w:t>
            </w:r>
          </w:p>
        </w:tc>
        <w:tc>
          <w:tcPr>
            <w:tcW w:w="6021" w:type="dxa"/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农业用水及一般景观用水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bottom w:val="single" w:color="auto" w:sz="12" w:space="0"/>
            </w:tcBorders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劣Ⅴ类水质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重度污染</w:t>
            </w:r>
          </w:p>
        </w:tc>
        <w:tc>
          <w:tcPr>
            <w:tcW w:w="6021" w:type="dxa"/>
            <w:tcBorders>
              <w:bottom w:val="single" w:color="auto" w:sz="12" w:space="0"/>
            </w:tcBorders>
            <w:shd w:val="clear" w:color="auto" w:fill="D5FFF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</w:rPr>
              <w:t>除调节局部气候外，几乎无使用功能</w:t>
            </w:r>
          </w:p>
        </w:tc>
      </w:tr>
    </w:tbl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对于断面数少于5个的河流、水系，计算河流、水系所有断面各项评价指标浓度算术平均值，然后按照断面水质评价方法进行评价，并按附表1指出每个断面的水质类别和水质状况。</w:t>
      </w:r>
    </w:p>
    <w:p>
      <w:pPr>
        <w:spacing w:before="156" w:beforeLines="50" w:line="460" w:lineRule="exact"/>
        <w:ind w:right="-176" w:rightChars="-84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河流、水系水质类别比例与水质定性评价分级的对应关系见附表2。</w:t>
      </w:r>
    </w:p>
    <w:p>
      <w:pPr>
        <w:autoSpaceDE w:val="0"/>
        <w:autoSpaceDN w:val="0"/>
        <w:adjustRightInd w:val="0"/>
        <w:spacing w:before="156" w:beforeLines="50" w:line="500" w:lineRule="exact"/>
        <w:jc w:val="center"/>
        <w:rPr>
          <w:rFonts w:hint="eastAsia" w:ascii="新宋体" w:hAnsi="新宋体" w:eastAsia="新宋体" w:cs="新宋体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156" w:beforeLines="50" w:line="500" w:lineRule="exact"/>
        <w:jc w:val="center"/>
        <w:rPr>
          <w:rFonts w:ascii="新宋体" w:hAnsi="新宋体" w:eastAsia="新宋体" w:cs="新宋体"/>
          <w:b/>
          <w:kern w:val="0"/>
          <w:sz w:val="24"/>
        </w:rPr>
      </w:pPr>
      <w:r>
        <w:rPr>
          <w:rFonts w:hint="eastAsia" w:ascii="新宋体" w:hAnsi="新宋体" w:eastAsia="新宋体" w:cs="新宋体"/>
          <w:b/>
          <w:kern w:val="0"/>
          <w:sz w:val="24"/>
        </w:rPr>
        <w:t>附表2  河流、水系水质定性评价</w:t>
      </w:r>
    </w:p>
    <w:tbl>
      <w:tblPr>
        <w:tblStyle w:val="8"/>
        <w:tblW w:w="94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6"/>
        <w:gridCol w:w="2235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936" w:type="dxa"/>
            <w:tcBorders>
              <w:top w:val="single" w:color="auto" w:sz="12" w:space="0"/>
            </w:tcBorders>
            <w:shd w:val="clear" w:color="auto" w:fill="00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18"/>
                <w:szCs w:val="18"/>
              </w:rPr>
              <w:t>水质类别比例</w:t>
            </w:r>
          </w:p>
        </w:tc>
        <w:tc>
          <w:tcPr>
            <w:tcW w:w="2235" w:type="dxa"/>
            <w:tcBorders>
              <w:top w:val="single" w:color="auto" w:sz="12" w:space="0"/>
              <w:right w:val="single" w:color="auto" w:sz="4" w:space="0"/>
            </w:tcBorders>
            <w:shd w:val="clear" w:color="auto" w:fill="00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</w:tcBorders>
            <w:shd w:val="clear" w:color="auto" w:fill="00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b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18"/>
                <w:szCs w:val="18"/>
              </w:rPr>
              <w:t>表征颜色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36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Ⅰ～Ⅲ类水质比例≥90%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优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蓝色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36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75%≤Ⅰ～Ⅲ类水质比例＜90%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绿色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36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Ⅰ～Ⅲ类水质比例＜75%，且劣Ⅴ类比例＜20%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轻度污染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黄色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36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Ⅰ～Ⅲ类水质比例＜75%，且20%≤劣Ⅴ类比例＜40%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中度污染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橙色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936" w:type="dxa"/>
            <w:tcBorders>
              <w:bottom w:val="single" w:color="auto" w:sz="12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Ⅰ～Ⅲ类水质比例＜60%，且劣Ⅴ类比例≥40%</w:t>
            </w:r>
          </w:p>
        </w:tc>
        <w:tc>
          <w:tcPr>
            <w:tcW w:w="2235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重度污染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12" w:space="0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红色</w:t>
            </w:r>
          </w:p>
        </w:tc>
      </w:tr>
    </w:tbl>
    <w:p>
      <w:pPr>
        <w:snapToGrid w:val="0"/>
        <w:spacing w:before="156" w:beforeLines="50" w:line="500" w:lineRule="exact"/>
        <w:ind w:firstLine="562" w:firstLineChars="20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</w:t>
      </w:r>
    </w:p>
    <w:p>
      <w:pPr>
        <w:spacing w:line="120" w:lineRule="exact"/>
        <w:ind w:firstLine="141" w:firstLineChars="50"/>
        <w:rPr>
          <w:rFonts w:ascii="新宋体" w:hAnsi="新宋体" w:eastAsia="新宋体" w:cs="新宋体"/>
          <w:b/>
          <w:sz w:val="28"/>
          <w:szCs w:val="28"/>
        </w:rPr>
      </w:pPr>
    </w:p>
    <w:p>
      <w:pPr>
        <w:ind w:firstLine="703" w:firstLineChars="250"/>
        <w:rPr>
          <w:rFonts w:hint="default" w:ascii="新宋体" w:hAnsi="新宋体" w:eastAsia="新宋体" w:cs="新宋体"/>
          <w:b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编　　写：</w:t>
      </w: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谢雄辉</w:t>
      </w:r>
    </w:p>
    <w:p>
      <w:pPr>
        <w:ind w:firstLine="703" w:firstLineChars="250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审　　核：胡力</w:t>
      </w:r>
      <w:r>
        <w:rPr>
          <w:rFonts w:ascii="新宋体" w:hAnsi="新宋体" w:eastAsia="新宋体" w:cs="新宋体"/>
          <w:b/>
          <w:sz w:val="28"/>
          <w:szCs w:val="28"/>
        </w:rPr>
        <w:t>平</w:t>
      </w: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 　　　　</w:t>
      </w:r>
    </w:p>
    <w:p>
      <w:pPr>
        <w:ind w:firstLine="703" w:firstLineChars="25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审　　定：赵红</w:t>
      </w:r>
      <w:r>
        <w:rPr>
          <w:rFonts w:ascii="新宋体" w:hAnsi="新宋体" w:eastAsia="新宋体" w:cs="新宋体"/>
          <w:b/>
          <w:sz w:val="28"/>
          <w:szCs w:val="28"/>
        </w:rPr>
        <w:t>伟</w:t>
      </w:r>
      <w:r>
        <w:rPr>
          <w:rFonts w:hint="eastAsia" w:ascii="新宋体" w:hAnsi="新宋体" w:eastAsia="新宋体" w:cs="新宋体"/>
          <w:sz w:val="28"/>
          <w:szCs w:val="28"/>
        </w:rPr>
        <w:t>　</w:t>
      </w:r>
    </w:p>
    <w:p>
      <w:pPr>
        <w:ind w:firstLine="703" w:firstLineChars="25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签　　发：朱鸿毅</w:t>
      </w:r>
      <w:r>
        <w:rPr>
          <w:rFonts w:hint="eastAsia" w:ascii="新宋体" w:hAnsi="新宋体" w:eastAsia="新宋体" w:cs="新宋体"/>
          <w:sz w:val="28"/>
          <w:szCs w:val="28"/>
        </w:rPr>
        <w:t>　　　　　　　</w:t>
      </w:r>
    </w:p>
    <w:p>
      <w:pPr>
        <w:ind w:firstLine="703" w:firstLineChars="250"/>
        <w:rPr>
          <w:rFonts w:ascii="新宋体" w:hAnsi="新宋体" w:eastAsia="新宋体" w:cs="新宋体"/>
          <w:b/>
          <w:bCs/>
          <w:kern w:val="0"/>
          <w:sz w:val="24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编写日期：202</w:t>
      </w: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sz w:val="28"/>
          <w:szCs w:val="28"/>
        </w:rPr>
        <w:t>月</w:t>
      </w:r>
      <w:r>
        <w:rPr>
          <w:rFonts w:ascii="新宋体" w:hAnsi="新宋体" w:eastAsia="新宋体" w:cs="新宋体"/>
          <w:b/>
          <w:sz w:val="28"/>
          <w:szCs w:val="28"/>
        </w:rPr>
        <w:t>1</w:t>
      </w: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0</w:t>
      </w:r>
      <w:r>
        <w:rPr>
          <w:rFonts w:hint="eastAsia" w:ascii="新宋体" w:hAnsi="新宋体" w:eastAsia="新宋体" w:cs="新宋体"/>
          <w:b/>
          <w:sz w:val="28"/>
          <w:szCs w:val="28"/>
        </w:rPr>
        <w:t>日</w:t>
      </w:r>
    </w:p>
    <w:sectPr>
      <w:pgSz w:w="11906" w:h="16838"/>
      <w:pgMar w:top="1440" w:right="1686" w:bottom="1440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68367"/>
    <w:multiLevelType w:val="singleLevel"/>
    <w:tmpl w:val="D8E68367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1751B7BC"/>
    <w:multiLevelType w:val="singleLevel"/>
    <w:tmpl w:val="1751B7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22F692"/>
    <w:multiLevelType w:val="singleLevel"/>
    <w:tmpl w:val="3F22F6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0OTk2MDg1ZDhhNTY3NTRkOWNlNWZjNmE3OWVmZmYifQ=="/>
  </w:docVars>
  <w:rsids>
    <w:rsidRoot w:val="00000000"/>
    <w:rsid w:val="013B1641"/>
    <w:rsid w:val="05066EA6"/>
    <w:rsid w:val="0568491E"/>
    <w:rsid w:val="065653F8"/>
    <w:rsid w:val="07E93D51"/>
    <w:rsid w:val="07F84159"/>
    <w:rsid w:val="0AE8416F"/>
    <w:rsid w:val="0BB84DE3"/>
    <w:rsid w:val="0CB93ECE"/>
    <w:rsid w:val="0CCA5330"/>
    <w:rsid w:val="0E390340"/>
    <w:rsid w:val="0E8F2773"/>
    <w:rsid w:val="0F925A5A"/>
    <w:rsid w:val="10E03668"/>
    <w:rsid w:val="128E0673"/>
    <w:rsid w:val="149A59CD"/>
    <w:rsid w:val="16435D88"/>
    <w:rsid w:val="16BE1E47"/>
    <w:rsid w:val="176B7852"/>
    <w:rsid w:val="17C93BF7"/>
    <w:rsid w:val="18993DDE"/>
    <w:rsid w:val="1B0E568F"/>
    <w:rsid w:val="1E271109"/>
    <w:rsid w:val="1E32211C"/>
    <w:rsid w:val="1E4A700F"/>
    <w:rsid w:val="1ECD59A8"/>
    <w:rsid w:val="1F9911E6"/>
    <w:rsid w:val="23DD6032"/>
    <w:rsid w:val="2418246B"/>
    <w:rsid w:val="24704055"/>
    <w:rsid w:val="26F01150"/>
    <w:rsid w:val="2786250D"/>
    <w:rsid w:val="28291A60"/>
    <w:rsid w:val="28343039"/>
    <w:rsid w:val="28D8619B"/>
    <w:rsid w:val="29332E76"/>
    <w:rsid w:val="298D6250"/>
    <w:rsid w:val="2CBB4967"/>
    <w:rsid w:val="2ED625E8"/>
    <w:rsid w:val="30D364F7"/>
    <w:rsid w:val="31977D04"/>
    <w:rsid w:val="36A75818"/>
    <w:rsid w:val="39B94BD9"/>
    <w:rsid w:val="39E44E71"/>
    <w:rsid w:val="3A9451DA"/>
    <w:rsid w:val="3F374267"/>
    <w:rsid w:val="413E3001"/>
    <w:rsid w:val="42163FD3"/>
    <w:rsid w:val="42C06DCF"/>
    <w:rsid w:val="43B11647"/>
    <w:rsid w:val="43FB0D28"/>
    <w:rsid w:val="44332251"/>
    <w:rsid w:val="45CC3389"/>
    <w:rsid w:val="46C70806"/>
    <w:rsid w:val="47EC1B8F"/>
    <w:rsid w:val="49816239"/>
    <w:rsid w:val="49E82CFB"/>
    <w:rsid w:val="4B0F6DB1"/>
    <w:rsid w:val="4C8524E4"/>
    <w:rsid w:val="4E045251"/>
    <w:rsid w:val="4FB17E86"/>
    <w:rsid w:val="538E7E56"/>
    <w:rsid w:val="55B20AB9"/>
    <w:rsid w:val="55F3395D"/>
    <w:rsid w:val="56F84EDF"/>
    <w:rsid w:val="57127F95"/>
    <w:rsid w:val="58F61CCC"/>
    <w:rsid w:val="5C3305E6"/>
    <w:rsid w:val="5F5A3E38"/>
    <w:rsid w:val="619F599E"/>
    <w:rsid w:val="61EA6D55"/>
    <w:rsid w:val="629422E8"/>
    <w:rsid w:val="62C67ED5"/>
    <w:rsid w:val="63EF2659"/>
    <w:rsid w:val="63F54535"/>
    <w:rsid w:val="656A31F8"/>
    <w:rsid w:val="683862C2"/>
    <w:rsid w:val="68552CA8"/>
    <w:rsid w:val="69E14DA6"/>
    <w:rsid w:val="6A8E0BBC"/>
    <w:rsid w:val="712C22A9"/>
    <w:rsid w:val="71782593"/>
    <w:rsid w:val="73014803"/>
    <w:rsid w:val="736E0A49"/>
    <w:rsid w:val="73F05BE5"/>
    <w:rsid w:val="74E22578"/>
    <w:rsid w:val="766B03F6"/>
    <w:rsid w:val="76883649"/>
    <w:rsid w:val="7AD66A45"/>
    <w:rsid w:val="7B776799"/>
    <w:rsid w:val="7C011D34"/>
    <w:rsid w:val="7E0F70B2"/>
    <w:rsid w:val="7FA51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20" w:after="120" w:line="540" w:lineRule="exact"/>
      <w:outlineLvl w:val="0"/>
    </w:pPr>
    <w:rPr>
      <w:rFonts w:eastAsia="楷体_GB2312"/>
      <w:b/>
      <w:sz w:val="32"/>
      <w:szCs w:val="32"/>
    </w:rPr>
  </w:style>
  <w:style w:type="paragraph" w:styleId="3">
    <w:name w:val="heading 2"/>
    <w:basedOn w:val="1"/>
    <w:next w:val="1"/>
    <w:qFormat/>
    <w:uiPriority w:val="99"/>
    <w:pPr>
      <w:keepNext/>
      <w:keepLines/>
      <w:snapToGrid w:val="0"/>
      <w:spacing w:line="540" w:lineRule="exact"/>
      <w:outlineLvl w:val="1"/>
    </w:pPr>
    <w:rPr>
      <w:rFonts w:eastAsia="楷体_GB2312"/>
      <w:b/>
      <w:bCs/>
      <w:sz w:val="30"/>
      <w:szCs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27700;&#23460;&#40857;&#38738;&#38686;\Desktop\Microsoft%20Word%20&#20013;&#30340;&#22270;&#34920;2012.2&#26376;&#252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320"/>
      <c:depthPercent val="100"/>
      <c:rAngAx val="0"/>
      <c:perspective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0763888888888889"/>
          <c:y val="0.123892914653784"/>
          <c:w val="0.965277777777778"/>
          <c:h val="0.868055555555556"/>
        </c:manualLayout>
      </c:layout>
      <c:pie3DChart>
        <c:varyColors val="1"/>
        <c:ser>
          <c:idx val="0"/>
          <c:order val="0"/>
          <c:tx>
            <c:strRef>
              <c:f>Sheet1!$C$3</c:f>
              <c:strCache>
                <c:ptCount val="1"/>
                <c:pt idx="0">
                  <c:v>个数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7"/>
          <c:dPt>
            <c:idx val="0"/>
            <c:bubble3D val="0"/>
            <c:explosion val="22"/>
            <c:spPr>
              <a:solidFill>
                <a:srgbClr val="1DC4FF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explosion val="41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explosion val="38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0486111111111111"/>
                  <c:y val="0.10101010101010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88.7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Sheet1!$B$4:$B$6</c:f>
              <c:strCache>
                <c:ptCount val="3"/>
                <c:pt idx="0">
                  <c:v>Ⅰ</c:v>
                </c:pt>
                <c:pt idx="1">
                  <c:v>Ⅱ</c:v>
                </c:pt>
                <c:pt idx="2">
                  <c:v>Ⅲ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0">
                  <c:v>6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比例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Sheet1!$B$4:$B$6</c:f>
              <c:strCache>
                <c:ptCount val="3"/>
                <c:pt idx="0">
                  <c:v>Ⅰ</c:v>
                </c:pt>
                <c:pt idx="1">
                  <c:v>Ⅱ</c:v>
                </c:pt>
                <c:pt idx="2">
                  <c:v>Ⅲ</c:v>
                </c:pt>
              </c:strCache>
            </c:strRef>
          </c:cat>
          <c:val>
            <c:numRef>
              <c:f>Sheet1!$D$4:$D$6</c:f>
              <c:numCache>
                <c:formatCode>0.00%</c:formatCode>
                <c:ptCount val="3"/>
                <c:pt idx="0">
                  <c:v>0.113</c:v>
                </c:pt>
                <c:pt idx="1">
                  <c:v>0.887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solidFill>
          <a:schemeClr val="accent1">
            <a:lumMod val="20000"/>
            <a:lumOff val="80000"/>
            <a:alpha val="3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918472222222222"/>
          <c:y val="0.37604617604617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  <a:scene3d>
      <a:camera prst="orthographicFront"/>
      <a:lightRig rig="threePt" dir="t"/>
    </a:scene3d>
    <a:sp3d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1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2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zh-CN" altLang="en-US" sz="900" b="1">
                <a:solidFill>
                  <a:sysClr val="windowText" lastClr="000000"/>
                </a:solidFill>
                <a:latin typeface="Arial Black" panose="020B0A04020102020204" pitchFamily="2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图</a:t>
            </a:r>
            <a:r>
              <a:rPr lang="en-US" altLang="zh-CN" sz="900" b="1">
                <a:solidFill>
                  <a:sysClr val="windowText" lastClr="000000"/>
                </a:solidFill>
                <a:latin typeface="Arial Black" panose="020B0A04020102020204" pitchFamily="2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2    7</a:t>
            </a:r>
            <a:r>
              <a:rPr lang="zh-CN" altLang="en-US" sz="900" b="1">
                <a:solidFill>
                  <a:sysClr val="windowText" lastClr="000000"/>
                </a:solidFill>
                <a:latin typeface="Arial Black" panose="020B0A04020102020204" pitchFamily="2" charset="0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rPr>
              <a:t>月邵阳市国控、省控断面水质类别组成比例</a:t>
            </a:r>
            <a:endParaRPr lang="zh-CN" altLang="en-US" sz="900" b="1">
              <a:solidFill>
                <a:sysClr val="windowText" lastClr="000000"/>
              </a:solidFill>
              <a:latin typeface="Arial Black" panose="020B0A04020102020204" pitchFamily="2" charset="0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endParaRPr>
          </a:p>
        </c:rich>
      </c:tx>
      <c:layout>
        <c:manualLayout>
          <c:xMode val="edge"/>
          <c:yMode val="edge"/>
          <c:x val="0.249835426179604"/>
          <c:y val="0.92820398121225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0410958904109589"/>
          <c:y val="0.00795693891879242"/>
          <c:w val="0.981232876712329"/>
          <c:h val="0.731663936344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Sheet5!$D$29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0.0246575342465753"/>
                  <c:y val="-0.100648624468799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205479452054795"/>
                  <c:y val="-0.0670990829791993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1" i="0" u="none" strike="noStrike" kern="1200" cap="none" spc="0" normalizeH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uFill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Sheet5!$B$30:$C$37</c:f>
              <c:multiLvlStrCache>
                <c:ptCount val="8"/>
                <c:lvl>
                  <c:pt idx="0">
                    <c:v>水质类别</c:v>
                  </c:pt>
                  <c:pt idx="1">
                    <c:v>Ⅰ</c:v>
                  </c:pt>
                  <c:pt idx="2">
                    <c:v>Ⅱ</c:v>
                  </c:pt>
                  <c:pt idx="5">
                    <c:v>Ⅰ</c:v>
                  </c:pt>
                  <c:pt idx="6">
                    <c:v>Ⅱ</c:v>
                  </c:pt>
                  <c:pt idx="7">
                    <c:v>Ⅲ</c:v>
                  </c:pt>
                </c:lvl>
                <c:lvl>
                  <c:pt idx="0">
                    <c:v>名称</c:v>
                  </c:pt>
                  <c:pt idx="1">
                    <c:v>国控</c:v>
                  </c:pt>
                  <c:pt idx="5">
                    <c:v>省控</c:v>
                  </c:pt>
                </c:lvl>
              </c:multiLvlStrCache>
            </c:multiLvlStrRef>
          </c:cat>
          <c:val>
            <c:numRef>
              <c:f>Sheet5!$D$30:$D$37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13</c:v>
                </c:pt>
                <c:pt idx="5">
                  <c:v>4</c:v>
                </c:pt>
                <c:pt idx="6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Sheet5!$E$29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118835616438356"/>
                  <c:y val="0.004716981132075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4109589041096"/>
                  <c:y val="0.002939846223428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33333333333333"/>
                  <c:y val="0.004716981132075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6.7</a:t>
                    </a:r>
                    <a:r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21.6</a:t>
                    </a:r>
                    <a:r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0178082191780822"/>
                  <c:y val="-0.0029076269290986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10.5</a:t>
                    </a:r>
                    <a:r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89.5</a:t>
                    </a:r>
                    <a:r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2.6%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Sheet5!$B$30:$C$37</c:f>
              <c:multiLvlStrCache>
                <c:ptCount val="8"/>
                <c:lvl>
                  <c:pt idx="0">
                    <c:v>水质类别</c:v>
                  </c:pt>
                  <c:pt idx="1">
                    <c:v>Ⅰ</c:v>
                  </c:pt>
                  <c:pt idx="2">
                    <c:v>Ⅱ</c:v>
                  </c:pt>
                  <c:pt idx="5">
                    <c:v>Ⅰ</c:v>
                  </c:pt>
                  <c:pt idx="6">
                    <c:v>Ⅱ</c:v>
                  </c:pt>
                  <c:pt idx="7">
                    <c:v>Ⅲ</c:v>
                  </c:pt>
                </c:lvl>
                <c:lvl>
                  <c:pt idx="0">
                    <c:v>名称</c:v>
                  </c:pt>
                  <c:pt idx="1">
                    <c:v>国控</c:v>
                  </c:pt>
                  <c:pt idx="5">
                    <c:v>省控</c:v>
                  </c:pt>
                </c:lvl>
              </c:multiLvlStrCache>
            </c:multiLvlStrRef>
          </c:cat>
          <c:val>
            <c:numRef>
              <c:f>Sheet5!$E$30:$E$37</c:f>
              <c:numCache>
                <c:formatCode>0.0%</c:formatCode>
                <c:ptCount val="8"/>
                <c:pt idx="0">
                  <c:v>0</c:v>
                </c:pt>
                <c:pt idx="1">
                  <c:v>0.133</c:v>
                </c:pt>
                <c:pt idx="2">
                  <c:v>0.867</c:v>
                </c:pt>
                <c:pt idx="5">
                  <c:v>0.105</c:v>
                </c:pt>
                <c:pt idx="6">
                  <c:v>0.895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26055427"/>
        <c:axId val="600219495"/>
      </c:barChart>
      <c:catAx>
        <c:axId val="92605542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600219495"/>
        <c:crosses val="autoZero"/>
        <c:auto val="1"/>
        <c:lblAlgn val="ctr"/>
        <c:lblOffset val="100"/>
        <c:noMultiLvlLbl val="0"/>
      </c:catAx>
      <c:valAx>
        <c:axId val="60021949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6055427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20000"/>
              <a:lumOff val="80000"/>
            </a:schemeClr>
          </a:solidFill>
        </a:ln>
        <a:effectLst>
          <a:outerShdw blurRad="50800" dist="50800" dir="5400000" algn="ctr" rotWithShape="0">
            <a:schemeClr val="accent1">
              <a:lumMod val="20000"/>
              <a:lumOff val="80000"/>
            </a:schemeClr>
          </a:outerShdw>
        </a:effectLst>
      </c:spPr>
    </c:plotArea>
    <c:legend>
      <c:legendPos val="t"/>
      <c:layout>
        <c:manualLayout>
          <c:xMode val="edge"/>
          <c:yMode val="edge"/>
          <c:x val="0.20986301369863"/>
          <c:y val="0.0641914560501007"/>
          <c:w val="0.185890410958904"/>
          <c:h val="0.06441511966003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4453</Words>
  <Characters>4970</Characters>
  <Lines>34</Lines>
  <Paragraphs>9</Paragraphs>
  <TotalTime>54</TotalTime>
  <ScaleCrop>false</ScaleCrop>
  <LinksUpToDate>false</LinksUpToDate>
  <CharactersWithSpaces>5159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2021-04-15T02:57:00Z</dcterms:created>
  <dc:creator>丽莎</dc:creator>
  <cp:lastModifiedBy>水室龙青霞</cp:lastModifiedBy>
  <cp:lastPrinted>2022-07-18T00:24:00Z</cp:lastPrinted>
  <dcterms:modified xsi:type="dcterms:W3CDTF">2022-08-29T10:04:25Z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14DBA354B7E24C3F94ECBB49B4898EB7</vt:lpwstr>
  </property>
</Properties>
</file>