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新宋体" w:hAnsi="新宋体" w:eastAsia="新宋体" w:cs="新宋体"/>
          <w:sz w:val="72"/>
          <w:szCs w:val="7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hint="eastAsia" w:ascii="黑体" w:hAnsi="黑体" w:eastAsia="黑体" w:cs="黑体"/>
          <w:color w:val="70AD47"/>
          <w:sz w:val="72"/>
          <w:szCs w:val="72"/>
          <w14:glow w14:rad="38100">
            <w14:schemeClr w14:val="accent1">
              <w14:alpha w14:val="60000"/>
            </w14:schemeClr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  <w14:props3d w14:extrusionH="0" w14:contourW="0" w14:prstMaterial="clear"/>
        </w:rPr>
        <w:t>邵阳市大气环境质量月报</w:t>
      </w:r>
    </w:p>
    <w:p>
      <w:pPr>
        <w:jc w:val="center"/>
        <w:rPr>
          <w:rFonts w:ascii="新宋体" w:hAnsi="新宋体" w:eastAsia="新宋体" w:cs="新宋体"/>
          <w:color w:val="5B9BD5" w:themeColor="accent5"/>
          <w:spacing w:val="40"/>
          <w:sz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新宋体" w:hAnsi="新宋体" w:eastAsia="新宋体" w:cs="新宋体"/>
          <w:b/>
          <w:bCs/>
          <w:color w:val="5B9BD5" w:themeColor="accent5"/>
          <w:spacing w:val="40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2021年第</w:t>
      </w:r>
      <w:r>
        <w:rPr>
          <w:rFonts w:ascii="新宋体" w:hAnsi="新宋体" w:eastAsia="新宋体" w:cs="新宋体"/>
          <w:b/>
          <w:bCs/>
          <w:color w:val="5B9BD5" w:themeColor="accent5"/>
          <w:spacing w:val="40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5</w:t>
      </w:r>
      <w:r>
        <w:rPr>
          <w:rFonts w:hint="eastAsia" w:ascii="新宋体" w:hAnsi="新宋体" w:eastAsia="新宋体" w:cs="新宋体"/>
          <w:b/>
          <w:bCs/>
          <w:color w:val="5B9BD5" w:themeColor="accent5"/>
          <w:spacing w:val="40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期（总第</w:t>
      </w:r>
      <w:r>
        <w:rPr>
          <w:rFonts w:ascii="新宋体" w:hAnsi="新宋体" w:eastAsia="新宋体" w:cs="新宋体"/>
          <w:b/>
          <w:bCs/>
          <w:color w:val="5B9BD5" w:themeColor="accent5"/>
          <w:spacing w:val="40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41</w:t>
      </w:r>
      <w:r>
        <w:rPr>
          <w:rFonts w:hint="eastAsia" w:ascii="新宋体" w:hAnsi="新宋体" w:eastAsia="新宋体" w:cs="新宋体"/>
          <w:b/>
          <w:bCs/>
          <w:color w:val="5B9BD5" w:themeColor="accent5"/>
          <w:spacing w:val="40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期）</w:t>
      </w:r>
    </w:p>
    <w:p>
      <w:pPr>
        <w:jc w:val="center"/>
        <w:rPr>
          <w:rFonts w:ascii="新宋体" w:hAnsi="新宋体" w:eastAsia="新宋体" w:cs="新宋体"/>
          <w:color w:val="5B9BD5" w:themeColor="accent5"/>
          <w:spacing w:val="4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p>
      <w:pPr>
        <w:rPr>
          <w:rFonts w:ascii="新宋体" w:hAnsi="新宋体" w:eastAsia="新宋体" w:cs="新宋体"/>
          <w:color w:val="5B9BD5" w:themeColor="accent5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新宋体" w:hAnsi="新宋体" w:eastAsia="新宋体" w:cs="新宋体"/>
          <w:color w:val="5B9BD5" w:themeColor="accent5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 </w:t>
      </w:r>
    </w:p>
    <w:p>
      <w:pPr>
        <w:jc w:val="center"/>
        <w:rPr>
          <w:rFonts w:ascii="新宋体" w:hAnsi="新宋体" w:eastAsia="新宋体" w:cs="新宋体"/>
          <w:b/>
          <w:bCs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hint="eastAsia" w:ascii="黑体" w:hAnsi="黑体" w:eastAsia="黑体" w:cs="黑体"/>
          <w:b/>
          <w:bCs/>
          <w:color w:val="5B9BD5" w:themeColor="accent5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湖南省邵阳生态环境监测中心                            2021年</w:t>
      </w:r>
      <w:r>
        <w:rPr>
          <w:rFonts w:ascii="黑体" w:hAnsi="黑体" w:eastAsia="黑体" w:cs="黑体"/>
          <w:b/>
          <w:bCs/>
          <w:color w:val="5B9BD5" w:themeColor="accent5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6</w:t>
      </w:r>
      <w:r>
        <w:rPr>
          <w:rFonts w:hint="eastAsia" w:ascii="黑体" w:hAnsi="黑体" w:eastAsia="黑体" w:cs="黑体"/>
          <w:b/>
          <w:bCs/>
          <w:color w:val="5B9BD5" w:themeColor="accent5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月</w:t>
      </w:r>
      <w:r>
        <w:rPr>
          <w:rFonts w:ascii="黑体" w:hAnsi="黑体" w:eastAsia="黑体" w:cs="黑体"/>
          <w:b/>
          <w:bCs/>
          <w:color w:val="5B9BD5" w:themeColor="accent5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8</w:t>
      </w:r>
      <w:r>
        <w:rPr>
          <w:rFonts w:hint="eastAsia" w:ascii="黑体" w:hAnsi="黑体" w:eastAsia="黑体" w:cs="黑体"/>
          <w:b/>
          <w:bCs/>
          <w:color w:val="5B9BD5" w:themeColor="accent5"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日</w:t>
      </w:r>
    </w:p>
    <w:p>
      <w:pPr>
        <w:spacing w:line="80" w:lineRule="exact"/>
        <w:rPr>
          <w:rFonts w:ascii="新宋体" w:hAnsi="新宋体" w:eastAsia="新宋体" w:cs="新宋体"/>
          <w:highlight w:val="blue"/>
          <w:u w:val="double"/>
        </w:rPr>
      </w:pPr>
      <w:r>
        <w:rPr>
          <w:rFonts w:hint="eastAsia" w:ascii="新宋体" w:hAnsi="新宋体" w:eastAsia="新宋体" w:cs="新宋体"/>
          <w:b/>
          <w:bCs/>
          <w:color w:val="5B9BD5" w:themeColor="accent5"/>
          <w:u w:val="thick"/>
          <w14:textFill>
            <w14:solidFill>
              <w14:schemeClr w14:val="accent5"/>
            </w14:solidFill>
          </w14:textFill>
        </w:rPr>
        <w:t xml:space="preserve">                                                                                   </w:t>
      </w:r>
    </w:p>
    <w:p>
      <w:pPr>
        <w:tabs>
          <w:tab w:val="center" w:pos="4156"/>
        </w:tabs>
        <w:ind w:firstLine="640" w:firstLineChars="200"/>
        <w:rPr>
          <w:rFonts w:ascii="仿宋_GB2312" w:hAnsi="华文楷体" w:eastAsia="仿宋_GB2312"/>
          <w:b/>
          <w:sz w:val="32"/>
          <w:szCs w:val="32"/>
        </w:rPr>
      </w:pPr>
      <w:r>
        <w:rPr>
          <w:rFonts w:hint="eastAsia" w:ascii="仿宋_GB2312" w:hAnsi="华文楷体" w:eastAsia="仿宋_GB2312"/>
          <w:b/>
          <w:sz w:val="32"/>
          <w:szCs w:val="32"/>
        </w:rPr>
        <w:t>一、</w:t>
      </w:r>
      <w:r>
        <w:rPr>
          <w:rFonts w:ascii="仿宋_GB2312" w:hAnsi="华文楷体" w:eastAsia="仿宋_GB2312"/>
          <w:b/>
          <w:sz w:val="32"/>
          <w:szCs w:val="32"/>
        </w:rPr>
        <w:t>5</w:t>
      </w:r>
      <w:r>
        <w:rPr>
          <w:rFonts w:hint="eastAsia" w:ascii="仿宋_GB2312" w:hAnsi="华文楷体" w:eastAsia="仿宋_GB2312"/>
          <w:b/>
          <w:sz w:val="32"/>
          <w:szCs w:val="32"/>
        </w:rPr>
        <w:t>月城市环境空气质量状况</w:t>
      </w:r>
    </w:p>
    <w:p>
      <w:pPr>
        <w:ind w:firstLine="640" w:firstLineChars="200"/>
        <w:rPr>
          <w:rFonts w:ascii="仿宋_GB2312" w:hAnsi="华文楷体" w:eastAsia="仿宋_GB2312"/>
          <w:b/>
          <w:sz w:val="32"/>
          <w:szCs w:val="32"/>
        </w:rPr>
      </w:pPr>
      <w:r>
        <w:rPr>
          <w:rFonts w:ascii="仿宋_GB2312" w:hAnsi="华文楷体" w:eastAsia="仿宋_GB2312"/>
          <w:b/>
          <w:sz w:val="32"/>
          <w:szCs w:val="32"/>
        </w:rPr>
        <w:t>1</w:t>
      </w:r>
      <w:r>
        <w:rPr>
          <w:rFonts w:hint="eastAsia" w:ascii="仿宋_GB2312" w:hAnsi="华文楷体" w:eastAsia="仿宋_GB2312"/>
          <w:b/>
          <w:sz w:val="32"/>
          <w:szCs w:val="32"/>
        </w:rPr>
        <w:t>、城市空气质量优良率</w:t>
      </w:r>
    </w:p>
    <w:p>
      <w:pPr>
        <w:tabs>
          <w:tab w:val="center" w:pos="4156"/>
        </w:tabs>
        <w:spacing w:line="600" w:lineRule="exact"/>
        <w:ind w:firstLine="600" w:firstLineChars="200"/>
        <w:rPr>
          <w:rFonts w:ascii="仿宋_GB2312" w:hAnsi="华文楷体" w:eastAsia="仿宋_GB2312"/>
          <w:bCs/>
          <w:sz w:val="30"/>
          <w:szCs w:val="30"/>
        </w:rPr>
      </w:pPr>
      <w:r>
        <w:rPr>
          <w:rFonts w:hint="eastAsia" w:ascii="仿宋_GB2312" w:hAnsi="华文楷体" w:eastAsia="仿宋_GB2312"/>
          <w:bCs/>
          <w:sz w:val="30"/>
          <w:szCs w:val="30"/>
        </w:rPr>
        <w:t>本月我市环境空气优良天数为</w:t>
      </w:r>
      <w:r>
        <w:rPr>
          <w:rFonts w:ascii="仿宋_GB2312" w:hAnsi="华文楷体" w:eastAsia="仿宋_GB2312"/>
          <w:bCs/>
          <w:sz w:val="30"/>
          <w:szCs w:val="30"/>
        </w:rPr>
        <w:t>31</w:t>
      </w:r>
      <w:r>
        <w:rPr>
          <w:rFonts w:hint="eastAsia" w:ascii="仿宋_GB2312" w:hAnsi="华文楷体" w:eastAsia="仿宋_GB2312"/>
          <w:bCs/>
          <w:sz w:val="30"/>
          <w:szCs w:val="30"/>
        </w:rPr>
        <w:t>天，占比</w:t>
      </w:r>
      <w:r>
        <w:rPr>
          <w:rFonts w:ascii="仿宋_GB2312" w:hAnsi="华文楷体" w:eastAsia="仿宋_GB2312"/>
          <w:bCs/>
          <w:sz w:val="30"/>
          <w:szCs w:val="30"/>
        </w:rPr>
        <w:t>100%</w:t>
      </w:r>
      <w:r>
        <w:rPr>
          <w:rFonts w:hint="eastAsia" w:ascii="仿宋_GB2312" w:hAnsi="华文楷体" w:eastAsia="仿宋_GB2312"/>
          <w:bCs/>
          <w:sz w:val="30"/>
          <w:szCs w:val="30"/>
        </w:rPr>
        <w:t>，无轻度及以上污染，影响环境空气质量的首要污染物是臭氧。空气质量类别比例详见图</w:t>
      </w:r>
      <w:r>
        <w:rPr>
          <w:rFonts w:ascii="仿宋_GB2312" w:hAnsi="华文楷体" w:eastAsia="仿宋_GB2312"/>
          <w:bCs/>
          <w:sz w:val="30"/>
          <w:szCs w:val="30"/>
        </w:rPr>
        <w:t>1</w:t>
      </w:r>
      <w:r>
        <w:rPr>
          <w:rFonts w:hint="eastAsia" w:ascii="仿宋_GB2312" w:hAnsi="华文楷体" w:eastAsia="仿宋_GB2312"/>
          <w:bCs/>
          <w:sz w:val="30"/>
          <w:szCs w:val="30"/>
        </w:rPr>
        <w:t>。</w:t>
      </w:r>
    </w:p>
    <w:p>
      <w:pPr>
        <w:tabs>
          <w:tab w:val="center" w:pos="4156"/>
        </w:tabs>
        <w:ind w:firstLine="600" w:firstLineChars="200"/>
        <w:rPr>
          <w:rFonts w:ascii="仿宋_GB2312" w:hAnsi="华文楷体" w:eastAsia="仿宋_GB2312"/>
          <w:b/>
          <w:sz w:val="30"/>
          <w:szCs w:val="30"/>
        </w:rPr>
      </w:pPr>
      <w:r>
        <w:rPr>
          <w:rFonts w:ascii="仿宋_GB2312" w:hAnsi="华文楷体" w:eastAsia="仿宋_GB2312"/>
          <w:b/>
          <w:sz w:val="30"/>
          <w:szCs w:val="30"/>
        </w:rPr>
        <w:drawing>
          <wp:inline distT="0" distB="0" distL="0" distR="0">
            <wp:extent cx="4619625" cy="2524760"/>
            <wp:effectExtent l="0" t="0" r="9525" b="889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tabs>
          <w:tab w:val="center" w:pos="4156"/>
        </w:tabs>
        <w:ind w:firstLine="560" w:firstLineChars="200"/>
        <w:jc w:val="center"/>
        <w:rPr>
          <w:rFonts w:ascii="仿宋_GB2312" w:hAnsi="华文楷体" w:eastAsia="仿宋_GB2312"/>
          <w:b/>
          <w:sz w:val="30"/>
          <w:szCs w:val="30"/>
        </w:rPr>
      </w:pPr>
      <w:r>
        <w:rPr>
          <w:rFonts w:ascii="仿宋_GB2312" w:hAnsi="华文楷体" w:eastAsia="仿宋_GB2312"/>
          <w:bCs/>
          <w:sz w:val="28"/>
          <w:szCs w:val="28"/>
        </w:rPr>
        <w:t>图1  5月空气质量类别统计表</w:t>
      </w:r>
    </w:p>
    <w:p>
      <w:pPr>
        <w:spacing w:line="600" w:lineRule="exact"/>
        <w:ind w:right="560" w:rightChars="267" w:firstLine="560" w:firstLineChars="200"/>
        <w:rPr>
          <w:rFonts w:ascii="仿宋_GB2312" w:hAnsi="华文楷体" w:eastAsia="仿宋_GB2312"/>
          <w:sz w:val="28"/>
          <w:szCs w:val="28"/>
        </w:rPr>
      </w:pPr>
      <w:r>
        <w:rPr>
          <w:rFonts w:hint="eastAsia" w:ascii="仿宋_GB2312" w:hAnsi="华文楷体" w:eastAsia="仿宋_GB2312"/>
          <w:sz w:val="28"/>
          <w:szCs w:val="28"/>
        </w:rPr>
        <w:t>优良天数与上月相比持平，优良天数比例与上年同期相比，增加</w:t>
      </w:r>
      <w:r>
        <w:rPr>
          <w:rFonts w:ascii="仿宋_GB2312" w:hAnsi="华文楷体" w:eastAsia="仿宋_GB2312"/>
          <w:sz w:val="28"/>
          <w:szCs w:val="28"/>
        </w:rPr>
        <w:t>3.2%</w:t>
      </w:r>
      <w:r>
        <w:rPr>
          <w:rFonts w:hint="eastAsia" w:ascii="仿宋_GB2312" w:hAnsi="华文楷体" w:eastAsia="仿宋_GB2312"/>
          <w:sz w:val="28"/>
          <w:szCs w:val="28"/>
        </w:rPr>
        <w:t>。</w:t>
      </w:r>
      <w:r>
        <w:rPr>
          <w:rFonts w:hint="eastAsia" w:ascii="仿宋_GB2312" w:hAnsi="华文楷体" w:eastAsia="仿宋_GB2312"/>
          <w:bCs/>
          <w:sz w:val="30"/>
          <w:szCs w:val="30"/>
        </w:rPr>
        <w:t>详见表</w:t>
      </w:r>
      <w:r>
        <w:rPr>
          <w:rFonts w:ascii="仿宋_GB2312" w:hAnsi="华文楷体" w:eastAsia="仿宋_GB2312"/>
          <w:bCs/>
          <w:sz w:val="30"/>
          <w:szCs w:val="30"/>
        </w:rPr>
        <w:t>1</w:t>
      </w:r>
      <w:r>
        <w:rPr>
          <w:rFonts w:hint="eastAsia" w:ascii="仿宋_GB2312" w:hAnsi="华文楷体" w:eastAsia="仿宋_GB2312"/>
          <w:bCs/>
          <w:sz w:val="30"/>
          <w:szCs w:val="30"/>
        </w:rPr>
        <w:t>。</w:t>
      </w:r>
    </w:p>
    <w:p>
      <w:pPr>
        <w:spacing w:before="156" w:beforeLines="50" w:after="156" w:afterLines="50" w:line="520" w:lineRule="exact"/>
        <w:ind w:right="-176" w:rightChars="-84"/>
        <w:jc w:val="center"/>
        <w:rPr>
          <w:rFonts w:ascii="仿宋_GB2312" w:hAnsi="华文楷体" w:eastAsia="仿宋_GB2312"/>
          <w:bCs/>
          <w:sz w:val="28"/>
          <w:szCs w:val="28"/>
        </w:rPr>
      </w:pPr>
      <w:r>
        <w:rPr>
          <w:rFonts w:hint="eastAsia" w:ascii="仿宋_GB2312" w:hAnsi="华文楷体" w:eastAsia="仿宋_GB2312"/>
          <w:bCs/>
          <w:sz w:val="28"/>
          <w:szCs w:val="28"/>
        </w:rPr>
        <w:t>表1</w:t>
      </w:r>
      <w:r>
        <w:rPr>
          <w:rFonts w:ascii="仿宋_GB2312" w:hAnsi="华文楷体" w:eastAsia="仿宋_GB2312"/>
          <w:bCs/>
          <w:sz w:val="28"/>
          <w:szCs w:val="28"/>
        </w:rPr>
        <w:t xml:space="preserve">  5</w:t>
      </w:r>
      <w:r>
        <w:rPr>
          <w:rFonts w:hint="eastAsia" w:ascii="仿宋_GB2312" w:hAnsi="华文楷体" w:eastAsia="仿宋_GB2312"/>
          <w:bCs/>
          <w:sz w:val="28"/>
          <w:szCs w:val="28"/>
        </w:rPr>
        <w:t>月邵阳市环境空气质量优良天数比例及变化情况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689"/>
        <w:gridCol w:w="1163"/>
        <w:gridCol w:w="962"/>
        <w:gridCol w:w="1241"/>
        <w:gridCol w:w="1128"/>
        <w:gridCol w:w="113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pct"/>
            <w:vMerge w:val="restart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8EAADB" w:themeFill="accent1" w:themeFillTint="99"/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</w:rPr>
              <w:t>城 市</w:t>
            </w:r>
          </w:p>
        </w:tc>
        <w:tc>
          <w:tcPr>
            <w:tcW w:w="973" w:type="pct"/>
            <w:vMerge w:val="restart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8EAADB" w:themeFill="accent1" w:themeFillTint="99"/>
            <w:vAlign w:val="center"/>
          </w:tcPr>
          <w:p>
            <w:pPr>
              <w:spacing w:before="0" w:after="0" w:line="240" w:lineRule="auto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</w:rPr>
              <w:t>优良天数（天）</w:t>
            </w:r>
          </w:p>
        </w:tc>
        <w:tc>
          <w:tcPr>
            <w:tcW w:w="1939" w:type="pct"/>
            <w:gridSpan w:val="3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8EAADB" w:themeFill="accent1" w:themeFillTint="99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</w:rPr>
              <w:t>优良天数比例（%）</w:t>
            </w:r>
          </w:p>
        </w:tc>
        <w:tc>
          <w:tcPr>
            <w:tcW w:w="1302" w:type="pct"/>
            <w:gridSpan w:val="2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8EAADB" w:themeFill="accent1" w:themeFillTint="99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</w:rPr>
              <w:t>变化幅度（%）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pct"/>
            <w:vMerge w:val="continue"/>
            <w:shd w:val="clear" w:color="auto" w:fill="8EAADB" w:themeFill="accent1" w:themeFillTint="99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</w:p>
        </w:tc>
        <w:tc>
          <w:tcPr>
            <w:tcW w:w="973" w:type="pct"/>
            <w:vMerge w:val="continue"/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</w:p>
        </w:tc>
        <w:tc>
          <w:tcPr>
            <w:tcW w:w="670" w:type="pct"/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本月</w:t>
            </w:r>
          </w:p>
        </w:tc>
        <w:tc>
          <w:tcPr>
            <w:tcW w:w="554" w:type="pct"/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上月</w:t>
            </w:r>
          </w:p>
        </w:tc>
        <w:tc>
          <w:tcPr>
            <w:tcW w:w="715" w:type="pct"/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上年同期</w:t>
            </w:r>
          </w:p>
        </w:tc>
        <w:tc>
          <w:tcPr>
            <w:tcW w:w="650" w:type="pct"/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较上月</w:t>
            </w:r>
          </w:p>
        </w:tc>
        <w:tc>
          <w:tcPr>
            <w:tcW w:w="652" w:type="pct"/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较上年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pct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B4C6E7" w:themeFill="accent1" w:themeFillTint="66"/>
            <w:noWrap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2"/>
              </w:rPr>
              <w:t>邵阳市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B4C6E7" w:themeFill="accent1" w:themeFillTint="66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iCs/>
                <w:color w:val="auto"/>
                <w:kern w:val="0"/>
                <w:sz w:val="22"/>
              </w:rPr>
            </w:pPr>
            <w:r>
              <w:rPr>
                <w:rFonts w:ascii="仿宋" w:hAnsi="仿宋" w:eastAsia="仿宋"/>
                <w:iCs/>
                <w:color w:val="auto"/>
                <w:kern w:val="0"/>
                <w:sz w:val="22"/>
              </w:rPr>
              <w:t>31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B4C6E7" w:themeFill="accent1" w:themeFillTint="66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auto"/>
                <w:kern w:val="0"/>
                <w:sz w:val="22"/>
              </w:rPr>
            </w:pPr>
            <w:r>
              <w:rPr>
                <w:rFonts w:ascii="仿宋" w:hAnsi="仿宋" w:eastAsia="仿宋"/>
                <w:color w:val="auto"/>
                <w:kern w:val="0"/>
                <w:sz w:val="22"/>
              </w:rPr>
              <w:t>100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B4C6E7" w:themeFill="accent1" w:themeFillTint="66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auto"/>
                <w:kern w:val="0"/>
                <w:sz w:val="22"/>
              </w:rPr>
            </w:pPr>
            <w:r>
              <w:rPr>
                <w:rFonts w:ascii="仿宋" w:hAnsi="仿宋" w:eastAsia="仿宋"/>
                <w:color w:val="auto"/>
                <w:kern w:val="0"/>
                <w:sz w:val="22"/>
              </w:rPr>
              <w:t>100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B4C6E7" w:themeFill="accent1" w:themeFillTint="66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auto"/>
                <w:kern w:val="0"/>
                <w:sz w:val="22"/>
              </w:rPr>
            </w:pPr>
            <w:r>
              <w:rPr>
                <w:rFonts w:ascii="仿宋" w:hAnsi="仿宋" w:eastAsia="仿宋"/>
                <w:color w:val="auto"/>
                <w:kern w:val="0"/>
                <w:sz w:val="22"/>
              </w:rPr>
              <w:t>96.8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B4C6E7" w:themeFill="accent1" w:themeFillTint="66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auto"/>
                <w:kern w:val="0"/>
                <w:sz w:val="22"/>
              </w:rPr>
            </w:pPr>
            <w:r>
              <w:rPr>
                <w:rFonts w:ascii="仿宋" w:hAnsi="仿宋" w:eastAsia="仿宋"/>
                <w:color w:val="auto"/>
                <w:kern w:val="0"/>
                <w:sz w:val="22"/>
              </w:rPr>
              <w:t>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  <w:insideV w:val="nil"/>
            </w:tcBorders>
            <w:shd w:val="clear" w:color="auto" w:fill="B4C6E7" w:themeFill="accent1" w:themeFillTint="66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auto"/>
                <w:kern w:val="0"/>
                <w:sz w:val="22"/>
              </w:rPr>
            </w:pPr>
            <w:r>
              <w:rPr>
                <w:rFonts w:ascii="仿宋" w:hAnsi="仿宋" w:eastAsia="仿宋"/>
                <w:color w:val="auto"/>
                <w:kern w:val="0"/>
                <w:sz w:val="22"/>
              </w:rPr>
              <w:t>3.2</w:t>
            </w:r>
          </w:p>
        </w:tc>
      </w:tr>
    </w:tbl>
    <w:p>
      <w:pPr>
        <w:ind w:firstLine="640" w:firstLineChars="200"/>
        <w:rPr>
          <w:rFonts w:ascii="仿宋_GB2312" w:hAnsi="华文楷体" w:eastAsia="仿宋_GB2312"/>
          <w:b/>
          <w:sz w:val="32"/>
          <w:szCs w:val="32"/>
        </w:rPr>
      </w:pPr>
      <w:r>
        <w:rPr>
          <w:rFonts w:ascii="仿宋_GB2312" w:hAnsi="华文楷体" w:eastAsia="仿宋_GB2312"/>
          <w:b/>
          <w:sz w:val="32"/>
          <w:szCs w:val="32"/>
        </w:rPr>
        <w:t>2</w:t>
      </w:r>
      <w:r>
        <w:rPr>
          <w:rFonts w:hint="eastAsia" w:ascii="仿宋_GB2312" w:hAnsi="华文楷体" w:eastAsia="仿宋_GB2312"/>
          <w:b/>
          <w:sz w:val="32"/>
          <w:szCs w:val="32"/>
        </w:rPr>
        <w:t>、城市空气质量综合指数排名</w:t>
      </w:r>
    </w:p>
    <w:p>
      <w:pPr>
        <w:spacing w:line="600" w:lineRule="exact"/>
        <w:ind w:firstLine="600" w:firstLineChars="200"/>
        <w:rPr>
          <w:rFonts w:ascii="仿宋_GB2312" w:hAnsi="华文楷体" w:eastAsia="仿宋_GB2312"/>
          <w:bCs/>
          <w:sz w:val="30"/>
          <w:szCs w:val="30"/>
        </w:rPr>
      </w:pPr>
      <w:r>
        <w:rPr>
          <w:rFonts w:hint="eastAsia" w:ascii="仿宋_GB2312" w:hAnsi="华文楷体" w:eastAsia="仿宋_GB2312"/>
          <w:bCs/>
          <w:sz w:val="30"/>
          <w:szCs w:val="30"/>
        </w:rPr>
        <w:t>本月我市综合指数</w:t>
      </w:r>
      <w:r>
        <w:rPr>
          <w:rFonts w:ascii="仿宋_GB2312" w:hAnsi="华文楷体" w:eastAsia="仿宋_GB2312"/>
          <w:bCs/>
          <w:sz w:val="30"/>
          <w:szCs w:val="30"/>
        </w:rPr>
        <w:t>2.72</w:t>
      </w:r>
      <w:r>
        <w:rPr>
          <w:rFonts w:hint="eastAsia" w:ascii="仿宋_GB2312" w:hAnsi="华文楷体" w:eastAsia="仿宋_GB2312"/>
          <w:bCs/>
          <w:sz w:val="30"/>
          <w:szCs w:val="30"/>
        </w:rPr>
        <w:t>，最大单项污染物为臭氧，单项指数</w:t>
      </w:r>
      <w:r>
        <w:rPr>
          <w:rFonts w:ascii="仿宋_GB2312" w:hAnsi="华文楷体" w:eastAsia="仿宋_GB2312"/>
          <w:bCs/>
          <w:sz w:val="30"/>
          <w:szCs w:val="30"/>
        </w:rPr>
        <w:t>0.77</w:t>
      </w:r>
      <w:r>
        <w:rPr>
          <w:rFonts w:hint="eastAsia" w:ascii="仿宋_GB2312" w:hAnsi="华文楷体" w:eastAsia="仿宋_GB2312"/>
          <w:bCs/>
          <w:sz w:val="30"/>
          <w:szCs w:val="30"/>
        </w:rPr>
        <w:t>，排名全省第</w:t>
      </w:r>
      <w:r>
        <w:rPr>
          <w:rFonts w:ascii="仿宋_GB2312" w:hAnsi="华文楷体" w:eastAsia="仿宋_GB2312"/>
          <w:bCs/>
          <w:sz w:val="30"/>
          <w:szCs w:val="30"/>
        </w:rPr>
        <w:t>6</w:t>
      </w:r>
      <w:r>
        <w:rPr>
          <w:rFonts w:hint="eastAsia" w:ascii="仿宋_GB2312" w:hAnsi="华文楷体" w:eastAsia="仿宋_GB2312"/>
          <w:bCs/>
          <w:sz w:val="30"/>
          <w:szCs w:val="30"/>
        </w:rPr>
        <w:t>位。</w:t>
      </w:r>
      <w:r>
        <w:rPr>
          <w:rFonts w:hint="eastAsia" w:ascii="仿宋_GB2312" w:hAnsi="华文楷体"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详见表</w:t>
      </w:r>
      <w:r>
        <w:rPr>
          <w:rFonts w:ascii="仿宋_GB2312" w:hAnsi="华文楷体"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华文楷体" w:eastAsia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:lang w:val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lang w:val="zh-CN"/>
        </w:rPr>
        <w:t xml:space="preserve">   </w:t>
      </w:r>
    </w:p>
    <w:p>
      <w:pPr>
        <w:jc w:val="center"/>
        <w:rPr>
          <w:rFonts w:ascii="仿宋_GB2312" w:hAnsi="华文楷体" w:eastAsia="仿宋_GB2312"/>
          <w:bCs/>
          <w:sz w:val="28"/>
          <w:szCs w:val="28"/>
        </w:rPr>
      </w:pPr>
      <w:r>
        <w:rPr>
          <w:rFonts w:hint="eastAsia" w:ascii="仿宋_GB2312" w:hAnsi="华文楷体" w:eastAsia="仿宋_GB2312"/>
          <w:bCs/>
          <w:sz w:val="28"/>
          <w:szCs w:val="28"/>
        </w:rPr>
        <w:t>表2</w:t>
      </w:r>
      <w:r>
        <w:rPr>
          <w:rFonts w:ascii="仿宋_GB2312" w:hAnsi="华文楷体" w:eastAsia="仿宋_GB2312"/>
          <w:bCs/>
          <w:sz w:val="28"/>
          <w:szCs w:val="28"/>
        </w:rPr>
        <w:t xml:space="preserve"> 5</w:t>
      </w:r>
      <w:r>
        <w:rPr>
          <w:rFonts w:hint="eastAsia" w:ascii="仿宋_GB2312" w:hAnsi="华文楷体" w:eastAsia="仿宋_GB2312"/>
          <w:bCs/>
          <w:sz w:val="28"/>
          <w:szCs w:val="28"/>
        </w:rPr>
        <w:t>月全省综合指数排名</w:t>
      </w:r>
    </w:p>
    <w:tbl>
      <w:tblPr>
        <w:tblStyle w:val="11"/>
        <w:tblW w:w="0" w:type="auto"/>
        <w:tblInd w:w="0" w:type="dxa"/>
        <w:tbl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1701"/>
        <w:gridCol w:w="1984"/>
        <w:gridCol w:w="2410"/>
      </w:tblGrid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8EAADB" w:themeFill="accent1" w:themeFillTint="99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</w:rPr>
              <w:t>排 名</w:t>
            </w:r>
          </w:p>
        </w:tc>
        <w:tc>
          <w:tcPr>
            <w:tcW w:w="1276" w:type="dxa"/>
            <w:tcBorders>
              <w:top w:val="single" w:color="A5A5A5" w:themeColor="accent3" w:sz="8" w:space="0"/>
              <w:bottom w:val="single" w:color="auto" w:sz="4" w:space="0"/>
            </w:tcBorders>
            <w:shd w:val="clear" w:color="auto" w:fill="8EAADB" w:themeFill="accent1" w:themeFillTint="99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lang w:val="zh-CN"/>
              </w:rPr>
              <w:t xml:space="preserve">城 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lang w:val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lang w:val="zh-CN"/>
              </w:rPr>
              <w:t>市</w:t>
            </w:r>
          </w:p>
        </w:tc>
        <w:tc>
          <w:tcPr>
            <w:tcW w:w="1701" w:type="dxa"/>
            <w:tcBorders>
              <w:top w:val="single" w:color="A5A5A5" w:themeColor="accent3" w:sz="8" w:space="0"/>
              <w:bottom w:val="single" w:color="auto" w:sz="4" w:space="0"/>
            </w:tcBorders>
            <w:shd w:val="clear" w:color="auto" w:fill="8EAADB" w:themeFill="accent1" w:themeFillTint="99"/>
          </w:tcPr>
          <w:p>
            <w:pPr>
              <w:spacing w:before="0" w:after="0" w:line="240" w:lineRule="auto"/>
              <w:ind w:left="180" w:firstLine="220" w:firstLineChars="100"/>
              <w:rPr>
                <w:rFonts w:ascii="仿宋" w:hAnsi="仿宋" w:eastAsia="仿宋"/>
                <w:b w:val="0"/>
                <w:bCs w:val="0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lang w:val="zh-CN"/>
              </w:rPr>
              <w:t>综合指数</w:t>
            </w:r>
          </w:p>
        </w:tc>
        <w:tc>
          <w:tcPr>
            <w:tcW w:w="1984" w:type="dxa"/>
            <w:tcBorders>
              <w:top w:val="single" w:color="A5A5A5" w:themeColor="accent3" w:sz="8" w:space="0"/>
              <w:bottom w:val="single" w:color="auto" w:sz="4" w:space="0"/>
            </w:tcBorders>
            <w:shd w:val="clear" w:color="auto" w:fill="8EAADB" w:themeFill="accent1" w:themeFillTint="99"/>
          </w:tcPr>
          <w:p>
            <w:pPr>
              <w:spacing w:before="0" w:after="0" w:line="240" w:lineRule="auto"/>
              <w:ind w:firstLine="220" w:firstLineChars="100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lang w:val="zh-CN"/>
              </w:rPr>
              <w:t>最大单项指数</w:t>
            </w:r>
          </w:p>
        </w:tc>
        <w:tc>
          <w:tcPr>
            <w:tcW w:w="2410" w:type="dxa"/>
            <w:tcBorders>
              <w:top w:val="single" w:color="A5A5A5" w:themeColor="accent3" w:sz="8" w:space="0"/>
              <w:bottom w:val="single" w:color="auto" w:sz="4" w:space="0"/>
            </w:tcBorders>
            <w:shd w:val="clear" w:color="auto" w:fill="8EAADB" w:themeFill="accent1" w:themeFillTint="99"/>
          </w:tcPr>
          <w:p>
            <w:pPr>
              <w:spacing w:before="0" w:after="0" w:line="240" w:lineRule="auto"/>
              <w:ind w:firstLine="440" w:firstLineChars="200"/>
              <w:rPr>
                <w:rFonts w:ascii="仿宋" w:hAnsi="仿宋" w:eastAsia="仿宋"/>
                <w:b w:val="0"/>
                <w:bCs w:val="0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lang w:val="zh-CN"/>
              </w:rPr>
              <w:t>最大单项污染物</w:t>
            </w:r>
          </w:p>
        </w:tc>
      </w:tr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lang w:val="zh-CN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郴州市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2.14</w:t>
            </w:r>
          </w:p>
        </w:tc>
        <w:tc>
          <w:tcPr>
            <w:tcW w:w="1984" w:type="dxa"/>
            <w:tcBorders>
              <w:top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0.6</w:t>
            </w:r>
          </w:p>
        </w:tc>
        <w:tc>
          <w:tcPr>
            <w:tcW w:w="2410" w:type="dxa"/>
            <w:tcBorders>
              <w:top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O</w:t>
            </w:r>
            <w:r>
              <w:rPr>
                <w:rFonts w:ascii="仿宋" w:hAnsi="仿宋" w:eastAsia="仿宋"/>
                <w:kern w:val="0"/>
                <w:sz w:val="16"/>
                <w:szCs w:val="16"/>
              </w:rPr>
              <w:t>3</w:t>
            </w:r>
          </w:p>
        </w:tc>
      </w:tr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2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张家界市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2.20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0.6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O</w:t>
            </w:r>
            <w:r>
              <w:rPr>
                <w:rFonts w:ascii="仿宋" w:hAnsi="仿宋" w:eastAsia="仿宋"/>
                <w:kern w:val="0"/>
                <w:sz w:val="16"/>
                <w:szCs w:val="16"/>
              </w:rPr>
              <w:t>3</w:t>
            </w:r>
          </w:p>
        </w:tc>
      </w:tr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3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湘西州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2.25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0.78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O</w:t>
            </w:r>
            <w:r>
              <w:rPr>
                <w:rFonts w:ascii="仿宋" w:hAnsi="仿宋" w:eastAsia="仿宋"/>
                <w:kern w:val="0"/>
                <w:sz w:val="16"/>
                <w:szCs w:val="16"/>
              </w:rPr>
              <w:t>3</w:t>
            </w:r>
          </w:p>
        </w:tc>
      </w:tr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4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永州市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2.31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0.71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O</w:t>
            </w:r>
            <w:r>
              <w:rPr>
                <w:rFonts w:ascii="仿宋" w:hAnsi="仿宋" w:eastAsia="仿宋"/>
                <w:kern w:val="0"/>
                <w:sz w:val="16"/>
                <w:szCs w:val="16"/>
              </w:rPr>
              <w:t>3</w:t>
            </w:r>
          </w:p>
        </w:tc>
      </w:tr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5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怀化市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2.46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0.74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O</w:t>
            </w:r>
            <w:r>
              <w:rPr>
                <w:rFonts w:ascii="仿宋" w:hAnsi="仿宋" w:eastAsia="仿宋"/>
                <w:kern w:val="0"/>
                <w:sz w:val="16"/>
                <w:szCs w:val="16"/>
              </w:rPr>
              <w:t>3</w:t>
            </w:r>
          </w:p>
        </w:tc>
      </w:tr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6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lang w:val="zh-CN"/>
              </w:rPr>
              <w:t>邵阳市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2.72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0.77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O</w:t>
            </w:r>
            <w:r>
              <w:rPr>
                <w:rFonts w:ascii="仿宋" w:hAnsi="仿宋" w:eastAsia="仿宋"/>
                <w:kern w:val="0"/>
                <w:sz w:val="16"/>
                <w:szCs w:val="16"/>
              </w:rPr>
              <w:t>3</w:t>
            </w:r>
          </w:p>
        </w:tc>
      </w:tr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7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lang w:val="zh-CN"/>
              </w:rPr>
              <w:t>衡阳市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2.80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0.76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O</w:t>
            </w:r>
            <w:r>
              <w:rPr>
                <w:rFonts w:ascii="仿宋" w:hAnsi="仿宋" w:eastAsia="仿宋"/>
                <w:kern w:val="0"/>
                <w:sz w:val="16"/>
                <w:szCs w:val="16"/>
              </w:rPr>
              <w:t>3</w:t>
            </w:r>
          </w:p>
        </w:tc>
      </w:tr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8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益阳市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2.88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0.79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O</w:t>
            </w:r>
            <w:r>
              <w:rPr>
                <w:rFonts w:ascii="仿宋" w:hAnsi="仿宋" w:eastAsia="仿宋"/>
                <w:kern w:val="0"/>
                <w:sz w:val="16"/>
                <w:szCs w:val="16"/>
              </w:rPr>
              <w:t>3</w:t>
            </w:r>
          </w:p>
        </w:tc>
      </w:tr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9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株洲</w:t>
            </w:r>
            <w:r>
              <w:rPr>
                <w:rFonts w:hint="eastAsia" w:ascii="仿宋" w:hAnsi="仿宋" w:eastAsia="仿宋"/>
                <w:kern w:val="0"/>
                <w:sz w:val="22"/>
                <w:lang w:val="zh-CN"/>
              </w:rPr>
              <w:t>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2.89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0.82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O</w:t>
            </w:r>
            <w:r>
              <w:rPr>
                <w:rFonts w:ascii="仿宋" w:hAnsi="仿宋" w:eastAsia="仿宋"/>
                <w:kern w:val="0"/>
                <w:sz w:val="16"/>
                <w:szCs w:val="16"/>
              </w:rPr>
              <w:t>3</w:t>
            </w:r>
          </w:p>
        </w:tc>
      </w:tr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1</w:t>
            </w:r>
            <w:r>
              <w:rPr>
                <w:rFonts w:ascii="仿宋" w:hAnsi="仿宋" w:eastAsia="仿宋"/>
                <w:kern w:val="0"/>
                <w:sz w:val="22"/>
              </w:rPr>
              <w:t>0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lang w:val="zh-CN"/>
              </w:rPr>
              <w:t>娄底市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2.93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0.76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O</w:t>
            </w:r>
            <w:r>
              <w:rPr>
                <w:rFonts w:ascii="仿宋" w:hAnsi="仿宋" w:eastAsia="仿宋"/>
                <w:kern w:val="0"/>
                <w:sz w:val="16"/>
                <w:szCs w:val="16"/>
              </w:rPr>
              <w:t>3</w:t>
            </w:r>
          </w:p>
        </w:tc>
      </w:tr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1</w:t>
            </w:r>
            <w:r>
              <w:rPr>
                <w:rFonts w:ascii="仿宋" w:hAnsi="仿宋" w:eastAsia="仿宋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lang w:val="zh-CN"/>
              </w:rPr>
              <w:t>常德市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2.95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0.85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O</w:t>
            </w:r>
            <w:r>
              <w:rPr>
                <w:rFonts w:ascii="仿宋" w:hAnsi="仿宋" w:eastAsia="仿宋"/>
                <w:kern w:val="0"/>
                <w:sz w:val="16"/>
                <w:szCs w:val="16"/>
              </w:rPr>
              <w:t>3</w:t>
            </w:r>
          </w:p>
        </w:tc>
      </w:tr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1</w:t>
            </w:r>
            <w:r>
              <w:rPr>
                <w:rFonts w:ascii="仿宋" w:hAnsi="仿宋" w:eastAsia="仿宋"/>
                <w:kern w:val="0"/>
                <w:sz w:val="22"/>
              </w:rPr>
              <w:t>2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岳阳市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3.09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0.85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O</w:t>
            </w:r>
            <w:r>
              <w:rPr>
                <w:rFonts w:ascii="仿宋" w:hAnsi="仿宋" w:eastAsia="仿宋"/>
                <w:kern w:val="0"/>
                <w:sz w:val="16"/>
                <w:szCs w:val="16"/>
              </w:rPr>
              <w:t>3</w:t>
            </w:r>
          </w:p>
        </w:tc>
      </w:tr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1</w:t>
            </w:r>
            <w:r>
              <w:rPr>
                <w:rFonts w:ascii="仿宋" w:hAnsi="仿宋" w:eastAsia="仿宋"/>
                <w:kern w:val="0"/>
                <w:sz w:val="22"/>
              </w:rPr>
              <w:t>3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长沙市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3.18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0.84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O</w:t>
            </w:r>
            <w:r>
              <w:rPr>
                <w:rFonts w:ascii="仿宋" w:hAnsi="仿宋" w:eastAsia="仿宋"/>
                <w:kern w:val="0"/>
                <w:sz w:val="16"/>
                <w:szCs w:val="16"/>
              </w:rPr>
              <w:t>3</w:t>
            </w:r>
          </w:p>
        </w:tc>
      </w:tr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1</w:t>
            </w:r>
            <w:r>
              <w:rPr>
                <w:rFonts w:ascii="仿宋" w:hAnsi="仿宋" w:eastAsia="仿宋"/>
                <w:kern w:val="0"/>
                <w:sz w:val="22"/>
              </w:rPr>
              <w:t>4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lang w:val="zh-CN"/>
              </w:rPr>
              <w:t>湘潭市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3.21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0.85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O</w:t>
            </w:r>
            <w:r>
              <w:rPr>
                <w:rFonts w:ascii="仿宋" w:hAnsi="仿宋" w:eastAsia="仿宋"/>
                <w:kern w:val="0"/>
                <w:sz w:val="16"/>
                <w:szCs w:val="16"/>
              </w:rPr>
              <w:t>3</w:t>
            </w:r>
          </w:p>
        </w:tc>
      </w:tr>
    </w:tbl>
    <w:p>
      <w:pPr>
        <w:ind w:firstLine="640" w:firstLineChars="200"/>
        <w:rPr>
          <w:rFonts w:ascii="仿宋_GB2312" w:hAnsi="华文楷体" w:eastAsia="仿宋_GB2312"/>
          <w:b/>
          <w:sz w:val="32"/>
          <w:szCs w:val="32"/>
        </w:rPr>
      </w:pPr>
    </w:p>
    <w:p>
      <w:pPr>
        <w:ind w:firstLine="640" w:firstLineChars="200"/>
        <w:rPr>
          <w:rFonts w:ascii="仿宋_GB2312" w:hAnsi="华文楷体" w:eastAsia="仿宋_GB2312"/>
          <w:b/>
          <w:sz w:val="32"/>
          <w:szCs w:val="32"/>
        </w:rPr>
      </w:pPr>
      <w:r>
        <w:rPr>
          <w:rFonts w:hint="eastAsia" w:ascii="仿宋_GB2312" w:hAnsi="华文楷体" w:eastAsia="仿宋_GB2312"/>
          <w:b/>
          <w:sz w:val="32"/>
          <w:szCs w:val="32"/>
        </w:rPr>
        <w:t>3、城市环境空气主要污染物浓度及变化趋势</w:t>
      </w:r>
    </w:p>
    <w:p>
      <w:pPr>
        <w:spacing w:line="600" w:lineRule="exact"/>
        <w:ind w:firstLine="600" w:firstLineChars="200"/>
        <w:rPr>
          <w:rFonts w:ascii="仿宋_GB2312" w:hAnsi="华文楷体" w:eastAsia="仿宋_GB2312"/>
          <w:bCs/>
          <w:sz w:val="30"/>
          <w:szCs w:val="30"/>
        </w:rPr>
      </w:pPr>
      <w:r>
        <w:rPr>
          <w:rFonts w:hint="eastAsia" w:ascii="仿宋_GB2312" w:hAnsi="华文楷体" w:eastAsia="仿宋_GB2312"/>
          <w:bCs/>
          <w:sz w:val="30"/>
          <w:szCs w:val="30"/>
        </w:rPr>
        <w:t>本月，我市环境空气中细颗粒物浓度均值范围在</w:t>
      </w:r>
      <w:r>
        <w:rPr>
          <w:rFonts w:ascii="仿宋_GB2312" w:hAnsi="华文楷体" w:eastAsia="仿宋_GB2312"/>
          <w:bCs/>
          <w:sz w:val="30"/>
          <w:szCs w:val="30"/>
        </w:rPr>
        <w:t>8</w:t>
      </w:r>
      <w:r>
        <w:rPr>
          <w:rFonts w:hint="eastAsia" w:ascii="仿宋" w:hAnsi="仿宋" w:eastAsia="仿宋"/>
          <w:bCs/>
          <w:sz w:val="30"/>
          <w:szCs w:val="30"/>
        </w:rPr>
        <w:t>～</w:t>
      </w:r>
      <w:r>
        <w:rPr>
          <w:rFonts w:ascii="仿宋_GB2312" w:hAnsi="华文楷体" w:eastAsia="仿宋_GB2312"/>
          <w:bCs/>
          <w:sz w:val="30"/>
          <w:szCs w:val="30"/>
        </w:rPr>
        <w:t>52</w:t>
      </w:r>
      <w:r>
        <w:rPr>
          <w:rFonts w:hint="eastAsia" w:ascii="仿宋_GB2312" w:hAnsi="华文楷体" w:eastAsia="仿宋_GB2312"/>
          <w:bCs/>
          <w:sz w:val="30"/>
          <w:szCs w:val="30"/>
        </w:rPr>
        <w:t>微克</w:t>
      </w:r>
      <w:r>
        <w:rPr>
          <w:rFonts w:ascii="仿宋_GB2312" w:hAnsi="华文楷体" w:eastAsia="仿宋_GB2312"/>
          <w:bCs/>
          <w:sz w:val="30"/>
          <w:szCs w:val="30"/>
        </w:rPr>
        <w:t>/</w:t>
      </w:r>
      <w:r>
        <w:rPr>
          <w:rFonts w:hint="eastAsia" w:ascii="仿宋_GB2312" w:hAnsi="华文楷体" w:eastAsia="仿宋_GB2312"/>
          <w:bCs/>
          <w:sz w:val="30"/>
          <w:szCs w:val="30"/>
        </w:rPr>
        <w:t>立方米之间，均值为</w:t>
      </w:r>
      <w:r>
        <w:rPr>
          <w:rFonts w:ascii="仿宋_GB2312" w:hAnsi="华文楷体" w:eastAsia="仿宋_GB2312"/>
          <w:bCs/>
          <w:sz w:val="30"/>
          <w:szCs w:val="30"/>
        </w:rPr>
        <w:t>23</w:t>
      </w:r>
      <w:r>
        <w:rPr>
          <w:rFonts w:hint="eastAsia" w:ascii="仿宋_GB2312" w:hAnsi="华文楷体" w:eastAsia="仿宋_GB2312"/>
          <w:bCs/>
          <w:sz w:val="30"/>
          <w:szCs w:val="30"/>
        </w:rPr>
        <w:t>微克</w:t>
      </w:r>
      <w:r>
        <w:rPr>
          <w:rFonts w:ascii="仿宋_GB2312" w:hAnsi="华文楷体" w:eastAsia="仿宋_GB2312"/>
          <w:bCs/>
          <w:sz w:val="30"/>
          <w:szCs w:val="30"/>
        </w:rPr>
        <w:t>/</w:t>
      </w:r>
      <w:r>
        <w:rPr>
          <w:rFonts w:hint="eastAsia" w:ascii="仿宋_GB2312" w:hAnsi="华文楷体" w:eastAsia="仿宋_GB2312"/>
          <w:bCs/>
          <w:sz w:val="30"/>
          <w:szCs w:val="30"/>
        </w:rPr>
        <w:t>立方米；可吸入颗粒物浓度均值范围在</w:t>
      </w:r>
      <w:r>
        <w:rPr>
          <w:rFonts w:ascii="仿宋_GB2312" w:hAnsi="华文楷体" w:eastAsia="仿宋_GB2312"/>
          <w:bCs/>
          <w:sz w:val="30"/>
          <w:szCs w:val="30"/>
        </w:rPr>
        <w:t>13</w:t>
      </w:r>
      <w:r>
        <w:rPr>
          <w:rFonts w:hint="eastAsia" w:ascii="仿宋" w:hAnsi="仿宋" w:eastAsia="仿宋"/>
          <w:bCs/>
          <w:sz w:val="30"/>
          <w:szCs w:val="30"/>
        </w:rPr>
        <w:t>～</w:t>
      </w:r>
      <w:r>
        <w:rPr>
          <w:rFonts w:ascii="仿宋_GB2312" w:hAnsi="华文楷体" w:eastAsia="仿宋_GB2312"/>
          <w:bCs/>
          <w:sz w:val="30"/>
          <w:szCs w:val="30"/>
        </w:rPr>
        <w:t>98</w:t>
      </w:r>
      <w:r>
        <w:rPr>
          <w:rFonts w:hint="eastAsia" w:ascii="仿宋_GB2312" w:hAnsi="华文楷体" w:eastAsia="仿宋_GB2312"/>
          <w:bCs/>
          <w:sz w:val="30"/>
          <w:szCs w:val="30"/>
        </w:rPr>
        <w:t>微克</w:t>
      </w:r>
      <w:r>
        <w:rPr>
          <w:rFonts w:ascii="仿宋_GB2312" w:hAnsi="华文楷体" w:eastAsia="仿宋_GB2312"/>
          <w:bCs/>
          <w:sz w:val="30"/>
          <w:szCs w:val="30"/>
        </w:rPr>
        <w:t>/</w:t>
      </w:r>
      <w:r>
        <w:rPr>
          <w:rFonts w:hint="eastAsia" w:ascii="仿宋_GB2312" w:hAnsi="华文楷体" w:eastAsia="仿宋_GB2312"/>
          <w:bCs/>
          <w:sz w:val="30"/>
          <w:szCs w:val="30"/>
        </w:rPr>
        <w:t>立方米之间，均值为</w:t>
      </w:r>
      <w:r>
        <w:rPr>
          <w:rFonts w:ascii="仿宋_GB2312" w:hAnsi="华文楷体" w:eastAsia="仿宋_GB2312"/>
          <w:bCs/>
          <w:sz w:val="30"/>
          <w:szCs w:val="30"/>
        </w:rPr>
        <w:t>39</w:t>
      </w:r>
      <w:r>
        <w:rPr>
          <w:rFonts w:hint="eastAsia" w:ascii="仿宋_GB2312" w:hAnsi="华文楷体" w:eastAsia="仿宋_GB2312"/>
          <w:bCs/>
          <w:sz w:val="30"/>
          <w:szCs w:val="30"/>
        </w:rPr>
        <w:t>微克</w:t>
      </w:r>
      <w:r>
        <w:rPr>
          <w:rFonts w:ascii="仿宋_GB2312" w:hAnsi="华文楷体" w:eastAsia="仿宋_GB2312"/>
          <w:bCs/>
          <w:sz w:val="30"/>
          <w:szCs w:val="30"/>
        </w:rPr>
        <w:t>/</w:t>
      </w:r>
      <w:r>
        <w:rPr>
          <w:rFonts w:hint="eastAsia" w:ascii="仿宋_GB2312" w:hAnsi="华文楷体" w:eastAsia="仿宋_GB2312"/>
          <w:bCs/>
          <w:sz w:val="30"/>
          <w:szCs w:val="30"/>
        </w:rPr>
        <w:t>立方米；二氧化硫浓度均值范围在</w:t>
      </w:r>
      <w:r>
        <w:rPr>
          <w:rFonts w:ascii="仿宋_GB2312" w:hAnsi="华文楷体" w:eastAsia="仿宋_GB2312"/>
          <w:bCs/>
          <w:sz w:val="30"/>
          <w:szCs w:val="30"/>
        </w:rPr>
        <w:t>8</w:t>
      </w:r>
      <w:r>
        <w:rPr>
          <w:rFonts w:hint="eastAsia" w:ascii="仿宋" w:hAnsi="仿宋" w:eastAsia="仿宋"/>
          <w:bCs/>
          <w:sz w:val="30"/>
          <w:szCs w:val="30"/>
        </w:rPr>
        <w:t>～</w:t>
      </w:r>
      <w:r>
        <w:rPr>
          <w:rFonts w:ascii="仿宋_GB2312" w:hAnsi="华文楷体" w:eastAsia="仿宋_GB2312"/>
          <w:bCs/>
          <w:sz w:val="30"/>
          <w:szCs w:val="30"/>
        </w:rPr>
        <w:t>15</w:t>
      </w:r>
      <w:r>
        <w:rPr>
          <w:rFonts w:hint="eastAsia" w:ascii="仿宋_GB2312" w:hAnsi="华文楷体" w:eastAsia="仿宋_GB2312"/>
          <w:bCs/>
          <w:sz w:val="30"/>
          <w:szCs w:val="30"/>
        </w:rPr>
        <w:t>微克</w:t>
      </w:r>
      <w:r>
        <w:rPr>
          <w:rFonts w:ascii="仿宋_GB2312" w:hAnsi="华文楷体" w:eastAsia="仿宋_GB2312"/>
          <w:bCs/>
          <w:sz w:val="30"/>
          <w:szCs w:val="30"/>
        </w:rPr>
        <w:t>/</w:t>
      </w:r>
      <w:r>
        <w:rPr>
          <w:rFonts w:hint="eastAsia" w:ascii="仿宋_GB2312" w:hAnsi="华文楷体" w:eastAsia="仿宋_GB2312"/>
          <w:bCs/>
          <w:sz w:val="30"/>
          <w:szCs w:val="30"/>
        </w:rPr>
        <w:t>立方米之间，均值为</w:t>
      </w:r>
      <w:r>
        <w:rPr>
          <w:rFonts w:ascii="仿宋_GB2312" w:hAnsi="华文楷体" w:eastAsia="仿宋_GB2312"/>
          <w:bCs/>
          <w:sz w:val="30"/>
          <w:szCs w:val="30"/>
        </w:rPr>
        <w:t>11</w:t>
      </w:r>
      <w:r>
        <w:rPr>
          <w:rFonts w:hint="eastAsia" w:ascii="仿宋_GB2312" w:hAnsi="华文楷体" w:eastAsia="仿宋_GB2312"/>
          <w:bCs/>
          <w:sz w:val="30"/>
          <w:szCs w:val="30"/>
        </w:rPr>
        <w:t>微克</w:t>
      </w:r>
      <w:r>
        <w:rPr>
          <w:rFonts w:ascii="仿宋_GB2312" w:hAnsi="华文楷体" w:eastAsia="仿宋_GB2312"/>
          <w:bCs/>
          <w:sz w:val="30"/>
          <w:szCs w:val="30"/>
        </w:rPr>
        <w:t>/</w:t>
      </w:r>
      <w:r>
        <w:rPr>
          <w:rFonts w:hint="eastAsia" w:ascii="仿宋_GB2312" w:hAnsi="华文楷体" w:eastAsia="仿宋_GB2312"/>
          <w:bCs/>
          <w:sz w:val="30"/>
          <w:szCs w:val="30"/>
        </w:rPr>
        <w:t>立方米；二氧化氮浓度均值范围在</w:t>
      </w:r>
      <w:r>
        <w:rPr>
          <w:rFonts w:ascii="仿宋_GB2312" w:hAnsi="华文楷体" w:eastAsia="仿宋_GB2312"/>
          <w:bCs/>
          <w:sz w:val="30"/>
          <w:szCs w:val="30"/>
        </w:rPr>
        <w:t>6</w:t>
      </w:r>
      <w:r>
        <w:rPr>
          <w:rFonts w:hint="eastAsia" w:ascii="仿宋" w:hAnsi="仿宋" w:eastAsia="仿宋"/>
          <w:bCs/>
          <w:sz w:val="30"/>
          <w:szCs w:val="30"/>
        </w:rPr>
        <w:t>～</w:t>
      </w:r>
      <w:r>
        <w:rPr>
          <w:rFonts w:ascii="仿宋_GB2312" w:hAnsi="华文楷体" w:eastAsia="仿宋_GB2312"/>
          <w:bCs/>
          <w:sz w:val="30"/>
          <w:szCs w:val="30"/>
        </w:rPr>
        <w:t>27</w:t>
      </w:r>
      <w:r>
        <w:rPr>
          <w:rFonts w:hint="eastAsia" w:ascii="仿宋_GB2312" w:hAnsi="华文楷体" w:eastAsia="仿宋_GB2312"/>
          <w:bCs/>
          <w:sz w:val="30"/>
          <w:szCs w:val="30"/>
        </w:rPr>
        <w:t>微克</w:t>
      </w:r>
      <w:r>
        <w:rPr>
          <w:rFonts w:ascii="仿宋_GB2312" w:hAnsi="华文楷体" w:eastAsia="仿宋_GB2312"/>
          <w:bCs/>
          <w:sz w:val="30"/>
          <w:szCs w:val="30"/>
        </w:rPr>
        <w:t>/</w:t>
      </w:r>
      <w:r>
        <w:rPr>
          <w:rFonts w:hint="eastAsia" w:ascii="仿宋_GB2312" w:hAnsi="华文楷体" w:eastAsia="仿宋_GB2312"/>
          <w:bCs/>
          <w:sz w:val="30"/>
          <w:szCs w:val="30"/>
        </w:rPr>
        <w:t>立方米之间，均值为</w:t>
      </w:r>
      <w:r>
        <w:rPr>
          <w:rFonts w:ascii="仿宋_GB2312" w:hAnsi="华文楷体" w:eastAsia="仿宋_GB2312"/>
          <w:bCs/>
          <w:sz w:val="30"/>
          <w:szCs w:val="30"/>
        </w:rPr>
        <w:t>14</w:t>
      </w:r>
      <w:r>
        <w:rPr>
          <w:rFonts w:hint="eastAsia" w:ascii="仿宋_GB2312" w:hAnsi="华文楷体" w:eastAsia="仿宋_GB2312"/>
          <w:bCs/>
          <w:sz w:val="30"/>
          <w:szCs w:val="30"/>
        </w:rPr>
        <w:t>微克</w:t>
      </w:r>
      <w:r>
        <w:rPr>
          <w:rFonts w:ascii="仿宋_GB2312" w:hAnsi="华文楷体" w:eastAsia="仿宋_GB2312"/>
          <w:bCs/>
          <w:sz w:val="30"/>
          <w:szCs w:val="30"/>
        </w:rPr>
        <w:t>/</w:t>
      </w:r>
      <w:r>
        <w:rPr>
          <w:rFonts w:hint="eastAsia" w:ascii="仿宋_GB2312" w:hAnsi="华文楷体" w:eastAsia="仿宋_GB2312"/>
          <w:bCs/>
          <w:sz w:val="30"/>
          <w:szCs w:val="30"/>
        </w:rPr>
        <w:t>立方米；臭氧日最大</w:t>
      </w:r>
      <w:r>
        <w:rPr>
          <w:rFonts w:ascii="仿宋_GB2312" w:hAnsi="华文楷体" w:eastAsia="仿宋_GB2312"/>
          <w:bCs/>
          <w:sz w:val="30"/>
          <w:szCs w:val="30"/>
        </w:rPr>
        <w:t>8</w:t>
      </w:r>
      <w:r>
        <w:rPr>
          <w:rFonts w:hint="eastAsia" w:ascii="仿宋_GB2312" w:hAnsi="华文楷体" w:eastAsia="仿宋_GB2312"/>
          <w:bCs/>
          <w:sz w:val="30"/>
          <w:szCs w:val="30"/>
        </w:rPr>
        <w:t>小时平均第</w:t>
      </w:r>
      <w:r>
        <w:rPr>
          <w:rFonts w:ascii="仿宋_GB2312" w:hAnsi="华文楷体" w:eastAsia="仿宋_GB2312"/>
          <w:bCs/>
          <w:sz w:val="30"/>
          <w:szCs w:val="30"/>
        </w:rPr>
        <w:t>90</w:t>
      </w:r>
      <w:r>
        <w:rPr>
          <w:rFonts w:hint="eastAsia" w:ascii="仿宋_GB2312" w:hAnsi="华文楷体" w:eastAsia="仿宋_GB2312"/>
          <w:bCs/>
          <w:sz w:val="30"/>
          <w:szCs w:val="30"/>
        </w:rPr>
        <w:t>百分位浓度范围在</w:t>
      </w:r>
      <w:r>
        <w:rPr>
          <w:rFonts w:ascii="仿宋_GB2312" w:hAnsi="华文楷体" w:eastAsia="仿宋_GB2312"/>
          <w:bCs/>
          <w:sz w:val="30"/>
          <w:szCs w:val="30"/>
        </w:rPr>
        <w:t>44</w:t>
      </w:r>
      <w:r>
        <w:rPr>
          <w:rFonts w:hint="eastAsia" w:ascii="仿宋" w:hAnsi="仿宋" w:eastAsia="仿宋"/>
          <w:bCs/>
          <w:sz w:val="30"/>
          <w:szCs w:val="30"/>
        </w:rPr>
        <w:t>～</w:t>
      </w:r>
      <w:r>
        <w:rPr>
          <w:rFonts w:ascii="仿宋_GB2312" w:hAnsi="华文楷体" w:eastAsia="仿宋_GB2312"/>
          <w:bCs/>
          <w:sz w:val="30"/>
          <w:szCs w:val="30"/>
        </w:rPr>
        <w:t>139</w:t>
      </w:r>
      <w:r>
        <w:rPr>
          <w:rFonts w:hint="eastAsia" w:ascii="仿宋_GB2312" w:hAnsi="华文楷体" w:eastAsia="仿宋_GB2312"/>
          <w:bCs/>
          <w:sz w:val="30"/>
          <w:szCs w:val="30"/>
        </w:rPr>
        <w:t>微克</w:t>
      </w:r>
      <w:r>
        <w:rPr>
          <w:rFonts w:ascii="仿宋_GB2312" w:hAnsi="华文楷体" w:eastAsia="仿宋_GB2312"/>
          <w:bCs/>
          <w:sz w:val="30"/>
          <w:szCs w:val="30"/>
        </w:rPr>
        <w:t>/</w:t>
      </w:r>
      <w:r>
        <w:rPr>
          <w:rFonts w:hint="eastAsia" w:ascii="仿宋_GB2312" w:hAnsi="华文楷体" w:eastAsia="仿宋_GB2312"/>
          <w:bCs/>
          <w:sz w:val="30"/>
          <w:szCs w:val="30"/>
        </w:rPr>
        <w:t>立方米之间，均值为</w:t>
      </w:r>
      <w:r>
        <w:rPr>
          <w:rFonts w:ascii="仿宋_GB2312" w:hAnsi="华文楷体" w:eastAsia="仿宋_GB2312"/>
          <w:bCs/>
          <w:sz w:val="30"/>
          <w:szCs w:val="30"/>
        </w:rPr>
        <w:t>123</w:t>
      </w:r>
      <w:r>
        <w:rPr>
          <w:rFonts w:hint="eastAsia" w:ascii="仿宋_GB2312" w:hAnsi="华文楷体" w:eastAsia="仿宋_GB2312"/>
          <w:bCs/>
          <w:sz w:val="30"/>
          <w:szCs w:val="30"/>
        </w:rPr>
        <w:t>微克</w:t>
      </w:r>
      <w:r>
        <w:rPr>
          <w:rFonts w:ascii="仿宋_GB2312" w:hAnsi="华文楷体" w:eastAsia="仿宋_GB2312"/>
          <w:bCs/>
          <w:sz w:val="30"/>
          <w:szCs w:val="30"/>
        </w:rPr>
        <w:t>/</w:t>
      </w:r>
      <w:r>
        <w:rPr>
          <w:rFonts w:hint="eastAsia" w:ascii="仿宋_GB2312" w:hAnsi="华文楷体" w:eastAsia="仿宋_GB2312"/>
          <w:bCs/>
          <w:sz w:val="30"/>
          <w:szCs w:val="30"/>
        </w:rPr>
        <w:t>立方米；一氧化碳日均值第</w:t>
      </w:r>
      <w:r>
        <w:rPr>
          <w:rFonts w:ascii="仿宋_GB2312" w:hAnsi="华文楷体" w:eastAsia="仿宋_GB2312"/>
          <w:bCs/>
          <w:sz w:val="30"/>
          <w:szCs w:val="30"/>
        </w:rPr>
        <w:t>95</w:t>
      </w:r>
      <w:r>
        <w:rPr>
          <w:rFonts w:hint="eastAsia" w:ascii="仿宋_GB2312" w:hAnsi="华文楷体" w:eastAsia="仿宋_GB2312"/>
          <w:bCs/>
          <w:sz w:val="30"/>
          <w:szCs w:val="30"/>
        </w:rPr>
        <w:t>百分位浓度范围在</w:t>
      </w:r>
      <w:r>
        <w:rPr>
          <w:rFonts w:ascii="仿宋_GB2312" w:hAnsi="华文楷体" w:eastAsia="仿宋_GB2312"/>
          <w:bCs/>
          <w:sz w:val="30"/>
          <w:szCs w:val="30"/>
        </w:rPr>
        <w:t>0.3</w:t>
      </w:r>
      <w:r>
        <w:rPr>
          <w:rFonts w:hint="eastAsia" w:ascii="仿宋" w:hAnsi="仿宋" w:eastAsia="仿宋"/>
          <w:bCs/>
          <w:sz w:val="30"/>
          <w:szCs w:val="30"/>
        </w:rPr>
        <w:t>～</w:t>
      </w:r>
      <w:r>
        <w:rPr>
          <w:rFonts w:ascii="仿宋_GB2312" w:hAnsi="华文楷体" w:eastAsia="仿宋_GB2312"/>
          <w:bCs/>
          <w:sz w:val="30"/>
          <w:szCs w:val="30"/>
        </w:rPr>
        <w:t>1</w:t>
      </w:r>
      <w:r>
        <w:rPr>
          <w:rFonts w:hint="eastAsia" w:ascii="仿宋_GB2312" w:hAnsi="华文楷体" w:eastAsia="仿宋_GB2312"/>
          <w:bCs/>
          <w:sz w:val="30"/>
          <w:szCs w:val="30"/>
        </w:rPr>
        <w:t>毫克</w:t>
      </w:r>
      <w:r>
        <w:rPr>
          <w:rFonts w:ascii="仿宋_GB2312" w:hAnsi="华文楷体" w:eastAsia="仿宋_GB2312"/>
          <w:bCs/>
          <w:sz w:val="30"/>
          <w:szCs w:val="30"/>
        </w:rPr>
        <w:t>/</w:t>
      </w:r>
      <w:r>
        <w:rPr>
          <w:rFonts w:hint="eastAsia" w:ascii="仿宋_GB2312" w:hAnsi="华文楷体" w:eastAsia="仿宋_GB2312"/>
          <w:bCs/>
          <w:sz w:val="30"/>
          <w:szCs w:val="30"/>
        </w:rPr>
        <w:t>立方米之间，均值为</w:t>
      </w:r>
      <w:r>
        <w:rPr>
          <w:rFonts w:ascii="仿宋_GB2312" w:hAnsi="华文楷体" w:eastAsia="仿宋_GB2312"/>
          <w:bCs/>
          <w:sz w:val="30"/>
          <w:szCs w:val="30"/>
        </w:rPr>
        <w:t>0.8</w:t>
      </w:r>
      <w:r>
        <w:rPr>
          <w:rFonts w:hint="eastAsia" w:ascii="仿宋_GB2312" w:hAnsi="华文楷体" w:eastAsia="仿宋_GB2312"/>
          <w:bCs/>
          <w:sz w:val="30"/>
          <w:szCs w:val="30"/>
        </w:rPr>
        <w:t>毫克</w:t>
      </w:r>
      <w:r>
        <w:rPr>
          <w:rFonts w:ascii="仿宋_GB2312" w:hAnsi="华文楷体" w:eastAsia="仿宋_GB2312"/>
          <w:bCs/>
          <w:sz w:val="30"/>
          <w:szCs w:val="30"/>
        </w:rPr>
        <w:t>/</w:t>
      </w:r>
      <w:r>
        <w:rPr>
          <w:rFonts w:hint="eastAsia" w:ascii="仿宋_GB2312" w:hAnsi="华文楷体" w:eastAsia="仿宋_GB2312"/>
          <w:bCs/>
          <w:sz w:val="30"/>
          <w:szCs w:val="30"/>
        </w:rPr>
        <w:t>立方米。各点位浓度均值详见表</w:t>
      </w:r>
      <w:r>
        <w:rPr>
          <w:rFonts w:ascii="仿宋_GB2312" w:hAnsi="华文楷体" w:eastAsia="仿宋_GB2312"/>
          <w:bCs/>
          <w:sz w:val="30"/>
          <w:szCs w:val="30"/>
        </w:rPr>
        <w:t>3</w:t>
      </w:r>
      <w:r>
        <w:rPr>
          <w:rFonts w:hint="eastAsia" w:ascii="仿宋_GB2312" w:hAnsi="华文楷体" w:eastAsia="仿宋_GB2312"/>
          <w:bCs/>
          <w:sz w:val="30"/>
          <w:szCs w:val="30"/>
        </w:rPr>
        <w:t>。</w:t>
      </w:r>
    </w:p>
    <w:p>
      <w:pPr>
        <w:spacing w:line="600" w:lineRule="exact"/>
        <w:ind w:firstLine="600" w:firstLineChars="200"/>
        <w:rPr>
          <w:rFonts w:ascii="仿宋_GB2312" w:hAnsi="华文楷体" w:eastAsia="仿宋_GB2312"/>
          <w:bCs/>
          <w:sz w:val="30"/>
          <w:szCs w:val="30"/>
        </w:rPr>
      </w:pPr>
      <w:r>
        <w:rPr>
          <w:rFonts w:hint="eastAsia" w:ascii="仿宋_GB2312" w:hAnsi="华文楷体" w:eastAsia="仿宋_GB2312"/>
          <w:bCs/>
          <w:sz w:val="30"/>
          <w:szCs w:val="30"/>
        </w:rPr>
        <w:t>与上年同期相比，细颗粒物下降了</w:t>
      </w:r>
      <w:r>
        <w:rPr>
          <w:rFonts w:ascii="仿宋_GB2312" w:hAnsi="华文楷体" w:eastAsia="仿宋_GB2312"/>
          <w:bCs/>
          <w:sz w:val="30"/>
          <w:szCs w:val="30"/>
        </w:rPr>
        <w:t>32.4%</w:t>
      </w:r>
      <w:r>
        <w:rPr>
          <w:rFonts w:hint="eastAsia" w:ascii="仿宋_GB2312" w:hAnsi="华文楷体" w:eastAsia="仿宋_GB2312"/>
          <w:bCs/>
          <w:sz w:val="30"/>
          <w:szCs w:val="30"/>
        </w:rPr>
        <w:t>、可吸入颗粒物下降了</w:t>
      </w:r>
      <w:r>
        <w:rPr>
          <w:rFonts w:ascii="仿宋_GB2312" w:hAnsi="华文楷体" w:eastAsia="仿宋_GB2312"/>
          <w:bCs/>
          <w:sz w:val="30"/>
          <w:szCs w:val="30"/>
        </w:rPr>
        <w:t>29.1%</w:t>
      </w:r>
      <w:r>
        <w:rPr>
          <w:rFonts w:hint="eastAsia" w:ascii="仿宋_GB2312" w:hAnsi="华文楷体" w:eastAsia="仿宋_GB2312"/>
          <w:bCs/>
          <w:sz w:val="30"/>
          <w:szCs w:val="30"/>
        </w:rPr>
        <w:t>、二氧化硫下降了</w:t>
      </w:r>
      <w:r>
        <w:rPr>
          <w:rFonts w:ascii="仿宋_GB2312" w:hAnsi="华文楷体" w:eastAsia="仿宋_GB2312"/>
          <w:bCs/>
          <w:sz w:val="30"/>
          <w:szCs w:val="30"/>
        </w:rPr>
        <w:t>35.7%</w:t>
      </w:r>
      <w:r>
        <w:rPr>
          <w:rFonts w:hint="eastAsia" w:ascii="仿宋_GB2312" w:hAnsi="华文楷体" w:eastAsia="仿宋_GB2312"/>
          <w:bCs/>
          <w:sz w:val="30"/>
          <w:szCs w:val="30"/>
        </w:rPr>
        <w:t>、二氧化氮下降了</w:t>
      </w:r>
      <w:r>
        <w:rPr>
          <w:rFonts w:ascii="仿宋_GB2312" w:hAnsi="华文楷体" w:eastAsia="仿宋_GB2312"/>
          <w:bCs/>
          <w:sz w:val="30"/>
          <w:szCs w:val="30"/>
        </w:rPr>
        <w:t>27.1%</w:t>
      </w:r>
      <w:r>
        <w:rPr>
          <w:rFonts w:hint="eastAsia" w:ascii="仿宋_GB2312" w:hAnsi="华文楷体" w:eastAsia="仿宋_GB2312"/>
          <w:bCs/>
          <w:sz w:val="30"/>
          <w:szCs w:val="30"/>
        </w:rPr>
        <w:t>、臭氧下降了</w:t>
      </w:r>
      <w:r>
        <w:rPr>
          <w:rFonts w:ascii="仿宋_GB2312" w:hAnsi="华文楷体" w:eastAsia="仿宋_GB2312"/>
          <w:bCs/>
          <w:sz w:val="30"/>
          <w:szCs w:val="30"/>
        </w:rPr>
        <w:t>13.5%</w:t>
      </w:r>
      <w:r>
        <w:rPr>
          <w:rFonts w:hint="eastAsia" w:ascii="仿宋_GB2312" w:hAnsi="华文楷体" w:eastAsia="仿宋_GB2312"/>
          <w:bCs/>
          <w:sz w:val="30"/>
          <w:szCs w:val="30"/>
        </w:rPr>
        <w:t>、一氧化碳与上年</w:t>
      </w:r>
      <w:r>
        <w:rPr>
          <w:rFonts w:ascii="仿宋_GB2312" w:hAnsi="华文楷体" w:eastAsia="仿宋_GB2312"/>
          <w:bCs/>
          <w:sz w:val="30"/>
          <w:szCs w:val="30"/>
        </w:rPr>
        <w:t>持平</w:t>
      </w:r>
      <w:r>
        <w:rPr>
          <w:rFonts w:hint="eastAsia" w:ascii="仿宋_GB2312" w:hAnsi="华文楷体" w:eastAsia="仿宋_GB2312"/>
          <w:bCs/>
          <w:sz w:val="30"/>
          <w:szCs w:val="30"/>
        </w:rPr>
        <w:t>。</w:t>
      </w:r>
    </w:p>
    <w:p>
      <w:pPr>
        <w:spacing w:line="600" w:lineRule="exact"/>
        <w:ind w:firstLine="1820" w:firstLineChars="650"/>
        <w:rPr>
          <w:rFonts w:ascii="仿宋_GB2312" w:hAnsi="华文楷体" w:eastAsia="仿宋_GB2312"/>
          <w:bCs/>
          <w:sz w:val="28"/>
          <w:szCs w:val="28"/>
        </w:rPr>
      </w:pPr>
      <w:r>
        <w:rPr>
          <w:rFonts w:hint="eastAsia" w:ascii="仿宋_GB2312" w:hAnsi="华文楷体" w:eastAsia="仿宋_GB2312"/>
          <w:bCs/>
          <w:sz w:val="28"/>
          <w:szCs w:val="28"/>
        </w:rPr>
        <w:t>表3</w:t>
      </w:r>
      <w:r>
        <w:rPr>
          <w:rFonts w:ascii="仿宋_GB2312" w:hAnsi="华文楷体" w:eastAsia="仿宋_GB2312"/>
          <w:bCs/>
          <w:sz w:val="28"/>
          <w:szCs w:val="28"/>
        </w:rPr>
        <w:t xml:space="preserve">  5</w:t>
      </w:r>
      <w:r>
        <w:rPr>
          <w:rFonts w:hint="eastAsia" w:ascii="仿宋_GB2312" w:hAnsi="华文楷体" w:eastAsia="仿宋_GB2312"/>
          <w:bCs/>
          <w:sz w:val="28"/>
          <w:szCs w:val="28"/>
        </w:rPr>
        <w:t>月各点位污染物浓度均值</w:t>
      </w:r>
    </w:p>
    <w:tbl>
      <w:tblPr>
        <w:tblStyle w:val="15"/>
        <w:tblW w:w="5000" w:type="pct"/>
        <w:jc w:val="center"/>
        <w:tblBorders>
          <w:top w:val="single" w:color="70AD47" w:themeColor="accent6" w:sz="4" w:space="0"/>
          <w:left w:val="none" w:color="auto" w:sz="0" w:space="0"/>
          <w:bottom w:val="single" w:color="70AD47" w:themeColor="accent6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162"/>
        <w:gridCol w:w="1183"/>
        <w:gridCol w:w="1256"/>
        <w:gridCol w:w="1256"/>
        <w:gridCol w:w="1256"/>
        <w:gridCol w:w="1255"/>
      </w:tblGrid>
      <w:tr>
        <w:tblPrEx>
          <w:tblBorders>
            <w:top w:val="single" w:color="70AD47" w:themeColor="accent6" w:sz="4" w:space="0"/>
            <w:left w:val="none" w:color="auto" w:sz="0" w:space="0"/>
            <w:bottom w:val="single" w:color="70AD47" w:themeColor="accent6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pct"/>
            <w:tcBorders>
              <w:bottom w:val="single" w:color="70AD47" w:themeColor="accent6" w:sz="4" w:space="0"/>
              <w:right w:val="single" w:color="auto" w:sz="4" w:space="0"/>
              <w:insideH w:val="single" w:sz="4" w:space="0"/>
            </w:tcBorders>
            <w:shd w:val="clear" w:color="auto" w:fill="8EAADB" w:themeFill="accent1" w:themeFillTint="99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点 位</w:t>
            </w:r>
          </w:p>
        </w:tc>
        <w:tc>
          <w:tcPr>
            <w:tcW w:w="669" w:type="pct"/>
            <w:tcBorders>
              <w:left w:val="single" w:color="auto" w:sz="4" w:space="0"/>
              <w:bottom w:val="single" w:color="70AD47" w:themeColor="accent6" w:sz="4" w:space="0"/>
              <w:right w:val="single" w:color="auto" w:sz="4" w:space="0"/>
              <w:insideH w:val="single" w:sz="4" w:space="0"/>
            </w:tcBorders>
            <w:shd w:val="clear" w:color="auto" w:fill="8EAADB" w:themeFill="accent1" w:themeFillTint="99"/>
            <w:vAlign w:val="center"/>
          </w:tcPr>
          <w:p>
            <w:pPr>
              <w:ind w:firstLine="220" w:firstLineChars="100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S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O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  <w:vertAlign w:val="subscript"/>
              </w:rPr>
              <w:t>2</w:t>
            </w:r>
          </w:p>
          <w:p>
            <w:pP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(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ug/m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)</w:t>
            </w:r>
          </w:p>
        </w:tc>
        <w:tc>
          <w:tcPr>
            <w:tcW w:w="682" w:type="pct"/>
            <w:tcBorders>
              <w:left w:val="single" w:color="auto" w:sz="4" w:space="0"/>
              <w:bottom w:val="single" w:color="70AD47" w:themeColor="accent6" w:sz="4" w:space="0"/>
              <w:right w:val="single" w:color="auto" w:sz="4" w:space="0"/>
              <w:insideH w:val="single" w:sz="4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N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O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  <w:vertAlign w:val="subscript"/>
              </w:rPr>
              <w:t>2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(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ug/m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)</w:t>
            </w:r>
          </w:p>
        </w:tc>
        <w:tc>
          <w:tcPr>
            <w:tcW w:w="724" w:type="pct"/>
            <w:tcBorders>
              <w:left w:val="single" w:color="auto" w:sz="4" w:space="0"/>
              <w:bottom w:val="single" w:color="70AD47" w:themeColor="accent6" w:sz="4" w:space="0"/>
              <w:right w:val="single" w:color="auto" w:sz="4" w:space="0"/>
              <w:insideH w:val="single" w:sz="4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P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M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  <w:vertAlign w:val="subscript"/>
              </w:rPr>
              <w:t>10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(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ug/m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)</w:t>
            </w:r>
          </w:p>
        </w:tc>
        <w:tc>
          <w:tcPr>
            <w:tcW w:w="724" w:type="pct"/>
            <w:tcBorders>
              <w:left w:val="single" w:color="auto" w:sz="4" w:space="0"/>
              <w:bottom w:val="single" w:color="70AD47" w:themeColor="accent6" w:sz="4" w:space="0"/>
              <w:right w:val="single" w:color="auto" w:sz="4" w:space="0"/>
              <w:insideH w:val="single" w:sz="4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C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O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(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mg/m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)</w:t>
            </w:r>
          </w:p>
        </w:tc>
        <w:tc>
          <w:tcPr>
            <w:tcW w:w="724" w:type="pct"/>
            <w:tcBorders>
              <w:left w:val="single" w:color="auto" w:sz="4" w:space="0"/>
              <w:bottom w:val="single" w:color="70AD47" w:themeColor="accent6" w:sz="4" w:space="0"/>
              <w:right w:val="single" w:color="auto" w:sz="4" w:space="0"/>
              <w:insideH w:val="single" w:sz="4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O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  <w:vertAlign w:val="subscript"/>
              </w:rPr>
              <w:t>3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(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ug/m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)</w:t>
            </w:r>
          </w:p>
        </w:tc>
        <w:tc>
          <w:tcPr>
            <w:tcW w:w="723" w:type="pct"/>
            <w:tcBorders>
              <w:left w:val="single" w:color="auto" w:sz="4" w:space="0"/>
              <w:bottom w:val="single" w:color="70AD47" w:themeColor="accent6" w:sz="4" w:space="0"/>
              <w:insideH w:val="single" w:sz="4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P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M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  <w:vertAlign w:val="subscript"/>
              </w:rPr>
              <w:t>2.5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(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ug/m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)</w:t>
            </w:r>
          </w:p>
        </w:tc>
      </w:tr>
      <w:tr>
        <w:tblPrEx>
          <w:tblBorders>
            <w:top w:val="single" w:color="70AD47" w:themeColor="accent6" w:sz="4" w:space="0"/>
            <w:left w:val="none" w:color="auto" w:sz="0" w:space="0"/>
            <w:bottom w:val="single" w:color="70AD47" w:themeColor="accent6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pct"/>
            <w:tcBorders>
              <w:top w:val="single" w:color="70AD47" w:themeColor="accent6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noWrap/>
          </w:tcPr>
          <w:p>
            <w:pPr>
              <w:jc w:val="center"/>
              <w:rPr>
                <w:rFonts w:ascii="仿宋_GB2312" w:hAnsi="华文楷体" w:eastAsia="仿宋_GB2312"/>
                <w:b w:val="0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 w:val="0"/>
                <w:bCs/>
                <w:color w:val="auto"/>
                <w:kern w:val="0"/>
                <w:sz w:val="24"/>
                <w:szCs w:val="24"/>
              </w:rPr>
              <w:t>市化工厂</w:t>
            </w:r>
          </w:p>
        </w:tc>
        <w:tc>
          <w:tcPr>
            <w:tcW w:w="669" w:type="pct"/>
            <w:tcBorders>
              <w:top w:val="single" w:color="70AD47" w:themeColor="accent6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82" w:type="pct"/>
            <w:tcBorders>
              <w:top w:val="single" w:color="70AD47" w:themeColor="accent6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24" w:type="pct"/>
            <w:tcBorders>
              <w:top w:val="single" w:color="70AD47" w:themeColor="accent6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724" w:type="pct"/>
            <w:tcBorders>
              <w:top w:val="single" w:color="70AD47" w:themeColor="accent6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  <w:tc>
          <w:tcPr>
            <w:tcW w:w="724" w:type="pct"/>
            <w:tcBorders>
              <w:top w:val="single" w:color="70AD47" w:themeColor="accent6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723" w:type="pct"/>
            <w:tcBorders>
              <w:top w:val="single" w:color="70AD47" w:themeColor="accent6" w:sz="4" w:space="0"/>
              <w:left w:val="single" w:color="auto" w:sz="4" w:space="0"/>
              <w:bottom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</w:tr>
      <w:tr>
        <w:tblPrEx>
          <w:tblBorders>
            <w:top w:val="single" w:color="70AD47" w:themeColor="accent6" w:sz="4" w:space="0"/>
            <w:left w:val="none" w:color="auto" w:sz="0" w:space="0"/>
            <w:bottom w:val="single" w:color="70AD47" w:themeColor="accent6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noWrap/>
          </w:tcPr>
          <w:p>
            <w:pPr>
              <w:jc w:val="center"/>
              <w:rPr>
                <w:rFonts w:ascii="仿宋_GB2312" w:hAnsi="华文楷体" w:eastAsia="仿宋_GB2312"/>
                <w:b w:val="0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 w:val="0"/>
                <w:bCs/>
                <w:color w:val="auto"/>
                <w:kern w:val="0"/>
                <w:sz w:val="24"/>
                <w:szCs w:val="24"/>
              </w:rPr>
              <w:t>市环保局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  <w:tr>
        <w:tblPrEx>
          <w:tblBorders>
            <w:top w:val="single" w:color="70AD47" w:themeColor="accent6" w:sz="4" w:space="0"/>
            <w:left w:val="none" w:color="auto" w:sz="0" w:space="0"/>
            <w:bottom w:val="single" w:color="70AD47" w:themeColor="accent6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noWrap/>
          </w:tcPr>
          <w:p>
            <w:pPr>
              <w:jc w:val="center"/>
              <w:rPr>
                <w:rFonts w:ascii="仿宋_GB2312" w:hAnsi="华文楷体" w:eastAsia="仿宋_GB2312"/>
                <w:b w:val="0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 w:val="0"/>
                <w:bCs/>
                <w:color w:val="auto"/>
                <w:kern w:val="0"/>
                <w:sz w:val="24"/>
                <w:szCs w:val="24"/>
              </w:rPr>
              <w:t>市罐头厂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>
        <w:tblPrEx>
          <w:tblBorders>
            <w:top w:val="single" w:color="70AD47" w:themeColor="accent6" w:sz="4" w:space="0"/>
            <w:left w:val="none" w:color="auto" w:sz="0" w:space="0"/>
            <w:bottom w:val="single" w:color="70AD47" w:themeColor="accent6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noWrap/>
          </w:tcPr>
          <w:p>
            <w:pPr>
              <w:jc w:val="center"/>
              <w:rPr>
                <w:rFonts w:ascii="仿宋_GB2312" w:hAnsi="华文楷体" w:eastAsia="仿宋_GB2312"/>
                <w:b w:val="0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 w:val="0"/>
                <w:bCs/>
                <w:color w:val="auto"/>
                <w:kern w:val="0"/>
                <w:sz w:val="24"/>
                <w:szCs w:val="24"/>
              </w:rPr>
              <w:t>市一中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0.9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>
        <w:tblPrEx>
          <w:tblBorders>
            <w:top w:val="single" w:color="70AD47" w:themeColor="accent6" w:sz="4" w:space="0"/>
            <w:left w:val="none" w:color="auto" w:sz="0" w:space="0"/>
            <w:bottom w:val="single" w:color="70AD47" w:themeColor="accent6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pct"/>
            <w:tcBorders>
              <w:top w:val="single" w:color="auto" w:sz="4" w:space="0"/>
              <w:bottom w:val="single" w:color="70AD47" w:themeColor="accent6" w:sz="4" w:space="0"/>
              <w:right w:val="single" w:color="auto" w:sz="4" w:space="0"/>
            </w:tcBorders>
            <w:shd w:val="clear" w:color="auto" w:fill="D9E2F3" w:themeFill="accent1" w:themeFillTint="33"/>
            <w:noWrap/>
          </w:tcPr>
          <w:p>
            <w:pPr>
              <w:jc w:val="center"/>
              <w:rPr>
                <w:rFonts w:ascii="仿宋_GB2312" w:hAnsi="华文楷体" w:eastAsia="仿宋_GB2312"/>
                <w:b w:val="0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 w:val="0"/>
                <w:bCs/>
                <w:color w:val="auto"/>
                <w:kern w:val="2"/>
                <w:sz w:val="24"/>
                <w:szCs w:val="24"/>
              </w:rPr>
              <w:t>全市平均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70AD47" w:themeColor="accent6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70AD47" w:themeColor="accent6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70AD47" w:themeColor="accent6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70AD47" w:themeColor="accent6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70AD47" w:themeColor="accent6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70AD47" w:themeColor="accent6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华文楷体" w:eastAsia="仿宋_GB2312"/>
                <w:bCs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</w:tr>
    </w:tbl>
    <w:p>
      <w:pPr>
        <w:ind w:firstLine="640" w:firstLineChars="200"/>
        <w:rPr>
          <w:rFonts w:ascii="仿宋_GB2312" w:hAnsi="华文楷体" w:eastAsia="仿宋_GB2312"/>
          <w:b/>
          <w:sz w:val="32"/>
          <w:szCs w:val="32"/>
        </w:rPr>
      </w:pPr>
      <w:r>
        <w:rPr>
          <w:rFonts w:hint="eastAsia" w:ascii="仿宋_GB2312" w:hAnsi="华文楷体" w:eastAsia="仿宋_GB2312"/>
          <w:b/>
          <w:sz w:val="32"/>
          <w:szCs w:val="32"/>
        </w:rPr>
        <w:t>二、县（市）级城镇环境空气质量状况</w:t>
      </w:r>
    </w:p>
    <w:p>
      <w:pPr>
        <w:spacing w:line="600" w:lineRule="exact"/>
        <w:ind w:firstLine="450" w:firstLineChars="150"/>
        <w:rPr>
          <w:rFonts w:ascii="仿宋_GB2312" w:hAnsi="华文楷体" w:eastAsia="仿宋_GB2312"/>
          <w:bCs/>
          <w:sz w:val="30"/>
          <w:szCs w:val="30"/>
        </w:rPr>
      </w:pPr>
      <w:r>
        <w:rPr>
          <w:rFonts w:hint="eastAsia" w:ascii="仿宋_GB2312" w:hAnsi="华文楷体" w:eastAsia="仿宋_GB2312"/>
          <w:bCs/>
          <w:sz w:val="30"/>
          <w:szCs w:val="30"/>
        </w:rPr>
        <w:t>本月，全市</w:t>
      </w:r>
      <w:r>
        <w:rPr>
          <w:rFonts w:ascii="仿宋_GB2312" w:hAnsi="华文楷体" w:eastAsia="仿宋_GB2312"/>
          <w:bCs/>
          <w:sz w:val="30"/>
          <w:szCs w:val="30"/>
        </w:rPr>
        <w:t>9</w:t>
      </w:r>
      <w:r>
        <w:rPr>
          <w:rFonts w:hint="eastAsia" w:ascii="仿宋_GB2312" w:hAnsi="华文楷体" w:eastAsia="仿宋_GB2312"/>
          <w:bCs/>
          <w:sz w:val="30"/>
          <w:szCs w:val="30"/>
        </w:rPr>
        <w:t>个县（市）级城镇环境空气质量平均优良天数比例为</w:t>
      </w:r>
      <w:r>
        <w:rPr>
          <w:rFonts w:ascii="仿宋_GB2312" w:hAnsi="华文楷体" w:eastAsia="仿宋_GB2312"/>
          <w:bCs/>
          <w:sz w:val="30"/>
          <w:szCs w:val="30"/>
        </w:rPr>
        <w:t>100%</w:t>
      </w:r>
      <w:r>
        <w:rPr>
          <w:rFonts w:hint="eastAsia" w:ascii="仿宋_GB2312" w:hAnsi="华文楷体" w:eastAsia="仿宋_GB2312"/>
          <w:bCs/>
          <w:sz w:val="30"/>
          <w:szCs w:val="30"/>
        </w:rPr>
        <w:t>，优良天数比例均为</w:t>
      </w:r>
      <w:r>
        <w:rPr>
          <w:rFonts w:ascii="仿宋_GB2312" w:hAnsi="华文楷体" w:eastAsia="仿宋_GB2312"/>
          <w:bCs/>
          <w:sz w:val="30"/>
          <w:szCs w:val="30"/>
        </w:rPr>
        <w:t>100%</w:t>
      </w:r>
      <w:r>
        <w:rPr>
          <w:rFonts w:hint="eastAsia" w:ascii="仿宋_GB2312" w:hAnsi="华文楷体" w:eastAsia="仿宋_GB2312"/>
          <w:bCs/>
          <w:sz w:val="30"/>
          <w:szCs w:val="30"/>
        </w:rPr>
        <w:t>。按照环境空气质量综合指数评价，</w:t>
      </w:r>
      <w:r>
        <w:rPr>
          <w:rFonts w:ascii="仿宋_GB2312" w:hAnsi="华文楷体" w:eastAsia="仿宋_GB2312"/>
          <w:bCs/>
          <w:sz w:val="30"/>
          <w:szCs w:val="30"/>
        </w:rPr>
        <w:t>9</w:t>
      </w:r>
      <w:r>
        <w:rPr>
          <w:rFonts w:hint="eastAsia" w:ascii="仿宋_GB2312" w:hAnsi="华文楷体" w:eastAsia="仿宋_GB2312"/>
          <w:bCs/>
          <w:sz w:val="30"/>
          <w:szCs w:val="30"/>
        </w:rPr>
        <w:t>个县（市）排名依次为:城步县、绥宁县、新宁</w:t>
      </w:r>
      <w:r>
        <w:rPr>
          <w:rFonts w:ascii="仿宋_GB2312" w:hAnsi="华文楷体" w:eastAsia="仿宋_GB2312"/>
          <w:bCs/>
          <w:sz w:val="30"/>
          <w:szCs w:val="30"/>
        </w:rPr>
        <w:t>县</w:t>
      </w:r>
      <w:r>
        <w:rPr>
          <w:rFonts w:hint="eastAsia" w:ascii="仿宋_GB2312" w:hAnsi="华文楷体" w:eastAsia="仿宋_GB2312"/>
          <w:bCs/>
          <w:sz w:val="30"/>
          <w:szCs w:val="30"/>
        </w:rPr>
        <w:t>、邵阳县、洞口县、武冈市、新邵县、邵东市和隆回县持平。</w:t>
      </w:r>
    </w:p>
    <w:p>
      <w:pPr>
        <w:ind w:firstLine="450" w:firstLineChars="150"/>
        <w:rPr>
          <w:rFonts w:ascii="仿宋_GB2312" w:hAnsi="华文楷体" w:eastAsia="仿宋_GB2312"/>
          <w:bCs/>
          <w:sz w:val="24"/>
          <w:szCs w:val="24"/>
        </w:rPr>
      </w:pPr>
      <w:r>
        <w:rPr>
          <w:rFonts w:hint="eastAsia" w:ascii="仿宋_GB2312" w:hAnsi="华文楷体" w:eastAsia="仿宋_GB2312"/>
          <w:bCs/>
          <w:sz w:val="30"/>
          <w:szCs w:val="30"/>
        </w:rPr>
        <w:t>全市县（市）级城镇</w:t>
      </w:r>
      <w:r>
        <w:rPr>
          <w:rFonts w:ascii="仿宋_GB2312" w:hAnsi="华文楷体" w:eastAsia="仿宋_GB2312"/>
          <w:bCs/>
          <w:sz w:val="30"/>
          <w:szCs w:val="30"/>
        </w:rPr>
        <w:t>PM</w:t>
      </w:r>
      <w:r>
        <w:rPr>
          <w:rFonts w:ascii="仿宋_GB2312" w:hAnsi="华文楷体" w:eastAsia="仿宋_GB2312"/>
          <w:bCs/>
          <w:sz w:val="30"/>
          <w:szCs w:val="30"/>
          <w:vertAlign w:val="subscript"/>
        </w:rPr>
        <w:t>2.5</w:t>
      </w:r>
      <w:r>
        <w:rPr>
          <w:rFonts w:hint="eastAsia" w:ascii="仿宋_GB2312" w:hAnsi="华文楷体" w:eastAsia="仿宋_GB2312"/>
          <w:bCs/>
          <w:sz w:val="30"/>
          <w:szCs w:val="30"/>
        </w:rPr>
        <w:t>月均浓度为</w:t>
      </w:r>
      <w:r>
        <w:rPr>
          <w:rFonts w:ascii="仿宋_GB2312" w:hAnsi="华文楷体" w:eastAsia="仿宋_GB2312"/>
          <w:bCs/>
          <w:sz w:val="30"/>
          <w:szCs w:val="30"/>
        </w:rPr>
        <w:t>19</w:t>
      </w:r>
      <w:r>
        <w:rPr>
          <w:rFonts w:hint="eastAsia" w:ascii="仿宋_GB2312" w:hAnsi="华文楷体" w:eastAsia="仿宋_GB2312"/>
          <w:bCs/>
          <w:sz w:val="30"/>
          <w:szCs w:val="30"/>
        </w:rPr>
        <w:t>微克</w:t>
      </w:r>
      <w:r>
        <w:rPr>
          <w:rFonts w:ascii="仿宋_GB2312" w:hAnsi="华文楷体" w:eastAsia="仿宋_GB2312"/>
          <w:bCs/>
          <w:sz w:val="30"/>
          <w:szCs w:val="30"/>
        </w:rPr>
        <w:t>/</w:t>
      </w:r>
      <w:r>
        <w:rPr>
          <w:rFonts w:hint="eastAsia" w:ascii="仿宋_GB2312" w:hAnsi="华文楷体" w:eastAsia="仿宋_GB2312"/>
          <w:bCs/>
          <w:sz w:val="30"/>
          <w:szCs w:val="30"/>
        </w:rPr>
        <w:t>立方米，</w:t>
      </w:r>
      <w:r>
        <w:rPr>
          <w:rFonts w:ascii="仿宋_GB2312" w:hAnsi="华文楷体" w:eastAsia="仿宋_GB2312"/>
          <w:bCs/>
          <w:sz w:val="30"/>
          <w:szCs w:val="30"/>
        </w:rPr>
        <w:t>PM</w:t>
      </w:r>
      <w:r>
        <w:rPr>
          <w:rFonts w:ascii="仿宋_GB2312" w:hAnsi="华文楷体" w:eastAsia="仿宋_GB2312"/>
          <w:bCs/>
          <w:sz w:val="30"/>
          <w:szCs w:val="30"/>
          <w:vertAlign w:val="subscript"/>
        </w:rPr>
        <w:t>10</w:t>
      </w:r>
      <w:r>
        <w:rPr>
          <w:rFonts w:hint="eastAsia" w:ascii="仿宋_GB2312" w:hAnsi="华文楷体" w:eastAsia="仿宋_GB2312"/>
          <w:bCs/>
          <w:sz w:val="30"/>
          <w:szCs w:val="30"/>
        </w:rPr>
        <w:t>月均浓度为</w:t>
      </w:r>
      <w:r>
        <w:rPr>
          <w:rFonts w:ascii="仿宋_GB2312" w:hAnsi="华文楷体" w:eastAsia="仿宋_GB2312"/>
          <w:bCs/>
          <w:sz w:val="30"/>
          <w:szCs w:val="30"/>
        </w:rPr>
        <w:t>32</w:t>
      </w:r>
      <w:r>
        <w:rPr>
          <w:rFonts w:hint="eastAsia" w:ascii="仿宋_GB2312" w:hAnsi="华文楷体" w:eastAsia="仿宋_GB2312"/>
          <w:bCs/>
          <w:sz w:val="30"/>
          <w:szCs w:val="30"/>
        </w:rPr>
        <w:t>微克</w:t>
      </w:r>
      <w:r>
        <w:rPr>
          <w:rFonts w:ascii="仿宋_GB2312" w:hAnsi="华文楷体" w:eastAsia="仿宋_GB2312"/>
          <w:bCs/>
          <w:sz w:val="30"/>
          <w:szCs w:val="30"/>
        </w:rPr>
        <w:t>/</w:t>
      </w:r>
      <w:r>
        <w:rPr>
          <w:rFonts w:hint="eastAsia" w:ascii="仿宋_GB2312" w:hAnsi="华文楷体" w:eastAsia="仿宋_GB2312"/>
          <w:bCs/>
          <w:sz w:val="30"/>
          <w:szCs w:val="30"/>
        </w:rPr>
        <w:t>立方米，详见表</w:t>
      </w:r>
      <w:r>
        <w:rPr>
          <w:rFonts w:ascii="仿宋_GB2312" w:hAnsi="华文楷体" w:eastAsia="仿宋_GB2312"/>
          <w:bCs/>
          <w:sz w:val="30"/>
          <w:szCs w:val="30"/>
        </w:rPr>
        <w:t>4</w:t>
      </w:r>
      <w:r>
        <w:rPr>
          <w:rFonts w:hint="eastAsia" w:ascii="仿宋_GB2312" w:hAnsi="华文楷体" w:eastAsia="仿宋_GB2312"/>
          <w:bCs/>
          <w:sz w:val="30"/>
          <w:szCs w:val="30"/>
        </w:rPr>
        <w:t>。</w:t>
      </w:r>
      <w:r>
        <w:rPr>
          <w:rFonts w:hint="eastAsia" w:ascii="仿宋_GB2312" w:hAnsi="华文楷体" w:eastAsia="仿宋_GB2312"/>
          <w:bCs/>
          <w:sz w:val="24"/>
          <w:szCs w:val="24"/>
        </w:rPr>
        <w:t xml:space="preserve"> </w:t>
      </w:r>
    </w:p>
    <w:p>
      <w:pPr>
        <w:jc w:val="center"/>
        <w:rPr>
          <w:rFonts w:ascii="仿宋_GB2312" w:hAnsi="华文楷体" w:eastAsia="仿宋_GB2312"/>
          <w:bCs/>
          <w:sz w:val="28"/>
          <w:szCs w:val="28"/>
        </w:rPr>
      </w:pPr>
      <w:r>
        <w:rPr>
          <w:rFonts w:hint="eastAsia" w:ascii="仿宋_GB2312" w:hAnsi="华文楷体" w:eastAsia="仿宋_GB2312"/>
          <w:bCs/>
          <w:sz w:val="28"/>
          <w:szCs w:val="28"/>
        </w:rPr>
        <w:t>表4</w:t>
      </w:r>
      <w:r>
        <w:rPr>
          <w:rFonts w:ascii="仿宋_GB2312" w:hAnsi="华文楷体" w:eastAsia="仿宋_GB2312"/>
          <w:bCs/>
          <w:sz w:val="28"/>
          <w:szCs w:val="28"/>
        </w:rPr>
        <w:t xml:space="preserve">  5</w:t>
      </w:r>
      <w:r>
        <w:rPr>
          <w:rFonts w:hint="eastAsia" w:ascii="仿宋_GB2312" w:hAnsi="华文楷体" w:eastAsia="仿宋_GB2312"/>
          <w:bCs/>
          <w:sz w:val="28"/>
          <w:szCs w:val="28"/>
        </w:rPr>
        <w:t>月县市浓度排名统计表</w:t>
      </w:r>
    </w:p>
    <w:tbl>
      <w:tblPr>
        <w:tblStyle w:val="10"/>
        <w:tblW w:w="4954" w:type="pct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020"/>
        <w:gridCol w:w="1310"/>
        <w:gridCol w:w="889"/>
        <w:gridCol w:w="918"/>
        <w:gridCol w:w="991"/>
        <w:gridCol w:w="850"/>
        <w:gridCol w:w="991"/>
        <w:gridCol w:w="911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pct"/>
            <w:tcBorders>
              <w:top w:val="single" w:color="auto" w:sz="4" w:space="0"/>
              <w:bottom w:val="single" w:color="auto" w:sz="4" w:space="0"/>
            </w:tcBorders>
            <w:shd w:val="clear" w:color="auto" w:fill="8EAADB" w:themeFill="accent1" w:themeFillTint="99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</w:rPr>
              <w:t>排名</w:t>
            </w:r>
          </w:p>
        </w:tc>
        <w:tc>
          <w:tcPr>
            <w:tcW w:w="593" w:type="pct"/>
            <w:tcBorders>
              <w:top w:val="single" w:color="auto" w:sz="4" w:space="0"/>
              <w:bottom w:val="single" w:color="auto" w:sz="4" w:space="0"/>
            </w:tcBorders>
            <w:shd w:val="clear" w:color="auto" w:fill="8EAADB" w:themeFill="accent1" w:themeFillTint="99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</w:rPr>
              <w:t>县市</w:t>
            </w:r>
          </w:p>
        </w:tc>
        <w:tc>
          <w:tcPr>
            <w:tcW w:w="762" w:type="pct"/>
            <w:tcBorders>
              <w:top w:val="single" w:color="auto" w:sz="4" w:space="0"/>
              <w:bottom w:val="single" w:color="auto" w:sz="4" w:space="0"/>
            </w:tcBorders>
            <w:shd w:val="clear" w:color="auto" w:fill="8EAADB" w:themeFill="accent1" w:themeFillTint="99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</w:rPr>
              <w:t>综合指数</w:t>
            </w:r>
          </w:p>
        </w:tc>
        <w:tc>
          <w:tcPr>
            <w:tcW w:w="517" w:type="pct"/>
            <w:tcBorders>
              <w:top w:val="single" w:color="auto" w:sz="4" w:space="0"/>
              <w:bottom w:val="single" w:color="auto" w:sz="4" w:space="0"/>
            </w:tcBorders>
            <w:shd w:val="clear" w:color="auto" w:fill="8EAADB" w:themeFill="accent1" w:themeFillTint="99"/>
          </w:tcPr>
          <w:p>
            <w:pPr>
              <w:spacing w:before="0" w:after="0" w:line="240" w:lineRule="auto"/>
              <w:ind w:firstLine="220" w:firstLineChars="100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</w:rPr>
              <w:t>S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  <w:t>O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vertAlign w:val="subscript"/>
              </w:rPr>
              <w:t>2</w:t>
            </w:r>
          </w:p>
        </w:tc>
        <w:tc>
          <w:tcPr>
            <w:tcW w:w="534" w:type="pct"/>
            <w:tcBorders>
              <w:top w:val="single" w:color="auto" w:sz="4" w:space="0"/>
              <w:bottom w:val="single" w:color="auto" w:sz="4" w:space="0"/>
            </w:tcBorders>
            <w:shd w:val="clear" w:color="auto" w:fill="8EAADB" w:themeFill="accent1" w:themeFillTint="99"/>
          </w:tcPr>
          <w:p>
            <w:pPr>
              <w:spacing w:before="0" w:after="0" w:line="240" w:lineRule="auto"/>
              <w:ind w:firstLine="220" w:firstLineChars="100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</w:rPr>
              <w:t>N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  <w:t>O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vertAlign w:val="subscript"/>
              </w:rPr>
              <w:t>2</w:t>
            </w:r>
          </w:p>
        </w:tc>
        <w:tc>
          <w:tcPr>
            <w:tcW w:w="576" w:type="pct"/>
            <w:tcBorders>
              <w:top w:val="single" w:color="auto" w:sz="4" w:space="0"/>
              <w:bottom w:val="single" w:color="auto" w:sz="4" w:space="0"/>
            </w:tcBorders>
            <w:shd w:val="clear" w:color="auto" w:fill="8EAADB" w:themeFill="accent1" w:themeFillTint="99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</w:rPr>
              <w:t>P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  <w:t>M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vertAlign w:val="subscript"/>
              </w:rPr>
              <w:t>10</w:t>
            </w:r>
          </w:p>
        </w:tc>
        <w:tc>
          <w:tcPr>
            <w:tcW w:w="494" w:type="pct"/>
            <w:tcBorders>
              <w:top w:val="single" w:color="auto" w:sz="4" w:space="0"/>
              <w:bottom w:val="single" w:color="auto" w:sz="4" w:space="0"/>
            </w:tcBorders>
            <w:shd w:val="clear" w:color="auto" w:fill="8EAADB" w:themeFill="accent1" w:themeFillTint="99"/>
          </w:tcPr>
          <w:p>
            <w:pPr>
              <w:spacing w:before="0" w:after="0" w:line="240" w:lineRule="auto"/>
              <w:ind w:firstLine="220" w:firstLineChars="100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</w:rPr>
              <w:t>C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  <w:t>O</w:t>
            </w:r>
          </w:p>
        </w:tc>
        <w:tc>
          <w:tcPr>
            <w:tcW w:w="576" w:type="pct"/>
            <w:tcBorders>
              <w:top w:val="single" w:color="auto" w:sz="4" w:space="0"/>
              <w:bottom w:val="single" w:color="auto" w:sz="4" w:space="0"/>
            </w:tcBorders>
            <w:shd w:val="clear" w:color="auto" w:fill="8EAADB" w:themeFill="accent1" w:themeFillTint="99"/>
          </w:tcPr>
          <w:p>
            <w:pPr>
              <w:spacing w:before="0" w:after="0" w:line="240" w:lineRule="auto"/>
              <w:ind w:firstLine="220" w:firstLineChars="100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</w:rPr>
              <w:t>O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vertAlign w:val="subscript"/>
              </w:rPr>
              <w:t>3</w:t>
            </w:r>
          </w:p>
        </w:tc>
        <w:tc>
          <w:tcPr>
            <w:tcW w:w="530" w:type="pct"/>
            <w:tcBorders>
              <w:top w:val="single" w:color="auto" w:sz="4" w:space="0"/>
              <w:bottom w:val="single" w:color="auto" w:sz="4" w:space="0"/>
            </w:tcBorders>
            <w:shd w:val="clear" w:color="auto" w:fill="8EAADB" w:themeFill="accent1" w:themeFillTint="99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</w:rPr>
              <w:t>P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  <w:t>M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vertAlign w:val="subscript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pct"/>
            <w:tcBorders>
              <w:top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0"/>
                <w:sz w:val="24"/>
                <w:szCs w:val="24"/>
              </w:rPr>
              <w:t>城步县</w:t>
            </w:r>
          </w:p>
        </w:tc>
        <w:tc>
          <w:tcPr>
            <w:tcW w:w="762" w:type="pct"/>
            <w:tcBorders>
              <w:top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1</w:t>
            </w:r>
            <w:r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  <w:t>.70</w:t>
            </w:r>
          </w:p>
        </w:tc>
        <w:tc>
          <w:tcPr>
            <w:tcW w:w="517" w:type="pct"/>
            <w:tcBorders>
              <w:top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534" w:type="pct"/>
            <w:tcBorders>
              <w:top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576" w:type="pct"/>
            <w:tcBorders>
              <w:top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18</w:t>
            </w:r>
          </w:p>
        </w:tc>
        <w:tc>
          <w:tcPr>
            <w:tcW w:w="494" w:type="pct"/>
            <w:tcBorders>
              <w:top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0.8</w:t>
            </w:r>
          </w:p>
        </w:tc>
        <w:tc>
          <w:tcPr>
            <w:tcW w:w="576" w:type="pct"/>
            <w:tcBorders>
              <w:top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107</w:t>
            </w:r>
          </w:p>
        </w:tc>
        <w:tc>
          <w:tcPr>
            <w:tcW w:w="530" w:type="pct"/>
            <w:tcBorders>
              <w:top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593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0"/>
                <w:sz w:val="24"/>
                <w:szCs w:val="24"/>
              </w:rPr>
              <w:t>绥宁县</w:t>
            </w:r>
          </w:p>
        </w:tc>
        <w:tc>
          <w:tcPr>
            <w:tcW w:w="762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2.19</w:t>
            </w:r>
          </w:p>
        </w:tc>
        <w:tc>
          <w:tcPr>
            <w:tcW w:w="517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534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32</w:t>
            </w:r>
          </w:p>
        </w:tc>
        <w:tc>
          <w:tcPr>
            <w:tcW w:w="494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1.2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84</w:t>
            </w:r>
          </w:p>
        </w:tc>
        <w:tc>
          <w:tcPr>
            <w:tcW w:w="530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593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0"/>
                <w:sz w:val="24"/>
                <w:szCs w:val="24"/>
              </w:rPr>
              <w:t>新宁县</w:t>
            </w:r>
          </w:p>
        </w:tc>
        <w:tc>
          <w:tcPr>
            <w:tcW w:w="762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2.</w:t>
            </w:r>
            <w:r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  <w:t>23</w:t>
            </w:r>
          </w:p>
        </w:tc>
        <w:tc>
          <w:tcPr>
            <w:tcW w:w="517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534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33</w:t>
            </w:r>
          </w:p>
        </w:tc>
        <w:tc>
          <w:tcPr>
            <w:tcW w:w="494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1.0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91</w:t>
            </w:r>
          </w:p>
        </w:tc>
        <w:tc>
          <w:tcPr>
            <w:tcW w:w="530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593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0"/>
                <w:sz w:val="24"/>
                <w:szCs w:val="24"/>
              </w:rPr>
              <w:t>邵阳县</w:t>
            </w:r>
          </w:p>
        </w:tc>
        <w:tc>
          <w:tcPr>
            <w:tcW w:w="762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2.28</w:t>
            </w:r>
          </w:p>
        </w:tc>
        <w:tc>
          <w:tcPr>
            <w:tcW w:w="517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534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32</w:t>
            </w:r>
          </w:p>
        </w:tc>
        <w:tc>
          <w:tcPr>
            <w:tcW w:w="494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0.8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115</w:t>
            </w:r>
          </w:p>
        </w:tc>
        <w:tc>
          <w:tcPr>
            <w:tcW w:w="530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593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0"/>
                <w:sz w:val="24"/>
                <w:szCs w:val="24"/>
              </w:rPr>
              <w:t>洞口县</w:t>
            </w:r>
          </w:p>
        </w:tc>
        <w:tc>
          <w:tcPr>
            <w:tcW w:w="762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2.29</w:t>
            </w:r>
          </w:p>
        </w:tc>
        <w:tc>
          <w:tcPr>
            <w:tcW w:w="517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534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31</w:t>
            </w:r>
          </w:p>
        </w:tc>
        <w:tc>
          <w:tcPr>
            <w:tcW w:w="494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1.0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97</w:t>
            </w:r>
          </w:p>
        </w:tc>
        <w:tc>
          <w:tcPr>
            <w:tcW w:w="530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593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0"/>
                <w:sz w:val="24"/>
                <w:szCs w:val="24"/>
              </w:rPr>
              <w:t>武冈市</w:t>
            </w:r>
          </w:p>
        </w:tc>
        <w:tc>
          <w:tcPr>
            <w:tcW w:w="762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2.32</w:t>
            </w:r>
          </w:p>
        </w:tc>
        <w:tc>
          <w:tcPr>
            <w:tcW w:w="517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534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31</w:t>
            </w:r>
          </w:p>
        </w:tc>
        <w:tc>
          <w:tcPr>
            <w:tcW w:w="494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1.0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106</w:t>
            </w:r>
          </w:p>
        </w:tc>
        <w:tc>
          <w:tcPr>
            <w:tcW w:w="530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593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0"/>
                <w:sz w:val="24"/>
                <w:szCs w:val="24"/>
              </w:rPr>
              <w:t>新邵县</w:t>
            </w:r>
          </w:p>
        </w:tc>
        <w:tc>
          <w:tcPr>
            <w:tcW w:w="762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2.46</w:t>
            </w:r>
          </w:p>
        </w:tc>
        <w:tc>
          <w:tcPr>
            <w:tcW w:w="517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534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28</w:t>
            </w:r>
          </w:p>
        </w:tc>
        <w:tc>
          <w:tcPr>
            <w:tcW w:w="494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1.0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119</w:t>
            </w:r>
          </w:p>
        </w:tc>
        <w:tc>
          <w:tcPr>
            <w:tcW w:w="530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593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0"/>
                <w:sz w:val="24"/>
                <w:szCs w:val="24"/>
              </w:rPr>
              <w:t>邵东市</w:t>
            </w:r>
          </w:p>
        </w:tc>
        <w:tc>
          <w:tcPr>
            <w:tcW w:w="762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  <w:t>2.65</w:t>
            </w:r>
          </w:p>
        </w:tc>
        <w:tc>
          <w:tcPr>
            <w:tcW w:w="517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534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37</w:t>
            </w:r>
          </w:p>
        </w:tc>
        <w:tc>
          <w:tcPr>
            <w:tcW w:w="494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0.8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122</w:t>
            </w:r>
          </w:p>
        </w:tc>
        <w:tc>
          <w:tcPr>
            <w:tcW w:w="530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593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0"/>
                <w:sz w:val="24"/>
                <w:szCs w:val="24"/>
              </w:rPr>
              <w:t>隆回县</w:t>
            </w:r>
          </w:p>
        </w:tc>
        <w:tc>
          <w:tcPr>
            <w:tcW w:w="762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2.65</w:t>
            </w:r>
          </w:p>
        </w:tc>
        <w:tc>
          <w:tcPr>
            <w:tcW w:w="517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534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16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42</w:t>
            </w:r>
          </w:p>
        </w:tc>
        <w:tc>
          <w:tcPr>
            <w:tcW w:w="494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0.8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112</w:t>
            </w:r>
          </w:p>
        </w:tc>
        <w:tc>
          <w:tcPr>
            <w:tcW w:w="530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2"/>
                <w:sz w:val="24"/>
                <w:szCs w:val="24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pct"/>
            <w:gridSpan w:val="2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0"/>
                <w:sz w:val="24"/>
                <w:szCs w:val="24"/>
              </w:rPr>
              <w:t>均值</w:t>
            </w:r>
          </w:p>
        </w:tc>
        <w:tc>
          <w:tcPr>
            <w:tcW w:w="762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华文楷体" w:eastAsia="仿宋_GB2312"/>
                <w:bCs/>
                <w:kern w:val="0"/>
                <w:sz w:val="24"/>
                <w:szCs w:val="24"/>
              </w:rPr>
              <w:t>2.28</w:t>
            </w:r>
          </w:p>
        </w:tc>
        <w:tc>
          <w:tcPr>
            <w:tcW w:w="517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534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494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0"/>
                <w:sz w:val="24"/>
                <w:szCs w:val="24"/>
              </w:rPr>
              <w:t>0.9</w:t>
            </w:r>
          </w:p>
        </w:tc>
        <w:tc>
          <w:tcPr>
            <w:tcW w:w="576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kern w:val="0"/>
                <w:sz w:val="24"/>
                <w:szCs w:val="24"/>
              </w:rPr>
              <w:t>106</w:t>
            </w:r>
          </w:p>
        </w:tc>
        <w:tc>
          <w:tcPr>
            <w:tcW w:w="530" w:type="pct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华文楷体" w:eastAsia="仿宋_GB2312"/>
                <w:bCs/>
                <w:kern w:val="0"/>
                <w:sz w:val="24"/>
                <w:szCs w:val="24"/>
              </w:rPr>
              <w:t>19</w:t>
            </w:r>
          </w:p>
        </w:tc>
      </w:tr>
    </w:tbl>
    <w:p>
      <w:pPr>
        <w:ind w:firstLine="640" w:firstLineChars="200"/>
        <w:rPr>
          <w:rFonts w:ascii="仿宋_GB2312" w:hAnsi="华文楷体" w:eastAsia="仿宋_GB2312"/>
          <w:b/>
          <w:sz w:val="32"/>
          <w:szCs w:val="32"/>
        </w:rPr>
      </w:pPr>
    </w:p>
    <w:p>
      <w:pPr>
        <w:ind w:firstLine="640" w:firstLineChars="200"/>
        <w:rPr>
          <w:rFonts w:ascii="仿宋_GB2312" w:hAnsi="华文楷体" w:eastAsia="仿宋_GB2312"/>
          <w:b/>
          <w:sz w:val="32"/>
          <w:szCs w:val="32"/>
        </w:rPr>
      </w:pPr>
    </w:p>
    <w:p>
      <w:pPr>
        <w:ind w:firstLine="640" w:firstLineChars="200"/>
        <w:rPr>
          <w:rFonts w:ascii="仿宋_GB2312" w:hAnsi="华文楷体" w:eastAsia="仿宋_GB2312"/>
          <w:b/>
          <w:sz w:val="32"/>
          <w:szCs w:val="32"/>
        </w:rPr>
      </w:pPr>
      <w:r>
        <w:rPr>
          <w:rFonts w:hint="eastAsia" w:ascii="仿宋_GB2312" w:hAnsi="华文楷体" w:eastAsia="仿宋_GB2312"/>
          <w:b/>
          <w:sz w:val="32"/>
          <w:szCs w:val="32"/>
        </w:rPr>
        <w:t>三、城市降水状况</w:t>
      </w:r>
    </w:p>
    <w:p>
      <w:pPr>
        <w:spacing w:line="440" w:lineRule="exact"/>
        <w:ind w:firstLine="560" w:firstLineChars="200"/>
        <w:rPr>
          <w:rFonts w:ascii="仿宋_GB2312" w:hAnsi="华文楷体" w:eastAsia="仿宋_GB2312"/>
          <w:sz w:val="28"/>
          <w:szCs w:val="28"/>
        </w:rPr>
      </w:pPr>
      <w:r>
        <w:rPr>
          <w:rFonts w:hint="eastAsia" w:ascii="仿宋_GB2312" w:hAnsi="华文楷体" w:eastAsia="仿宋_GB2312"/>
          <w:color w:val="000000"/>
          <w:sz w:val="28"/>
          <w:szCs w:val="28"/>
        </w:rPr>
        <w:t>我市降水设邵阳市监测站和泉塘冲两个测点。本月降水</w:t>
      </w:r>
      <w:r>
        <w:rPr>
          <w:rFonts w:ascii="仿宋_GB2312" w:hAnsi="华文楷体" w:eastAsia="仿宋_GB2312"/>
          <w:color w:val="000000"/>
          <w:sz w:val="28"/>
          <w:szCs w:val="28"/>
        </w:rPr>
        <w:t>样品</w:t>
      </w:r>
      <w:r>
        <w:rPr>
          <w:rFonts w:hint="eastAsia" w:ascii="仿宋_GB2312" w:hAnsi="华文楷体" w:eastAsia="仿宋_GB2312"/>
          <w:color w:val="000000"/>
          <w:sz w:val="28"/>
          <w:szCs w:val="28"/>
        </w:rPr>
        <w:t>25个</w:t>
      </w:r>
      <w:r>
        <w:rPr>
          <w:rFonts w:ascii="仿宋_GB2312" w:hAnsi="华文楷体" w:eastAsia="仿宋_GB2312"/>
          <w:color w:val="000000"/>
          <w:sz w:val="28"/>
          <w:szCs w:val="28"/>
        </w:rPr>
        <w:t>，</w:t>
      </w:r>
      <w:r>
        <w:rPr>
          <w:rFonts w:hint="eastAsia" w:ascii="仿宋_GB2312" w:hAnsi="华文楷体" w:eastAsia="仿宋_GB2312"/>
          <w:color w:val="000000"/>
          <w:sz w:val="28"/>
          <w:szCs w:val="28"/>
        </w:rPr>
        <w:t>酸雨样品为</w:t>
      </w:r>
      <w:r>
        <w:rPr>
          <w:rFonts w:ascii="仿宋_GB2312" w:hAnsi="华文楷体" w:eastAsia="仿宋_GB2312"/>
          <w:color w:val="000000"/>
          <w:sz w:val="28"/>
          <w:szCs w:val="28"/>
        </w:rPr>
        <w:t>2</w:t>
      </w:r>
      <w:r>
        <w:rPr>
          <w:rFonts w:hint="eastAsia" w:ascii="仿宋_GB2312" w:hAnsi="华文楷体" w:eastAsia="仿宋_GB2312"/>
          <w:color w:val="000000"/>
          <w:sz w:val="28"/>
          <w:szCs w:val="28"/>
        </w:rPr>
        <w:t>个。市监测站测点降水</w:t>
      </w:r>
      <w:r>
        <w:rPr>
          <w:rFonts w:eastAsia="仿宋_GB2312"/>
          <w:color w:val="000000"/>
          <w:sz w:val="28"/>
          <w:szCs w:val="28"/>
        </w:rPr>
        <w:t>pH</w:t>
      </w:r>
      <w:r>
        <w:rPr>
          <w:rFonts w:hint="eastAsia" w:eastAsia="仿宋_GB2312"/>
          <w:color w:val="000000"/>
          <w:sz w:val="28"/>
          <w:szCs w:val="28"/>
        </w:rPr>
        <w:t>均值</w:t>
      </w:r>
      <w:r>
        <w:rPr>
          <w:rFonts w:hint="eastAsia" w:ascii="仿宋_GB2312" w:hAnsi="华文楷体" w:eastAsia="仿宋_GB2312"/>
          <w:color w:val="000000"/>
          <w:sz w:val="28"/>
          <w:szCs w:val="28"/>
        </w:rPr>
        <w:t>为</w:t>
      </w:r>
      <w:r>
        <w:rPr>
          <w:rFonts w:ascii="仿宋_GB2312" w:hAnsi="华文楷体" w:eastAsia="仿宋_GB2312"/>
          <w:color w:val="000000"/>
          <w:sz w:val="28"/>
          <w:szCs w:val="28"/>
        </w:rPr>
        <w:t>6.42</w:t>
      </w:r>
      <w:r>
        <w:rPr>
          <w:rFonts w:hint="eastAsia" w:ascii="仿宋_GB2312" w:hAnsi="华文楷体" w:eastAsia="仿宋_GB2312"/>
          <w:color w:val="000000"/>
          <w:sz w:val="28"/>
          <w:szCs w:val="28"/>
        </w:rPr>
        <w:t>，本月酸性降雨频率为0。泉塘冲测点降水</w:t>
      </w:r>
      <w:r>
        <w:rPr>
          <w:rFonts w:eastAsia="仿宋_GB2312"/>
          <w:color w:val="000000"/>
          <w:sz w:val="28"/>
          <w:szCs w:val="28"/>
        </w:rPr>
        <w:t>pH</w:t>
      </w:r>
      <w:r>
        <w:rPr>
          <w:rFonts w:hint="eastAsia" w:eastAsia="仿宋_GB2312"/>
          <w:color w:val="000000"/>
          <w:sz w:val="28"/>
          <w:szCs w:val="28"/>
        </w:rPr>
        <w:t>均值</w:t>
      </w:r>
      <w:r>
        <w:rPr>
          <w:rFonts w:hint="eastAsia" w:ascii="仿宋_GB2312" w:hAnsi="华文楷体" w:eastAsia="仿宋_GB2312"/>
          <w:color w:val="000000"/>
          <w:sz w:val="28"/>
          <w:szCs w:val="28"/>
        </w:rPr>
        <w:t>为</w:t>
      </w:r>
      <w:r>
        <w:rPr>
          <w:rFonts w:ascii="仿宋_GB2312" w:hAnsi="华文楷体" w:eastAsia="仿宋_GB2312"/>
          <w:color w:val="000000"/>
          <w:sz w:val="28"/>
          <w:szCs w:val="28"/>
        </w:rPr>
        <w:t>5.27</w:t>
      </w:r>
      <w:r>
        <w:rPr>
          <w:rFonts w:hint="eastAsia" w:ascii="仿宋_GB2312" w:hAnsi="华文楷体" w:eastAsia="仿宋_GB2312"/>
          <w:color w:val="000000"/>
          <w:sz w:val="28"/>
          <w:szCs w:val="28"/>
        </w:rPr>
        <w:t>；本月酸性降雨频率为</w:t>
      </w:r>
      <w:r>
        <w:rPr>
          <w:rFonts w:ascii="仿宋_GB2312" w:hAnsi="华文楷体" w:eastAsia="仿宋_GB2312"/>
          <w:color w:val="000000"/>
          <w:sz w:val="28"/>
          <w:szCs w:val="28"/>
        </w:rPr>
        <w:t>22</w:t>
      </w:r>
      <w:r>
        <w:rPr>
          <w:rFonts w:hint="eastAsia" w:ascii="宋体" w:hAnsi="宋体"/>
          <w:color w:val="000000"/>
          <w:szCs w:val="21"/>
        </w:rPr>
        <w:t>％</w:t>
      </w:r>
      <w:r>
        <w:rPr>
          <w:rFonts w:hint="eastAsia" w:ascii="仿宋_GB2312" w:hAnsi="华文楷体" w:eastAsia="仿宋_GB2312"/>
          <w:color w:val="000000"/>
          <w:sz w:val="28"/>
          <w:szCs w:val="28"/>
        </w:rPr>
        <w:t>。详见表</w:t>
      </w:r>
      <w:r>
        <w:rPr>
          <w:rFonts w:ascii="仿宋_GB2312" w:hAnsi="华文楷体" w:eastAsia="仿宋_GB2312"/>
          <w:color w:val="000000"/>
          <w:sz w:val="28"/>
          <w:szCs w:val="28"/>
        </w:rPr>
        <w:t>5</w:t>
      </w:r>
      <w:r>
        <w:rPr>
          <w:rFonts w:hint="eastAsia" w:ascii="仿宋_GB2312" w:hAnsi="华文楷体" w:eastAsia="仿宋_GB2312"/>
          <w:color w:val="000000"/>
          <w:sz w:val="28"/>
          <w:szCs w:val="28"/>
        </w:rPr>
        <w:t>。</w:t>
      </w:r>
    </w:p>
    <w:p>
      <w:pPr>
        <w:widowControl/>
        <w:jc w:val="left"/>
        <w:rPr>
          <w:rFonts w:ascii="仿宋_GB2312" w:hAnsi="华文楷体" w:eastAsia="仿宋_GB2312"/>
          <w:sz w:val="28"/>
          <w:szCs w:val="28"/>
        </w:rPr>
      </w:pPr>
      <w:r>
        <w:rPr>
          <w:rFonts w:ascii="仿宋_GB2312" w:hAnsi="华文楷体" w:eastAsia="仿宋_GB2312"/>
          <w:sz w:val="28"/>
          <w:szCs w:val="28"/>
        </w:rPr>
        <w:br w:type="page"/>
      </w:r>
    </w:p>
    <w:p>
      <w:pPr>
        <w:widowControl/>
        <w:jc w:val="left"/>
        <w:rPr>
          <w:rFonts w:ascii="仿宋_GB2312" w:hAnsi="华文楷体" w:eastAsia="仿宋_GB2312"/>
          <w:sz w:val="28"/>
          <w:szCs w:val="28"/>
        </w:rPr>
        <w:sectPr>
          <w:footerReference r:id="rId3" w:type="default"/>
          <w:pgSz w:w="11906" w:h="16838"/>
          <w:pgMar w:top="1134" w:right="1646" w:bottom="567" w:left="1797" w:header="851" w:footer="992" w:gutter="0"/>
          <w:cols w:space="720" w:num="1"/>
          <w:docGrid w:type="linesAndChars" w:linePitch="312" w:charSpace="0"/>
        </w:sectPr>
      </w:pPr>
    </w:p>
    <w:p>
      <w:pPr>
        <w:jc w:val="center"/>
        <w:rPr>
          <w:rFonts w:ascii="仿宋_GB2312" w:hAnsi="华文楷体" w:eastAsia="仿宋_GB2312"/>
          <w:sz w:val="24"/>
        </w:rPr>
      </w:pPr>
      <w:r>
        <w:rPr>
          <w:rFonts w:ascii="仿宋_GB2312" w:hAnsi="华文楷体" w:eastAsia="仿宋_GB2312"/>
          <w:sz w:val="28"/>
          <w:szCs w:val="28"/>
        </w:rPr>
        <w:tab/>
      </w:r>
      <w:r>
        <w:rPr>
          <w:rFonts w:hint="eastAsia" w:ascii="仿宋_GB2312" w:hAnsi="华文楷体" w:eastAsia="仿宋_GB2312"/>
          <w:b/>
          <w:sz w:val="24"/>
        </w:rPr>
        <w:t>表</w:t>
      </w:r>
      <w:r>
        <w:rPr>
          <w:rFonts w:ascii="仿宋_GB2312" w:hAnsi="华文楷体" w:eastAsia="仿宋_GB2312"/>
          <w:b/>
          <w:sz w:val="24"/>
        </w:rPr>
        <w:t>5</w:t>
      </w:r>
      <w:r>
        <w:rPr>
          <w:rFonts w:hint="eastAsia" w:ascii="仿宋_GB2312" w:hAnsi="宋体" w:eastAsia="仿宋_GB2312"/>
          <w:sz w:val="24"/>
        </w:rPr>
        <w:t xml:space="preserve">     </w:t>
      </w:r>
      <w:r>
        <w:rPr>
          <w:rFonts w:hint="eastAsia" w:ascii="仿宋_GB2312" w:hAnsi="宋体" w:eastAsia="仿宋_GB2312"/>
          <w:b/>
          <w:sz w:val="24"/>
        </w:rPr>
        <w:t>2020</w:t>
      </w:r>
      <w:r>
        <w:rPr>
          <w:rFonts w:hint="eastAsia" w:ascii="仿宋_GB2312" w:hAnsi="华文楷体" w:eastAsia="仿宋_GB2312"/>
          <w:b/>
          <w:sz w:val="24"/>
        </w:rPr>
        <w:t>年</w:t>
      </w:r>
      <w:r>
        <w:rPr>
          <w:rFonts w:ascii="仿宋_GB2312" w:hAnsi="华文楷体" w:eastAsia="仿宋_GB2312"/>
          <w:b/>
          <w:sz w:val="24"/>
        </w:rPr>
        <w:t>5</w:t>
      </w:r>
      <w:r>
        <w:rPr>
          <w:rFonts w:hint="eastAsia" w:ascii="仿宋_GB2312" w:hAnsi="华文楷体" w:eastAsia="仿宋_GB2312"/>
          <w:b/>
          <w:sz w:val="24"/>
        </w:rPr>
        <w:t>月全市降水监测结果统计表</w:t>
      </w:r>
    </w:p>
    <w:tbl>
      <w:tblPr>
        <w:tblStyle w:val="8"/>
        <w:tblpPr w:leftFromText="180" w:rightFromText="180" w:vertAnchor="page" w:horzAnchor="margin" w:tblpXSpec="center" w:tblpY="2689"/>
        <w:tblW w:w="1672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25"/>
        <w:gridCol w:w="426"/>
        <w:gridCol w:w="567"/>
        <w:gridCol w:w="1134"/>
        <w:gridCol w:w="708"/>
        <w:gridCol w:w="993"/>
        <w:gridCol w:w="850"/>
        <w:gridCol w:w="1134"/>
        <w:gridCol w:w="1134"/>
        <w:gridCol w:w="1276"/>
        <w:gridCol w:w="1134"/>
        <w:gridCol w:w="1276"/>
        <w:gridCol w:w="1275"/>
        <w:gridCol w:w="1276"/>
        <w:gridCol w:w="1276"/>
        <w:gridCol w:w="1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567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  <w:tl2br w:val="single" w:color="auto" w:sz="6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项</w:t>
            </w:r>
          </w:p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目</w:t>
            </w:r>
          </w:p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测</w:t>
            </w:r>
          </w:p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点</w:t>
            </w:r>
          </w:p>
        </w:tc>
        <w:tc>
          <w:tcPr>
            <w:tcW w:w="42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降水样品</w:t>
            </w:r>
          </w:p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数</w:t>
            </w:r>
          </w:p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酸雨</w:t>
            </w:r>
          </w:p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样品</w:t>
            </w:r>
          </w:p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个</w:t>
            </w: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酸</w:t>
            </w:r>
          </w:p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雨</w:t>
            </w:r>
          </w:p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频</w:t>
            </w:r>
          </w:p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率</w:t>
            </w:r>
          </w:p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％</w:t>
            </w:r>
          </w:p>
        </w:tc>
        <w:tc>
          <w:tcPr>
            <w:tcW w:w="184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降水</w:t>
            </w:r>
            <w:r>
              <w:rPr>
                <w:rFonts w:eastAsia="仿宋_GB2312"/>
                <w:szCs w:val="21"/>
              </w:rPr>
              <w:t>pH</w:t>
            </w:r>
          </w:p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(</w:t>
            </w:r>
            <w:r>
              <w:rPr>
                <w:rFonts w:hint="eastAsia" w:eastAsia="仿宋_GB2312"/>
                <w:szCs w:val="21"/>
              </w:rPr>
              <w:t>无量纲</w:t>
            </w:r>
            <w:r>
              <w:rPr>
                <w:rFonts w:eastAsia="仿宋_GB2312"/>
                <w:szCs w:val="21"/>
              </w:rPr>
              <w:t>)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降水量</w:t>
            </w:r>
            <w:r>
              <w:rPr>
                <w:rFonts w:hint="eastAsia" w:eastAsia="仿宋_GB2312"/>
                <w:szCs w:val="21"/>
              </w:rPr>
              <w:t>（</w:t>
            </w:r>
            <w:r>
              <w:rPr>
                <w:szCs w:val="21"/>
              </w:rPr>
              <w:t>mm</w:t>
            </w:r>
            <w:r>
              <w:rPr>
                <w:rFonts w:hint="eastAsia" w:eastAsia="仿宋_GB2312"/>
                <w:szCs w:val="21"/>
              </w:rPr>
              <w:t>）</w:t>
            </w:r>
          </w:p>
        </w:tc>
        <w:tc>
          <w:tcPr>
            <w:tcW w:w="11907" w:type="dxa"/>
            <w:gridSpan w:val="10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月平均化学浓度</w:t>
            </w:r>
            <w:r>
              <w:rPr>
                <w:rFonts w:hint="eastAsia" w:eastAsia="仿宋_GB2312"/>
                <w:szCs w:val="21"/>
              </w:rPr>
              <w:t>（</w:t>
            </w:r>
            <w:r>
              <w:rPr>
                <w:szCs w:val="21"/>
              </w:rPr>
              <w:t>mg/L</w:t>
            </w:r>
            <w:r>
              <w:rPr>
                <w:rFonts w:hint="eastAsia" w:eastAsia="仿宋_GB2312"/>
                <w:szCs w:val="21"/>
              </w:rPr>
              <w:t xml:space="preserve">）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</w:trPr>
        <w:tc>
          <w:tcPr>
            <w:tcW w:w="567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8EAADB" w:themeFill="accent1" w:themeFillTint="99"/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EAADB" w:themeFill="accent1" w:themeFillTint="99"/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8EAADB" w:themeFill="accent1" w:themeFillTint="99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18"/>
                <w:szCs w:val="18"/>
              </w:rPr>
            </w:pPr>
            <w:r>
              <w:rPr>
                <w:rFonts w:hint="eastAsia" w:ascii="仿宋_GB2312" w:hAnsi="华文楷体" w:eastAsia="仿宋_GB2312"/>
                <w:sz w:val="18"/>
                <w:szCs w:val="18"/>
              </w:rPr>
              <w:t>范围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EAADB" w:themeFill="accent1" w:themeFillTint="99"/>
            <w:vAlign w:val="center"/>
          </w:tcPr>
          <w:p>
            <w:pPr>
              <w:ind w:right="-107" w:rightChars="-51" w:firstLine="72" w:firstLineChars="40"/>
              <w:rPr>
                <w:rFonts w:ascii="仿宋_GB2312" w:hAnsi="华文楷体" w:eastAsia="仿宋_GB2312"/>
                <w:sz w:val="18"/>
                <w:szCs w:val="18"/>
              </w:rPr>
            </w:pPr>
            <w:r>
              <w:rPr>
                <w:rFonts w:hint="eastAsia" w:ascii="仿宋_GB2312" w:hAnsi="华文楷体" w:eastAsia="仿宋_GB2312"/>
                <w:sz w:val="18"/>
                <w:szCs w:val="18"/>
              </w:rPr>
              <w:t>均值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18"/>
                <w:szCs w:val="18"/>
              </w:rPr>
            </w:pPr>
            <w:r>
              <w:rPr>
                <w:rFonts w:hint="eastAsia" w:ascii="仿宋_GB2312" w:hAnsi="华文楷体" w:eastAsia="仿宋_GB2312"/>
                <w:sz w:val="18"/>
                <w:szCs w:val="18"/>
              </w:rPr>
              <w:t>实测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 w:val="18"/>
                <w:szCs w:val="18"/>
              </w:rPr>
            </w:pPr>
            <w:r>
              <w:rPr>
                <w:rFonts w:hint="eastAsia" w:ascii="仿宋_GB2312" w:hAnsi="华文楷体" w:eastAsia="仿宋_GB2312"/>
                <w:sz w:val="18"/>
                <w:szCs w:val="18"/>
              </w:rPr>
              <w:t>电</w:t>
            </w:r>
          </w:p>
          <w:p>
            <w:pPr>
              <w:spacing w:line="240" w:lineRule="exact"/>
              <w:jc w:val="center"/>
              <w:rPr>
                <w:rFonts w:ascii="仿宋_GB2312" w:hAnsi="华文楷体" w:eastAsia="仿宋_GB2312"/>
                <w:sz w:val="18"/>
                <w:szCs w:val="18"/>
              </w:rPr>
            </w:pPr>
            <w:r>
              <w:rPr>
                <w:rFonts w:hint="eastAsia" w:ascii="仿宋_GB2312" w:hAnsi="华文楷体" w:eastAsia="仿宋_GB2312"/>
                <w:sz w:val="18"/>
                <w:szCs w:val="18"/>
              </w:rPr>
              <w:t>导</w:t>
            </w:r>
          </w:p>
          <w:p>
            <w:pPr>
              <w:spacing w:line="240" w:lineRule="exact"/>
              <w:jc w:val="center"/>
              <w:rPr>
                <w:rFonts w:ascii="仿宋_GB2312" w:hAnsi="华文楷体" w:eastAsia="仿宋_GB2312"/>
                <w:sz w:val="18"/>
                <w:szCs w:val="18"/>
              </w:rPr>
            </w:pPr>
            <w:r>
              <w:rPr>
                <w:rFonts w:hint="eastAsia" w:ascii="仿宋_GB2312" w:hAnsi="华文楷体" w:eastAsia="仿宋_GB2312"/>
                <w:sz w:val="18"/>
                <w:szCs w:val="18"/>
              </w:rPr>
              <w:t>率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ms/m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仿宋_GB2312" w:hAnsi="华文楷体" w:eastAsia="仿宋_GB2312"/>
                <w:sz w:val="18"/>
                <w:szCs w:val="18"/>
              </w:rPr>
              <w:t>范围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SO</w:t>
            </w:r>
            <w:r>
              <w:rPr>
                <w:sz w:val="18"/>
                <w:szCs w:val="18"/>
                <w:vertAlign w:val="subscript"/>
              </w:rPr>
              <w:t>4</w:t>
            </w:r>
            <w:r>
              <w:rPr>
                <w:sz w:val="18"/>
                <w:szCs w:val="18"/>
                <w:vertAlign w:val="superscript"/>
              </w:rPr>
              <w:t>2-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华文楷体" w:eastAsia="仿宋_GB2312"/>
                <w:sz w:val="18"/>
                <w:szCs w:val="18"/>
              </w:rPr>
              <w:t>范围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  <w:vertAlign w:val="subscript"/>
              </w:rPr>
              <w:t>3</w:t>
            </w:r>
            <w:r>
              <w:rPr>
                <w:sz w:val="18"/>
                <w:szCs w:val="18"/>
                <w:vertAlign w:val="superscript"/>
              </w:rPr>
              <w:t>-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华文楷体" w:eastAsia="仿宋_GB2312"/>
                <w:sz w:val="18"/>
                <w:szCs w:val="18"/>
              </w:rPr>
              <w:t>范围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  <w:vertAlign w:val="superscript"/>
              </w:rPr>
              <w:t>-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华文楷体" w:eastAsia="仿宋_GB2312"/>
                <w:sz w:val="18"/>
                <w:szCs w:val="18"/>
              </w:rPr>
              <w:t>范围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Cl</w:t>
            </w:r>
            <w:r>
              <w:rPr>
                <w:sz w:val="18"/>
                <w:szCs w:val="18"/>
                <w:vertAlign w:val="superscript"/>
              </w:rPr>
              <w:t>-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华文楷体" w:eastAsia="仿宋_GB2312"/>
                <w:sz w:val="18"/>
                <w:szCs w:val="18"/>
              </w:rPr>
              <w:t>范围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NH</w:t>
            </w:r>
            <w:r>
              <w:rPr>
                <w:sz w:val="18"/>
                <w:szCs w:val="18"/>
                <w:vertAlign w:val="subscript"/>
              </w:rPr>
              <w:t>4</w:t>
            </w:r>
            <w:r>
              <w:rPr>
                <w:sz w:val="18"/>
                <w:szCs w:val="18"/>
                <w:vertAlign w:val="superscript"/>
              </w:rPr>
              <w:t>+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华文楷体" w:eastAsia="仿宋_GB2312"/>
                <w:sz w:val="18"/>
                <w:szCs w:val="18"/>
              </w:rPr>
              <w:t>范围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Ca</w:t>
            </w:r>
            <w:r>
              <w:rPr>
                <w:sz w:val="18"/>
                <w:szCs w:val="18"/>
                <w:vertAlign w:val="superscript"/>
              </w:rPr>
              <w:t>2+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华文楷体" w:eastAsia="仿宋_GB2312"/>
                <w:sz w:val="18"/>
                <w:szCs w:val="18"/>
              </w:rPr>
              <w:t>范围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Mg</w:t>
            </w:r>
            <w:r>
              <w:rPr>
                <w:sz w:val="18"/>
                <w:szCs w:val="18"/>
                <w:vertAlign w:val="superscript"/>
              </w:rPr>
              <w:t>2+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华文楷体" w:eastAsia="仿宋_GB2312"/>
                <w:sz w:val="18"/>
                <w:szCs w:val="18"/>
              </w:rPr>
              <w:t>范围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Na</w:t>
            </w:r>
            <w:r>
              <w:rPr>
                <w:sz w:val="18"/>
                <w:szCs w:val="18"/>
                <w:vertAlign w:val="superscript"/>
              </w:rPr>
              <w:t>+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华文楷体" w:eastAsia="仿宋_GB2312"/>
                <w:sz w:val="18"/>
                <w:szCs w:val="18"/>
              </w:rPr>
              <w:t>范围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il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  <w:vertAlign w:val="superscript"/>
              </w:rPr>
              <w:t>+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华文楷体" w:eastAsia="仿宋_GB2312"/>
                <w:sz w:val="18"/>
                <w:szCs w:val="18"/>
              </w:rPr>
              <w:t>范围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5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邵阳市</w:t>
            </w:r>
          </w:p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监测站</w:t>
            </w: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5.68</w:t>
            </w:r>
            <w:r>
              <w:rPr>
                <w:rFonts w:hint="eastAsia" w:ascii="宋体"/>
                <w:sz w:val="18"/>
                <w:szCs w:val="18"/>
              </w:rPr>
              <w:t>~</w:t>
            </w:r>
            <w:r>
              <w:rPr>
                <w:rFonts w:ascii="宋体"/>
                <w:sz w:val="18"/>
                <w:szCs w:val="18"/>
              </w:rPr>
              <w:t>7.32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6.42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327.8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1.</w:t>
            </w:r>
            <w:r>
              <w:rPr>
                <w:rFonts w:ascii="宋体"/>
                <w:sz w:val="18"/>
                <w:szCs w:val="18"/>
              </w:rPr>
              <w:t>0~3.9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1.38~4.25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0.</w:t>
            </w:r>
            <w:r>
              <w:rPr>
                <w:rFonts w:ascii="宋体"/>
                <w:sz w:val="18"/>
                <w:szCs w:val="18"/>
              </w:rPr>
              <w:t>682</w:t>
            </w:r>
            <w:r>
              <w:rPr>
                <w:rFonts w:hint="eastAsia" w:ascii="宋体"/>
                <w:sz w:val="18"/>
                <w:szCs w:val="18"/>
              </w:rPr>
              <w:t>~</w:t>
            </w:r>
            <w:r>
              <w:rPr>
                <w:rFonts w:ascii="宋体"/>
                <w:sz w:val="18"/>
                <w:szCs w:val="18"/>
              </w:rPr>
              <w:t>4.71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0.0</w:t>
            </w:r>
            <w:r>
              <w:rPr>
                <w:rFonts w:ascii="宋体"/>
                <w:sz w:val="18"/>
                <w:szCs w:val="18"/>
              </w:rPr>
              <w:t>47</w:t>
            </w:r>
            <w:r>
              <w:rPr>
                <w:rFonts w:hint="eastAsia" w:ascii="宋体"/>
                <w:sz w:val="18"/>
                <w:szCs w:val="18"/>
              </w:rPr>
              <w:t>~0.</w:t>
            </w:r>
            <w:r>
              <w:rPr>
                <w:rFonts w:ascii="宋体"/>
                <w:sz w:val="18"/>
                <w:szCs w:val="18"/>
              </w:rPr>
              <w:t>132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0.</w:t>
            </w:r>
            <w:r>
              <w:rPr>
                <w:rFonts w:ascii="宋体"/>
                <w:sz w:val="18"/>
                <w:szCs w:val="18"/>
              </w:rPr>
              <w:t>952</w:t>
            </w:r>
            <w:r>
              <w:rPr>
                <w:rFonts w:hint="eastAsia" w:ascii="宋体"/>
                <w:sz w:val="18"/>
                <w:szCs w:val="18"/>
              </w:rPr>
              <w:t>~1.</w:t>
            </w:r>
            <w:r>
              <w:rPr>
                <w:rFonts w:ascii="宋体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0.</w:t>
            </w:r>
            <w:r>
              <w:rPr>
                <w:rFonts w:ascii="宋体"/>
                <w:sz w:val="18"/>
                <w:szCs w:val="18"/>
              </w:rPr>
              <w:t>188</w:t>
            </w:r>
            <w:r>
              <w:rPr>
                <w:rFonts w:hint="eastAsia" w:ascii="宋体"/>
                <w:sz w:val="18"/>
                <w:szCs w:val="18"/>
              </w:rPr>
              <w:t>~1.</w:t>
            </w:r>
            <w:r>
              <w:rPr>
                <w:rFonts w:ascii="宋体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0.3</w:t>
            </w:r>
            <w:r>
              <w:rPr>
                <w:rFonts w:ascii="宋体"/>
                <w:sz w:val="18"/>
                <w:szCs w:val="18"/>
              </w:rPr>
              <w:t>30</w:t>
            </w:r>
            <w:r>
              <w:rPr>
                <w:rFonts w:hint="eastAsia" w:ascii="宋体"/>
                <w:sz w:val="18"/>
                <w:szCs w:val="18"/>
              </w:rPr>
              <w:t>~</w:t>
            </w:r>
            <w:r>
              <w:rPr>
                <w:rFonts w:ascii="宋体"/>
                <w:sz w:val="18"/>
                <w:szCs w:val="18"/>
              </w:rPr>
              <w:t>4.12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0.02</w:t>
            </w:r>
            <w:r>
              <w:rPr>
                <w:rFonts w:ascii="宋体"/>
                <w:sz w:val="18"/>
                <w:szCs w:val="18"/>
              </w:rPr>
              <w:t>L</w:t>
            </w:r>
            <w:r>
              <w:rPr>
                <w:rFonts w:hint="eastAsia" w:ascii="宋体"/>
                <w:sz w:val="18"/>
                <w:szCs w:val="18"/>
              </w:rPr>
              <w:t>~</w:t>
            </w:r>
            <w:r>
              <w:rPr>
                <w:rFonts w:ascii="宋体"/>
                <w:sz w:val="18"/>
                <w:szCs w:val="18"/>
              </w:rPr>
              <w:t>0.370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0.</w:t>
            </w:r>
            <w:r>
              <w:rPr>
                <w:rFonts w:ascii="宋体"/>
                <w:sz w:val="18"/>
                <w:szCs w:val="18"/>
              </w:rPr>
              <w:t>082</w:t>
            </w:r>
            <w:r>
              <w:rPr>
                <w:rFonts w:hint="eastAsia" w:ascii="宋体"/>
                <w:sz w:val="18"/>
                <w:szCs w:val="18"/>
              </w:rPr>
              <w:t>~0.</w:t>
            </w:r>
            <w:r>
              <w:rPr>
                <w:rFonts w:ascii="宋体"/>
                <w:sz w:val="18"/>
                <w:szCs w:val="18"/>
              </w:rPr>
              <w:t>213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il"/>
            </w:tcBorders>
            <w:shd w:val="clear" w:color="auto" w:fill="D9E2F3" w:themeFill="accent1" w:themeFillTint="33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0.02L~0.</w:t>
            </w:r>
            <w:r>
              <w:rPr>
                <w:rFonts w:ascii="宋体"/>
                <w:sz w:val="18"/>
                <w:szCs w:val="18"/>
              </w:rPr>
              <w:t>343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567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泉塘冲</w:t>
            </w: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4.61~</w:t>
            </w:r>
            <w:r>
              <w:rPr>
                <w:rFonts w:ascii="宋体"/>
                <w:sz w:val="18"/>
                <w:szCs w:val="18"/>
              </w:rPr>
              <w:t>6.18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5.27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157.7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1.</w:t>
            </w:r>
            <w:r>
              <w:rPr>
                <w:rFonts w:ascii="宋体"/>
                <w:sz w:val="18"/>
                <w:szCs w:val="18"/>
              </w:rPr>
              <w:t>6</w:t>
            </w:r>
            <w:r>
              <w:rPr>
                <w:rFonts w:hint="eastAsia" w:ascii="宋体"/>
                <w:sz w:val="18"/>
                <w:szCs w:val="18"/>
              </w:rPr>
              <w:t>~3.</w:t>
            </w: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1.41</w:t>
            </w:r>
            <w:r>
              <w:rPr>
                <w:rFonts w:hint="eastAsia" w:ascii="宋体"/>
                <w:sz w:val="18"/>
                <w:szCs w:val="18"/>
              </w:rPr>
              <w:t>~</w:t>
            </w:r>
            <w:r>
              <w:rPr>
                <w:rFonts w:ascii="宋体"/>
                <w:sz w:val="18"/>
                <w:szCs w:val="18"/>
              </w:rPr>
              <w:t>2.65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0.784</w:t>
            </w:r>
            <w:r>
              <w:rPr>
                <w:rFonts w:hint="eastAsia" w:ascii="宋体"/>
                <w:sz w:val="18"/>
                <w:szCs w:val="18"/>
              </w:rPr>
              <w:t>~1.29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0.053~0.</w:t>
            </w:r>
            <w:r>
              <w:rPr>
                <w:rFonts w:ascii="宋体"/>
                <w:sz w:val="18"/>
                <w:szCs w:val="18"/>
              </w:rPr>
              <w:t>087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1.01</w:t>
            </w:r>
            <w:r>
              <w:rPr>
                <w:rFonts w:hint="eastAsia" w:ascii="宋体"/>
                <w:sz w:val="18"/>
                <w:szCs w:val="18"/>
              </w:rPr>
              <w:t>~1.</w:t>
            </w:r>
            <w:r>
              <w:rPr>
                <w:rFonts w:ascii="宋体"/>
                <w:sz w:val="18"/>
                <w:szCs w:val="18"/>
              </w:rPr>
              <w:t>190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0.</w:t>
            </w:r>
            <w:r>
              <w:rPr>
                <w:rFonts w:ascii="宋体"/>
                <w:sz w:val="18"/>
                <w:szCs w:val="18"/>
              </w:rPr>
              <w:t>238</w:t>
            </w:r>
            <w:r>
              <w:rPr>
                <w:rFonts w:hint="eastAsia" w:ascii="宋体"/>
                <w:sz w:val="18"/>
                <w:szCs w:val="18"/>
              </w:rPr>
              <w:t>~</w:t>
            </w:r>
            <w:r>
              <w:rPr>
                <w:rFonts w:ascii="宋体"/>
                <w:sz w:val="18"/>
                <w:szCs w:val="18"/>
              </w:rPr>
              <w:t>0.781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0.</w:t>
            </w:r>
            <w:r>
              <w:rPr>
                <w:rFonts w:ascii="宋体"/>
                <w:sz w:val="18"/>
                <w:szCs w:val="18"/>
              </w:rPr>
              <w:t>103~0.455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0.02L~0.</w:t>
            </w:r>
            <w:r>
              <w:rPr>
                <w:rFonts w:ascii="宋体"/>
                <w:sz w:val="18"/>
                <w:szCs w:val="18"/>
              </w:rPr>
              <w:t>0</w:t>
            </w:r>
            <w:r>
              <w:rPr>
                <w:rFonts w:hint="eastAsia" w:ascii="宋体"/>
                <w:sz w:val="18"/>
                <w:szCs w:val="18"/>
              </w:rPr>
              <w:t>3</w:t>
            </w: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0.</w:t>
            </w:r>
            <w:r>
              <w:rPr>
                <w:rFonts w:ascii="宋体"/>
                <w:sz w:val="18"/>
                <w:szCs w:val="18"/>
              </w:rPr>
              <w:t>074</w:t>
            </w:r>
            <w:r>
              <w:rPr>
                <w:rFonts w:hint="eastAsia" w:ascii="宋体"/>
                <w:sz w:val="18"/>
                <w:szCs w:val="18"/>
              </w:rPr>
              <w:t>~0.</w:t>
            </w:r>
            <w:r>
              <w:rPr>
                <w:rFonts w:ascii="宋体"/>
                <w:sz w:val="18"/>
                <w:szCs w:val="18"/>
              </w:rPr>
              <w:t>138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nil"/>
            </w:tcBorders>
            <w:shd w:val="clear" w:color="auto" w:fill="D9E2F3" w:themeFill="accent1" w:themeFillTint="33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0.0</w:t>
            </w:r>
            <w:r>
              <w:rPr>
                <w:rFonts w:ascii="宋体"/>
                <w:sz w:val="18"/>
                <w:szCs w:val="18"/>
              </w:rPr>
              <w:t>2L</w:t>
            </w:r>
            <w:r>
              <w:rPr>
                <w:rFonts w:hint="eastAsia" w:ascii="宋体"/>
                <w:sz w:val="18"/>
                <w:szCs w:val="18"/>
              </w:rPr>
              <w:t>~0.</w:t>
            </w:r>
            <w:r>
              <w:rPr>
                <w:rFonts w:ascii="宋体"/>
                <w:sz w:val="18"/>
                <w:szCs w:val="18"/>
              </w:rPr>
              <w:t>309</w:t>
            </w:r>
          </w:p>
        </w:tc>
      </w:tr>
    </w:tbl>
    <w:p>
      <w:pPr>
        <w:widowControl/>
        <w:jc w:val="left"/>
        <w:rPr>
          <w:rFonts w:ascii="仿宋_GB2312" w:hAnsi="华文楷体" w:eastAsia="仿宋_GB2312"/>
          <w:sz w:val="28"/>
          <w:szCs w:val="28"/>
        </w:rPr>
        <w:sectPr>
          <w:pgSz w:w="16838" w:h="11906" w:orient="landscape"/>
          <w:pgMar w:top="1797" w:right="284" w:bottom="1644" w:left="284" w:header="851" w:footer="992" w:gutter="0"/>
          <w:cols w:space="720" w:num="1"/>
          <w:docGrid w:type="linesAndChars" w:linePitch="312" w:charSpace="0"/>
        </w:sectPr>
      </w:pPr>
    </w:p>
    <w:p>
      <w:pPr>
        <w:widowControl/>
        <w:ind w:firstLine="640" w:firstLineChars="200"/>
        <w:jc w:val="left"/>
        <w:rPr>
          <w:rFonts w:ascii="仿宋_GB2312" w:hAnsi="华文楷体" w:eastAsia="仿宋_GB2312"/>
          <w:b/>
          <w:sz w:val="32"/>
          <w:szCs w:val="32"/>
        </w:rPr>
      </w:pPr>
      <w:r>
        <w:rPr>
          <w:rFonts w:hint="eastAsia" w:ascii="仿宋_GB2312" w:hAnsi="华文楷体" w:eastAsia="仿宋_GB2312"/>
          <w:b/>
          <w:sz w:val="32"/>
          <w:szCs w:val="32"/>
        </w:rPr>
        <w:t>四、1</w:t>
      </w:r>
      <w:r>
        <w:rPr>
          <w:rFonts w:ascii="仿宋_GB2312" w:hAnsi="华文楷体" w:eastAsia="仿宋_GB2312"/>
          <w:b/>
          <w:sz w:val="32"/>
          <w:szCs w:val="32"/>
        </w:rPr>
        <w:t>-5</w:t>
      </w:r>
      <w:r>
        <w:rPr>
          <w:rFonts w:hint="eastAsia" w:ascii="仿宋_GB2312" w:hAnsi="华文楷体" w:eastAsia="仿宋_GB2312"/>
          <w:b/>
          <w:sz w:val="32"/>
          <w:szCs w:val="32"/>
        </w:rPr>
        <w:t>月环境空气质量情况</w:t>
      </w:r>
    </w:p>
    <w:p>
      <w:pPr>
        <w:ind w:firstLine="640" w:firstLineChars="200"/>
        <w:rPr>
          <w:rFonts w:ascii="仿宋_GB2312" w:hAnsi="华文楷体" w:eastAsia="仿宋_GB2312"/>
          <w:b/>
          <w:sz w:val="32"/>
          <w:szCs w:val="32"/>
        </w:rPr>
      </w:pPr>
      <w:r>
        <w:rPr>
          <w:rFonts w:ascii="仿宋_GB2312" w:hAnsi="华文楷体" w:eastAsia="仿宋_GB2312"/>
          <w:b/>
          <w:sz w:val="32"/>
          <w:szCs w:val="32"/>
        </w:rPr>
        <w:t>1</w:t>
      </w:r>
      <w:r>
        <w:rPr>
          <w:rFonts w:hint="eastAsia" w:ascii="仿宋_GB2312" w:hAnsi="华文楷体" w:eastAsia="仿宋_GB2312"/>
          <w:b/>
          <w:sz w:val="32"/>
          <w:szCs w:val="32"/>
        </w:rPr>
        <w:t>、城市空气质量优良率</w:t>
      </w:r>
    </w:p>
    <w:p>
      <w:pPr>
        <w:tabs>
          <w:tab w:val="center" w:pos="4156"/>
        </w:tabs>
        <w:spacing w:line="600" w:lineRule="exact"/>
        <w:ind w:firstLine="600" w:firstLineChars="200"/>
        <w:rPr>
          <w:rFonts w:ascii="仿宋_GB2312" w:hAnsi="华文楷体" w:eastAsia="仿宋_GB2312"/>
          <w:bCs/>
          <w:sz w:val="30"/>
          <w:szCs w:val="30"/>
        </w:rPr>
      </w:pPr>
      <w:r>
        <w:rPr>
          <w:rFonts w:ascii="仿宋_GB2312" w:hAnsi="华文楷体" w:eastAsia="仿宋_GB2312"/>
          <w:bCs/>
          <w:sz w:val="30"/>
          <w:szCs w:val="30"/>
        </w:rPr>
        <w:t>2021</w:t>
      </w:r>
      <w:r>
        <w:rPr>
          <w:rFonts w:hint="eastAsia" w:ascii="仿宋_GB2312" w:hAnsi="华文楷体" w:eastAsia="仿宋_GB2312"/>
          <w:bCs/>
          <w:sz w:val="30"/>
          <w:szCs w:val="30"/>
        </w:rPr>
        <w:t>年1</w:t>
      </w:r>
      <w:r>
        <w:rPr>
          <w:rFonts w:ascii="仿宋_GB2312" w:hAnsi="华文楷体" w:eastAsia="仿宋_GB2312"/>
          <w:bCs/>
          <w:sz w:val="30"/>
          <w:szCs w:val="30"/>
        </w:rPr>
        <w:t>-5</w:t>
      </w:r>
      <w:r>
        <w:rPr>
          <w:rFonts w:hint="eastAsia" w:ascii="仿宋_GB2312" w:hAnsi="华文楷体" w:eastAsia="仿宋_GB2312"/>
          <w:bCs/>
          <w:sz w:val="30"/>
          <w:szCs w:val="30"/>
        </w:rPr>
        <w:t>月我市环境空气优良天数为</w:t>
      </w:r>
      <w:r>
        <w:rPr>
          <w:rFonts w:ascii="仿宋_GB2312" w:hAnsi="华文楷体" w:eastAsia="仿宋_GB2312"/>
          <w:bCs/>
          <w:sz w:val="30"/>
          <w:szCs w:val="30"/>
        </w:rPr>
        <w:t>130</w:t>
      </w:r>
      <w:r>
        <w:rPr>
          <w:rFonts w:hint="eastAsia" w:ascii="仿宋_GB2312" w:hAnsi="华文楷体" w:eastAsia="仿宋_GB2312"/>
          <w:bCs/>
          <w:sz w:val="30"/>
          <w:szCs w:val="30"/>
        </w:rPr>
        <w:t>天，占比</w:t>
      </w:r>
      <w:r>
        <w:rPr>
          <w:rFonts w:ascii="仿宋_GB2312" w:hAnsi="华文楷体" w:eastAsia="仿宋_GB2312"/>
          <w:bCs/>
          <w:sz w:val="30"/>
          <w:szCs w:val="30"/>
        </w:rPr>
        <w:t>86.1%</w:t>
      </w:r>
      <w:r>
        <w:rPr>
          <w:rFonts w:hint="eastAsia" w:ascii="仿宋_GB2312" w:hAnsi="华文楷体" w:eastAsia="仿宋_GB2312"/>
          <w:bCs/>
          <w:sz w:val="30"/>
          <w:szCs w:val="30"/>
        </w:rPr>
        <w:t>，轻度污染</w:t>
      </w:r>
      <w:r>
        <w:rPr>
          <w:rFonts w:ascii="仿宋_GB2312" w:hAnsi="华文楷体" w:eastAsia="仿宋_GB2312"/>
          <w:bCs/>
          <w:sz w:val="30"/>
          <w:szCs w:val="30"/>
        </w:rPr>
        <w:t>18</w:t>
      </w:r>
      <w:r>
        <w:rPr>
          <w:rFonts w:hint="eastAsia" w:ascii="仿宋_GB2312" w:hAnsi="华文楷体" w:eastAsia="仿宋_GB2312"/>
          <w:bCs/>
          <w:sz w:val="30"/>
          <w:szCs w:val="30"/>
        </w:rPr>
        <w:t>天，占比</w:t>
      </w:r>
      <w:r>
        <w:rPr>
          <w:rFonts w:ascii="仿宋_GB2312" w:hAnsi="华文楷体" w:eastAsia="仿宋_GB2312"/>
          <w:bCs/>
          <w:sz w:val="30"/>
          <w:szCs w:val="30"/>
        </w:rPr>
        <w:t>11.9%</w:t>
      </w:r>
      <w:r>
        <w:rPr>
          <w:rFonts w:hint="eastAsia" w:ascii="仿宋_GB2312" w:hAnsi="华文楷体" w:eastAsia="仿宋_GB2312"/>
          <w:bCs/>
          <w:sz w:val="30"/>
          <w:szCs w:val="30"/>
        </w:rPr>
        <w:t>，中度污染</w:t>
      </w:r>
      <w:r>
        <w:rPr>
          <w:rFonts w:ascii="仿宋_GB2312" w:hAnsi="华文楷体" w:eastAsia="仿宋_GB2312"/>
          <w:bCs/>
          <w:sz w:val="30"/>
          <w:szCs w:val="30"/>
        </w:rPr>
        <w:t>3</w:t>
      </w:r>
      <w:r>
        <w:rPr>
          <w:rFonts w:hint="eastAsia" w:ascii="仿宋_GB2312" w:hAnsi="华文楷体" w:eastAsia="仿宋_GB2312"/>
          <w:bCs/>
          <w:sz w:val="30"/>
          <w:szCs w:val="30"/>
        </w:rPr>
        <w:t>天，占比</w:t>
      </w:r>
      <w:r>
        <w:rPr>
          <w:rFonts w:ascii="仿宋_GB2312" w:hAnsi="华文楷体" w:eastAsia="仿宋_GB2312"/>
          <w:bCs/>
          <w:sz w:val="30"/>
          <w:szCs w:val="30"/>
        </w:rPr>
        <w:t>2.0%</w:t>
      </w:r>
      <w:r>
        <w:rPr>
          <w:rFonts w:hint="eastAsia" w:ascii="仿宋_GB2312" w:hAnsi="华文楷体" w:eastAsia="仿宋_GB2312"/>
          <w:bCs/>
          <w:sz w:val="30"/>
          <w:szCs w:val="30"/>
        </w:rPr>
        <w:t>，无重度及以上污染，影响环境空气质量的主要污染物是细颗粒物。空气质量类别比例详见图</w:t>
      </w:r>
      <w:r>
        <w:rPr>
          <w:rFonts w:ascii="仿宋_GB2312" w:hAnsi="华文楷体" w:eastAsia="仿宋_GB2312"/>
          <w:bCs/>
          <w:sz w:val="30"/>
          <w:szCs w:val="30"/>
        </w:rPr>
        <w:t>2</w:t>
      </w:r>
      <w:r>
        <w:rPr>
          <w:rFonts w:hint="eastAsia" w:ascii="仿宋_GB2312" w:hAnsi="华文楷体" w:eastAsia="仿宋_GB2312"/>
          <w:bCs/>
          <w:sz w:val="30"/>
          <w:szCs w:val="30"/>
        </w:rPr>
        <w:t>。</w:t>
      </w:r>
    </w:p>
    <w:p>
      <w:pPr>
        <w:widowControl/>
        <w:jc w:val="left"/>
        <w:rPr>
          <w:rFonts w:ascii="仿宋_GB2312" w:hAnsi="华文楷体" w:eastAsia="仿宋_GB2312"/>
          <w:sz w:val="28"/>
          <w:szCs w:val="28"/>
        </w:rPr>
      </w:pPr>
      <w:r>
        <w:rPr>
          <w:rFonts w:hint="eastAsia" w:ascii="仿宋_GB2312" w:hAnsi="华文楷体" w:eastAsia="仿宋_GB2312"/>
          <w:sz w:val="28"/>
          <w:szCs w:val="28"/>
        </w:rPr>
        <w:drawing>
          <wp:inline distT="0" distB="0" distL="0" distR="0">
            <wp:extent cx="5158105" cy="2804160"/>
            <wp:effectExtent l="0" t="0" r="4445" b="1524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pacing w:line="520" w:lineRule="exact"/>
        <w:ind w:right="-176" w:rightChars="-84"/>
        <w:jc w:val="center"/>
        <w:rPr>
          <w:rFonts w:ascii="仿宋_GB2312" w:hAnsi="华文楷体" w:eastAsia="仿宋_GB2312"/>
          <w:sz w:val="28"/>
          <w:szCs w:val="28"/>
        </w:rPr>
      </w:pPr>
      <w:r>
        <w:rPr>
          <w:rFonts w:ascii="仿宋_GB2312" w:hAnsi="华文楷体" w:eastAsia="仿宋_GB2312"/>
          <w:bCs/>
          <w:sz w:val="28"/>
          <w:szCs w:val="28"/>
        </w:rPr>
        <w:t>图2   1-5月空气质量类别统计表</w:t>
      </w:r>
    </w:p>
    <w:p>
      <w:pPr>
        <w:spacing w:before="156" w:beforeLines="50" w:after="156" w:afterLines="50" w:line="520" w:lineRule="exact"/>
        <w:ind w:right="-176" w:rightChars="-84"/>
        <w:jc w:val="center"/>
        <w:rPr>
          <w:rFonts w:ascii="仿宋_GB2312" w:hAnsi="华文楷体" w:eastAsia="仿宋_GB2312"/>
          <w:bCs/>
          <w:sz w:val="30"/>
          <w:szCs w:val="30"/>
        </w:rPr>
      </w:pPr>
      <w:r>
        <w:rPr>
          <w:rFonts w:hint="eastAsia" w:ascii="仿宋_GB2312" w:hAnsi="华文楷体" w:eastAsia="仿宋_GB2312"/>
          <w:sz w:val="28"/>
          <w:szCs w:val="28"/>
        </w:rPr>
        <w:t>与上年同期相比，优良天数比例下降</w:t>
      </w:r>
      <w:r>
        <w:rPr>
          <w:rFonts w:ascii="仿宋_GB2312" w:hAnsi="华文楷体" w:eastAsia="仿宋_GB2312"/>
          <w:sz w:val="28"/>
          <w:szCs w:val="28"/>
        </w:rPr>
        <w:t>8.6%</w:t>
      </w:r>
      <w:r>
        <w:rPr>
          <w:rFonts w:hint="eastAsia" w:ascii="仿宋_GB2312" w:hAnsi="华文楷体" w:eastAsia="仿宋_GB2312"/>
          <w:sz w:val="28"/>
          <w:szCs w:val="28"/>
        </w:rPr>
        <w:t>。</w:t>
      </w:r>
      <w:r>
        <w:rPr>
          <w:rFonts w:hint="eastAsia" w:ascii="仿宋_GB2312" w:hAnsi="华文楷体" w:eastAsia="仿宋_GB2312"/>
          <w:bCs/>
          <w:sz w:val="30"/>
          <w:szCs w:val="30"/>
        </w:rPr>
        <w:t>详见表</w:t>
      </w:r>
      <w:r>
        <w:rPr>
          <w:rFonts w:ascii="仿宋_GB2312" w:hAnsi="华文楷体" w:eastAsia="仿宋_GB2312"/>
          <w:bCs/>
          <w:sz w:val="30"/>
          <w:szCs w:val="30"/>
        </w:rPr>
        <w:t>6</w:t>
      </w:r>
      <w:r>
        <w:rPr>
          <w:rFonts w:hint="eastAsia" w:ascii="仿宋_GB2312" w:hAnsi="华文楷体" w:eastAsia="仿宋_GB2312"/>
          <w:bCs/>
          <w:sz w:val="30"/>
          <w:szCs w:val="30"/>
        </w:rPr>
        <w:t>。</w:t>
      </w:r>
    </w:p>
    <w:p>
      <w:pPr>
        <w:spacing w:before="156" w:beforeLines="50" w:after="156" w:afterLines="50" w:line="520" w:lineRule="exact"/>
        <w:ind w:right="-176" w:rightChars="-84"/>
        <w:jc w:val="center"/>
        <w:rPr>
          <w:rFonts w:ascii="仿宋_GB2312" w:hAnsi="华文楷体" w:eastAsia="仿宋_GB2312"/>
          <w:bCs/>
          <w:sz w:val="28"/>
          <w:szCs w:val="28"/>
        </w:rPr>
      </w:pPr>
      <w:r>
        <w:rPr>
          <w:rFonts w:hint="eastAsia" w:ascii="仿宋_GB2312" w:hAnsi="华文楷体" w:eastAsia="仿宋_GB2312"/>
          <w:bCs/>
          <w:sz w:val="28"/>
          <w:szCs w:val="28"/>
        </w:rPr>
        <w:t>表</w:t>
      </w:r>
      <w:r>
        <w:rPr>
          <w:rFonts w:ascii="仿宋_GB2312" w:hAnsi="华文楷体" w:eastAsia="仿宋_GB2312"/>
          <w:bCs/>
          <w:sz w:val="28"/>
          <w:szCs w:val="28"/>
        </w:rPr>
        <w:t>6  1-5</w:t>
      </w:r>
      <w:r>
        <w:rPr>
          <w:rFonts w:hint="eastAsia" w:ascii="仿宋_GB2312" w:hAnsi="华文楷体" w:eastAsia="仿宋_GB2312"/>
          <w:bCs/>
          <w:sz w:val="28"/>
          <w:szCs w:val="28"/>
        </w:rPr>
        <w:t>月邵阳市环境空气质量优良天数比例及变化情况</w:t>
      </w:r>
    </w:p>
    <w:tbl>
      <w:tblPr>
        <w:tblStyle w:val="22"/>
        <w:tblW w:w="494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690"/>
        <w:gridCol w:w="1309"/>
        <w:gridCol w:w="1309"/>
        <w:gridCol w:w="29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pct"/>
            <w:vMerge w:val="restart"/>
            <w:tcBorders>
              <w:top w:val="single" w:color="auto" w:sz="4" w:space="0"/>
              <w:bottom w:val="single" w:color="5B9BD5" w:themeColor="accent5" w:sz="4" w:space="0"/>
              <w:insideH w:val="single" w:sz="4" w:space="0"/>
            </w:tcBorders>
            <w:shd w:val="clear" w:color="auto" w:fill="8EAADB" w:themeFill="accent1" w:themeFillTint="99"/>
            <w:noWrap/>
            <w:vAlign w:val="center"/>
          </w:tcPr>
          <w:p>
            <w:pPr>
              <w:jc w:val="center"/>
              <w:rPr>
                <w:rFonts w:ascii="仿宋" w:hAnsi="仿宋" w:eastAsia="仿宋" w:cstheme="majorBidi"/>
                <w:i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theme="majorBidi"/>
                <w:i w:val="0"/>
                <w:iCs/>
                <w:color w:val="auto"/>
                <w:sz w:val="21"/>
                <w:szCs w:val="21"/>
              </w:rPr>
              <w:t>城 市</w:t>
            </w:r>
          </w:p>
        </w:tc>
        <w:tc>
          <w:tcPr>
            <w:tcW w:w="985" w:type="pct"/>
            <w:vMerge w:val="restart"/>
            <w:tcBorders>
              <w:top w:val="single" w:color="auto" w:sz="4" w:space="0"/>
              <w:bottom w:val="single" w:color="5B9BD5" w:themeColor="accent5" w:sz="4" w:space="0"/>
              <w:insideH w:val="single" w:sz="4" w:space="0"/>
            </w:tcBorders>
            <w:shd w:val="clear" w:color="auto" w:fill="8EAADB" w:themeFill="accent1" w:themeFillTint="99"/>
            <w:vAlign w:val="center"/>
          </w:tcPr>
          <w:p>
            <w:pPr>
              <w:rPr>
                <w:rFonts w:ascii="仿宋" w:hAnsi="仿宋" w:eastAsia="仿宋" w:cstheme="majorBidi"/>
                <w:i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theme="majorBidi"/>
                <w:i w:val="0"/>
                <w:iCs/>
                <w:color w:val="auto"/>
                <w:sz w:val="21"/>
                <w:szCs w:val="21"/>
              </w:rPr>
              <w:t>优良天数（天）</w:t>
            </w:r>
          </w:p>
        </w:tc>
        <w:tc>
          <w:tcPr>
            <w:tcW w:w="1525" w:type="pct"/>
            <w:gridSpan w:val="2"/>
            <w:tcBorders>
              <w:top w:val="single" w:color="auto" w:sz="4" w:space="0"/>
              <w:bottom w:val="single" w:color="5B9BD5" w:themeColor="accent5" w:sz="4" w:space="0"/>
              <w:insideH w:val="single" w:sz="4" w:space="0"/>
            </w:tcBorders>
            <w:shd w:val="clear" w:color="auto" w:fill="8EAADB" w:themeFill="accent1" w:themeFillTint="99"/>
          </w:tcPr>
          <w:p>
            <w:pPr>
              <w:jc w:val="center"/>
              <w:rPr>
                <w:rFonts w:ascii="仿宋" w:hAnsi="仿宋" w:eastAsia="仿宋" w:cstheme="majorBidi"/>
                <w:i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theme="majorBidi"/>
                <w:i w:val="0"/>
                <w:iCs/>
                <w:color w:val="auto"/>
                <w:sz w:val="21"/>
                <w:szCs w:val="21"/>
              </w:rPr>
              <w:t>优良天数比例（%）</w:t>
            </w:r>
          </w:p>
        </w:tc>
        <w:tc>
          <w:tcPr>
            <w:tcW w:w="1693" w:type="pct"/>
            <w:tcBorders>
              <w:top w:val="single" w:color="auto" w:sz="4" w:space="0"/>
              <w:bottom w:val="single" w:color="5B9BD5" w:themeColor="accent5" w:sz="4" w:space="0"/>
              <w:insideH w:val="single" w:sz="4" w:space="0"/>
            </w:tcBorders>
            <w:shd w:val="clear" w:color="auto" w:fill="8EAADB" w:themeFill="accent1" w:themeFillTint="99"/>
          </w:tcPr>
          <w:p>
            <w:pPr>
              <w:jc w:val="center"/>
              <w:rPr>
                <w:rFonts w:ascii="仿宋" w:hAnsi="仿宋" w:eastAsia="仿宋" w:cstheme="majorBidi"/>
                <w:i w:val="0"/>
                <w:i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theme="majorBidi"/>
                <w:i w:val="0"/>
                <w:iCs/>
                <w:color w:val="auto"/>
                <w:sz w:val="21"/>
                <w:szCs w:val="21"/>
              </w:rPr>
              <w:t>变化幅度（%）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pct"/>
            <w:vMerge w:val="continue"/>
            <w:shd w:val="clear" w:color="auto" w:fill="8EAADB" w:themeFill="accent1" w:themeFillTint="99"/>
            <w:noWrap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85" w:type="pct"/>
            <w:vMerge w:val="continue"/>
            <w:shd w:val="clear" w:color="auto" w:fill="8EAADB" w:themeFill="accent1" w:themeFillTint="99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763" w:type="pct"/>
            <w:shd w:val="clear" w:color="auto" w:fill="8EAADB" w:themeFill="accent1" w:themeFillTint="99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本区间</w:t>
            </w:r>
          </w:p>
        </w:tc>
        <w:tc>
          <w:tcPr>
            <w:tcW w:w="763" w:type="pct"/>
            <w:shd w:val="clear" w:color="auto" w:fill="8EAADB" w:themeFill="accent1" w:themeFillTint="99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上年同期</w:t>
            </w:r>
          </w:p>
        </w:tc>
        <w:tc>
          <w:tcPr>
            <w:tcW w:w="1" w:type="pct"/>
            <w:shd w:val="clear" w:color="auto" w:fill="8EAADB" w:themeFill="accent1" w:themeFillTint="99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较上年同期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pct"/>
            <w:tcBorders>
              <w:top w:val="single" w:color="5B9BD5" w:themeColor="accent5" w:sz="4" w:space="0"/>
              <w:bottom w:val="single" w:color="auto" w:sz="4" w:space="0"/>
            </w:tcBorders>
            <w:shd w:val="clear" w:color="auto" w:fill="D9E2F3" w:themeFill="accent1" w:themeFillTint="33"/>
            <w:noWrap/>
          </w:tcPr>
          <w:p>
            <w:pPr>
              <w:jc w:val="center"/>
              <w:rPr>
                <w:rFonts w:ascii="仿宋" w:hAnsi="仿宋" w:eastAsia="仿宋" w:cstheme="majorBidi"/>
                <w:i w:val="0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ajorBidi"/>
                <w:i w:val="0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邵阳市</w:t>
            </w:r>
          </w:p>
        </w:tc>
        <w:tc>
          <w:tcPr>
            <w:tcW w:w="985" w:type="pct"/>
            <w:tcBorders>
              <w:top w:val="single" w:color="5B9BD5" w:themeColor="accent5" w:sz="4" w:space="0"/>
              <w:bottom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 w:cstheme="majorBidi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theme="majorBidi"/>
                <w:i w:val="0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763" w:type="pct"/>
            <w:tcBorders>
              <w:top w:val="single" w:color="5B9BD5" w:themeColor="accent5" w:sz="4" w:space="0"/>
              <w:bottom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 w:cstheme="majorBidi"/>
                <w:i w:val="0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theme="majorBidi"/>
                <w:i w:val="0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86.1</w:t>
            </w:r>
          </w:p>
        </w:tc>
        <w:tc>
          <w:tcPr>
            <w:tcW w:w="763" w:type="pct"/>
            <w:tcBorders>
              <w:top w:val="single" w:color="5B9BD5" w:themeColor="accent5" w:sz="4" w:space="0"/>
              <w:bottom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 w:cstheme="majorBidi"/>
                <w:i w:val="0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theme="majorBidi"/>
                <w:i w:val="0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94.7</w:t>
            </w:r>
          </w:p>
        </w:tc>
        <w:tc>
          <w:tcPr>
            <w:tcW w:w="1" w:type="pct"/>
            <w:tcBorders>
              <w:top w:val="single" w:color="5B9BD5" w:themeColor="accent5" w:sz="4" w:space="0"/>
              <w:bottom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 w:cstheme="majorBidi"/>
                <w:i w:val="0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ajorBidi"/>
                <w:i w:val="0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仿宋" w:hAnsi="仿宋" w:eastAsia="仿宋" w:cstheme="majorBidi"/>
                <w:i w:val="0"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</w:tr>
    </w:tbl>
    <w:p>
      <w:pPr>
        <w:widowControl/>
        <w:jc w:val="left"/>
        <w:rPr>
          <w:rFonts w:ascii="仿宋_GB2312" w:hAnsi="华文楷体" w:eastAsia="仿宋_GB2312"/>
          <w:sz w:val="28"/>
          <w:szCs w:val="28"/>
        </w:rPr>
      </w:pPr>
    </w:p>
    <w:p>
      <w:pPr>
        <w:ind w:firstLine="640" w:firstLineChars="200"/>
        <w:rPr>
          <w:rFonts w:ascii="仿宋_GB2312" w:hAnsi="华文楷体" w:eastAsia="仿宋_GB2312"/>
          <w:b/>
          <w:sz w:val="32"/>
          <w:szCs w:val="32"/>
        </w:rPr>
      </w:pPr>
      <w:r>
        <w:rPr>
          <w:rFonts w:ascii="仿宋_GB2312" w:hAnsi="华文楷体" w:eastAsia="仿宋_GB2312"/>
          <w:b/>
          <w:sz w:val="32"/>
          <w:szCs w:val="32"/>
        </w:rPr>
        <w:t>2</w:t>
      </w:r>
      <w:r>
        <w:rPr>
          <w:rFonts w:hint="eastAsia" w:ascii="仿宋_GB2312" w:hAnsi="华文楷体" w:eastAsia="仿宋_GB2312"/>
          <w:b/>
          <w:sz w:val="32"/>
          <w:szCs w:val="32"/>
        </w:rPr>
        <w:t>、城市空气质量综合指数排名</w:t>
      </w:r>
    </w:p>
    <w:p>
      <w:pPr>
        <w:spacing w:line="600" w:lineRule="exact"/>
        <w:ind w:firstLine="600" w:firstLineChars="200"/>
        <w:rPr>
          <w:rFonts w:ascii="仿宋_GB2312" w:hAnsi="华文楷体" w:eastAsia="仿宋_GB2312"/>
          <w:bCs/>
          <w:sz w:val="30"/>
          <w:szCs w:val="30"/>
        </w:rPr>
      </w:pPr>
      <w:r>
        <w:rPr>
          <w:rFonts w:hint="eastAsia" w:ascii="仿宋_GB2312" w:hAnsi="华文楷体" w:eastAsia="仿宋_GB2312"/>
          <w:bCs/>
          <w:sz w:val="30"/>
          <w:szCs w:val="30"/>
        </w:rPr>
        <w:t>2</w:t>
      </w:r>
      <w:r>
        <w:rPr>
          <w:rFonts w:ascii="仿宋_GB2312" w:hAnsi="华文楷体" w:eastAsia="仿宋_GB2312"/>
          <w:bCs/>
          <w:sz w:val="30"/>
          <w:szCs w:val="30"/>
        </w:rPr>
        <w:t>021</w:t>
      </w:r>
      <w:r>
        <w:rPr>
          <w:rFonts w:hint="eastAsia" w:ascii="仿宋_GB2312" w:hAnsi="华文楷体" w:eastAsia="仿宋_GB2312"/>
          <w:bCs/>
          <w:sz w:val="30"/>
          <w:szCs w:val="30"/>
        </w:rPr>
        <w:t>年1</w:t>
      </w:r>
      <w:r>
        <w:rPr>
          <w:rFonts w:ascii="仿宋_GB2312" w:hAnsi="华文楷体" w:eastAsia="仿宋_GB2312"/>
          <w:bCs/>
          <w:sz w:val="30"/>
          <w:szCs w:val="30"/>
        </w:rPr>
        <w:t>-5</w:t>
      </w:r>
      <w:r>
        <w:rPr>
          <w:rFonts w:hint="eastAsia" w:ascii="仿宋_GB2312" w:hAnsi="华文楷体" w:eastAsia="仿宋_GB2312"/>
          <w:bCs/>
          <w:sz w:val="30"/>
          <w:szCs w:val="30"/>
        </w:rPr>
        <w:t>月，我市综合指数</w:t>
      </w:r>
      <w:r>
        <w:rPr>
          <w:rFonts w:ascii="仿宋_GB2312" w:hAnsi="华文楷体" w:eastAsia="仿宋_GB2312"/>
          <w:bCs/>
          <w:sz w:val="30"/>
          <w:szCs w:val="30"/>
        </w:rPr>
        <w:t>3.72</w:t>
      </w:r>
      <w:r>
        <w:rPr>
          <w:rFonts w:hint="eastAsia" w:ascii="仿宋_GB2312" w:hAnsi="华文楷体" w:eastAsia="仿宋_GB2312"/>
          <w:bCs/>
          <w:sz w:val="30"/>
          <w:szCs w:val="30"/>
        </w:rPr>
        <w:t>，最大单项污染物为细颗粒物，单项指数</w:t>
      </w:r>
      <w:r>
        <w:rPr>
          <w:rFonts w:ascii="仿宋_GB2312" w:hAnsi="华文楷体" w:eastAsia="仿宋_GB2312"/>
          <w:bCs/>
          <w:sz w:val="30"/>
          <w:szCs w:val="30"/>
        </w:rPr>
        <w:t>1.17</w:t>
      </w:r>
      <w:r>
        <w:rPr>
          <w:rFonts w:hint="eastAsia" w:ascii="仿宋_GB2312" w:hAnsi="华文楷体" w:eastAsia="仿宋_GB2312"/>
          <w:bCs/>
          <w:sz w:val="30"/>
          <w:szCs w:val="30"/>
        </w:rPr>
        <w:t>，排名全省第</w:t>
      </w:r>
      <w:r>
        <w:rPr>
          <w:rFonts w:ascii="仿宋_GB2312" w:hAnsi="华文楷体" w:eastAsia="仿宋_GB2312"/>
          <w:bCs/>
          <w:sz w:val="30"/>
          <w:szCs w:val="30"/>
        </w:rPr>
        <w:t>6</w:t>
      </w:r>
      <w:r>
        <w:rPr>
          <w:rFonts w:hint="eastAsia" w:ascii="仿宋_GB2312" w:hAnsi="华文楷体" w:eastAsia="仿宋_GB2312"/>
          <w:bCs/>
          <w:sz w:val="30"/>
          <w:szCs w:val="30"/>
        </w:rPr>
        <w:t>位。详见表</w:t>
      </w:r>
      <w:r>
        <w:rPr>
          <w:rFonts w:ascii="仿宋_GB2312" w:hAnsi="华文楷体" w:eastAsia="仿宋_GB2312"/>
          <w:bCs/>
          <w:sz w:val="30"/>
          <w:szCs w:val="30"/>
        </w:rPr>
        <w:t>7</w:t>
      </w:r>
      <w:r>
        <w:rPr>
          <w:rFonts w:hint="eastAsia" w:ascii="仿宋_GB2312" w:hAnsi="华文楷体" w:eastAsia="仿宋_GB2312"/>
          <w:bCs/>
          <w:sz w:val="30"/>
          <w:szCs w:val="30"/>
        </w:rPr>
        <w:t>。</w:t>
      </w:r>
    </w:p>
    <w:p>
      <w:pPr>
        <w:jc w:val="center"/>
        <w:rPr>
          <w:rFonts w:ascii="仿宋_GB2312" w:hAnsi="华文楷体" w:eastAsia="仿宋_GB2312"/>
          <w:bCs/>
          <w:sz w:val="28"/>
          <w:szCs w:val="28"/>
        </w:rPr>
      </w:pPr>
      <w:r>
        <w:rPr>
          <w:rFonts w:hint="eastAsia" w:ascii="仿宋_GB2312" w:hAnsi="华文楷体" w:eastAsia="仿宋_GB2312"/>
          <w:bCs/>
          <w:sz w:val="28"/>
          <w:szCs w:val="28"/>
        </w:rPr>
        <w:t>表</w:t>
      </w:r>
      <w:r>
        <w:rPr>
          <w:rFonts w:ascii="仿宋_GB2312" w:hAnsi="华文楷体" w:eastAsia="仿宋_GB2312"/>
          <w:bCs/>
          <w:sz w:val="28"/>
          <w:szCs w:val="28"/>
        </w:rPr>
        <w:t>7  1-5</w:t>
      </w:r>
      <w:r>
        <w:rPr>
          <w:rFonts w:hint="eastAsia" w:ascii="仿宋_GB2312" w:hAnsi="华文楷体" w:eastAsia="仿宋_GB2312"/>
          <w:bCs/>
          <w:sz w:val="28"/>
          <w:szCs w:val="28"/>
        </w:rPr>
        <w:t>月全省综合指数排名</w:t>
      </w:r>
    </w:p>
    <w:tbl>
      <w:tblPr>
        <w:tblStyle w:val="11"/>
        <w:tblW w:w="0" w:type="auto"/>
        <w:tblInd w:w="0" w:type="dxa"/>
        <w:tbl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1701"/>
        <w:gridCol w:w="1984"/>
        <w:gridCol w:w="2410"/>
      </w:tblGrid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8EAADB" w:themeFill="accent1" w:themeFillTint="99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</w:rPr>
              <w:t>排 名</w:t>
            </w:r>
          </w:p>
        </w:tc>
        <w:tc>
          <w:tcPr>
            <w:tcW w:w="1276" w:type="dxa"/>
            <w:tcBorders>
              <w:top w:val="single" w:color="A5A5A5" w:themeColor="accent3" w:sz="8" w:space="0"/>
              <w:bottom w:val="single" w:color="auto" w:sz="4" w:space="0"/>
            </w:tcBorders>
            <w:shd w:val="clear" w:color="auto" w:fill="8EAADB" w:themeFill="accent1" w:themeFillTint="99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lang w:val="zh-CN"/>
              </w:rPr>
              <w:t xml:space="preserve">城 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lang w:val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lang w:val="zh-CN"/>
              </w:rPr>
              <w:t>市</w:t>
            </w:r>
          </w:p>
        </w:tc>
        <w:tc>
          <w:tcPr>
            <w:tcW w:w="1701" w:type="dxa"/>
            <w:tcBorders>
              <w:top w:val="single" w:color="A5A5A5" w:themeColor="accent3" w:sz="8" w:space="0"/>
              <w:bottom w:val="single" w:color="auto" w:sz="4" w:space="0"/>
            </w:tcBorders>
            <w:shd w:val="clear" w:color="auto" w:fill="8EAADB" w:themeFill="accent1" w:themeFillTint="99"/>
          </w:tcPr>
          <w:p>
            <w:pPr>
              <w:spacing w:before="0" w:after="0" w:line="240" w:lineRule="auto"/>
              <w:ind w:left="180" w:firstLine="220" w:firstLineChars="100"/>
              <w:rPr>
                <w:rFonts w:ascii="仿宋" w:hAnsi="仿宋" w:eastAsia="仿宋"/>
                <w:b w:val="0"/>
                <w:bCs w:val="0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lang w:val="zh-CN"/>
              </w:rPr>
              <w:t>综合指数</w:t>
            </w:r>
          </w:p>
        </w:tc>
        <w:tc>
          <w:tcPr>
            <w:tcW w:w="1984" w:type="dxa"/>
            <w:tcBorders>
              <w:top w:val="single" w:color="A5A5A5" w:themeColor="accent3" w:sz="8" w:space="0"/>
              <w:bottom w:val="single" w:color="auto" w:sz="4" w:space="0"/>
            </w:tcBorders>
            <w:shd w:val="clear" w:color="auto" w:fill="8EAADB" w:themeFill="accent1" w:themeFillTint="99"/>
          </w:tcPr>
          <w:p>
            <w:pPr>
              <w:spacing w:before="0" w:after="0" w:line="240" w:lineRule="auto"/>
              <w:ind w:firstLine="220" w:firstLineChars="100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lang w:val="zh-CN"/>
              </w:rPr>
              <w:t>最大单项指数</w:t>
            </w:r>
          </w:p>
        </w:tc>
        <w:tc>
          <w:tcPr>
            <w:tcW w:w="2410" w:type="dxa"/>
            <w:tcBorders>
              <w:top w:val="single" w:color="A5A5A5" w:themeColor="accent3" w:sz="8" w:space="0"/>
              <w:bottom w:val="single" w:color="auto" w:sz="4" w:space="0"/>
            </w:tcBorders>
            <w:shd w:val="clear" w:color="auto" w:fill="8EAADB" w:themeFill="accent1" w:themeFillTint="99"/>
          </w:tcPr>
          <w:p>
            <w:pPr>
              <w:spacing w:before="0" w:after="0" w:line="240" w:lineRule="auto"/>
              <w:ind w:firstLine="440" w:firstLineChars="200"/>
              <w:rPr>
                <w:rFonts w:ascii="仿宋" w:hAnsi="仿宋" w:eastAsia="仿宋"/>
                <w:b w:val="0"/>
                <w:bCs w:val="0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lang w:val="zh-CN"/>
              </w:rPr>
              <w:t>最大单项污染物</w:t>
            </w:r>
          </w:p>
        </w:tc>
      </w:tr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lang w:val="zh-CN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张家界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2.77</w:t>
            </w:r>
          </w:p>
        </w:tc>
        <w:tc>
          <w:tcPr>
            <w:tcW w:w="1984" w:type="dxa"/>
            <w:tcBorders>
              <w:top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0.83</w:t>
            </w:r>
          </w:p>
        </w:tc>
        <w:tc>
          <w:tcPr>
            <w:tcW w:w="2410" w:type="dxa"/>
            <w:tcBorders>
              <w:top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PM</w:t>
            </w:r>
            <w:r>
              <w:rPr>
                <w:rFonts w:ascii="仿宋" w:hAnsi="仿宋" w:eastAsia="仿宋"/>
                <w:kern w:val="0"/>
                <w:sz w:val="22"/>
                <w:vertAlign w:val="subscript"/>
              </w:rPr>
              <w:t>2.5</w:t>
            </w:r>
          </w:p>
        </w:tc>
      </w:tr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2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湘西州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2.91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0.83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PM</w:t>
            </w:r>
            <w:r>
              <w:rPr>
                <w:rFonts w:ascii="仿宋" w:hAnsi="仿宋" w:eastAsia="仿宋"/>
                <w:kern w:val="0"/>
                <w:sz w:val="22"/>
                <w:vertAlign w:val="subscript"/>
              </w:rPr>
              <w:t>2.5</w:t>
            </w:r>
          </w:p>
        </w:tc>
      </w:tr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3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怀化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3.08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0.89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PM</w:t>
            </w:r>
            <w:r>
              <w:rPr>
                <w:rFonts w:ascii="仿宋" w:hAnsi="仿宋" w:eastAsia="仿宋"/>
                <w:kern w:val="0"/>
                <w:sz w:val="22"/>
                <w:vertAlign w:val="subscript"/>
              </w:rPr>
              <w:t>2.5</w:t>
            </w:r>
          </w:p>
        </w:tc>
      </w:tr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4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郴州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3.28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0.94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PM</w:t>
            </w:r>
            <w:r>
              <w:rPr>
                <w:rFonts w:ascii="仿宋" w:hAnsi="仿宋" w:eastAsia="仿宋"/>
                <w:kern w:val="0"/>
                <w:sz w:val="22"/>
                <w:vertAlign w:val="subscript"/>
              </w:rPr>
              <w:t>2.5</w:t>
            </w:r>
          </w:p>
        </w:tc>
      </w:tr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5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lang w:val="zh-CN"/>
              </w:rPr>
              <w:t>永州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3.40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1.06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PM</w:t>
            </w:r>
            <w:r>
              <w:rPr>
                <w:rFonts w:ascii="仿宋" w:hAnsi="仿宋" w:eastAsia="仿宋"/>
                <w:kern w:val="0"/>
                <w:sz w:val="22"/>
                <w:vertAlign w:val="subscript"/>
              </w:rPr>
              <w:t>2.5</w:t>
            </w:r>
          </w:p>
        </w:tc>
      </w:tr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6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lang w:val="zh-CN"/>
              </w:rPr>
              <w:t>邵阳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3.72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1.17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PM</w:t>
            </w:r>
            <w:r>
              <w:rPr>
                <w:rFonts w:ascii="仿宋" w:hAnsi="仿宋" w:eastAsia="仿宋"/>
                <w:kern w:val="0"/>
                <w:sz w:val="22"/>
                <w:vertAlign w:val="subscript"/>
              </w:rPr>
              <w:t>2.5</w:t>
            </w:r>
          </w:p>
        </w:tc>
      </w:tr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6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常德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3.72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1.26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PM</w:t>
            </w:r>
            <w:r>
              <w:rPr>
                <w:rFonts w:ascii="仿宋" w:hAnsi="仿宋" w:eastAsia="仿宋"/>
                <w:kern w:val="0"/>
                <w:sz w:val="22"/>
                <w:vertAlign w:val="subscript"/>
              </w:rPr>
              <w:t>2.5</w:t>
            </w:r>
          </w:p>
        </w:tc>
      </w:tr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8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lang w:val="zh-CN"/>
              </w:rPr>
              <w:t>衡阳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3.74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1.14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PM</w:t>
            </w:r>
            <w:r>
              <w:rPr>
                <w:rFonts w:ascii="仿宋" w:hAnsi="仿宋" w:eastAsia="仿宋"/>
                <w:kern w:val="0"/>
                <w:sz w:val="22"/>
                <w:vertAlign w:val="subscript"/>
              </w:rPr>
              <w:t>2.5</w:t>
            </w:r>
          </w:p>
        </w:tc>
      </w:tr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9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lang w:val="zh-CN"/>
              </w:rPr>
              <w:t>娄底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3.75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1.17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PM</w:t>
            </w:r>
            <w:r>
              <w:rPr>
                <w:rFonts w:ascii="仿宋" w:hAnsi="仿宋" w:eastAsia="仿宋"/>
                <w:kern w:val="0"/>
                <w:sz w:val="22"/>
                <w:vertAlign w:val="subscript"/>
              </w:rPr>
              <w:t>2.5</w:t>
            </w:r>
          </w:p>
        </w:tc>
      </w:tr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1</w:t>
            </w:r>
            <w:r>
              <w:rPr>
                <w:rFonts w:ascii="仿宋" w:hAnsi="仿宋" w:eastAsia="仿宋"/>
                <w:kern w:val="0"/>
                <w:sz w:val="22"/>
              </w:rPr>
              <w:t>0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岳阳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3.90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1.14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PM</w:t>
            </w:r>
            <w:r>
              <w:rPr>
                <w:rFonts w:ascii="仿宋" w:hAnsi="仿宋" w:eastAsia="仿宋"/>
                <w:kern w:val="0"/>
                <w:sz w:val="22"/>
                <w:vertAlign w:val="subscript"/>
              </w:rPr>
              <w:t>2.5</w:t>
            </w:r>
          </w:p>
        </w:tc>
      </w:tr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1</w:t>
            </w:r>
            <w:r>
              <w:rPr>
                <w:rFonts w:ascii="仿宋" w:hAnsi="仿宋" w:eastAsia="仿宋"/>
                <w:kern w:val="0"/>
                <w:sz w:val="22"/>
              </w:rPr>
              <w:t>1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lang w:val="zh-CN"/>
              </w:rPr>
              <w:t>长沙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4.07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1.4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PM</w:t>
            </w:r>
            <w:r>
              <w:rPr>
                <w:rFonts w:ascii="仿宋" w:hAnsi="仿宋" w:eastAsia="仿宋"/>
                <w:kern w:val="0"/>
                <w:sz w:val="22"/>
                <w:vertAlign w:val="subscript"/>
              </w:rPr>
              <w:t>2.5</w:t>
            </w:r>
          </w:p>
        </w:tc>
      </w:tr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1</w:t>
            </w:r>
            <w:r>
              <w:rPr>
                <w:rFonts w:ascii="仿宋" w:hAnsi="仿宋" w:eastAsia="仿宋"/>
                <w:kern w:val="0"/>
                <w:sz w:val="22"/>
              </w:rPr>
              <w:t>2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益阳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4.08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1.37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PM</w:t>
            </w:r>
            <w:r>
              <w:rPr>
                <w:rFonts w:ascii="仿宋" w:hAnsi="仿宋" w:eastAsia="仿宋"/>
                <w:kern w:val="0"/>
                <w:sz w:val="22"/>
                <w:vertAlign w:val="subscript"/>
              </w:rPr>
              <w:t>2.5</w:t>
            </w:r>
          </w:p>
        </w:tc>
      </w:tr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1</w:t>
            </w:r>
            <w:r>
              <w:rPr>
                <w:rFonts w:ascii="仿宋" w:hAnsi="仿宋" w:eastAsia="仿宋"/>
                <w:kern w:val="0"/>
                <w:sz w:val="22"/>
              </w:rPr>
              <w:t>3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株洲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4.09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1.31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PM</w:t>
            </w:r>
            <w:r>
              <w:rPr>
                <w:rFonts w:ascii="仿宋" w:hAnsi="仿宋" w:eastAsia="仿宋"/>
                <w:kern w:val="0"/>
                <w:sz w:val="22"/>
                <w:vertAlign w:val="subscript"/>
              </w:rPr>
              <w:t>2.5</w:t>
            </w:r>
          </w:p>
        </w:tc>
      </w:tr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1</w:t>
            </w:r>
            <w:r>
              <w:rPr>
                <w:rFonts w:ascii="仿宋" w:hAnsi="仿宋" w:eastAsia="仿宋"/>
                <w:kern w:val="0"/>
                <w:sz w:val="22"/>
              </w:rPr>
              <w:t>4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sz w:val="22"/>
                <w:lang w:val="zh-CN"/>
              </w:rPr>
              <w:t>湘潭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>
            <w:pPr>
              <w:ind w:firstLine="550" w:firstLineChars="250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4.22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1.4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PM</w:t>
            </w:r>
            <w:r>
              <w:rPr>
                <w:rFonts w:ascii="仿宋" w:hAnsi="仿宋" w:eastAsia="仿宋"/>
                <w:kern w:val="0"/>
                <w:sz w:val="22"/>
                <w:vertAlign w:val="subscript"/>
              </w:rPr>
              <w:t>2.5</w:t>
            </w:r>
          </w:p>
        </w:tc>
      </w:tr>
    </w:tbl>
    <w:p>
      <w:pPr>
        <w:ind w:firstLine="640" w:firstLineChars="200"/>
        <w:rPr>
          <w:rFonts w:ascii="仿宋_GB2312" w:hAnsi="华文楷体" w:eastAsia="仿宋_GB2312"/>
          <w:b/>
          <w:sz w:val="32"/>
          <w:szCs w:val="32"/>
        </w:rPr>
      </w:pPr>
    </w:p>
    <w:p>
      <w:pPr>
        <w:ind w:firstLine="640" w:firstLineChars="200"/>
        <w:rPr>
          <w:rFonts w:ascii="仿宋_GB2312" w:hAnsi="华文楷体" w:eastAsia="仿宋_GB2312"/>
          <w:b/>
          <w:sz w:val="32"/>
          <w:szCs w:val="32"/>
        </w:rPr>
      </w:pPr>
      <w:r>
        <w:rPr>
          <w:rFonts w:hint="eastAsia" w:ascii="仿宋_GB2312" w:hAnsi="华文楷体" w:eastAsia="仿宋_GB2312"/>
          <w:b/>
          <w:sz w:val="32"/>
          <w:szCs w:val="32"/>
        </w:rPr>
        <w:t>3、城市环境空气主要污染物浓度及变化趋势</w:t>
      </w:r>
    </w:p>
    <w:p>
      <w:pPr>
        <w:spacing w:line="600" w:lineRule="exact"/>
        <w:ind w:firstLine="600" w:firstLineChars="200"/>
        <w:rPr>
          <w:rFonts w:ascii="仿宋_GB2312" w:hAnsi="华文楷体" w:eastAsia="仿宋_GB2312"/>
          <w:bCs/>
          <w:sz w:val="30"/>
          <w:szCs w:val="30"/>
        </w:rPr>
      </w:pPr>
      <w:r>
        <w:rPr>
          <w:rFonts w:ascii="仿宋_GB2312" w:hAnsi="华文楷体" w:eastAsia="仿宋_GB2312"/>
          <w:bCs/>
          <w:sz w:val="30"/>
          <w:szCs w:val="30"/>
        </w:rPr>
        <w:t>2021</w:t>
      </w:r>
      <w:r>
        <w:rPr>
          <w:rFonts w:hint="eastAsia" w:ascii="仿宋_GB2312" w:hAnsi="华文楷体" w:eastAsia="仿宋_GB2312"/>
          <w:bCs/>
          <w:sz w:val="30"/>
          <w:szCs w:val="30"/>
        </w:rPr>
        <w:t>年1</w:t>
      </w:r>
      <w:r>
        <w:rPr>
          <w:rFonts w:ascii="仿宋_GB2312" w:hAnsi="华文楷体" w:eastAsia="仿宋_GB2312"/>
          <w:bCs/>
          <w:sz w:val="30"/>
          <w:szCs w:val="30"/>
        </w:rPr>
        <w:t>-5</w:t>
      </w:r>
      <w:r>
        <w:rPr>
          <w:rFonts w:hint="eastAsia" w:ascii="仿宋_GB2312" w:hAnsi="华文楷体" w:eastAsia="仿宋_GB2312"/>
          <w:bCs/>
          <w:sz w:val="30"/>
          <w:szCs w:val="30"/>
        </w:rPr>
        <w:t>月，我市细颗粒物浓度为</w:t>
      </w:r>
      <w:r>
        <w:rPr>
          <w:rFonts w:ascii="仿宋_GB2312" w:hAnsi="华文楷体" w:eastAsia="仿宋_GB2312"/>
          <w:bCs/>
          <w:sz w:val="30"/>
          <w:szCs w:val="30"/>
        </w:rPr>
        <w:t>41</w:t>
      </w:r>
      <w:r>
        <w:rPr>
          <w:rFonts w:hint="eastAsia" w:ascii="仿宋_GB2312" w:hAnsi="华文楷体" w:eastAsia="仿宋_GB2312"/>
          <w:bCs/>
          <w:sz w:val="30"/>
          <w:szCs w:val="30"/>
        </w:rPr>
        <w:t>微克</w:t>
      </w:r>
      <w:r>
        <w:rPr>
          <w:rFonts w:ascii="仿宋_GB2312" w:hAnsi="华文楷体" w:eastAsia="仿宋_GB2312"/>
          <w:bCs/>
          <w:sz w:val="30"/>
          <w:szCs w:val="30"/>
        </w:rPr>
        <w:t>/</w:t>
      </w:r>
      <w:r>
        <w:rPr>
          <w:rFonts w:hint="eastAsia" w:ascii="仿宋_GB2312" w:hAnsi="华文楷体" w:eastAsia="仿宋_GB2312"/>
          <w:bCs/>
          <w:sz w:val="30"/>
          <w:szCs w:val="30"/>
        </w:rPr>
        <w:t>立方米，同比上升了</w:t>
      </w:r>
      <w:r>
        <w:rPr>
          <w:rFonts w:ascii="仿宋_GB2312" w:hAnsi="华文楷体" w:eastAsia="仿宋_GB2312"/>
          <w:bCs/>
          <w:sz w:val="30"/>
          <w:szCs w:val="30"/>
        </w:rPr>
        <w:t>5.1%</w:t>
      </w:r>
      <w:r>
        <w:rPr>
          <w:rFonts w:hint="eastAsia" w:ascii="仿宋_GB2312" w:hAnsi="华文楷体" w:eastAsia="仿宋_GB2312"/>
          <w:bCs/>
          <w:sz w:val="30"/>
          <w:szCs w:val="30"/>
        </w:rPr>
        <w:t>、可吸入颗粒物</w:t>
      </w:r>
      <w:r>
        <w:rPr>
          <w:rFonts w:ascii="仿宋_GB2312" w:hAnsi="华文楷体" w:eastAsia="仿宋_GB2312"/>
          <w:bCs/>
          <w:sz w:val="30"/>
          <w:szCs w:val="30"/>
        </w:rPr>
        <w:t>58</w:t>
      </w:r>
      <w:r>
        <w:rPr>
          <w:rFonts w:hint="eastAsia" w:ascii="仿宋_GB2312" w:hAnsi="华文楷体" w:eastAsia="仿宋_GB2312"/>
          <w:bCs/>
          <w:sz w:val="30"/>
          <w:szCs w:val="30"/>
        </w:rPr>
        <w:t>微克</w:t>
      </w:r>
      <w:r>
        <w:rPr>
          <w:rFonts w:ascii="仿宋_GB2312" w:hAnsi="华文楷体" w:eastAsia="仿宋_GB2312"/>
          <w:bCs/>
          <w:sz w:val="30"/>
          <w:szCs w:val="30"/>
        </w:rPr>
        <w:t>/</w:t>
      </w:r>
      <w:r>
        <w:rPr>
          <w:rFonts w:hint="eastAsia" w:ascii="仿宋_GB2312" w:hAnsi="华文楷体" w:eastAsia="仿宋_GB2312"/>
          <w:bCs/>
          <w:sz w:val="30"/>
          <w:szCs w:val="30"/>
        </w:rPr>
        <w:t>立方米，同比上升了</w:t>
      </w:r>
      <w:r>
        <w:rPr>
          <w:rFonts w:ascii="仿宋_GB2312" w:hAnsi="华文楷体" w:eastAsia="仿宋_GB2312"/>
          <w:bCs/>
          <w:sz w:val="30"/>
          <w:szCs w:val="30"/>
        </w:rPr>
        <w:t>9.4%</w:t>
      </w:r>
      <w:r>
        <w:rPr>
          <w:rFonts w:hint="eastAsia" w:ascii="仿宋_GB2312" w:hAnsi="华文楷体" w:eastAsia="仿宋_GB2312"/>
          <w:bCs/>
          <w:sz w:val="30"/>
          <w:szCs w:val="30"/>
        </w:rPr>
        <w:t>、二氧化硫1</w:t>
      </w:r>
      <w:r>
        <w:rPr>
          <w:rFonts w:ascii="仿宋_GB2312" w:hAnsi="华文楷体" w:eastAsia="仿宋_GB2312"/>
          <w:bCs/>
          <w:sz w:val="30"/>
          <w:szCs w:val="30"/>
        </w:rPr>
        <w:t>3</w:t>
      </w:r>
      <w:r>
        <w:rPr>
          <w:rFonts w:hint="eastAsia" w:ascii="仿宋_GB2312" w:hAnsi="华文楷体" w:eastAsia="仿宋_GB2312"/>
          <w:bCs/>
          <w:sz w:val="30"/>
          <w:szCs w:val="30"/>
        </w:rPr>
        <w:t>微克</w:t>
      </w:r>
      <w:r>
        <w:rPr>
          <w:rFonts w:ascii="仿宋_GB2312" w:hAnsi="华文楷体" w:eastAsia="仿宋_GB2312"/>
          <w:bCs/>
          <w:sz w:val="30"/>
          <w:szCs w:val="30"/>
        </w:rPr>
        <w:t>/</w:t>
      </w:r>
      <w:r>
        <w:rPr>
          <w:rFonts w:hint="eastAsia" w:ascii="仿宋_GB2312" w:hAnsi="华文楷体" w:eastAsia="仿宋_GB2312"/>
          <w:bCs/>
          <w:sz w:val="30"/>
          <w:szCs w:val="30"/>
        </w:rPr>
        <w:t>立方米，同比上升了</w:t>
      </w:r>
      <w:r>
        <w:rPr>
          <w:rFonts w:ascii="仿宋_GB2312" w:hAnsi="华文楷体" w:eastAsia="仿宋_GB2312"/>
          <w:bCs/>
          <w:sz w:val="30"/>
          <w:szCs w:val="30"/>
        </w:rPr>
        <w:t>18.2%</w:t>
      </w:r>
      <w:r>
        <w:rPr>
          <w:rFonts w:hint="eastAsia" w:ascii="仿宋_GB2312" w:hAnsi="华文楷体" w:eastAsia="仿宋_GB2312"/>
          <w:bCs/>
          <w:sz w:val="30"/>
          <w:szCs w:val="30"/>
        </w:rPr>
        <w:t>、二氧化氮2</w:t>
      </w:r>
      <w:r>
        <w:rPr>
          <w:rFonts w:ascii="仿宋_GB2312" w:hAnsi="华文楷体" w:eastAsia="仿宋_GB2312"/>
          <w:bCs/>
          <w:sz w:val="30"/>
          <w:szCs w:val="30"/>
        </w:rPr>
        <w:t>2</w:t>
      </w:r>
      <w:r>
        <w:rPr>
          <w:rFonts w:hint="eastAsia" w:ascii="仿宋_GB2312" w:hAnsi="华文楷体" w:eastAsia="仿宋_GB2312"/>
          <w:bCs/>
          <w:sz w:val="30"/>
          <w:szCs w:val="30"/>
        </w:rPr>
        <w:t>微克</w:t>
      </w:r>
      <w:r>
        <w:rPr>
          <w:rFonts w:ascii="仿宋_GB2312" w:hAnsi="华文楷体" w:eastAsia="仿宋_GB2312"/>
          <w:bCs/>
          <w:sz w:val="30"/>
          <w:szCs w:val="30"/>
        </w:rPr>
        <w:t>/</w:t>
      </w:r>
      <w:r>
        <w:rPr>
          <w:rFonts w:hint="eastAsia" w:ascii="仿宋_GB2312" w:hAnsi="华文楷体" w:eastAsia="仿宋_GB2312"/>
          <w:bCs/>
          <w:sz w:val="30"/>
          <w:szCs w:val="30"/>
        </w:rPr>
        <w:t>立方米，同比上升了</w:t>
      </w:r>
      <w:r>
        <w:rPr>
          <w:rFonts w:ascii="仿宋_GB2312" w:hAnsi="华文楷体" w:eastAsia="仿宋_GB2312"/>
          <w:bCs/>
          <w:sz w:val="30"/>
          <w:szCs w:val="30"/>
        </w:rPr>
        <w:t>4.8%</w:t>
      </w:r>
      <w:r>
        <w:rPr>
          <w:rFonts w:hint="eastAsia" w:ascii="仿宋_GB2312" w:hAnsi="华文楷体" w:eastAsia="仿宋_GB2312"/>
          <w:bCs/>
          <w:sz w:val="30"/>
          <w:szCs w:val="30"/>
        </w:rPr>
        <w:t>、臭氧1</w:t>
      </w:r>
      <w:r>
        <w:rPr>
          <w:rFonts w:ascii="仿宋_GB2312" w:hAnsi="华文楷体" w:eastAsia="仿宋_GB2312"/>
          <w:bCs/>
          <w:sz w:val="30"/>
          <w:szCs w:val="30"/>
        </w:rPr>
        <w:t>04</w:t>
      </w:r>
      <w:r>
        <w:rPr>
          <w:rFonts w:hint="eastAsia" w:ascii="仿宋_GB2312" w:hAnsi="华文楷体" w:eastAsia="仿宋_GB2312"/>
          <w:bCs/>
          <w:sz w:val="30"/>
          <w:szCs w:val="30"/>
        </w:rPr>
        <w:t>微克</w:t>
      </w:r>
      <w:r>
        <w:rPr>
          <w:rFonts w:ascii="仿宋_GB2312" w:hAnsi="华文楷体" w:eastAsia="仿宋_GB2312"/>
          <w:bCs/>
          <w:sz w:val="30"/>
          <w:szCs w:val="30"/>
        </w:rPr>
        <w:t>/</w:t>
      </w:r>
      <w:r>
        <w:rPr>
          <w:rFonts w:hint="eastAsia" w:ascii="仿宋_GB2312" w:hAnsi="华文楷体" w:eastAsia="仿宋_GB2312"/>
          <w:bCs/>
          <w:sz w:val="30"/>
          <w:szCs w:val="30"/>
        </w:rPr>
        <w:t>立方米，同比下降了</w:t>
      </w:r>
      <w:r>
        <w:rPr>
          <w:rFonts w:ascii="仿宋_GB2312" w:hAnsi="华文楷体" w:eastAsia="仿宋_GB2312"/>
          <w:bCs/>
          <w:sz w:val="30"/>
          <w:szCs w:val="30"/>
        </w:rPr>
        <w:t>16.8%</w:t>
      </w:r>
      <w:r>
        <w:rPr>
          <w:rFonts w:hint="eastAsia" w:ascii="仿宋_GB2312" w:hAnsi="华文楷体" w:eastAsia="仿宋_GB2312"/>
          <w:bCs/>
          <w:sz w:val="30"/>
          <w:szCs w:val="30"/>
        </w:rPr>
        <w:t>、一氧化碳1</w:t>
      </w:r>
      <w:r>
        <w:rPr>
          <w:rFonts w:ascii="仿宋_GB2312" w:hAnsi="华文楷体" w:eastAsia="仿宋_GB2312"/>
          <w:bCs/>
          <w:sz w:val="30"/>
          <w:szCs w:val="30"/>
        </w:rPr>
        <w:t>.2</w:t>
      </w:r>
      <w:r>
        <w:rPr>
          <w:rFonts w:hint="eastAsia" w:ascii="仿宋_GB2312" w:hAnsi="华文楷体" w:eastAsia="仿宋_GB2312"/>
          <w:bCs/>
          <w:sz w:val="30"/>
          <w:szCs w:val="30"/>
        </w:rPr>
        <w:t>毫克</w:t>
      </w:r>
      <w:r>
        <w:rPr>
          <w:rFonts w:ascii="仿宋_GB2312" w:hAnsi="华文楷体" w:eastAsia="仿宋_GB2312"/>
          <w:bCs/>
          <w:sz w:val="30"/>
          <w:szCs w:val="30"/>
        </w:rPr>
        <w:t>/</w:t>
      </w:r>
      <w:r>
        <w:rPr>
          <w:rFonts w:hint="eastAsia" w:ascii="仿宋_GB2312" w:hAnsi="华文楷体" w:eastAsia="仿宋_GB2312"/>
          <w:bCs/>
          <w:sz w:val="30"/>
          <w:szCs w:val="30"/>
        </w:rPr>
        <w:t>立方米，同比无</w:t>
      </w:r>
      <w:r>
        <w:rPr>
          <w:rFonts w:ascii="仿宋_GB2312" w:hAnsi="华文楷体" w:eastAsia="仿宋_GB2312"/>
          <w:bCs/>
          <w:sz w:val="30"/>
          <w:szCs w:val="30"/>
        </w:rPr>
        <w:t>增减</w:t>
      </w:r>
      <w:r>
        <w:rPr>
          <w:rFonts w:hint="eastAsia" w:ascii="仿宋_GB2312" w:hAnsi="华文楷体" w:eastAsia="仿宋_GB2312"/>
          <w:bCs/>
          <w:sz w:val="30"/>
          <w:szCs w:val="30"/>
        </w:rPr>
        <w:t>。各点位浓度均值详见表</w:t>
      </w:r>
      <w:r>
        <w:rPr>
          <w:rFonts w:ascii="仿宋_GB2312" w:hAnsi="华文楷体" w:eastAsia="仿宋_GB2312"/>
          <w:bCs/>
          <w:sz w:val="30"/>
          <w:szCs w:val="30"/>
        </w:rPr>
        <w:t>3</w:t>
      </w:r>
      <w:r>
        <w:rPr>
          <w:rFonts w:hint="eastAsia" w:ascii="仿宋_GB2312" w:hAnsi="华文楷体" w:eastAsia="仿宋_GB2312"/>
          <w:bCs/>
          <w:sz w:val="30"/>
          <w:szCs w:val="30"/>
        </w:rPr>
        <w:t>。</w:t>
      </w:r>
    </w:p>
    <w:p>
      <w:pPr>
        <w:spacing w:line="600" w:lineRule="exact"/>
        <w:ind w:firstLine="600" w:firstLineChars="200"/>
        <w:rPr>
          <w:rFonts w:ascii="仿宋_GB2312" w:hAnsi="华文楷体" w:eastAsia="仿宋_GB2312"/>
          <w:bCs/>
          <w:sz w:val="30"/>
          <w:szCs w:val="30"/>
        </w:rPr>
      </w:pPr>
    </w:p>
    <w:p>
      <w:pPr>
        <w:jc w:val="center"/>
        <w:rPr>
          <w:rFonts w:ascii="仿宋_GB2312" w:hAnsi="华文楷体" w:eastAsia="仿宋_GB2312"/>
          <w:bCs/>
          <w:sz w:val="28"/>
          <w:szCs w:val="28"/>
        </w:rPr>
      </w:pPr>
      <w:r>
        <w:rPr>
          <w:rFonts w:hint="eastAsia" w:ascii="仿宋_GB2312" w:hAnsi="华文楷体" w:eastAsia="仿宋_GB2312"/>
          <w:bCs/>
          <w:sz w:val="28"/>
          <w:szCs w:val="28"/>
        </w:rPr>
        <w:t>表</w:t>
      </w:r>
      <w:r>
        <w:rPr>
          <w:rFonts w:ascii="仿宋_GB2312" w:hAnsi="华文楷体" w:eastAsia="仿宋_GB2312"/>
          <w:bCs/>
          <w:sz w:val="28"/>
          <w:szCs w:val="28"/>
        </w:rPr>
        <w:t>8  1-5</w:t>
      </w:r>
      <w:r>
        <w:rPr>
          <w:rFonts w:hint="eastAsia" w:ascii="仿宋_GB2312" w:hAnsi="华文楷体" w:eastAsia="仿宋_GB2312"/>
          <w:bCs/>
          <w:sz w:val="28"/>
          <w:szCs w:val="28"/>
        </w:rPr>
        <w:t>月各点位污染物浓度均值</w:t>
      </w:r>
    </w:p>
    <w:tbl>
      <w:tblPr>
        <w:tblStyle w:val="15"/>
        <w:tblW w:w="5000" w:type="pct"/>
        <w:jc w:val="center"/>
        <w:tblBorders>
          <w:top w:val="single" w:color="70AD47" w:themeColor="accent6" w:sz="4" w:space="0"/>
          <w:left w:val="none" w:color="auto" w:sz="0" w:space="0"/>
          <w:bottom w:val="single" w:color="70AD47" w:themeColor="accent6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162"/>
        <w:gridCol w:w="1183"/>
        <w:gridCol w:w="1256"/>
        <w:gridCol w:w="1256"/>
        <w:gridCol w:w="1256"/>
        <w:gridCol w:w="1255"/>
      </w:tblGrid>
      <w:tr>
        <w:tblPrEx>
          <w:tblBorders>
            <w:top w:val="single" w:color="70AD47" w:themeColor="accent6" w:sz="4" w:space="0"/>
            <w:left w:val="none" w:color="auto" w:sz="0" w:space="0"/>
            <w:bottom w:val="single" w:color="70AD47" w:themeColor="accent6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pct"/>
            <w:tcBorders>
              <w:bottom w:val="single" w:color="70AD47" w:themeColor="accent6" w:sz="4" w:space="0"/>
              <w:right w:val="single" w:color="auto" w:sz="4" w:space="0"/>
              <w:insideH w:val="single" w:sz="4" w:space="0"/>
            </w:tcBorders>
            <w:shd w:val="clear" w:color="auto" w:fill="8EAADB" w:themeFill="accent1" w:themeFillTint="99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点 位</w:t>
            </w:r>
          </w:p>
        </w:tc>
        <w:tc>
          <w:tcPr>
            <w:tcW w:w="669" w:type="pct"/>
            <w:tcBorders>
              <w:left w:val="single" w:color="auto" w:sz="4" w:space="0"/>
              <w:bottom w:val="single" w:color="70AD47" w:themeColor="accent6" w:sz="4" w:space="0"/>
              <w:right w:val="single" w:color="auto" w:sz="4" w:space="0"/>
              <w:insideH w:val="single" w:sz="4" w:space="0"/>
            </w:tcBorders>
            <w:shd w:val="clear" w:color="auto" w:fill="8EAADB" w:themeFill="accent1" w:themeFillTint="99"/>
            <w:vAlign w:val="center"/>
          </w:tcPr>
          <w:p>
            <w:pPr>
              <w:ind w:firstLine="220" w:firstLineChars="100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S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O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  <w:vertAlign w:val="subscript"/>
              </w:rPr>
              <w:t>2</w:t>
            </w:r>
          </w:p>
          <w:p>
            <w:pP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(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ug/m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)</w:t>
            </w:r>
          </w:p>
        </w:tc>
        <w:tc>
          <w:tcPr>
            <w:tcW w:w="682" w:type="pct"/>
            <w:tcBorders>
              <w:left w:val="single" w:color="auto" w:sz="4" w:space="0"/>
              <w:bottom w:val="single" w:color="70AD47" w:themeColor="accent6" w:sz="4" w:space="0"/>
              <w:right w:val="single" w:color="auto" w:sz="4" w:space="0"/>
              <w:insideH w:val="single" w:sz="4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N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O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  <w:vertAlign w:val="subscript"/>
              </w:rPr>
              <w:t>2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(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ug/m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)</w:t>
            </w:r>
          </w:p>
        </w:tc>
        <w:tc>
          <w:tcPr>
            <w:tcW w:w="724" w:type="pct"/>
            <w:tcBorders>
              <w:left w:val="single" w:color="auto" w:sz="4" w:space="0"/>
              <w:bottom w:val="single" w:color="70AD47" w:themeColor="accent6" w:sz="4" w:space="0"/>
              <w:right w:val="single" w:color="auto" w:sz="4" w:space="0"/>
              <w:insideH w:val="single" w:sz="4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P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M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  <w:vertAlign w:val="subscript"/>
              </w:rPr>
              <w:t>10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(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ug/m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)</w:t>
            </w:r>
          </w:p>
        </w:tc>
        <w:tc>
          <w:tcPr>
            <w:tcW w:w="724" w:type="pct"/>
            <w:tcBorders>
              <w:left w:val="single" w:color="auto" w:sz="4" w:space="0"/>
              <w:bottom w:val="single" w:color="70AD47" w:themeColor="accent6" w:sz="4" w:space="0"/>
              <w:right w:val="single" w:color="auto" w:sz="4" w:space="0"/>
              <w:insideH w:val="single" w:sz="4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C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O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(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mg/m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)</w:t>
            </w:r>
          </w:p>
        </w:tc>
        <w:tc>
          <w:tcPr>
            <w:tcW w:w="724" w:type="pct"/>
            <w:tcBorders>
              <w:left w:val="single" w:color="auto" w:sz="4" w:space="0"/>
              <w:bottom w:val="single" w:color="70AD47" w:themeColor="accent6" w:sz="4" w:space="0"/>
              <w:right w:val="single" w:color="auto" w:sz="4" w:space="0"/>
              <w:insideH w:val="single" w:sz="4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O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  <w:vertAlign w:val="subscript"/>
              </w:rPr>
              <w:t>3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(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ug/m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)</w:t>
            </w:r>
          </w:p>
        </w:tc>
        <w:tc>
          <w:tcPr>
            <w:tcW w:w="723" w:type="pct"/>
            <w:tcBorders>
              <w:left w:val="single" w:color="auto" w:sz="4" w:space="0"/>
              <w:bottom w:val="single" w:color="70AD47" w:themeColor="accent6" w:sz="4" w:space="0"/>
              <w:insideH w:val="single" w:sz="4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P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M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  <w:vertAlign w:val="subscript"/>
              </w:rPr>
              <w:t>2.5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(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ug/m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szCs w:val="22"/>
              </w:rPr>
              <w:t>)</w:t>
            </w:r>
          </w:p>
        </w:tc>
      </w:tr>
      <w:tr>
        <w:tblPrEx>
          <w:tblBorders>
            <w:top w:val="single" w:color="70AD47" w:themeColor="accent6" w:sz="4" w:space="0"/>
            <w:left w:val="none" w:color="auto" w:sz="0" w:space="0"/>
            <w:bottom w:val="single" w:color="70AD47" w:themeColor="accent6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pct"/>
            <w:tcBorders>
              <w:top w:val="single" w:color="70AD47" w:themeColor="accent6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noWrap/>
          </w:tcPr>
          <w:p>
            <w:pPr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2"/>
                <w:szCs w:val="22"/>
              </w:rPr>
              <w:t>市化工厂</w:t>
            </w:r>
          </w:p>
        </w:tc>
        <w:tc>
          <w:tcPr>
            <w:tcW w:w="669" w:type="pct"/>
            <w:tcBorders>
              <w:top w:val="single" w:color="70AD47" w:themeColor="accent6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  <w:t>14</w:t>
            </w:r>
          </w:p>
        </w:tc>
        <w:tc>
          <w:tcPr>
            <w:tcW w:w="682" w:type="pct"/>
            <w:tcBorders>
              <w:top w:val="single" w:color="70AD47" w:themeColor="accent6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  <w:t>22</w:t>
            </w:r>
          </w:p>
        </w:tc>
        <w:tc>
          <w:tcPr>
            <w:tcW w:w="724" w:type="pct"/>
            <w:tcBorders>
              <w:top w:val="single" w:color="70AD47" w:themeColor="accent6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  <w:t>58</w:t>
            </w:r>
          </w:p>
        </w:tc>
        <w:tc>
          <w:tcPr>
            <w:tcW w:w="724" w:type="pct"/>
            <w:tcBorders>
              <w:top w:val="single" w:color="70AD47" w:themeColor="accent6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  <w:t>1.3</w:t>
            </w:r>
          </w:p>
        </w:tc>
        <w:tc>
          <w:tcPr>
            <w:tcW w:w="724" w:type="pct"/>
            <w:tcBorders>
              <w:top w:val="single" w:color="70AD47" w:themeColor="accent6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  <w:t>102</w:t>
            </w:r>
          </w:p>
        </w:tc>
        <w:tc>
          <w:tcPr>
            <w:tcW w:w="723" w:type="pct"/>
            <w:tcBorders>
              <w:top w:val="single" w:color="70AD47" w:themeColor="accent6" w:sz="4" w:space="0"/>
              <w:left w:val="single" w:color="auto" w:sz="4" w:space="0"/>
              <w:bottom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  <w:t>42</w:t>
            </w:r>
          </w:p>
        </w:tc>
      </w:tr>
      <w:tr>
        <w:tblPrEx>
          <w:tblBorders>
            <w:top w:val="single" w:color="70AD47" w:themeColor="accent6" w:sz="4" w:space="0"/>
            <w:left w:val="none" w:color="auto" w:sz="0" w:space="0"/>
            <w:bottom w:val="single" w:color="70AD47" w:themeColor="accent6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noWrap/>
          </w:tcPr>
          <w:p>
            <w:pPr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2"/>
                <w:szCs w:val="22"/>
              </w:rPr>
              <w:t>市罐头厂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  <w:t>12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  <w:t>22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  <w:t>59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  <w:t>1.3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  <w:t>107</w:t>
            </w: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  <w:t>39</w:t>
            </w:r>
          </w:p>
        </w:tc>
      </w:tr>
      <w:tr>
        <w:tblPrEx>
          <w:tblBorders>
            <w:top w:val="single" w:color="70AD47" w:themeColor="accent6" w:sz="4" w:space="0"/>
            <w:left w:val="none" w:color="auto" w:sz="0" w:space="0"/>
            <w:bottom w:val="single" w:color="70AD47" w:themeColor="accent6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noWrap/>
          </w:tcPr>
          <w:p>
            <w:pPr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2"/>
                <w:szCs w:val="22"/>
              </w:rPr>
              <w:t>市一中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  <w:t>13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  <w:t>23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  <w:t>64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  <w:t>1.4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  <w:t>109</w:t>
            </w: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  <w:t>42</w:t>
            </w:r>
          </w:p>
        </w:tc>
      </w:tr>
      <w:tr>
        <w:tblPrEx>
          <w:tblBorders>
            <w:top w:val="single" w:color="70AD47" w:themeColor="accent6" w:sz="4" w:space="0"/>
            <w:left w:val="none" w:color="auto" w:sz="0" w:space="0"/>
            <w:bottom w:val="single" w:color="70AD47" w:themeColor="accent6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noWrap/>
          </w:tcPr>
          <w:p>
            <w:pPr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2"/>
                <w:szCs w:val="22"/>
              </w:rPr>
              <w:t>市环保局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  <w:t>13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  <w:t>22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  <w:t>59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  <w:t>1.2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  <w:t>103</w:t>
            </w: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  <w:t>43</w:t>
            </w:r>
          </w:p>
        </w:tc>
      </w:tr>
      <w:tr>
        <w:tblPrEx>
          <w:tblBorders>
            <w:top w:val="single" w:color="70AD47" w:themeColor="accent6" w:sz="4" w:space="0"/>
            <w:left w:val="none" w:color="auto" w:sz="0" w:space="0"/>
            <w:bottom w:val="single" w:color="70AD47" w:themeColor="accent6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pct"/>
            <w:tcBorders>
              <w:top w:val="single" w:color="auto" w:sz="4" w:space="0"/>
              <w:bottom w:val="single" w:color="70AD47" w:themeColor="accent6" w:sz="4" w:space="0"/>
              <w:right w:val="single" w:color="auto" w:sz="4" w:space="0"/>
            </w:tcBorders>
            <w:shd w:val="clear" w:color="auto" w:fill="D9E2F3" w:themeFill="accent1" w:themeFillTint="33"/>
            <w:noWrap/>
          </w:tcPr>
          <w:p>
            <w:pPr>
              <w:jc w:val="center"/>
              <w:rPr>
                <w:rFonts w:ascii="仿宋" w:hAnsi="仿宋" w:eastAsia="仿宋"/>
                <w:b w:val="0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kern w:val="0"/>
                <w:sz w:val="22"/>
                <w:szCs w:val="22"/>
              </w:rPr>
              <w:t>全市平均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70AD47" w:themeColor="accent6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FF0000"/>
                <w:kern w:val="2"/>
                <w:sz w:val="24"/>
                <w:szCs w:val="24"/>
              </w:rPr>
            </w:pPr>
            <w:r>
              <w:rPr>
                <w:rFonts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  <w:t>13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70AD47" w:themeColor="accent6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FF0000"/>
                <w:kern w:val="2"/>
                <w:sz w:val="24"/>
                <w:szCs w:val="24"/>
              </w:rPr>
            </w:pPr>
            <w:r>
              <w:rPr>
                <w:rFonts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  <w:t>22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70AD47" w:themeColor="accent6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FF0000"/>
                <w:kern w:val="2"/>
                <w:sz w:val="24"/>
                <w:szCs w:val="24"/>
              </w:rPr>
            </w:pPr>
            <w:r>
              <w:rPr>
                <w:rFonts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  <w:t>58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70AD47" w:themeColor="accent6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  <w:t>1.</w:t>
            </w:r>
            <w:r>
              <w:rPr>
                <w:rFonts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  <w:t>2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70AD47" w:themeColor="accent6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FF0000"/>
                <w:kern w:val="2"/>
                <w:sz w:val="24"/>
                <w:szCs w:val="24"/>
              </w:rPr>
            </w:pPr>
            <w:r>
              <w:rPr>
                <w:rFonts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  <w:t>104</w:t>
            </w: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70AD47" w:themeColor="accent6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Cs/>
                <w:color w:val="FF0000"/>
                <w:kern w:val="2"/>
                <w:sz w:val="24"/>
                <w:szCs w:val="24"/>
              </w:rPr>
            </w:pPr>
            <w:r>
              <w:rPr>
                <w:rFonts w:ascii="仿宋_GB2312" w:hAnsi="华文楷体" w:eastAsia="仿宋_GB2312"/>
                <w:bCs/>
                <w:color w:val="auto"/>
                <w:kern w:val="2"/>
                <w:sz w:val="24"/>
                <w:szCs w:val="24"/>
              </w:rPr>
              <w:t>41</w:t>
            </w:r>
          </w:p>
        </w:tc>
      </w:tr>
    </w:tbl>
    <w:p>
      <w:pPr>
        <w:widowControl/>
        <w:jc w:val="left"/>
        <w:rPr>
          <w:rFonts w:ascii="仿宋_GB2312" w:hAnsi="华文楷体" w:eastAsia="仿宋_GB2312"/>
          <w:sz w:val="28"/>
          <w:szCs w:val="28"/>
        </w:rPr>
        <w:sectPr>
          <w:pgSz w:w="11906" w:h="16838"/>
          <w:pgMar w:top="1134" w:right="1646" w:bottom="567" w:left="1797" w:header="851" w:footer="992" w:gutter="0"/>
          <w:cols w:space="720" w:num="1"/>
          <w:docGrid w:type="linesAndChars" w:linePitch="312" w:charSpace="0"/>
        </w:sectPr>
      </w:pPr>
    </w:p>
    <w:p>
      <w:pPr>
        <w:pStyle w:val="2"/>
        <w:spacing w:before="156" w:beforeLines="50" w:after="156" w:afterLine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录</w:t>
      </w:r>
    </w:p>
    <w:p>
      <w:pPr>
        <w:pStyle w:val="3"/>
        <w:spacing w:before="93" w:beforeLines="30" w:after="93" w:afterLines="30" w:line="520" w:lineRule="exact"/>
        <w:ind w:firstLine="2711" w:firstLineChars="900"/>
      </w:pPr>
      <w:r>
        <w:rPr>
          <w:rFonts w:hint="eastAsia"/>
        </w:rPr>
        <w:t>空气质量指数分级及相关信息</w:t>
      </w:r>
    </w:p>
    <w:p/>
    <w:tbl>
      <w:tblPr>
        <w:tblStyle w:val="8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918"/>
        <w:gridCol w:w="1212"/>
        <w:gridCol w:w="972"/>
        <w:gridCol w:w="2690"/>
        <w:gridCol w:w="267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4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8EAADB" w:themeFill="accent1" w:themeFillTint="99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空气质量指数</w:t>
            </w:r>
            <w:r>
              <w:rPr>
                <w:rFonts w:ascii="华文仿宋" w:hAnsi="华文仿宋" w:eastAsia="华文仿宋"/>
                <w:kern w:val="0"/>
                <w:szCs w:val="21"/>
              </w:rPr>
              <w:t>AQI</w:t>
            </w:r>
          </w:p>
        </w:tc>
        <w:tc>
          <w:tcPr>
            <w:tcW w:w="9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EAADB" w:themeFill="accent1" w:themeFillTint="99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空气质量级别</w:t>
            </w:r>
          </w:p>
        </w:tc>
        <w:tc>
          <w:tcPr>
            <w:tcW w:w="121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EAADB" w:themeFill="accent1" w:themeFillTint="99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空气质量状况</w:t>
            </w:r>
          </w:p>
        </w:tc>
        <w:tc>
          <w:tcPr>
            <w:tcW w:w="97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EAADB" w:themeFill="accent1" w:themeFillTint="99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表征</w:t>
            </w:r>
          </w:p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颜色</w:t>
            </w:r>
          </w:p>
        </w:tc>
        <w:tc>
          <w:tcPr>
            <w:tcW w:w="269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对健康的影响</w:t>
            </w:r>
          </w:p>
        </w:tc>
        <w:tc>
          <w:tcPr>
            <w:tcW w:w="267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8EAADB" w:themeFill="accent1" w:themeFillTint="99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建议采取的措施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0～50</w:t>
            </w:r>
          </w:p>
        </w:tc>
        <w:tc>
          <w:tcPr>
            <w:tcW w:w="9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华文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华文楷体" w:eastAsia="仿宋_GB2312" w:cs="宋体"/>
                <w:kern w:val="0"/>
                <w:szCs w:val="21"/>
              </w:rPr>
              <w:t>优</w:t>
            </w: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绿色</w:t>
            </w:r>
          </w:p>
        </w:tc>
        <w:tc>
          <w:tcPr>
            <w:tcW w:w="2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空气质量令人满意，基本无空气污染</w:t>
            </w:r>
          </w:p>
        </w:tc>
        <w:tc>
          <w:tcPr>
            <w:tcW w:w="2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各类人群可正常活动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51～100</w:t>
            </w:r>
          </w:p>
        </w:tc>
        <w:tc>
          <w:tcPr>
            <w:tcW w:w="9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二级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华文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华文楷体" w:eastAsia="仿宋_GB2312" w:cs="宋体"/>
                <w:kern w:val="0"/>
                <w:szCs w:val="21"/>
              </w:rPr>
              <w:t>良</w:t>
            </w: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黄色</w:t>
            </w:r>
          </w:p>
        </w:tc>
        <w:tc>
          <w:tcPr>
            <w:tcW w:w="2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空气质量可接受，但某些污染物可能对极少数异常敏感人群健康有较弱影响</w:t>
            </w:r>
          </w:p>
        </w:tc>
        <w:tc>
          <w:tcPr>
            <w:tcW w:w="2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较少数异常敏感人群应减少户外活动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101～150</w:t>
            </w:r>
          </w:p>
        </w:tc>
        <w:tc>
          <w:tcPr>
            <w:tcW w:w="9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三级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华文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华文楷体" w:eastAsia="仿宋_GB2312" w:cs="宋体"/>
                <w:kern w:val="0"/>
                <w:szCs w:val="21"/>
              </w:rPr>
              <w:t>轻度污染</w:t>
            </w: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橙色</w:t>
            </w:r>
          </w:p>
        </w:tc>
        <w:tc>
          <w:tcPr>
            <w:tcW w:w="2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敏感人群症状有轻度加剧，健康人群出现刺激症状</w:t>
            </w:r>
          </w:p>
        </w:tc>
        <w:tc>
          <w:tcPr>
            <w:tcW w:w="2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儿童、老年人及心脏病、呼吸系统疾病患者应减少长时间、高强度户外锻炼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151～200</w:t>
            </w:r>
          </w:p>
        </w:tc>
        <w:tc>
          <w:tcPr>
            <w:tcW w:w="9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四级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华文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华文楷体" w:eastAsia="仿宋_GB2312" w:cs="宋体"/>
                <w:kern w:val="0"/>
                <w:szCs w:val="21"/>
              </w:rPr>
              <w:t>中度污染</w:t>
            </w: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红色</w:t>
            </w:r>
          </w:p>
        </w:tc>
        <w:tc>
          <w:tcPr>
            <w:tcW w:w="2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进一步加剧易感人群症状，可能对健康人群心脏、呼吸系统有影响</w:t>
            </w:r>
          </w:p>
        </w:tc>
        <w:tc>
          <w:tcPr>
            <w:tcW w:w="2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儿童、老年人及心脏病、呼吸系统疾病患者避免长时间、高强度户外锻炼，一般人群适量减少户外运动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201～300</w:t>
            </w:r>
          </w:p>
        </w:tc>
        <w:tc>
          <w:tcPr>
            <w:tcW w:w="9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五级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华文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华文楷体" w:eastAsia="仿宋_GB2312" w:cs="宋体"/>
                <w:kern w:val="0"/>
                <w:szCs w:val="21"/>
              </w:rPr>
              <w:t>重度污染</w:t>
            </w: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紫色</w:t>
            </w:r>
          </w:p>
        </w:tc>
        <w:tc>
          <w:tcPr>
            <w:tcW w:w="2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心脏病和肺病患者症状显著加剧，运动耐受力降低，健康人群普遍出现症状</w:t>
            </w:r>
          </w:p>
        </w:tc>
        <w:tc>
          <w:tcPr>
            <w:tcW w:w="2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儿童、老年人和心脏病、肺病患者应停留在室内，停止户外运动，一般人群减少户外运动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34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＞300</w:t>
            </w:r>
          </w:p>
        </w:tc>
        <w:tc>
          <w:tcPr>
            <w:tcW w:w="9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六级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华文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华文楷体" w:eastAsia="仿宋_GB2312" w:cs="宋体"/>
                <w:kern w:val="0"/>
                <w:szCs w:val="21"/>
              </w:rPr>
              <w:t>严重污染</w:t>
            </w: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褐红色</w:t>
            </w:r>
          </w:p>
        </w:tc>
        <w:tc>
          <w:tcPr>
            <w:tcW w:w="269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健康人群运动耐受力降低，有明显强烈症状，提前出现某些疾病</w:t>
            </w:r>
          </w:p>
        </w:tc>
        <w:tc>
          <w:tcPr>
            <w:tcW w:w="267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儿童、老年人及病人应当留在室内，避免体力消耗，一般人群应避免户外运动</w:t>
            </w:r>
          </w:p>
        </w:tc>
      </w:tr>
    </w:tbl>
    <w:p>
      <w:pPr>
        <w:ind w:firstLine="105" w:firstLineChars="50"/>
      </w:pPr>
    </w:p>
    <w:p>
      <w:pPr>
        <w:ind w:firstLine="151" w:firstLineChars="50"/>
        <w:jc w:val="center"/>
        <w:rPr>
          <w:rFonts w:ascii="Times New Roman" w:hAnsi="Times New Roman" w:eastAsia="楷体_GB2312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楷体_GB2312" w:cs="Times New Roman"/>
          <w:b/>
          <w:bCs/>
          <w:sz w:val="30"/>
          <w:szCs w:val="30"/>
        </w:rPr>
        <w:t>酸雨状况定性评价</w:t>
      </w:r>
    </w:p>
    <w:tbl>
      <w:tblPr>
        <w:tblStyle w:val="11"/>
        <w:tblW w:w="9781" w:type="dxa"/>
        <w:tblInd w:w="-719" w:type="dxa"/>
        <w:tbl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2"/>
        <w:gridCol w:w="3663"/>
        <w:gridCol w:w="3176"/>
      </w:tblGrid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  <w:shd w:val="clear" w:color="auto" w:fill="8EAADB" w:themeFill="accent1" w:themeFillTint="99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</w:rPr>
              <w:t xml:space="preserve">等 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</w:rPr>
              <w:t>级</w:t>
            </w:r>
          </w:p>
        </w:tc>
        <w:tc>
          <w:tcPr>
            <w:tcW w:w="3663" w:type="dxa"/>
            <w:tcBorders>
              <w:top w:val="single" w:color="A5A5A5" w:themeColor="accent3" w:sz="8" w:space="0"/>
              <w:bottom w:val="single" w:color="auto" w:sz="4" w:space="0"/>
            </w:tcBorders>
            <w:shd w:val="clear" w:color="auto" w:fill="8EAADB" w:themeFill="accent1" w:themeFillTint="99"/>
          </w:tcPr>
          <w:p>
            <w:pPr>
              <w:spacing w:before="0" w:after="0" w:line="240" w:lineRule="auto"/>
              <w:ind w:firstLine="221" w:firstLineChars="100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</w:rPr>
              <w:t xml:space="preserve">质 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</w:rPr>
              <w:t xml:space="preserve">量 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</w:rPr>
              <w:t xml:space="preserve">状 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</w:rPr>
              <w:t>况</w:t>
            </w:r>
          </w:p>
        </w:tc>
        <w:tc>
          <w:tcPr>
            <w:tcW w:w="3176" w:type="dxa"/>
            <w:tcBorders>
              <w:top w:val="single" w:color="A5A5A5" w:themeColor="accent3" w:sz="8" w:space="0"/>
              <w:bottom w:val="single" w:color="auto" w:sz="4" w:space="0"/>
            </w:tcBorders>
            <w:shd w:val="clear" w:color="auto" w:fill="8EAADB" w:themeFill="accent1" w:themeFillTint="99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 w:val="0"/>
                <w:bCs w:val="0"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lang w:val="zh-CN"/>
              </w:rPr>
              <w:t>p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lang w:val="zh-CN"/>
              </w:rPr>
              <w:t xml:space="preserve">H  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  <w:lang w:val="zh-CN"/>
              </w:rPr>
              <w:t>平 均 值</w:t>
            </w:r>
          </w:p>
        </w:tc>
      </w:tr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Ⅰ</w:t>
            </w:r>
          </w:p>
        </w:tc>
        <w:tc>
          <w:tcPr>
            <w:tcW w:w="3663" w:type="dxa"/>
            <w:tcBorders>
              <w:top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酸雨</w:t>
            </w:r>
          </w:p>
        </w:tc>
        <w:tc>
          <w:tcPr>
            <w:tcW w:w="3176" w:type="dxa"/>
            <w:tcBorders>
              <w:top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5</w:t>
            </w:r>
            <w:r>
              <w:rPr>
                <w:rFonts w:ascii="仿宋" w:hAnsi="仿宋" w:eastAsia="仿宋"/>
                <w:kern w:val="0"/>
                <w:sz w:val="22"/>
              </w:rPr>
              <w:t>.00</w:t>
            </w:r>
            <w:r>
              <w:rPr>
                <w:rFonts w:hint="eastAsia" w:ascii="仿宋" w:hAnsi="仿宋" w:eastAsia="仿宋"/>
                <w:kern w:val="0"/>
                <w:sz w:val="22"/>
              </w:rPr>
              <w:t>≤</w:t>
            </w:r>
            <w:r>
              <w:rPr>
                <w:rFonts w:hint="eastAsia" w:ascii="仿宋" w:hAnsi="仿宋" w:eastAsia="仿宋"/>
                <w:kern w:val="0"/>
                <w:sz w:val="22"/>
                <w:lang w:val="zh-CN"/>
              </w:rPr>
              <w:t>p</w:t>
            </w:r>
            <w:r>
              <w:rPr>
                <w:rFonts w:ascii="仿宋" w:hAnsi="仿宋" w:eastAsia="仿宋"/>
                <w:kern w:val="0"/>
                <w:sz w:val="22"/>
                <w:lang w:val="zh-CN"/>
              </w:rPr>
              <w:t>H</w:t>
            </w:r>
            <w:r>
              <w:rPr>
                <w:rFonts w:hint="eastAsia" w:ascii="仿宋" w:hAnsi="仿宋" w:eastAsia="仿宋"/>
                <w:kern w:val="0"/>
                <w:sz w:val="22"/>
              </w:rPr>
              <w:t>＜5</w:t>
            </w:r>
            <w:r>
              <w:rPr>
                <w:rFonts w:ascii="仿宋" w:hAnsi="仿宋" w:eastAsia="仿宋"/>
                <w:kern w:val="0"/>
                <w:sz w:val="22"/>
              </w:rPr>
              <w:t>.60</w:t>
            </w:r>
          </w:p>
        </w:tc>
      </w:tr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Ⅱ</w:t>
            </w:r>
          </w:p>
        </w:tc>
        <w:tc>
          <w:tcPr>
            <w:tcW w:w="3663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较重酸雨</w:t>
            </w:r>
          </w:p>
        </w:tc>
        <w:tc>
          <w:tcPr>
            <w:tcW w:w="3176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ascii="仿宋" w:hAnsi="仿宋" w:eastAsia="仿宋"/>
                <w:kern w:val="0"/>
                <w:sz w:val="22"/>
              </w:rPr>
              <w:t>4.50</w:t>
            </w:r>
            <w:r>
              <w:rPr>
                <w:rFonts w:hint="eastAsia" w:ascii="仿宋" w:hAnsi="仿宋" w:eastAsia="仿宋"/>
                <w:kern w:val="0"/>
                <w:sz w:val="22"/>
              </w:rPr>
              <w:t>≤</w:t>
            </w:r>
            <w:r>
              <w:rPr>
                <w:rFonts w:hint="eastAsia" w:ascii="仿宋" w:hAnsi="仿宋" w:eastAsia="仿宋"/>
                <w:kern w:val="0"/>
                <w:sz w:val="22"/>
                <w:lang w:val="zh-CN"/>
              </w:rPr>
              <w:t>p</w:t>
            </w:r>
            <w:r>
              <w:rPr>
                <w:rFonts w:ascii="仿宋" w:hAnsi="仿宋" w:eastAsia="仿宋"/>
                <w:kern w:val="0"/>
                <w:sz w:val="22"/>
                <w:lang w:val="zh-CN"/>
              </w:rPr>
              <w:t>H</w:t>
            </w:r>
            <w:r>
              <w:rPr>
                <w:rFonts w:hint="eastAsia" w:ascii="仿宋" w:hAnsi="仿宋" w:eastAsia="仿宋"/>
                <w:kern w:val="0"/>
                <w:sz w:val="22"/>
              </w:rPr>
              <w:t>＜5</w:t>
            </w:r>
            <w:r>
              <w:rPr>
                <w:rFonts w:ascii="仿宋" w:hAnsi="仿宋" w:eastAsia="仿宋"/>
                <w:kern w:val="0"/>
                <w:sz w:val="22"/>
              </w:rPr>
              <w:t>.00</w:t>
            </w:r>
          </w:p>
        </w:tc>
      </w:tr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Ⅲ</w:t>
            </w:r>
          </w:p>
        </w:tc>
        <w:tc>
          <w:tcPr>
            <w:tcW w:w="3663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重酸雨</w:t>
            </w:r>
          </w:p>
        </w:tc>
        <w:tc>
          <w:tcPr>
            <w:tcW w:w="3176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lang w:val="zh-CN"/>
              </w:rPr>
              <w:t>p</w:t>
            </w:r>
            <w:r>
              <w:rPr>
                <w:rFonts w:ascii="仿宋" w:hAnsi="仿宋" w:eastAsia="仿宋"/>
                <w:kern w:val="0"/>
                <w:sz w:val="22"/>
                <w:lang w:val="zh-CN"/>
              </w:rPr>
              <w:t>H</w:t>
            </w:r>
            <w:r>
              <w:rPr>
                <w:rFonts w:hint="eastAsia" w:ascii="仿宋" w:hAnsi="仿宋" w:eastAsia="仿宋"/>
                <w:kern w:val="0"/>
                <w:sz w:val="22"/>
              </w:rPr>
              <w:t>＜</w:t>
            </w:r>
            <w:r>
              <w:rPr>
                <w:rFonts w:ascii="仿宋" w:hAnsi="仿宋" w:eastAsia="仿宋"/>
                <w:kern w:val="0"/>
                <w:sz w:val="22"/>
              </w:rPr>
              <w:t>4.50</w:t>
            </w:r>
          </w:p>
        </w:tc>
      </w:tr>
    </w:tbl>
    <w:p>
      <w:pPr>
        <w:ind w:firstLine="151" w:firstLineChars="50"/>
        <w:rPr>
          <w:rFonts w:ascii="仿宋_GB2312" w:hAnsi="华文楷体" w:eastAsia="仿宋_GB2312"/>
          <w:b/>
          <w:sz w:val="30"/>
          <w:szCs w:val="30"/>
        </w:rPr>
      </w:pPr>
    </w:p>
    <w:p>
      <w:pPr>
        <w:ind w:firstLine="151" w:firstLineChars="50"/>
        <w:rPr>
          <w:rFonts w:ascii="仿宋_GB2312" w:hAnsi="华文楷体" w:eastAsia="仿宋_GB2312"/>
          <w:b/>
          <w:sz w:val="30"/>
          <w:szCs w:val="30"/>
        </w:rPr>
      </w:pPr>
      <w:r>
        <w:rPr>
          <w:rFonts w:hint="eastAsia" w:ascii="仿宋_GB2312" w:hAnsi="华文楷体" w:eastAsia="仿宋_GB2312"/>
          <w:b/>
          <w:sz w:val="30"/>
          <w:szCs w:val="30"/>
        </w:rPr>
        <w:t xml:space="preserve">编　　写：陈 超 </w:t>
      </w:r>
      <w:r>
        <w:rPr>
          <w:rFonts w:ascii="仿宋_GB2312" w:hAnsi="华文楷体" w:eastAsia="仿宋_GB2312"/>
          <w:b/>
          <w:sz w:val="30"/>
          <w:szCs w:val="30"/>
        </w:rPr>
        <w:t xml:space="preserve">              </w:t>
      </w:r>
      <w:r>
        <w:rPr>
          <w:rFonts w:hint="eastAsia" w:ascii="仿宋_GB2312" w:hAnsi="华文楷体" w:eastAsia="仿宋_GB2312"/>
          <w:b/>
          <w:sz w:val="30"/>
          <w:szCs w:val="30"/>
        </w:rPr>
        <w:t>审　　核：罗 葳  　　　　</w:t>
      </w:r>
    </w:p>
    <w:p>
      <w:pPr>
        <w:ind w:firstLine="151" w:firstLineChars="50"/>
        <w:rPr>
          <w:rFonts w:ascii="仿宋_GB2312" w:hAnsi="华文楷体" w:eastAsia="仿宋_GB2312"/>
          <w:sz w:val="30"/>
          <w:szCs w:val="30"/>
        </w:rPr>
      </w:pPr>
      <w:r>
        <w:rPr>
          <w:rFonts w:hint="eastAsia" w:ascii="仿宋_GB2312" w:hAnsi="华文楷体" w:eastAsia="仿宋_GB2312"/>
          <w:b/>
          <w:sz w:val="30"/>
          <w:szCs w:val="30"/>
        </w:rPr>
        <w:t>审　　定：朱 洲</w:t>
      </w:r>
      <w:r>
        <w:rPr>
          <w:rFonts w:hint="eastAsia" w:ascii="仿宋_GB2312" w:hAnsi="华文楷体" w:eastAsia="仿宋_GB2312"/>
          <w:sz w:val="30"/>
          <w:szCs w:val="30"/>
        </w:rPr>
        <w:t xml:space="preserve">　 </w:t>
      </w:r>
      <w:r>
        <w:rPr>
          <w:rFonts w:ascii="仿宋_GB2312" w:hAnsi="华文楷体" w:eastAsia="仿宋_GB2312"/>
          <w:sz w:val="30"/>
          <w:szCs w:val="30"/>
        </w:rPr>
        <w:t xml:space="preserve">            </w:t>
      </w:r>
      <w:r>
        <w:rPr>
          <w:rFonts w:hint="eastAsia" w:ascii="仿宋_GB2312" w:hAnsi="华文楷体" w:eastAsia="仿宋_GB2312"/>
          <w:b/>
          <w:sz w:val="30"/>
          <w:szCs w:val="30"/>
        </w:rPr>
        <w:t>签　　发：朱鸿毅</w:t>
      </w:r>
      <w:r>
        <w:rPr>
          <w:rFonts w:hint="eastAsia" w:ascii="仿宋_GB2312" w:hAnsi="华文楷体" w:eastAsia="仿宋_GB2312"/>
          <w:sz w:val="30"/>
          <w:szCs w:val="30"/>
        </w:rPr>
        <w:t>　　　　　　　</w:t>
      </w:r>
    </w:p>
    <w:p>
      <w:pPr>
        <w:ind w:firstLine="151" w:firstLineChars="50"/>
        <w:jc w:val="right"/>
      </w:pPr>
      <w:r>
        <w:rPr>
          <w:rFonts w:hint="eastAsia" w:ascii="仿宋_GB2312" w:hAnsi="华文楷体" w:eastAsia="仿宋_GB2312"/>
          <w:b/>
          <w:sz w:val="30"/>
          <w:szCs w:val="30"/>
        </w:rPr>
        <w:t>编写日期：2021年</w:t>
      </w:r>
      <w:r>
        <w:rPr>
          <w:rFonts w:ascii="仿宋_GB2312" w:hAnsi="华文楷体" w:eastAsia="仿宋_GB2312"/>
          <w:b/>
          <w:sz w:val="30"/>
          <w:szCs w:val="30"/>
        </w:rPr>
        <w:t>6</w:t>
      </w:r>
      <w:r>
        <w:rPr>
          <w:rFonts w:hint="eastAsia" w:ascii="仿宋_GB2312" w:hAnsi="华文楷体" w:eastAsia="仿宋_GB2312"/>
          <w:b/>
          <w:sz w:val="30"/>
          <w:szCs w:val="30"/>
        </w:rPr>
        <w:t>月</w:t>
      </w:r>
      <w:r>
        <w:rPr>
          <w:rFonts w:ascii="仿宋_GB2312" w:hAnsi="华文楷体" w:eastAsia="仿宋_GB2312"/>
          <w:b/>
          <w:sz w:val="30"/>
          <w:szCs w:val="30"/>
        </w:rPr>
        <w:t>8</w:t>
      </w:r>
      <w:r>
        <w:rPr>
          <w:rFonts w:hint="eastAsia" w:ascii="仿宋_GB2312" w:hAnsi="华文楷体" w:eastAsia="仿宋_GB2312"/>
          <w:b/>
          <w:sz w:val="30"/>
          <w:szCs w:val="30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Microsoft YaHei UI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34545662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70"/>
    <w:rsid w:val="00000FDD"/>
    <w:rsid w:val="00003E9F"/>
    <w:rsid w:val="00035381"/>
    <w:rsid w:val="0005528C"/>
    <w:rsid w:val="000562A2"/>
    <w:rsid w:val="00062870"/>
    <w:rsid w:val="000723AE"/>
    <w:rsid w:val="000772DD"/>
    <w:rsid w:val="000B0108"/>
    <w:rsid w:val="000B3528"/>
    <w:rsid w:val="000C18F3"/>
    <w:rsid w:val="000E37E5"/>
    <w:rsid w:val="0010051A"/>
    <w:rsid w:val="00103916"/>
    <w:rsid w:val="00105BD3"/>
    <w:rsid w:val="001148E7"/>
    <w:rsid w:val="00121793"/>
    <w:rsid w:val="001305C3"/>
    <w:rsid w:val="001439B5"/>
    <w:rsid w:val="0015362F"/>
    <w:rsid w:val="00161384"/>
    <w:rsid w:val="00165927"/>
    <w:rsid w:val="00172970"/>
    <w:rsid w:val="00177035"/>
    <w:rsid w:val="0018495B"/>
    <w:rsid w:val="00185ED2"/>
    <w:rsid w:val="001A0CCC"/>
    <w:rsid w:val="001A6F36"/>
    <w:rsid w:val="001A7028"/>
    <w:rsid w:val="001D2D96"/>
    <w:rsid w:val="001D4F6F"/>
    <w:rsid w:val="001E2BF3"/>
    <w:rsid w:val="001E5C22"/>
    <w:rsid w:val="0021659B"/>
    <w:rsid w:val="0022048C"/>
    <w:rsid w:val="002215D2"/>
    <w:rsid w:val="00233182"/>
    <w:rsid w:val="00235C80"/>
    <w:rsid w:val="00240378"/>
    <w:rsid w:val="002736B4"/>
    <w:rsid w:val="0028286D"/>
    <w:rsid w:val="002A39A2"/>
    <w:rsid w:val="002E00D3"/>
    <w:rsid w:val="002E2D9D"/>
    <w:rsid w:val="002E3C83"/>
    <w:rsid w:val="002F0AF3"/>
    <w:rsid w:val="0030087A"/>
    <w:rsid w:val="00304FED"/>
    <w:rsid w:val="00307DED"/>
    <w:rsid w:val="00314D50"/>
    <w:rsid w:val="00315455"/>
    <w:rsid w:val="00337200"/>
    <w:rsid w:val="00341C85"/>
    <w:rsid w:val="00342F0D"/>
    <w:rsid w:val="00345DE5"/>
    <w:rsid w:val="00363A1A"/>
    <w:rsid w:val="003734DB"/>
    <w:rsid w:val="0037764D"/>
    <w:rsid w:val="00377C0B"/>
    <w:rsid w:val="003801EB"/>
    <w:rsid w:val="00394C7D"/>
    <w:rsid w:val="003A6576"/>
    <w:rsid w:val="003B1A12"/>
    <w:rsid w:val="003D1E8A"/>
    <w:rsid w:val="003E3714"/>
    <w:rsid w:val="003F15ED"/>
    <w:rsid w:val="00404C3D"/>
    <w:rsid w:val="00432B1F"/>
    <w:rsid w:val="00435213"/>
    <w:rsid w:val="0044384C"/>
    <w:rsid w:val="004643F6"/>
    <w:rsid w:val="00467918"/>
    <w:rsid w:val="00471023"/>
    <w:rsid w:val="004872DD"/>
    <w:rsid w:val="00490C87"/>
    <w:rsid w:val="0049655A"/>
    <w:rsid w:val="004B10AA"/>
    <w:rsid w:val="004B13EF"/>
    <w:rsid w:val="004B2081"/>
    <w:rsid w:val="004C1F36"/>
    <w:rsid w:val="004C759E"/>
    <w:rsid w:val="004D75D9"/>
    <w:rsid w:val="004E6ED1"/>
    <w:rsid w:val="00515537"/>
    <w:rsid w:val="00520DB8"/>
    <w:rsid w:val="005235DB"/>
    <w:rsid w:val="00523795"/>
    <w:rsid w:val="0053276B"/>
    <w:rsid w:val="00533E87"/>
    <w:rsid w:val="00542ABA"/>
    <w:rsid w:val="0054313E"/>
    <w:rsid w:val="00546695"/>
    <w:rsid w:val="0055394E"/>
    <w:rsid w:val="00555E41"/>
    <w:rsid w:val="0057138F"/>
    <w:rsid w:val="00572961"/>
    <w:rsid w:val="0057706E"/>
    <w:rsid w:val="00580A96"/>
    <w:rsid w:val="00582B7E"/>
    <w:rsid w:val="00585D13"/>
    <w:rsid w:val="00587C31"/>
    <w:rsid w:val="00590DF9"/>
    <w:rsid w:val="005D37E3"/>
    <w:rsid w:val="005E646C"/>
    <w:rsid w:val="005F5B0E"/>
    <w:rsid w:val="00606200"/>
    <w:rsid w:val="006229A8"/>
    <w:rsid w:val="00624655"/>
    <w:rsid w:val="00633DFC"/>
    <w:rsid w:val="00645D2C"/>
    <w:rsid w:val="00651FB2"/>
    <w:rsid w:val="00666F49"/>
    <w:rsid w:val="00667F29"/>
    <w:rsid w:val="00671F8F"/>
    <w:rsid w:val="0067248C"/>
    <w:rsid w:val="00676829"/>
    <w:rsid w:val="00681F3B"/>
    <w:rsid w:val="00684406"/>
    <w:rsid w:val="00684961"/>
    <w:rsid w:val="00697246"/>
    <w:rsid w:val="006A5881"/>
    <w:rsid w:val="006A6C77"/>
    <w:rsid w:val="006B341B"/>
    <w:rsid w:val="006B4EC9"/>
    <w:rsid w:val="006B56F3"/>
    <w:rsid w:val="006B783E"/>
    <w:rsid w:val="006F3D63"/>
    <w:rsid w:val="00700EE0"/>
    <w:rsid w:val="00703D77"/>
    <w:rsid w:val="00711852"/>
    <w:rsid w:val="00715BA9"/>
    <w:rsid w:val="007162B2"/>
    <w:rsid w:val="00725523"/>
    <w:rsid w:val="007265FC"/>
    <w:rsid w:val="00733863"/>
    <w:rsid w:val="00736975"/>
    <w:rsid w:val="0074283D"/>
    <w:rsid w:val="00764280"/>
    <w:rsid w:val="0077142B"/>
    <w:rsid w:val="00790A73"/>
    <w:rsid w:val="00790E71"/>
    <w:rsid w:val="00796F08"/>
    <w:rsid w:val="007B6193"/>
    <w:rsid w:val="007C355C"/>
    <w:rsid w:val="007C50FB"/>
    <w:rsid w:val="00801580"/>
    <w:rsid w:val="00821F45"/>
    <w:rsid w:val="00832E01"/>
    <w:rsid w:val="00840062"/>
    <w:rsid w:val="008516DC"/>
    <w:rsid w:val="00851A52"/>
    <w:rsid w:val="00861DB3"/>
    <w:rsid w:val="00871246"/>
    <w:rsid w:val="008728A5"/>
    <w:rsid w:val="00894A89"/>
    <w:rsid w:val="008979AD"/>
    <w:rsid w:val="008A7E60"/>
    <w:rsid w:val="008C5984"/>
    <w:rsid w:val="008C63E3"/>
    <w:rsid w:val="008D2BB9"/>
    <w:rsid w:val="008D504C"/>
    <w:rsid w:val="008F3A4C"/>
    <w:rsid w:val="008F69CC"/>
    <w:rsid w:val="008F6A4F"/>
    <w:rsid w:val="00907674"/>
    <w:rsid w:val="00910BE1"/>
    <w:rsid w:val="009116B5"/>
    <w:rsid w:val="0091606B"/>
    <w:rsid w:val="00917244"/>
    <w:rsid w:val="0093348E"/>
    <w:rsid w:val="00936B47"/>
    <w:rsid w:val="00946C70"/>
    <w:rsid w:val="0097124D"/>
    <w:rsid w:val="009906F0"/>
    <w:rsid w:val="009918EE"/>
    <w:rsid w:val="009C54D6"/>
    <w:rsid w:val="009D2179"/>
    <w:rsid w:val="009E02F4"/>
    <w:rsid w:val="009E2044"/>
    <w:rsid w:val="00A05D6B"/>
    <w:rsid w:val="00A06537"/>
    <w:rsid w:val="00A072E1"/>
    <w:rsid w:val="00A16F50"/>
    <w:rsid w:val="00A17D4A"/>
    <w:rsid w:val="00A37445"/>
    <w:rsid w:val="00A41A1A"/>
    <w:rsid w:val="00A5115C"/>
    <w:rsid w:val="00A72126"/>
    <w:rsid w:val="00A80D3E"/>
    <w:rsid w:val="00A83BFD"/>
    <w:rsid w:val="00A91E06"/>
    <w:rsid w:val="00A91FA0"/>
    <w:rsid w:val="00AA39F3"/>
    <w:rsid w:val="00AA3A15"/>
    <w:rsid w:val="00AB18CA"/>
    <w:rsid w:val="00AB2CEB"/>
    <w:rsid w:val="00AB7178"/>
    <w:rsid w:val="00AC5CFD"/>
    <w:rsid w:val="00AC72C7"/>
    <w:rsid w:val="00AE7125"/>
    <w:rsid w:val="00AF599F"/>
    <w:rsid w:val="00B1238E"/>
    <w:rsid w:val="00B14DBD"/>
    <w:rsid w:val="00B26C30"/>
    <w:rsid w:val="00B2779E"/>
    <w:rsid w:val="00B43AC7"/>
    <w:rsid w:val="00B46634"/>
    <w:rsid w:val="00B47875"/>
    <w:rsid w:val="00B65740"/>
    <w:rsid w:val="00B65FCE"/>
    <w:rsid w:val="00B8178A"/>
    <w:rsid w:val="00B86C99"/>
    <w:rsid w:val="00B94AA3"/>
    <w:rsid w:val="00BB0C9D"/>
    <w:rsid w:val="00BB2BD6"/>
    <w:rsid w:val="00BB7CFA"/>
    <w:rsid w:val="00BE133D"/>
    <w:rsid w:val="00BE2CDD"/>
    <w:rsid w:val="00BF37EB"/>
    <w:rsid w:val="00BF52E5"/>
    <w:rsid w:val="00C040FE"/>
    <w:rsid w:val="00C0701A"/>
    <w:rsid w:val="00C2657A"/>
    <w:rsid w:val="00C32220"/>
    <w:rsid w:val="00C32F0F"/>
    <w:rsid w:val="00C44687"/>
    <w:rsid w:val="00C44986"/>
    <w:rsid w:val="00C50B4C"/>
    <w:rsid w:val="00C62233"/>
    <w:rsid w:val="00C92F2B"/>
    <w:rsid w:val="00CC1A07"/>
    <w:rsid w:val="00CE0F93"/>
    <w:rsid w:val="00CE7CDA"/>
    <w:rsid w:val="00D0134A"/>
    <w:rsid w:val="00D16841"/>
    <w:rsid w:val="00D17D5D"/>
    <w:rsid w:val="00D24CCF"/>
    <w:rsid w:val="00D37C84"/>
    <w:rsid w:val="00D37D5C"/>
    <w:rsid w:val="00D4499C"/>
    <w:rsid w:val="00D4716E"/>
    <w:rsid w:val="00D636E5"/>
    <w:rsid w:val="00D65FBD"/>
    <w:rsid w:val="00D90ACC"/>
    <w:rsid w:val="00DB420F"/>
    <w:rsid w:val="00DB7A2B"/>
    <w:rsid w:val="00DC607B"/>
    <w:rsid w:val="00DE39D2"/>
    <w:rsid w:val="00DE4C70"/>
    <w:rsid w:val="00E33598"/>
    <w:rsid w:val="00E422BF"/>
    <w:rsid w:val="00E45379"/>
    <w:rsid w:val="00E6161B"/>
    <w:rsid w:val="00E64F4A"/>
    <w:rsid w:val="00E772EE"/>
    <w:rsid w:val="00E93A41"/>
    <w:rsid w:val="00EA642C"/>
    <w:rsid w:val="00EB076E"/>
    <w:rsid w:val="00EB1B83"/>
    <w:rsid w:val="00EB3C72"/>
    <w:rsid w:val="00EB5092"/>
    <w:rsid w:val="00EC37FF"/>
    <w:rsid w:val="00ED2662"/>
    <w:rsid w:val="00EE0305"/>
    <w:rsid w:val="00F47EBA"/>
    <w:rsid w:val="00F503E7"/>
    <w:rsid w:val="00F61AA3"/>
    <w:rsid w:val="00F63651"/>
    <w:rsid w:val="00F86435"/>
    <w:rsid w:val="00F92F47"/>
    <w:rsid w:val="00F937A5"/>
    <w:rsid w:val="00F94C95"/>
    <w:rsid w:val="00F97ACF"/>
    <w:rsid w:val="00FA6ADE"/>
    <w:rsid w:val="00FA7268"/>
    <w:rsid w:val="00FB2DBD"/>
    <w:rsid w:val="00FC65B1"/>
    <w:rsid w:val="00FD2FFF"/>
    <w:rsid w:val="00FD3AE3"/>
    <w:rsid w:val="00FD6882"/>
    <w:rsid w:val="00FF0705"/>
    <w:rsid w:val="042D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snapToGrid w:val="0"/>
      <w:spacing w:line="540" w:lineRule="exact"/>
      <w:outlineLvl w:val="1"/>
    </w:pPr>
    <w:rPr>
      <w:rFonts w:ascii="Times New Roman" w:hAnsi="Times New Roman" w:eastAsia="楷体_GB2312" w:cs="Times New Roman"/>
      <w:b/>
      <w:bCs/>
      <w:sz w:val="30"/>
      <w:szCs w:val="30"/>
    </w:rPr>
  </w:style>
  <w:style w:type="character" w:default="1" w:styleId="13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20"/>
    <w:unhideWhenUsed/>
    <w:qFormat/>
    <w:uiPriority w:val="99"/>
    <w:pPr>
      <w:widowControl/>
      <w:jc w:val="left"/>
    </w:pPr>
    <w:rPr>
      <w:rFonts w:cs="Times New Roman"/>
      <w:kern w:val="0"/>
      <w:sz w:val="20"/>
      <w:szCs w:val="20"/>
    </w:rPr>
  </w:style>
  <w:style w:type="table" w:styleId="9">
    <w:name w:val="Light Shading Accent 1"/>
    <w:basedOn w:val="8"/>
    <w:qFormat/>
    <w:uiPriority w:val="60"/>
    <w:rPr>
      <w:color w:val="2F5597" w:themeColor="accent1" w:themeShade="BF"/>
      <w:kern w:val="0"/>
      <w:sz w:val="22"/>
    </w:rPr>
    <w:tblPr>
      <w:tblBorders>
        <w:top w:val="single" w:color="4472C4" w:themeColor="accent1" w:sz="8" w:space="0"/>
        <w:bottom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1" w:themeFillTint="3F"/>
      </w:tcPr>
    </w:tblStylePr>
  </w:style>
  <w:style w:type="table" w:styleId="10">
    <w:name w:val="Light List"/>
    <w:basedOn w:val="8"/>
    <w:qFormat/>
    <w:uiPriority w:val="61"/>
    <w:rPr>
      <w:kern w:val="0"/>
      <w:sz w:val="22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1">
    <w:name w:val="Light List Accent 3"/>
    <w:basedOn w:val="8"/>
    <w:uiPriority w:val="61"/>
    <w:rPr>
      <w:kern w:val="0"/>
      <w:sz w:val="22"/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12">
    <w:name w:val="Medium Shading 2 Accent 5"/>
    <w:basedOn w:val="8"/>
    <w:qFormat/>
    <w:uiPriority w:val="64"/>
    <w:rPr>
      <w:kern w:val="0"/>
      <w:sz w:val="22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customStyle="1" w:styleId="14">
    <w:name w:val="Decimal Aligned"/>
    <w:basedOn w:val="1"/>
    <w:qFormat/>
    <w:uiPriority w:val="40"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</w:rPr>
  </w:style>
  <w:style w:type="table" w:customStyle="1" w:styleId="15">
    <w:name w:val="List Table 6 Colorful Accent 6"/>
    <w:basedOn w:val="8"/>
    <w:uiPriority w:val="51"/>
    <w:rPr>
      <w:color w:val="548235" w:themeColor="accent6" w:themeShade="BF"/>
      <w:kern w:val="0"/>
      <w:sz w:val="20"/>
      <w:szCs w:val="20"/>
    </w:rPr>
    <w:tblPr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character" w:customStyle="1" w:styleId="16">
    <w:name w:val="页眉 字符"/>
    <w:basedOn w:val="13"/>
    <w:link w:val="6"/>
    <w:uiPriority w:val="99"/>
    <w:rPr>
      <w:sz w:val="18"/>
      <w:szCs w:val="18"/>
    </w:rPr>
  </w:style>
  <w:style w:type="character" w:customStyle="1" w:styleId="17">
    <w:name w:val="页脚 字符"/>
    <w:basedOn w:val="13"/>
    <w:link w:val="5"/>
    <w:uiPriority w:val="99"/>
    <w:rPr>
      <w:sz w:val="18"/>
      <w:szCs w:val="18"/>
    </w:rPr>
  </w:style>
  <w:style w:type="character" w:customStyle="1" w:styleId="18">
    <w:name w:val="标题 1 字符"/>
    <w:basedOn w:val="13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标题 2 字符"/>
    <w:basedOn w:val="13"/>
    <w:link w:val="3"/>
    <w:uiPriority w:val="0"/>
    <w:rPr>
      <w:rFonts w:ascii="Times New Roman" w:hAnsi="Times New Roman" w:eastAsia="楷体_GB2312" w:cs="Times New Roman"/>
      <w:b/>
      <w:bCs/>
      <w:sz w:val="30"/>
      <w:szCs w:val="30"/>
    </w:rPr>
  </w:style>
  <w:style w:type="character" w:customStyle="1" w:styleId="20">
    <w:name w:val="脚注文本 字符"/>
    <w:basedOn w:val="13"/>
    <w:link w:val="7"/>
    <w:uiPriority w:val="99"/>
    <w:rPr>
      <w:rFonts w:cs="Times New Roman"/>
      <w:kern w:val="0"/>
      <w:sz w:val="20"/>
      <w:szCs w:val="20"/>
    </w:rPr>
  </w:style>
  <w:style w:type="character" w:customStyle="1" w:styleId="21">
    <w:name w:val="Subtle Emphasis"/>
    <w:basedOn w:val="13"/>
    <w:qFormat/>
    <w:uiPriority w:val="19"/>
    <w:rPr>
      <w:i/>
      <w:iCs/>
    </w:rPr>
  </w:style>
  <w:style w:type="table" w:customStyle="1" w:styleId="22">
    <w:name w:val="List Table 7 Colorful Accent 5"/>
    <w:basedOn w:val="8"/>
    <w:uiPriority w:val="52"/>
    <w:rPr>
      <w:color w:val="2E75B6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5B9BD5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5B9BD5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5B9BD5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5B9BD5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23">
    <w:name w:val="批注框文本 字符"/>
    <w:basedOn w:val="13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</c:spPr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0.0361197110423117"/>
          <c:y val="0.109839715048976"/>
          <c:w val="0.943240454076367"/>
          <c:h val="0.670742737745493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4月空气质量类别统计表</c:v>
                </c:pt>
              </c:strCache>
            </c:strRef>
          </c:tx>
          <c:spPr/>
          <c:explosion val="0"/>
          <c:dPt>
            <c:idx val="0"/>
            <c:bubble3D val="0"/>
            <c:explosion val="9"/>
            <c:spPr>
              <a:solidFill>
                <a:srgbClr val="00B05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/>
            </c:spPr>
          </c:dPt>
          <c:dPt>
            <c:idx val="1"/>
            <c:bubble3D val="0"/>
            <c:explosion val="13"/>
            <c:spPr>
              <a:solidFill>
                <a:srgbClr val="FFFF0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/>
            </c:spPr>
          </c:dPt>
          <c:dPt>
            <c:idx val="2"/>
            <c:bubble3D val="0"/>
            <c:explosion val="31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/>
            </c:spPr>
          </c:dPt>
          <c:dPt>
            <c:idx val="3"/>
            <c:bubble3D val="0"/>
            <c:explosion val="27"/>
            <c:spPr>
              <a:solidFill>
                <a:srgbClr val="FF000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/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fld id="{7457564d-5b4c-4e43-bc20-eccf328f212f}" type="CATEGORYNAME">
                      <a:t>[CATEGORY NAME]</a:t>
                    </a:fld>
                    <a:endParaRPr lang="zh-CN" altLang="en-US" b="0" i="0" u="none" strike="noStrike" baseline="0">
                      <a:latin typeface="Times New Roman" panose="02020603050405020304" charset="0"/>
                      <a:ea typeface="Times New Roman" panose="02020603050405020304" charset="0"/>
                      <a:cs typeface="+mn-ea"/>
                    </a:endParaRPr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fld id="{58c8330c-fba9-4e97-acdd-3dd0058427b5}" type="CATEGORYNAME">
                      <a:t>[CATEGORY NAME]</a:t>
                    </a:fld>
                    <a:endParaRPr lang="zh-CN" altLang="en-US" b="0" i="0" u="none" strike="noStrike" baseline="0">
                      <a:latin typeface="Times New Roman" panose="02020603050405020304" charset="0"/>
                      <a:ea typeface="Times New Roman" panose="02020603050405020304" charset="0"/>
                      <a:cs typeface="+mn-ea"/>
                    </a:endParaRPr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0459356183418249"/>
                  <c:y val="0.025679272485305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fld id="{5d4e2b74-8b85-42f2-8a6f-072f7f029f6f}" type="CATEGORYNAME">
                      <a:t>[CATEGORY NAME]</a:t>
                    </a:fld>
                    <a:endParaRPr lang="en-US" altLang="zh-CN" b="0" i="0" u="none" strike="noStrike" baseline="0">
                      <a:latin typeface="Times New Roman" panose="02020603050405020304" charset="0"/>
                      <a:ea typeface="Times New Roman" panose="02020603050405020304" charset="0"/>
                      <a:cs typeface="+mn-ea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785684974362725"/>
                  <c:y val="0.017928040685055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fld id="{0cf0974e-25de-46a0-a930-2d61ca29dca6}" type="CATEGORYNAME">
                      <a:t>[CATEGORY NAME]</a:t>
                    </a:fld>
                    <a:endParaRPr lang="en-US" altLang="zh-CN" b="0" i="0" u="none" strike="noStrike" baseline="0">
                      <a:latin typeface="Times New Roman" panose="02020603050405020304" charset="0"/>
                      <a:ea typeface="Times New Roman" panose="02020603050405020304" charset="0"/>
                      <a:cs typeface="+mn-ea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2"/>
                <c:pt idx="0">
                  <c:v>优</c:v>
                </c:pt>
                <c:pt idx="1">
                  <c:v>良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0.645</c:v>
                </c:pt>
                <c:pt idx="1">
                  <c:v>0.355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</c:spPr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0.0307219763449499"/>
          <c:y val="0.0820541623873103"/>
          <c:w val="0.948008980267045"/>
          <c:h val="0.72235681396621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图2 1-5月空气质量类别统计表</c:v>
                </c:pt>
              </c:strCache>
            </c:strRef>
          </c:tx>
          <c:spPr/>
          <c:explosion val="0"/>
          <c:dPt>
            <c:idx val="0"/>
            <c:bubble3D val="0"/>
            <c:explosion val="34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15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explosion val="22"/>
            <c:spPr>
              <a:solidFill>
                <a:srgbClr val="FF9933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explosion val="3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0623328411491988"/>
                  <c:y val="0.088478902773022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fld id="{014ff6ed-1de9-4d38-b739-b49d5e317ad6}" type="CATEGORYNAME">
                      <a:t>[CATEGORY NAME]</a:t>
                    </a:fld>
                    <a:endParaRPr lang="zh-CN" altLang="en-US" b="0" i="0" u="none" strike="noStrike" baseline="0">
                      <a:latin typeface="Times New Roman" panose="02020603050405020304" charset="0"/>
                      <a:ea typeface="Times New Roman" panose="02020603050405020304" charset="0"/>
                      <a:cs typeface="+mn-ea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fld id="{9ba012d0-349e-4fd6-917b-0862b63a03e3}" type="CATEGORYNAME">
                      <a:t>[CATEGORY NAME]</a:t>
                    </a:fld>
                    <a:endParaRPr lang="zh-CN" altLang="en-US" b="0" i="0" u="none" strike="noStrike" baseline="0">
                      <a:latin typeface="Times New Roman" panose="02020603050405020304" charset="0"/>
                      <a:ea typeface="Times New Roman" panose="02020603050405020304" charset="0"/>
                      <a:cs typeface="+mn-ea"/>
                    </a:endParaRPr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fld id="{45947702-30d5-4b37-8ec8-046c3aa1149f}" type="CATEGORYNAME">
                      <a:t>[CATEGORY NAME]</a:t>
                    </a:fld>
                    <a:endParaRPr lang="zh-CN" altLang="en-US" b="0" i="0" u="none" strike="noStrike" baseline="0">
                      <a:latin typeface="Times New Roman" panose="02020603050405020304" charset="0"/>
                      <a:ea typeface="Times New Roman" panose="02020603050405020304" charset="0"/>
                      <a:cs typeface="+mn-ea"/>
                    </a:endParaRPr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0576770955739714"/>
                  <c:y val="0.052425325231085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fld id="{fcaa3f9b-c06c-4312-9bc7-108c00eb3831}" type="CATEGORYNAME">
                      <a:t>[CATEGORY NAME]</a:t>
                    </a:fld>
                    <a:endParaRPr lang="zh-CN" altLang="en-US" b="0" i="0" u="none" strike="noStrike" baseline="0">
                      <a:latin typeface="Times New Roman" panose="02020603050405020304" charset="0"/>
                      <a:ea typeface="Times New Roman" panose="02020603050405020304" charset="0"/>
                      <a:cs typeface="+mn-ea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优</c:v>
                </c:pt>
                <c:pt idx="1">
                  <c:v>良</c:v>
                </c:pt>
                <c:pt idx="2">
                  <c:v>轻度污染</c:v>
                </c:pt>
                <c:pt idx="3">
                  <c:v>中度污染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0.431</c:v>
                </c:pt>
                <c:pt idx="1">
                  <c:v>0.43</c:v>
                </c:pt>
                <c:pt idx="2">
                  <c:v>0.119</c:v>
                </c:pt>
                <c:pt idx="3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F0A9C7-4C32-48A8-B351-B713EA8847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658</Words>
  <Characters>3755</Characters>
  <Lines>31</Lines>
  <Paragraphs>8</Paragraphs>
  <TotalTime>695</TotalTime>
  <ScaleCrop>false</ScaleCrop>
  <LinksUpToDate>false</LinksUpToDate>
  <CharactersWithSpaces>4405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2021-06-07T08:19:00Z</dcterms:created>
  <dc:creator>罗葳</dc:creator>
  <cp:lastModifiedBy>Administrator</cp:lastModifiedBy>
  <cp:lastPrinted>2021-03-16T02:07:00Z</cp:lastPrinted>
  <dcterms:modified xsi:type="dcterms:W3CDTF">2021-06-10T00:33:16Z</dcterms:modified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200088063D5B4EB5B21096AB952AD14A</vt:lpwstr>
  </property>
</Properties>
</file>