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color w:val="70AD47"/>
          <w:szCs w:val="21"/>
          <w14:glow w14:rad="38100">
            <w14:schemeClr w14:val="accent1">
              <w14:alpha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</w:p>
    <w:p>
      <w:pPr>
        <w:jc w:val="center"/>
        <w:rPr>
          <w:rFonts w:ascii="新宋体" w:hAnsi="新宋体" w:eastAsia="新宋体" w:cs="新宋体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hint="eastAsia" w:ascii="黑体" w:hAnsi="黑体" w:eastAsia="黑体" w:cs="黑体"/>
          <w:color w:val="70AD47"/>
          <w:sz w:val="84"/>
          <w:szCs w:val="84"/>
          <w14:glow w14:rad="38100">
            <w14:schemeClr w14:val="accent1">
              <w14:alpha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  <w14:props3d w14:extrusionH="0" w14:contourW="0" w14:prstMaterial="clear"/>
        </w:rPr>
        <w:t>邵阳市水环境质量月报</w:t>
      </w:r>
    </w:p>
    <w:p>
      <w:pPr>
        <w:jc w:val="center"/>
        <w:rPr>
          <w:rFonts w:ascii="新宋体" w:hAnsi="新宋体" w:eastAsia="新宋体" w:cs="新宋体"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hint="eastAsia" w:ascii="新宋体" w:hAnsi="新宋体" w:eastAsia="新宋体" w:cs="新宋体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2021年第</w:t>
      </w:r>
      <w:r>
        <w:rPr>
          <w:rFonts w:hint="eastAsia" w:ascii="新宋体" w:hAnsi="新宋体" w:eastAsia="新宋体" w:cs="新宋体"/>
          <w:b/>
          <w:bCs/>
          <w:color w:val="4472C4" w:themeColor="accent5"/>
          <w:spacing w:val="40"/>
          <w:sz w:val="24"/>
          <w:lang w:val="en-US" w:eastAsia="zh-CN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5</w:t>
      </w:r>
      <w:r>
        <w:rPr>
          <w:rFonts w:hint="eastAsia" w:ascii="新宋体" w:hAnsi="新宋体" w:eastAsia="新宋体" w:cs="新宋体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期（总第4</w:t>
      </w:r>
      <w:r>
        <w:rPr>
          <w:rFonts w:hint="eastAsia" w:ascii="新宋体" w:hAnsi="新宋体" w:eastAsia="新宋体" w:cs="新宋体"/>
          <w:b/>
          <w:bCs/>
          <w:color w:val="4472C4" w:themeColor="accent5"/>
          <w:spacing w:val="40"/>
          <w:sz w:val="24"/>
          <w:lang w:val="en-US" w:eastAsia="zh-CN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1</w:t>
      </w:r>
      <w:r>
        <w:rPr>
          <w:rFonts w:hint="eastAsia" w:ascii="新宋体" w:hAnsi="新宋体" w:eastAsia="新宋体" w:cs="新宋体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期）</w:t>
      </w:r>
    </w:p>
    <w:p>
      <w:pPr>
        <w:jc w:val="center"/>
        <w:rPr>
          <w:rFonts w:ascii="新宋体" w:hAnsi="新宋体" w:eastAsia="新宋体" w:cs="新宋体"/>
          <w:color w:val="4472C4" w:themeColor="accent5"/>
          <w:spacing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>
      <w:pPr>
        <w:rPr>
          <w:rFonts w:ascii="新宋体" w:hAnsi="新宋体" w:eastAsia="新宋体" w:cs="新宋体"/>
          <w:color w:val="4472C4" w:themeColor="accent5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hint="eastAsia" w:ascii="新宋体" w:hAnsi="新宋体" w:eastAsia="新宋体" w:cs="新宋体"/>
          <w:color w:val="4472C4" w:themeColor="accent5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</w:p>
    <w:p>
      <w:pPr>
        <w:jc w:val="center"/>
        <w:rPr>
          <w:rFonts w:ascii="新宋体" w:hAnsi="新宋体" w:eastAsia="新宋体" w:cs="新宋体"/>
          <w:b/>
          <w:b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hint="eastAsia" w:ascii="黑体" w:hAnsi="黑体" w:eastAsia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湖南省邵阳生态环境监测中心                             2021年</w:t>
      </w:r>
      <w:r>
        <w:rPr>
          <w:rFonts w:hint="eastAsia" w:ascii="黑体" w:hAnsi="黑体" w:eastAsia="黑体" w:cs="黑体"/>
          <w:b/>
          <w:bCs/>
          <w:color w:val="4472C4" w:themeColor="accent5"/>
          <w:sz w:val="24"/>
          <w:lang w:val="en-US" w:eastAsia="zh-CN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6</w:t>
      </w:r>
      <w:r>
        <w:rPr>
          <w:rFonts w:hint="eastAsia" w:ascii="黑体" w:hAnsi="黑体" w:eastAsia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月</w:t>
      </w:r>
      <w:r>
        <w:rPr>
          <w:rFonts w:ascii="黑体" w:hAnsi="黑体" w:eastAsia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1</w:t>
      </w:r>
      <w:r>
        <w:rPr>
          <w:rFonts w:hint="eastAsia" w:ascii="黑体" w:hAnsi="黑体" w:eastAsia="黑体" w:cs="黑体"/>
          <w:b/>
          <w:bCs/>
          <w:color w:val="4472C4" w:themeColor="accent5"/>
          <w:sz w:val="24"/>
          <w:lang w:val="en-US" w:eastAsia="zh-CN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0</w:t>
      </w:r>
      <w:r>
        <w:rPr>
          <w:rFonts w:hint="eastAsia" w:ascii="黑体" w:hAnsi="黑体" w:eastAsia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日</w:t>
      </w:r>
    </w:p>
    <w:p>
      <w:pPr>
        <w:spacing w:line="80" w:lineRule="exact"/>
        <w:rPr>
          <w:rFonts w:ascii="新宋体" w:hAnsi="新宋体" w:eastAsia="新宋体" w:cs="新宋体"/>
          <w:highlight w:val="blue"/>
          <w:u w:val="double"/>
        </w:rPr>
      </w:pPr>
      <w:r>
        <w:rPr>
          <w:rFonts w:hint="eastAsia" w:ascii="新宋体" w:hAnsi="新宋体" w:eastAsia="新宋体" w:cs="新宋体"/>
          <w:b/>
          <w:bCs/>
          <w:color w:val="4472C4" w:themeColor="accent5"/>
          <w:u w:val="thick"/>
          <w14:textFill>
            <w14:solidFill>
              <w14:schemeClr w14:val="accent5"/>
            </w14:solidFill>
          </w14:textFill>
        </w:rPr>
        <w:t xml:space="preserve">                                                                                   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 xml:space="preserve"> </w:t>
      </w:r>
    </w:p>
    <w:p>
      <w:pPr>
        <w:jc w:val="center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水环境质量概况</w:t>
      </w:r>
    </w:p>
    <w:p>
      <w:pPr>
        <w:spacing w:line="600" w:lineRule="exact"/>
        <w:ind w:firstLine="561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本月，邵阳市地表水总体水质为优。开展监测的53个断面，Ⅰ类水质断面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1.9</w:t>
      </w:r>
      <w:r>
        <w:rPr>
          <w:rFonts w:hint="eastAsia" w:ascii="新宋体" w:hAnsi="新宋体" w:eastAsia="新宋体" w:cs="新宋体"/>
          <w:sz w:val="28"/>
          <w:szCs w:val="28"/>
        </w:rPr>
        <w:t>%；Ⅱ类水质断面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35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66.0</w:t>
      </w:r>
      <w:r>
        <w:rPr>
          <w:rFonts w:hint="eastAsia" w:ascii="新宋体" w:hAnsi="新宋体" w:eastAsia="新宋体" w:cs="新宋体"/>
          <w:sz w:val="28"/>
          <w:szCs w:val="28"/>
        </w:rPr>
        <w:t>%；Ⅲ类水质断面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17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32.1</w:t>
      </w:r>
      <w:r>
        <w:rPr>
          <w:rFonts w:hint="eastAsia" w:ascii="新宋体" w:hAnsi="新宋体" w:eastAsia="新宋体" w:cs="新宋体"/>
          <w:sz w:val="28"/>
          <w:szCs w:val="28"/>
        </w:rPr>
        <w:t>%。邵阳市地表水断面水质类别比例情况详见图1。</w:t>
      </w:r>
    </w:p>
    <w:p>
      <w:pPr>
        <w:spacing w:line="600" w:lineRule="exact"/>
        <w:ind w:firstLine="561"/>
        <w:rPr>
          <w:rFonts w:ascii="新宋体" w:hAnsi="新宋体" w:eastAsia="新宋体" w:cs="新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546100</wp:posOffset>
            </wp:positionH>
            <wp:positionV relativeFrom="paragraph">
              <wp:posOffset>219710</wp:posOffset>
            </wp:positionV>
            <wp:extent cx="4572000" cy="2200275"/>
            <wp:effectExtent l="57150" t="57150" r="38100" b="47625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spacing w:line="600" w:lineRule="exact"/>
        <w:ind w:firstLine="561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color w:val="FFFFFF" w:themeColor="background1"/>
          <w:sz w:val="28"/>
          <w:szCs w:val="28"/>
          <w14:textFill>
            <w14:noFill/>
          </w14:textFill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300" w:lineRule="exact"/>
        <w:ind w:firstLine="561"/>
        <w:jc w:val="center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</w:t>
      </w:r>
    </w:p>
    <w:p>
      <w:pPr>
        <w:spacing w:line="300" w:lineRule="exact"/>
        <w:ind w:firstLine="561"/>
        <w:jc w:val="center"/>
        <w:rPr>
          <w:rFonts w:ascii="新宋体" w:hAnsi="新宋体" w:eastAsia="新宋体" w:cs="新宋体"/>
          <w:b/>
          <w:szCs w:val="21"/>
        </w:rPr>
      </w:pPr>
      <w:r>
        <w:rPr>
          <w:rFonts w:hint="eastAsia" w:ascii="新宋体" w:hAnsi="新宋体" w:eastAsia="新宋体" w:cs="新宋体"/>
          <w:b/>
          <w:szCs w:val="21"/>
        </w:rPr>
        <w:t>图1   2021年</w:t>
      </w:r>
      <w:r>
        <w:rPr>
          <w:rFonts w:hint="eastAsia" w:ascii="新宋体" w:hAnsi="新宋体" w:eastAsia="新宋体" w:cs="新宋体"/>
          <w:b/>
          <w:szCs w:val="21"/>
          <w:lang w:val="en-US" w:eastAsia="zh-CN"/>
        </w:rPr>
        <w:t>5</w:t>
      </w:r>
      <w:r>
        <w:rPr>
          <w:rFonts w:hint="eastAsia" w:ascii="新宋体" w:hAnsi="新宋体" w:eastAsia="新宋体" w:cs="新宋体"/>
          <w:b/>
          <w:szCs w:val="21"/>
        </w:rPr>
        <w:t>月邵阳</w:t>
      </w:r>
      <w:r>
        <w:rPr>
          <w:rFonts w:ascii="新宋体" w:hAnsi="新宋体" w:eastAsia="新宋体" w:cs="新宋体"/>
          <w:b/>
          <w:szCs w:val="21"/>
        </w:rPr>
        <w:t>市</w:t>
      </w:r>
      <w:r>
        <w:rPr>
          <w:rFonts w:hint="eastAsia" w:ascii="新宋体" w:hAnsi="新宋体" w:eastAsia="新宋体" w:cs="新宋体"/>
          <w:b/>
          <w:szCs w:val="21"/>
        </w:rPr>
        <w:t>地表水断面水质</w:t>
      </w:r>
      <w:r>
        <w:rPr>
          <w:rFonts w:ascii="新宋体" w:hAnsi="新宋体" w:eastAsia="新宋体" w:cs="新宋体"/>
          <w:b/>
          <w:szCs w:val="21"/>
        </w:rPr>
        <w:t>类别比例情况</w:t>
      </w:r>
    </w:p>
    <w:p>
      <w:pPr>
        <w:spacing w:line="300" w:lineRule="exact"/>
        <w:ind w:firstLine="561"/>
        <w:jc w:val="center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          </w:t>
      </w:r>
    </w:p>
    <w:p>
      <w:pPr>
        <w:spacing w:line="300" w:lineRule="exact"/>
        <w:ind w:firstLine="561"/>
        <w:jc w:val="center"/>
        <w:rPr>
          <w:rFonts w:ascii="新宋体" w:hAnsi="新宋体" w:eastAsia="新宋体" w:cs="新宋体"/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地表水环境质量状况</w:t>
      </w:r>
    </w:p>
    <w:p>
      <w:pPr>
        <w:spacing w:line="600" w:lineRule="exact"/>
        <w:ind w:firstLine="561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本月，资江、沅江、湘江和珠江水系总体水质为优。</w:t>
      </w:r>
    </w:p>
    <w:p>
      <w:pPr>
        <w:spacing w:line="600" w:lineRule="exact"/>
        <w:ind w:firstLine="561"/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开展监测的53个断面中：15个国控采测分离断面，Ⅰ类水质断面</w:t>
      </w:r>
      <w:r>
        <w:rPr>
          <w:rFonts w:ascii="新宋体" w:hAnsi="新宋体" w:eastAsia="新宋体" w:cs="新宋体"/>
          <w:sz w:val="28"/>
          <w:szCs w:val="28"/>
        </w:rPr>
        <w:t>1</w:t>
      </w:r>
      <w:r>
        <w:rPr>
          <w:rFonts w:hint="eastAsia" w:ascii="新宋体" w:hAnsi="新宋体" w:eastAsia="新宋体" w:cs="新宋体"/>
          <w:sz w:val="28"/>
          <w:szCs w:val="28"/>
        </w:rPr>
        <w:t>个，占6.7%；Ⅱ类水质断面1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73.3</w:t>
      </w:r>
      <w:r>
        <w:rPr>
          <w:rFonts w:hint="eastAsia" w:ascii="新宋体" w:hAnsi="新宋体" w:eastAsia="新宋体" w:cs="新宋体"/>
          <w:sz w:val="28"/>
          <w:szCs w:val="28"/>
        </w:rPr>
        <w:t>%；Ⅲ类水质断面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20.0</w:t>
      </w:r>
      <w:r>
        <w:rPr>
          <w:rFonts w:hint="eastAsia" w:ascii="新宋体" w:hAnsi="新宋体" w:eastAsia="新宋体" w:cs="新宋体"/>
          <w:sz w:val="28"/>
          <w:szCs w:val="28"/>
        </w:rPr>
        <w:t>%。38个省控考核断面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,</w:t>
      </w:r>
      <w:r>
        <w:rPr>
          <w:rFonts w:hint="eastAsia" w:ascii="新宋体" w:hAnsi="新宋体" w:eastAsia="新宋体" w:cs="新宋体"/>
          <w:sz w:val="28"/>
          <w:szCs w:val="28"/>
        </w:rPr>
        <w:t>Ⅱ类水质断面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24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63.2</w:t>
      </w:r>
      <w:r>
        <w:rPr>
          <w:rFonts w:hint="eastAsia" w:ascii="新宋体" w:hAnsi="新宋体" w:eastAsia="新宋体" w:cs="新宋体"/>
          <w:sz w:val="28"/>
          <w:szCs w:val="28"/>
        </w:rPr>
        <w:t>%；Ⅲ类水质断面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14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36.8</w:t>
      </w:r>
      <w:r>
        <w:rPr>
          <w:rFonts w:hint="eastAsia" w:ascii="新宋体" w:hAnsi="新宋体" w:eastAsia="新宋体" w:cs="新宋体"/>
          <w:sz w:val="28"/>
          <w:szCs w:val="28"/>
        </w:rPr>
        <w:t>%。邵阳市国控、省控断面水质类别比例情况详见图2。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</w:t>
      </w:r>
      <w:bookmarkStart w:id="7" w:name="_GoBack"/>
      <w:bookmarkEnd w:id="7"/>
    </w:p>
    <w:p>
      <w:pPr>
        <w:spacing w:line="600" w:lineRule="exact"/>
        <w:rPr>
          <w:rFonts w:ascii="新宋体" w:hAnsi="新宋体" w:eastAsia="新宋体" w:cs="新宋体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153035</wp:posOffset>
            </wp:positionV>
            <wp:extent cx="4635500" cy="2807970"/>
            <wp:effectExtent l="4445" t="4445" r="8255" b="6985"/>
            <wp:wrapNone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280" w:lineRule="exact"/>
        <w:ind w:firstLine="561"/>
        <w:jc w:val="center"/>
        <w:rPr>
          <w:rFonts w:ascii="新宋体" w:hAnsi="新宋体" w:eastAsia="新宋体" w:cs="新宋体"/>
          <w:b/>
          <w:bCs/>
          <w:sz w:val="18"/>
          <w:szCs w:val="18"/>
        </w:rPr>
      </w:pPr>
    </w:p>
    <w:p>
      <w:pPr>
        <w:spacing w:line="280" w:lineRule="exact"/>
        <w:ind w:firstLine="561"/>
        <w:jc w:val="center"/>
        <w:rPr>
          <w:rFonts w:ascii="新宋体" w:hAnsi="新宋体" w:eastAsia="新宋体" w:cs="新宋体"/>
          <w:b/>
          <w:bCs/>
          <w:sz w:val="18"/>
          <w:szCs w:val="1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tabs>
          <w:tab w:val="left" w:pos="3555"/>
        </w:tabs>
        <w:spacing w:before="156" w:beforeLines="50" w:line="460" w:lineRule="exact"/>
        <w:ind w:firstLine="151" w:firstLineChars="50"/>
        <w:outlineLvl w:val="0"/>
        <w:rPr>
          <w:rFonts w:hint="eastAsia" w:ascii="新宋体" w:hAnsi="新宋体" w:eastAsia="新宋体" w:cs="新宋体"/>
          <w:b/>
          <w:sz w:val="30"/>
          <w:szCs w:val="30"/>
        </w:rPr>
      </w:pPr>
    </w:p>
    <w:p>
      <w:pPr>
        <w:tabs>
          <w:tab w:val="left" w:pos="3555"/>
        </w:tabs>
        <w:spacing w:before="156" w:beforeLines="50" w:line="460" w:lineRule="exact"/>
        <w:ind w:firstLine="151" w:firstLineChars="50"/>
        <w:outlineLvl w:val="0"/>
        <w:rPr>
          <w:rFonts w:hint="eastAsia" w:ascii="新宋体" w:hAnsi="新宋体" w:eastAsia="新宋体" w:cs="新宋体"/>
          <w:b/>
          <w:sz w:val="30"/>
          <w:szCs w:val="30"/>
        </w:rPr>
      </w:pPr>
    </w:p>
    <w:p>
      <w:pPr>
        <w:tabs>
          <w:tab w:val="left" w:pos="3555"/>
        </w:tabs>
        <w:spacing w:before="156" w:beforeLines="50" w:line="460" w:lineRule="exact"/>
        <w:ind w:firstLine="151" w:firstLineChars="50"/>
        <w:outlineLvl w:val="0"/>
        <w:rPr>
          <w:rFonts w:hint="eastAsia" w:ascii="新宋体" w:hAnsi="新宋体" w:eastAsia="新宋体" w:cs="新宋体"/>
          <w:b/>
          <w:sz w:val="30"/>
          <w:szCs w:val="30"/>
        </w:rPr>
      </w:pPr>
    </w:p>
    <w:p>
      <w:pPr>
        <w:tabs>
          <w:tab w:val="left" w:pos="3555"/>
        </w:tabs>
        <w:spacing w:before="156" w:beforeLines="50" w:line="460" w:lineRule="exact"/>
        <w:ind w:firstLine="151" w:firstLineChars="50"/>
        <w:outlineLvl w:val="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1、</w:t>
      </w:r>
      <w:r>
        <w:rPr>
          <w:rFonts w:hint="eastAsia" w:ascii="新宋体" w:hAnsi="新宋体" w:eastAsia="新宋体" w:cs="新宋体"/>
          <w:b/>
          <w:sz w:val="28"/>
          <w:szCs w:val="28"/>
        </w:rPr>
        <w:t>资江水质状况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本月，资江流域水质总体为</w:t>
      </w:r>
      <w:r>
        <w:rPr>
          <w:rFonts w:ascii="新宋体" w:hAnsi="新宋体" w:eastAsia="新宋体" w:cs="新宋体"/>
          <w:sz w:val="28"/>
          <w:szCs w:val="28"/>
        </w:rPr>
        <w:t>优</w:t>
      </w:r>
      <w:r>
        <w:rPr>
          <w:rFonts w:hint="eastAsia" w:ascii="新宋体" w:hAnsi="新宋体" w:eastAsia="新宋体" w:cs="新宋体"/>
          <w:sz w:val="28"/>
          <w:szCs w:val="28"/>
        </w:rPr>
        <w:t>。开展监测的41个断面，Ⅱ类水质断面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28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68.3</w:t>
      </w:r>
      <w:r>
        <w:rPr>
          <w:rFonts w:hint="eastAsia" w:ascii="新宋体" w:hAnsi="新宋体" w:eastAsia="新宋体" w:cs="新宋体"/>
          <w:sz w:val="28"/>
          <w:szCs w:val="28"/>
        </w:rPr>
        <w:t>%；Ⅲ类水质断面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13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31.7</w:t>
      </w:r>
      <w:r>
        <w:rPr>
          <w:rFonts w:hint="eastAsia" w:ascii="新宋体" w:hAnsi="新宋体" w:eastAsia="新宋体" w:cs="新宋体"/>
          <w:sz w:val="28"/>
          <w:szCs w:val="28"/>
        </w:rPr>
        <w:t>%。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洞口县双江口、工业街水厂2个</w:t>
      </w:r>
      <w:r>
        <w:rPr>
          <w:rFonts w:hint="eastAsia" w:ascii="新宋体" w:hAnsi="新宋体" w:eastAsia="新宋体" w:cs="新宋体"/>
          <w:sz w:val="28"/>
          <w:szCs w:val="28"/>
        </w:rPr>
        <w:t>断面由</w:t>
      </w:r>
      <w:r>
        <w:rPr>
          <w:rFonts w:hint="eastAsia" w:ascii="仿宋" w:hAnsi="仿宋" w:eastAsia="仿宋" w:cs="仿宋"/>
          <w:sz w:val="28"/>
          <w:szCs w:val="28"/>
        </w:rPr>
        <w:t>Ⅲ</w:t>
      </w:r>
      <w:r>
        <w:rPr>
          <w:rFonts w:hint="eastAsia" w:ascii="新宋体" w:hAnsi="新宋体" w:eastAsia="新宋体" w:cs="新宋体"/>
          <w:sz w:val="28"/>
          <w:szCs w:val="28"/>
        </w:rPr>
        <w:t>类上升为</w:t>
      </w:r>
      <w:r>
        <w:rPr>
          <w:rFonts w:hint="eastAsia" w:ascii="仿宋" w:hAnsi="仿宋" w:eastAsia="仿宋" w:cs="仿宋"/>
          <w:sz w:val="28"/>
          <w:szCs w:val="28"/>
        </w:rPr>
        <w:t>Ⅱ</w:t>
      </w:r>
      <w:r>
        <w:rPr>
          <w:rFonts w:hint="eastAsia" w:ascii="新宋体" w:hAnsi="新宋体" w:eastAsia="新宋体" w:cs="新宋体"/>
          <w:sz w:val="28"/>
          <w:szCs w:val="28"/>
        </w:rPr>
        <w:t>类；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洞口县二水厂、隆回县木瓜山水库2个</w:t>
      </w:r>
      <w:r>
        <w:rPr>
          <w:rFonts w:hint="eastAsia" w:ascii="新宋体" w:hAnsi="新宋体" w:eastAsia="新宋体" w:cs="新宋体"/>
          <w:sz w:val="28"/>
          <w:szCs w:val="28"/>
        </w:rPr>
        <w:t>断面水质由</w:t>
      </w:r>
      <w:r>
        <w:rPr>
          <w:rFonts w:hint="eastAsia" w:ascii="仿宋" w:hAnsi="仿宋" w:eastAsia="仿宋" w:cs="仿宋"/>
          <w:sz w:val="28"/>
          <w:szCs w:val="28"/>
        </w:rPr>
        <w:t>Ⅰ</w:t>
      </w:r>
      <w:r>
        <w:rPr>
          <w:rFonts w:hint="eastAsia" w:ascii="新宋体" w:hAnsi="新宋体" w:eastAsia="新宋体" w:cs="新宋体"/>
          <w:sz w:val="28"/>
          <w:szCs w:val="28"/>
        </w:rPr>
        <w:t>类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下降</w:t>
      </w:r>
      <w:r>
        <w:rPr>
          <w:rFonts w:hint="eastAsia" w:ascii="新宋体" w:hAnsi="新宋体" w:eastAsia="新宋体" w:cs="新宋体"/>
          <w:sz w:val="28"/>
          <w:szCs w:val="28"/>
        </w:rPr>
        <w:t>为Ⅱ类；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佘田桥、红光水坝、乔家村渡口、隆回县水厂、柏树、宛家岔、邵水梅子坝、渡头桥镇光辉村、邵东洪桥村西洋江洪桥、罗市社区、大禹庙村共11</w:t>
      </w:r>
      <w:r>
        <w:rPr>
          <w:rFonts w:hint="eastAsia" w:ascii="新宋体" w:hAnsi="新宋体" w:eastAsia="新宋体" w:cs="新宋体"/>
          <w:sz w:val="28"/>
          <w:szCs w:val="28"/>
        </w:rPr>
        <w:t>个断面水质由Ⅱ类下降为Ⅲ类。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与上年同期相比，木瓜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桥</w:t>
      </w:r>
      <w:r>
        <w:rPr>
          <w:rFonts w:hint="eastAsia" w:ascii="新宋体" w:hAnsi="新宋体" w:eastAsia="新宋体" w:cs="新宋体"/>
          <w:sz w:val="28"/>
          <w:szCs w:val="28"/>
        </w:rPr>
        <w:t>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水质由</w:t>
      </w:r>
      <w:r>
        <w:rPr>
          <w:rFonts w:hint="eastAsia" w:ascii="新宋体" w:hAnsi="新宋体" w:eastAsia="新宋体" w:cs="新宋体"/>
          <w:sz w:val="28"/>
          <w:szCs w:val="28"/>
        </w:rPr>
        <w:t>Ⅲ类上升为</w:t>
      </w:r>
      <w:r>
        <w:rPr>
          <w:rFonts w:hint="eastAsia" w:ascii="仿宋" w:hAnsi="仿宋" w:eastAsia="仿宋" w:cs="仿宋"/>
          <w:sz w:val="28"/>
          <w:szCs w:val="28"/>
        </w:rPr>
        <w:t>Ⅱ</w:t>
      </w:r>
      <w:r>
        <w:rPr>
          <w:rFonts w:hint="eastAsia" w:ascii="新宋体" w:hAnsi="新宋体" w:eastAsia="新宋体" w:cs="新宋体"/>
          <w:sz w:val="28"/>
          <w:szCs w:val="28"/>
        </w:rPr>
        <w:t>类；球溪、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红光水坝、乔家村渡口、隆回县水厂、柏树、邵水梅子坝、邵东洪桥村西洋江洪桥、罗市社区、宛家岔共9</w:t>
      </w:r>
      <w:r>
        <w:rPr>
          <w:rFonts w:hint="eastAsia" w:ascii="新宋体" w:hAnsi="新宋体" w:eastAsia="新宋体" w:cs="新宋体"/>
          <w:sz w:val="28"/>
          <w:szCs w:val="28"/>
        </w:rPr>
        <w:t>个</w:t>
      </w:r>
      <w:r>
        <w:rPr>
          <w:rFonts w:ascii="新宋体" w:hAnsi="新宋体" w:eastAsia="新宋体" w:cs="新宋体"/>
          <w:sz w:val="28"/>
          <w:szCs w:val="28"/>
        </w:rPr>
        <w:t>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水质</w:t>
      </w:r>
      <w:r>
        <w:rPr>
          <w:rFonts w:hint="eastAsia" w:ascii="新宋体" w:hAnsi="新宋体" w:eastAsia="新宋体" w:cs="新宋体"/>
          <w:sz w:val="28"/>
          <w:szCs w:val="28"/>
        </w:rPr>
        <w:t>由Ⅱ类下降为Ⅲ类。</w:t>
      </w:r>
    </w:p>
    <w:p>
      <w:pPr>
        <w:spacing w:before="156" w:beforeLines="50" w:line="460" w:lineRule="exact"/>
        <w:ind w:right="-176" w:rightChars="-84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2、</w:t>
      </w:r>
      <w:r>
        <w:rPr>
          <w:rFonts w:hint="eastAsia" w:ascii="新宋体" w:hAnsi="新宋体" w:eastAsia="新宋体" w:cs="新宋体"/>
          <w:b/>
          <w:sz w:val="28"/>
          <w:szCs w:val="28"/>
        </w:rPr>
        <w:t>沅江水质状况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本月，沅江流域水质总体为优。开展监测的6个断面，</w:t>
      </w:r>
      <w:r>
        <w:rPr>
          <w:rFonts w:hint="eastAsia" w:ascii="仿宋" w:hAnsi="仿宋" w:eastAsia="仿宋" w:cs="仿宋"/>
          <w:sz w:val="28"/>
          <w:szCs w:val="28"/>
        </w:rPr>
        <w:t>Ⅱ</w:t>
      </w:r>
      <w:r>
        <w:rPr>
          <w:rFonts w:hint="eastAsia" w:ascii="新宋体" w:hAnsi="新宋体" w:eastAsia="新宋体" w:cs="新宋体"/>
          <w:sz w:val="28"/>
          <w:szCs w:val="28"/>
        </w:rPr>
        <w:t>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66.7</w:t>
      </w:r>
      <w:r>
        <w:rPr>
          <w:rFonts w:hint="eastAsia" w:ascii="新宋体" w:hAnsi="新宋体" w:eastAsia="新宋体" w:cs="新宋体"/>
          <w:sz w:val="28"/>
          <w:szCs w:val="28"/>
        </w:rPr>
        <w:t>%；</w:t>
      </w:r>
      <w:r>
        <w:rPr>
          <w:rFonts w:hint="eastAsia" w:ascii="仿宋" w:hAnsi="仿宋" w:eastAsia="仿宋" w:cs="仿宋"/>
          <w:sz w:val="28"/>
          <w:szCs w:val="28"/>
        </w:rPr>
        <w:t>Ⅲ</w:t>
      </w:r>
      <w:r>
        <w:rPr>
          <w:rFonts w:hint="eastAsia" w:ascii="新宋体" w:hAnsi="新宋体" w:eastAsia="新宋体" w:cs="新宋体"/>
          <w:sz w:val="28"/>
          <w:szCs w:val="28"/>
        </w:rPr>
        <w:t>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33.3</w:t>
      </w:r>
      <w:r>
        <w:rPr>
          <w:rFonts w:hint="eastAsia" w:ascii="新宋体" w:hAnsi="新宋体" w:eastAsia="新宋体" w:cs="新宋体"/>
          <w:sz w:val="28"/>
          <w:szCs w:val="28"/>
        </w:rPr>
        <w:t>%。</w:t>
      </w:r>
    </w:p>
    <w:p>
      <w:pPr>
        <w:spacing w:before="156" w:beforeLines="50" w:line="460" w:lineRule="exact"/>
        <w:ind w:right="-176" w:rightChars="-84" w:firstLine="560" w:firstLineChars="200"/>
        <w:rPr>
          <w:rFonts w:hint="default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与上月相比，白云湖、虾子溪水厂2个断面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水质由</w:t>
      </w:r>
      <w:r>
        <w:rPr>
          <w:rFonts w:hint="eastAsia" w:ascii="仿宋" w:hAnsi="仿宋" w:eastAsia="仿宋" w:cs="仿宋"/>
          <w:sz w:val="28"/>
          <w:szCs w:val="28"/>
        </w:rPr>
        <w:t>Ⅰ</w:t>
      </w:r>
      <w:r>
        <w:rPr>
          <w:rFonts w:hint="eastAsia" w:ascii="新宋体" w:hAnsi="新宋体" w:eastAsia="新宋体" w:cs="新宋体"/>
          <w:sz w:val="28"/>
          <w:szCs w:val="28"/>
        </w:rPr>
        <w:t>类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下降</w:t>
      </w:r>
      <w:r>
        <w:rPr>
          <w:rFonts w:hint="eastAsia" w:ascii="新宋体" w:hAnsi="新宋体" w:eastAsia="新宋体" w:cs="新宋体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Ⅱ</w:t>
      </w:r>
      <w:r>
        <w:rPr>
          <w:rFonts w:hint="eastAsia" w:ascii="新宋体" w:hAnsi="新宋体" w:eastAsia="新宋体" w:cs="新宋体"/>
          <w:sz w:val="28"/>
          <w:szCs w:val="28"/>
        </w:rPr>
        <w:t>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儒林镇两河口、花园阁2个断面水质由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Ⅱ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类下降为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Ⅲ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类。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儒林镇两河口</w:t>
      </w:r>
      <w:r>
        <w:rPr>
          <w:rFonts w:hint="eastAsia" w:ascii="新宋体" w:hAnsi="新宋体" w:eastAsia="新宋体" w:cs="新宋体"/>
          <w:sz w:val="28"/>
          <w:szCs w:val="28"/>
        </w:rPr>
        <w:t>、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花园阁</w:t>
      </w:r>
      <w:r>
        <w:rPr>
          <w:rFonts w:hint="eastAsia" w:ascii="新宋体" w:hAnsi="新宋体" w:eastAsia="新宋体" w:cs="新宋体"/>
          <w:sz w:val="28"/>
          <w:szCs w:val="28"/>
        </w:rPr>
        <w:t>2个断面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水质由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下降</w:t>
      </w:r>
      <w:r>
        <w:rPr>
          <w:rFonts w:hint="eastAsia" w:ascii="新宋体" w:hAnsi="新宋体" w:eastAsia="新宋体" w:cs="新宋体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Ⅲ</w:t>
      </w:r>
      <w:r>
        <w:rPr>
          <w:rFonts w:hint="eastAsia" w:ascii="新宋体" w:hAnsi="新宋体" w:eastAsia="新宋体" w:cs="新宋体"/>
          <w:sz w:val="28"/>
          <w:szCs w:val="28"/>
        </w:rPr>
        <w:t>类。</w:t>
      </w:r>
    </w:p>
    <w:p>
      <w:pPr>
        <w:spacing w:before="156" w:beforeLines="50" w:line="460" w:lineRule="exact"/>
        <w:ind w:right="-176" w:rightChars="-84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3、</w:t>
      </w:r>
      <w:r>
        <w:rPr>
          <w:rFonts w:hint="eastAsia" w:ascii="新宋体" w:hAnsi="新宋体" w:eastAsia="新宋体" w:cs="新宋体"/>
          <w:b/>
          <w:sz w:val="28"/>
          <w:szCs w:val="28"/>
        </w:rPr>
        <w:t>湘江水质状况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本月，湘江流域水质总体为优。开展监测的5</w:t>
      </w:r>
      <w:r>
        <w:rPr>
          <w:rFonts w:hint="eastAsia" w:ascii="新宋体" w:hAnsi="新宋体" w:eastAsia="新宋体" w:cs="新宋体"/>
          <w:sz w:val="28"/>
          <w:szCs w:val="28"/>
        </w:rPr>
        <w:t>个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断面，</w:t>
      </w:r>
      <w:r>
        <w:rPr>
          <w:rFonts w:hint="eastAsia" w:ascii="新宋体" w:hAnsi="新宋体" w:eastAsia="新宋体" w:cs="新宋体"/>
          <w:sz w:val="28"/>
          <w:szCs w:val="28"/>
        </w:rPr>
        <w:t>Ⅱ类水质断面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6</w:t>
      </w:r>
      <w:r>
        <w:rPr>
          <w:rFonts w:ascii="新宋体" w:hAnsi="新宋体" w:eastAsia="新宋体" w:cs="新宋体"/>
          <w:sz w:val="28"/>
          <w:szCs w:val="28"/>
        </w:rPr>
        <w:t>0.0</w:t>
      </w:r>
      <w:r>
        <w:rPr>
          <w:rFonts w:hint="eastAsia" w:ascii="新宋体" w:hAnsi="新宋体" w:eastAsia="新宋体" w:cs="新宋体"/>
          <w:sz w:val="28"/>
          <w:szCs w:val="28"/>
        </w:rPr>
        <w:t>%；Ⅲ类水质断面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8"/>
          <w:szCs w:val="28"/>
        </w:rPr>
        <w:t>个，占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40.0</w:t>
      </w:r>
      <w:r>
        <w:rPr>
          <w:rFonts w:hint="eastAsia" w:ascii="新宋体" w:hAnsi="新宋体" w:eastAsia="新宋体" w:cs="新宋体"/>
          <w:sz w:val="28"/>
          <w:szCs w:val="28"/>
        </w:rPr>
        <w:t>%。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与上月相比，联</w:t>
      </w:r>
      <w:r>
        <w:rPr>
          <w:rFonts w:ascii="新宋体" w:hAnsi="新宋体" w:eastAsia="新宋体" w:cs="新宋体"/>
          <w:sz w:val="28"/>
          <w:szCs w:val="28"/>
        </w:rPr>
        <w:t>江村断面</w:t>
      </w:r>
      <w:r>
        <w:rPr>
          <w:rFonts w:hint="eastAsia" w:ascii="新宋体" w:hAnsi="新宋体" w:eastAsia="新宋体" w:cs="新宋体"/>
          <w:sz w:val="28"/>
          <w:szCs w:val="28"/>
        </w:rPr>
        <w:t>水质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维持</w:t>
      </w:r>
      <w:r>
        <w:rPr>
          <w:rFonts w:hint="eastAsia" w:ascii="新宋体" w:hAnsi="新宋体" w:eastAsia="新宋体" w:cs="新宋体"/>
          <w:sz w:val="28"/>
          <w:szCs w:val="28"/>
        </w:rPr>
        <w:t>为Ⅲ类。</w:t>
      </w:r>
    </w:p>
    <w:p>
      <w:pPr>
        <w:spacing w:before="156" w:beforeLines="50" w:line="460" w:lineRule="exact"/>
        <w:ind w:right="-176" w:rightChars="-84" w:firstLine="544" w:firstLineChars="200"/>
        <w:rPr>
          <w:rFonts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z w:val="28"/>
          <w:szCs w:val="28"/>
        </w:rPr>
        <w:t>联</w:t>
      </w:r>
      <w:r>
        <w:rPr>
          <w:rFonts w:ascii="新宋体" w:hAnsi="新宋体" w:eastAsia="新宋体" w:cs="新宋体"/>
          <w:sz w:val="28"/>
          <w:szCs w:val="28"/>
        </w:rPr>
        <w:t>江村断面</w:t>
      </w:r>
      <w:r>
        <w:rPr>
          <w:rFonts w:hint="eastAsia" w:ascii="新宋体" w:hAnsi="新宋体" w:eastAsia="新宋体" w:cs="新宋体"/>
          <w:sz w:val="28"/>
          <w:szCs w:val="28"/>
        </w:rPr>
        <w:t>水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质维持</w:t>
      </w:r>
      <w:r>
        <w:rPr>
          <w:rFonts w:hint="eastAsia" w:ascii="新宋体" w:hAnsi="新宋体" w:eastAsia="新宋体" w:cs="新宋体"/>
          <w:sz w:val="28"/>
          <w:szCs w:val="28"/>
        </w:rPr>
        <w:t>为Ⅲ类。</w:t>
      </w:r>
    </w:p>
    <w:p>
      <w:pPr>
        <w:numPr>
          <w:ilvl w:val="0"/>
          <w:numId w:val="2"/>
        </w:numPr>
        <w:spacing w:before="156" w:beforeLines="50" w:line="460" w:lineRule="exact"/>
        <w:ind w:right="-176" w:rightChars="-84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珠江水质状况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本月，珠江流域布龙断面水质达到</w:t>
      </w:r>
      <w:r>
        <w:rPr>
          <w:rFonts w:hint="eastAsia" w:ascii="新宋体" w:hAnsi="新宋体" w:eastAsia="新宋体" w:cs="新宋体"/>
          <w:sz w:val="28"/>
          <w:szCs w:val="28"/>
        </w:rPr>
        <w:t>Ⅰ类标准，水质为优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布龙断面水质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val="en-US" w:eastAsia="zh-CN"/>
        </w:rPr>
        <w:t>维持</w:t>
      </w:r>
      <w:r>
        <w:rPr>
          <w:rFonts w:hint="eastAsia" w:ascii="新宋体" w:hAnsi="新宋体" w:eastAsia="新宋体" w:cs="新宋体"/>
          <w:sz w:val="28"/>
          <w:szCs w:val="28"/>
        </w:rPr>
        <w:t>为Ⅰ类。</w:t>
      </w:r>
    </w:p>
    <w:p>
      <w:pPr>
        <w:spacing w:before="156" w:beforeLines="50" w:line="460" w:lineRule="exact"/>
        <w:ind w:right="-176" w:rightChars="-84" w:firstLine="544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布龙断面水质由</w:t>
      </w:r>
      <w:r>
        <w:rPr>
          <w:rFonts w:hint="eastAsia" w:ascii="新宋体" w:hAnsi="新宋体" w:eastAsia="新宋体" w:cs="新宋体"/>
          <w:sz w:val="28"/>
          <w:szCs w:val="28"/>
        </w:rPr>
        <w:t>Ⅱ类上升为Ⅰ类。</w:t>
      </w:r>
    </w:p>
    <w:p>
      <w:pPr>
        <w:spacing w:before="156" w:beforeLines="50" w:line="460" w:lineRule="exact"/>
        <w:ind w:right="-176" w:rightChars="-84" w:firstLine="544" w:firstLineChars="200"/>
        <w:rPr>
          <w:rFonts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详见表1、表2。</w:t>
      </w:r>
    </w:p>
    <w:p>
      <w:pPr>
        <w:spacing w:before="156" w:beforeLines="50" w:line="360" w:lineRule="exact"/>
        <w:ind w:right="-176" w:rightChars="-84" w:firstLine="482" w:firstLineChars="200"/>
        <w:jc w:val="center"/>
        <w:rPr>
          <w:rFonts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表1       2021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t>62     2016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年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5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月邵阳市国控断面水质情况</w:t>
      </w:r>
    </w:p>
    <w:tbl>
      <w:tblPr>
        <w:tblStyle w:val="7"/>
        <w:tblW w:w="9303" w:type="dxa"/>
        <w:tblInd w:w="93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882"/>
        <w:gridCol w:w="1350"/>
        <w:gridCol w:w="1649"/>
        <w:gridCol w:w="1080"/>
        <w:gridCol w:w="1080"/>
        <w:gridCol w:w="1081"/>
        <w:gridCol w:w="152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</w:trPr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8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城市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河流名称</w:t>
            </w:r>
          </w:p>
        </w:tc>
        <w:tc>
          <w:tcPr>
            <w:tcW w:w="1649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断面名称</w:t>
            </w:r>
          </w:p>
        </w:tc>
        <w:tc>
          <w:tcPr>
            <w:tcW w:w="3241" w:type="dxa"/>
            <w:gridSpan w:val="3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水质类别</w:t>
            </w:r>
          </w:p>
        </w:tc>
        <w:tc>
          <w:tcPr>
            <w:tcW w:w="1529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超Ⅲ类污染物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（超标倍数）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</w:trPr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本月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上月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上年同期</w:t>
            </w:r>
          </w:p>
        </w:tc>
        <w:tc>
          <w:tcPr>
            <w:tcW w:w="15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衡阳市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湘江蒸水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联江村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邓元泰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渡头村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桂花渡水厂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晒谷滩电站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球溪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资江蓼水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洞口县双江口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团结坝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窑市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金家坝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塘渡口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邵水入河口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资江大洋江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金石桥龙口湾桥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绥宁河口镇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西江柳江寻江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>
      <w:pPr>
        <w:spacing w:before="156" w:beforeLines="50" w:after="156" w:afterLines="50" w:line="360" w:lineRule="exact"/>
        <w:ind w:right="-176" w:rightChars="-84" w:firstLine="482" w:firstLineChars="200"/>
        <w:jc w:val="center"/>
        <w:rPr>
          <w:rFonts w:ascii="新宋体" w:hAnsi="新宋体" w:eastAsia="新宋体" w:cs="新宋体"/>
          <w:b/>
          <w:bCs/>
          <w:kern w:val="0"/>
          <w:sz w:val="24"/>
        </w:rPr>
      </w:pPr>
    </w:p>
    <w:p>
      <w:pPr>
        <w:spacing w:before="156" w:beforeLines="50" w:after="156" w:afterLines="50" w:line="360" w:lineRule="exact"/>
        <w:ind w:right="-176" w:rightChars="-84" w:firstLine="482" w:firstLineChars="200"/>
        <w:jc w:val="center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表2       2021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t>62     2016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年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5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月邵阳市省控断面水质情况</w:t>
      </w:r>
    </w:p>
    <w:tbl>
      <w:tblPr>
        <w:tblStyle w:val="7"/>
        <w:tblW w:w="9137" w:type="dxa"/>
        <w:tblInd w:w="93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22"/>
        <w:gridCol w:w="1175"/>
        <w:gridCol w:w="2082"/>
        <w:gridCol w:w="822"/>
        <w:gridCol w:w="953"/>
        <w:gridCol w:w="1074"/>
        <w:gridCol w:w="1477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</w:trPr>
        <w:tc>
          <w:tcPr>
            <w:tcW w:w="53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2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城市名称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河流名称</w:t>
            </w: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断面名称</w:t>
            </w:r>
          </w:p>
        </w:tc>
        <w:tc>
          <w:tcPr>
            <w:tcW w:w="2849" w:type="dxa"/>
            <w:gridSpan w:val="3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水质类别</w:t>
            </w:r>
          </w:p>
        </w:tc>
        <w:tc>
          <w:tcPr>
            <w:tcW w:w="1477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超Ⅲ类污染物</w:t>
            </w:r>
          </w:p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（超标倍数）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</w:trPr>
        <w:tc>
          <w:tcPr>
            <w:tcW w:w="532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本月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上月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上年同期</w:t>
            </w:r>
          </w:p>
        </w:tc>
        <w:tc>
          <w:tcPr>
            <w:tcW w:w="1477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湘江蒸水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佘田桥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湘江涟水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曾木冲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湘江涟水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捞金桥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湘江涟水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泉塘边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武冈小水村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红光水坝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乔家村渡口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隆回县水厂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元木山电站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邵阳双江口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工业街水厂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城西水厂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柏树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资江玉溪河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威溪水库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资江蓼水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红岩坝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洞口县二水厂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木瓜桥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隆回县木瓜山水库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南岳庙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资江辰水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辰水入资江口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宛家岔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金河村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邵阳县水厂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新寨入夫夷水口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桐江兴隆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邵水梅子坝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渡头桥镇光辉村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三合水库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黄家坝水库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枫树坑水库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邵东洪桥村西洋江洪桥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罗市社区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资江石马江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石马江入资江口（大禹庙村）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白云湖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儒林镇两河口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花园阁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游家湾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虾子溪水厂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备注：根据生态环境部《“十四五”国家地表水环境质量监测网断面设置要求》，2021年邵阳市新增</w:t>
      </w:r>
      <w:r>
        <w:rPr>
          <w:rFonts w:ascii="新宋体" w:hAnsi="新宋体" w:eastAsia="新宋体" w:cs="新宋体"/>
          <w:b/>
          <w:sz w:val="18"/>
          <w:szCs w:val="18"/>
        </w:rPr>
        <w:t>3</w:t>
      </w:r>
      <w:r>
        <w:rPr>
          <w:rFonts w:hint="eastAsia" w:ascii="新宋体" w:hAnsi="新宋体" w:eastAsia="新宋体" w:cs="新宋体"/>
          <w:b/>
          <w:sz w:val="18"/>
          <w:szCs w:val="18"/>
        </w:rPr>
        <w:t>个省控断面：</w:t>
      </w:r>
    </w:p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辰水入资江口、新寨入夫夷水口、大禹庙村。</w:t>
      </w:r>
      <w:r>
        <w:rPr>
          <w:rFonts w:ascii="新宋体" w:hAnsi="新宋体" w:eastAsia="新宋体" w:cs="新宋体"/>
          <w:b/>
          <w:sz w:val="18"/>
          <w:szCs w:val="18"/>
        </w:rPr>
        <w:t>“</w:t>
      </w:r>
      <w:r>
        <w:rPr>
          <w:rFonts w:hint="eastAsia" w:ascii="新宋体" w:hAnsi="新宋体" w:eastAsia="新宋体" w:cs="新宋体"/>
          <w:b/>
          <w:sz w:val="18"/>
          <w:szCs w:val="18"/>
        </w:rPr>
        <w:t>十四五</w:t>
      </w:r>
      <w:r>
        <w:rPr>
          <w:rFonts w:ascii="新宋体" w:hAnsi="新宋体" w:eastAsia="新宋体" w:cs="新宋体"/>
          <w:b/>
          <w:sz w:val="18"/>
          <w:szCs w:val="18"/>
        </w:rPr>
        <w:t>”</w:t>
      </w:r>
      <w:r>
        <w:rPr>
          <w:rFonts w:hint="eastAsia" w:ascii="新宋体" w:hAnsi="新宋体" w:eastAsia="新宋体" w:cs="新宋体"/>
          <w:b/>
          <w:sz w:val="18"/>
          <w:szCs w:val="18"/>
        </w:rPr>
        <w:t>湖南省地表水环境质量监测网络设置时，水环境质量网和</w:t>
      </w:r>
    </w:p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水功能区监测网络已实现了</w:t>
      </w:r>
      <w:r>
        <w:rPr>
          <w:rFonts w:ascii="新宋体" w:hAnsi="新宋体" w:eastAsia="新宋体" w:cs="新宋体"/>
          <w:b/>
          <w:sz w:val="18"/>
          <w:szCs w:val="18"/>
        </w:rPr>
        <w:t>“</w:t>
      </w:r>
      <w:r>
        <w:rPr>
          <w:rFonts w:hint="eastAsia" w:ascii="新宋体" w:hAnsi="新宋体" w:eastAsia="新宋体" w:cs="新宋体"/>
          <w:b/>
          <w:sz w:val="18"/>
          <w:szCs w:val="18"/>
        </w:rPr>
        <w:t>双网合一</w:t>
      </w:r>
      <w:r>
        <w:rPr>
          <w:rFonts w:ascii="新宋体" w:hAnsi="新宋体" w:eastAsia="新宋体" w:cs="新宋体"/>
          <w:b/>
          <w:sz w:val="18"/>
          <w:szCs w:val="18"/>
        </w:rPr>
        <w:t>”</w:t>
      </w:r>
      <w:r>
        <w:rPr>
          <w:rFonts w:hint="eastAsia" w:ascii="新宋体" w:hAnsi="新宋体" w:eastAsia="新宋体" w:cs="新宋体"/>
          <w:b/>
          <w:sz w:val="18"/>
          <w:szCs w:val="18"/>
        </w:rPr>
        <w:t>，水功能区监测断面、长江及重要支流跨界断面和流域补偿断面不再另行</w:t>
      </w:r>
    </w:p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开展监测。三合水库、黄家坝水库、枫树坑水库3个县级饮用水水源地纳入“十四五”湖南省地表水环境质量监测</w:t>
      </w:r>
    </w:p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网络断面。</w:t>
      </w:r>
    </w:p>
    <w:p>
      <w:pPr>
        <w:spacing w:before="156" w:beforeLines="50" w:after="156" w:afterLines="50" w:line="360" w:lineRule="exact"/>
        <w:ind w:right="-170" w:rightChars="-81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 二、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饮用水水源地水质状况</w:t>
      </w:r>
    </w:p>
    <w:p>
      <w:pPr>
        <w:spacing w:before="156" w:beforeLines="50" w:line="460" w:lineRule="exact"/>
        <w:ind w:right="-176" w:rightChars="-84" w:firstLine="219" w:firstLineChars="78"/>
        <w:rPr>
          <w:rFonts w:ascii="新宋体" w:hAnsi="新宋体" w:eastAsia="新宋体" w:cs="新宋体"/>
          <w:spacing w:val="-6"/>
          <w:sz w:val="28"/>
          <w:szCs w:val="28"/>
        </w:rPr>
      </w:pPr>
      <w:bookmarkStart w:id="0" w:name="_Toc445285462"/>
      <w:r>
        <w:rPr>
          <w:rFonts w:hint="eastAsia" w:ascii="新宋体" w:hAnsi="新宋体" w:eastAsia="新宋体" w:cs="新宋体"/>
          <w:b/>
          <w:bCs/>
          <w:sz w:val="28"/>
          <w:szCs w:val="28"/>
        </w:rPr>
        <w:t xml:space="preserve"> 1、</w:t>
      </w:r>
      <w:r>
        <w:rPr>
          <w:rFonts w:hint="eastAsia" w:ascii="新宋体" w:hAnsi="新宋体" w:eastAsia="新宋体" w:cs="新宋体"/>
          <w:b/>
          <w:bCs/>
          <w:spacing w:val="-6"/>
          <w:sz w:val="28"/>
          <w:szCs w:val="28"/>
        </w:rPr>
        <w:t>市级饮用水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本月，邵阳市市级饮用水水源地水质均达标，水源达标率为100%。开展监测的4个市级饮用水水源地均达到Ⅱ类标准。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与上月相比，桂花渡水厂、城西水厂、工业街水厂3个水源地水质保持为Ⅱ类；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val="en-US" w:eastAsia="zh-CN"/>
        </w:rPr>
        <w:t>备用水源地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木瓜山水库水源地为Ⅱ类。</w:t>
      </w:r>
    </w:p>
    <w:p>
      <w:pPr>
        <w:spacing w:before="156" w:beforeLines="50" w:line="460" w:lineRule="exact"/>
        <w:ind w:right="-176" w:rightChars="-84" w:firstLine="536" w:firstLineChars="200"/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与上年同期相比，邵阳市饮用水水源地水质保持为Ⅱ类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val="en-US" w:eastAsia="zh-CN"/>
        </w:rPr>
        <w:t>备用水源地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木瓜山水库水源地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val="en-US" w:eastAsia="zh-CN"/>
        </w:rPr>
        <w:t>水质由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Ⅲ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类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val="en-US" w:eastAsia="zh-CN"/>
        </w:rPr>
        <w:t>上升为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Ⅱ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val="en-US" w:eastAsia="zh-CN"/>
        </w:rPr>
        <w:t>类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。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饮用水水源地水质状况详见表3。</w:t>
      </w:r>
    </w:p>
    <w:p>
      <w:pPr>
        <w:spacing w:before="156" w:beforeLines="50" w:line="460" w:lineRule="exact"/>
        <w:ind w:right="-176" w:rightChars="-84" w:firstLine="1928" w:firstLineChars="800"/>
        <w:rPr>
          <w:rFonts w:ascii="新宋体" w:hAnsi="新宋体" w:eastAsia="新宋体" w:cs="新宋体"/>
          <w:b/>
          <w:bCs/>
          <w:kern w:val="0"/>
          <w:sz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表3       2021年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5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月市级饮用水水源地水质状况</w:t>
      </w:r>
    </w:p>
    <w:tbl>
      <w:tblPr>
        <w:tblStyle w:val="7"/>
        <w:tblW w:w="963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45"/>
        <w:gridCol w:w="1216"/>
        <w:gridCol w:w="1486"/>
        <w:gridCol w:w="1180"/>
        <w:gridCol w:w="841"/>
        <w:gridCol w:w="841"/>
        <w:gridCol w:w="1111"/>
        <w:gridCol w:w="13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21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045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地区</w:t>
            </w:r>
          </w:p>
        </w:tc>
        <w:tc>
          <w:tcPr>
            <w:tcW w:w="1216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河流名称</w:t>
            </w:r>
          </w:p>
        </w:tc>
        <w:tc>
          <w:tcPr>
            <w:tcW w:w="1486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水源地名称</w:t>
            </w:r>
          </w:p>
        </w:tc>
        <w:tc>
          <w:tcPr>
            <w:tcW w:w="1180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水源地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性质</w:t>
            </w:r>
          </w:p>
        </w:tc>
        <w:tc>
          <w:tcPr>
            <w:tcW w:w="2793" w:type="dxa"/>
            <w:gridSpan w:val="3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水质类别</w:t>
            </w:r>
          </w:p>
        </w:tc>
        <w:tc>
          <w:tcPr>
            <w:tcW w:w="1396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主要污染指标（超标倍数）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本月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上月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去年同期</w:t>
            </w:r>
          </w:p>
        </w:tc>
        <w:tc>
          <w:tcPr>
            <w:tcW w:w="13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56" w:beforeLines="50" w:after="156" w:afterLines="50" w:line="400" w:lineRule="exact"/>
              <w:jc w:val="center"/>
              <w:rPr>
                <w:rFonts w:ascii="新宋体" w:hAnsi="新宋体" w:eastAsia="新宋体" w:cs="新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桂花渡水厂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城西水厂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工业街水厂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隆回县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资江赧水河西洋江河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木瓜山水库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湖库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Ⅲ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</w:tbl>
    <w:p>
      <w:pPr>
        <w:pStyle w:val="2"/>
        <w:spacing w:before="156" w:beforeLines="50" w:after="156" w:afterLines="50"/>
        <w:rPr>
          <w:rFonts w:ascii="新宋体" w:hAnsi="新宋体" w:eastAsia="新宋体" w:cs="新宋体"/>
          <w:sz w:val="28"/>
          <w:szCs w:val="28"/>
        </w:rPr>
      </w:pPr>
    </w:p>
    <w:p/>
    <w:p/>
    <w:p>
      <w:pPr>
        <w:pStyle w:val="2"/>
        <w:spacing w:before="156" w:beforeLines="50" w:after="156" w:afterLines="5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附  录</w:t>
      </w:r>
      <w:bookmarkEnd w:id="0"/>
    </w:p>
    <w:p>
      <w:pPr>
        <w:pStyle w:val="3"/>
        <w:spacing w:before="156" w:beforeLines="50" w:after="93" w:afterLines="30" w:line="460" w:lineRule="exact"/>
        <w:rPr>
          <w:rFonts w:ascii="新宋体" w:hAnsi="新宋体" w:eastAsia="新宋体" w:cs="新宋体"/>
          <w:sz w:val="28"/>
          <w:szCs w:val="28"/>
        </w:rPr>
      </w:pPr>
      <w:bookmarkStart w:id="1" w:name="_Toc428266489"/>
      <w:bookmarkStart w:id="2" w:name="_Toc398298508"/>
      <w:bookmarkStart w:id="3" w:name="_Toc445285464"/>
      <w:r>
        <w:rPr>
          <w:rFonts w:hint="eastAsia" w:ascii="新宋体" w:hAnsi="新宋体" w:eastAsia="新宋体" w:cs="新宋体"/>
          <w:sz w:val="28"/>
          <w:szCs w:val="28"/>
        </w:rPr>
        <w:t>1、水质评价项目及标准</w:t>
      </w:r>
      <w:bookmarkEnd w:id="1"/>
      <w:bookmarkEnd w:id="2"/>
      <w:bookmarkEnd w:id="3"/>
    </w:p>
    <w:p>
      <w:pPr>
        <w:snapToGrid w:val="0"/>
        <w:spacing w:before="156" w:beforeLines="50" w:line="460" w:lineRule="exact"/>
        <w:ind w:firstLine="562" w:firstLineChars="20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(1) 评价项目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河流型地表水水质评价：《地表水环境质量标准》(GB3838-2002)表1所列除水温、总氮和粪大肠菌群以外的其他21项指标采用单因子评价法进行评价，粪大肠菌群单独评价。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饮用水水源地水质评价：依据《全国集中式生活饮用水水源地水质监测实施方案》（环办函[2012]1266号）的要求，集中式生活饮用水水源地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监测项目为《地表水环境质量标准》（GB3838-2002）表1的基本项目（23项）、表2的补充项目（5项）和表3的优选特定项目（33项），共61项。评价项目为58项，即</w:t>
      </w:r>
      <w:r>
        <w:rPr>
          <w:rFonts w:hint="eastAsia" w:ascii="新宋体" w:hAnsi="新宋体" w:eastAsia="新宋体" w:cs="新宋体"/>
          <w:sz w:val="28"/>
          <w:szCs w:val="28"/>
        </w:rPr>
        <w:t>《地表水环境质量标准》(GB3838-2002)表1和表2所列除水温、总氮、化学需氧量和粪大肠菌群以外的25项指标，表3的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优选特定项目（33项）。</w:t>
      </w:r>
    </w:p>
    <w:p>
      <w:pPr>
        <w:snapToGrid w:val="0"/>
        <w:spacing w:before="156" w:beforeLines="50" w:line="460" w:lineRule="exact"/>
        <w:ind w:firstLine="557" w:firstLineChars="198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(2) 评价标准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从2012年6月开始，地表水水质评价不再执行《地表水环境质量标准（GB3838-2002）》中相应功能区标准，而按Ⅰ类～劣Ⅴ类六个类别进行评价。当断面水质超过Ⅲ类标准时，应计算指标浓度超过Ⅲ类水质标准的倍数，即超标倍数。</w:t>
      </w:r>
    </w:p>
    <w:p>
      <w:pPr>
        <w:snapToGrid w:val="0"/>
        <w:spacing w:before="156" w:beforeLines="50" w:line="460" w:lineRule="exact"/>
        <w:ind w:firstLine="535" w:firstLineChars="197"/>
        <w:rPr>
          <w:rFonts w:ascii="新宋体" w:hAnsi="新宋体" w:eastAsia="新宋体" w:cs="新宋体"/>
          <w:color w:val="000000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饮用水水源地水质</w:t>
      </w:r>
      <w:r>
        <w:rPr>
          <w:rFonts w:hint="eastAsia" w:ascii="新宋体" w:hAnsi="新宋体" w:eastAsia="新宋体" w:cs="新宋体"/>
          <w:color w:val="000000"/>
          <w:spacing w:val="-4"/>
          <w:sz w:val="28"/>
          <w:szCs w:val="28"/>
        </w:rPr>
        <w:t>根据《地表水环境质量标准》（GB3838-2002）进行评价。补充项目、特定项目采用单因子评价法进行评价。</w:t>
      </w:r>
    </w:p>
    <w:p>
      <w:pPr>
        <w:pStyle w:val="3"/>
        <w:spacing w:before="156" w:beforeLines="50" w:after="93" w:afterLines="30" w:line="460" w:lineRule="exact"/>
        <w:rPr>
          <w:rFonts w:ascii="新宋体" w:hAnsi="新宋体" w:eastAsia="新宋体" w:cs="新宋体"/>
          <w:sz w:val="28"/>
          <w:szCs w:val="28"/>
        </w:rPr>
      </w:pPr>
      <w:bookmarkStart w:id="4" w:name="_Toc428266490"/>
      <w:bookmarkStart w:id="5" w:name="_Toc398298509"/>
      <w:bookmarkStart w:id="6" w:name="_Toc445285465"/>
      <w:r>
        <w:rPr>
          <w:rFonts w:hint="eastAsia" w:ascii="新宋体" w:hAnsi="新宋体" w:eastAsia="新宋体" w:cs="新宋体"/>
          <w:sz w:val="28"/>
          <w:szCs w:val="28"/>
        </w:rPr>
        <w:t>2、水环境质量定性评价方法</w:t>
      </w:r>
      <w:bookmarkEnd w:id="4"/>
      <w:bookmarkEnd w:id="5"/>
      <w:bookmarkEnd w:id="6"/>
    </w:p>
    <w:p>
      <w:pPr>
        <w:snapToGrid w:val="0"/>
        <w:spacing w:before="156" w:beforeLines="50" w:line="460" w:lineRule="exact"/>
        <w:ind w:firstLine="562" w:firstLineChars="20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(1) 地表水环境质量定性评价方法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地表水环境质量分为：优、良好、轻度污染、中度污染、重度污染五个等级。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对应的表征颜色为：蓝色、绿色、黄色、橙色和红色。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断面、河段水质类别与水质定性评价分级的对应关系见附表1。</w:t>
      </w:r>
    </w:p>
    <w:p>
      <w:pPr>
        <w:autoSpaceDE w:val="0"/>
        <w:autoSpaceDN w:val="0"/>
        <w:adjustRightInd w:val="0"/>
        <w:spacing w:before="312" w:beforeLines="100" w:line="500" w:lineRule="exact"/>
        <w:jc w:val="center"/>
        <w:rPr>
          <w:rFonts w:ascii="新宋体" w:hAnsi="新宋体" w:eastAsia="新宋体" w:cs="新宋体"/>
          <w:b/>
          <w:kern w:val="0"/>
          <w:sz w:val="24"/>
        </w:rPr>
      </w:pPr>
      <w:r>
        <w:rPr>
          <w:rFonts w:hint="eastAsia" w:ascii="新宋体" w:hAnsi="新宋体" w:eastAsia="新宋体" w:cs="新宋体"/>
          <w:b/>
          <w:kern w:val="0"/>
          <w:sz w:val="24"/>
        </w:rPr>
        <w:t>附表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 xml:space="preserve">1          </w:t>
      </w:r>
      <w:r>
        <w:rPr>
          <w:rFonts w:hint="eastAsia" w:ascii="新宋体" w:hAnsi="新宋体" w:eastAsia="新宋体" w:cs="新宋体"/>
          <w:b/>
          <w:kern w:val="0"/>
          <w:sz w:val="24"/>
        </w:rPr>
        <w:t>断面、河段水质定性评价</w:t>
      </w:r>
    </w:p>
    <w:tbl>
      <w:tblPr>
        <w:tblStyle w:val="7"/>
        <w:tblW w:w="943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75"/>
        <w:gridCol w:w="602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3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水质类别</w:t>
            </w:r>
          </w:p>
        </w:tc>
        <w:tc>
          <w:tcPr>
            <w:tcW w:w="1575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6021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水质功能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Ⅰ、Ⅱ类水质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饮用水源一级保护区、珍稀水生生物栖息地、鱼虾类产卵场、仔稚幼鱼的索饵场等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Ⅲ类水质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饮用水源二级保护区、鱼虾类越冬场、洄游通道、水产养殖区、游泳区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Ⅳ类水质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一般工业用水和人体非直接接触的娱乐用水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Ⅴ类水质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农业用水及一般景观用水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劣Ⅴ类水质</w:t>
            </w:r>
          </w:p>
        </w:tc>
        <w:tc>
          <w:tcPr>
            <w:tcW w:w="1575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重度污染</w:t>
            </w:r>
          </w:p>
        </w:tc>
        <w:tc>
          <w:tcPr>
            <w:tcW w:w="6021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除调节局部气候外，几乎无使用功能</w:t>
            </w:r>
          </w:p>
        </w:tc>
      </w:tr>
    </w:tbl>
    <w:p>
      <w:pPr>
        <w:snapToGrid w:val="0"/>
        <w:spacing w:before="312" w:beforeLines="100" w:line="480" w:lineRule="exact"/>
        <w:ind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对于断面数少于5个的河流、水系，计算河流、水系所有断面各项评价指标浓度算术平均值，然后按照断面水质评价方法进行评价，并按附表1指出每个断面的水质类别和水质状况。</w:t>
      </w:r>
    </w:p>
    <w:p>
      <w:pPr>
        <w:snapToGrid w:val="0"/>
        <w:spacing w:line="480" w:lineRule="exact"/>
        <w:ind w:firstLine="536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河流、水系水质类别比例与水质定性评价分级的对应关系见附表2。</w:t>
      </w:r>
    </w:p>
    <w:p>
      <w:pPr>
        <w:autoSpaceDE w:val="0"/>
        <w:autoSpaceDN w:val="0"/>
        <w:adjustRightInd w:val="0"/>
        <w:spacing w:before="156" w:beforeLines="50" w:line="500" w:lineRule="exact"/>
        <w:jc w:val="center"/>
        <w:rPr>
          <w:rFonts w:ascii="新宋体" w:hAnsi="新宋体" w:eastAsia="新宋体" w:cs="新宋体"/>
          <w:b/>
          <w:kern w:val="0"/>
          <w:sz w:val="24"/>
        </w:rPr>
      </w:pPr>
      <w:r>
        <w:rPr>
          <w:rFonts w:hint="eastAsia" w:ascii="新宋体" w:hAnsi="新宋体" w:eastAsia="新宋体" w:cs="新宋体"/>
          <w:b/>
          <w:kern w:val="0"/>
          <w:sz w:val="24"/>
        </w:rPr>
        <w:t>附表2  河流、水系水质定性评价</w:t>
      </w:r>
    </w:p>
    <w:tbl>
      <w:tblPr>
        <w:tblStyle w:val="7"/>
        <w:tblW w:w="943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6"/>
        <w:gridCol w:w="2235"/>
        <w:gridCol w:w="22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936" w:type="dxa"/>
            <w:tcBorders>
              <w:top w:val="single" w:color="auto" w:sz="12" w:space="0"/>
            </w:tcBorders>
            <w:shd w:val="clear" w:color="auto" w:fill="00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  <w:t>水质类别比例</w:t>
            </w:r>
          </w:p>
        </w:tc>
        <w:tc>
          <w:tcPr>
            <w:tcW w:w="2235" w:type="dxa"/>
            <w:tcBorders>
              <w:top w:val="single" w:color="auto" w:sz="12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</w:tcBorders>
            <w:shd w:val="clear" w:color="auto" w:fill="00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  <w:t>表征颜色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36" w:type="dxa"/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Ⅰ～Ⅲ类水质比例≥90%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蓝色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36" w:type="dxa"/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75%≤Ⅰ～Ⅲ类水质比例＜90%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良好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绿色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36" w:type="dxa"/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Ⅰ～Ⅲ类水质比例＜75%，且劣Ⅴ类比例＜20%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黄色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36" w:type="dxa"/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Ⅰ～Ⅲ类水质比例＜75%，且20%≤劣Ⅴ类比例＜40%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橙色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936" w:type="dxa"/>
            <w:tcBorders>
              <w:bottom w:val="single" w:color="auto" w:sz="12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Ⅰ～Ⅲ类水质比例＜60%，且劣Ⅴ类比例≥40%</w:t>
            </w:r>
          </w:p>
        </w:tc>
        <w:tc>
          <w:tcPr>
            <w:tcW w:w="223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重度污染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12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红色</w:t>
            </w:r>
          </w:p>
        </w:tc>
      </w:tr>
    </w:tbl>
    <w:p>
      <w:pPr>
        <w:snapToGrid w:val="0"/>
        <w:spacing w:before="156" w:beforeLines="50" w:line="500" w:lineRule="exact"/>
        <w:ind w:firstLine="562" w:firstLineChars="20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</w:t>
      </w:r>
    </w:p>
    <w:p>
      <w:pPr>
        <w:spacing w:line="120" w:lineRule="exact"/>
        <w:ind w:firstLine="141" w:firstLineChars="50"/>
        <w:rPr>
          <w:rFonts w:ascii="新宋体" w:hAnsi="新宋体" w:eastAsia="新宋体" w:cs="新宋体"/>
          <w:b/>
          <w:sz w:val="28"/>
          <w:szCs w:val="28"/>
        </w:rPr>
      </w:pPr>
    </w:p>
    <w:p>
      <w:pPr>
        <w:ind w:firstLine="703" w:firstLineChars="25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编　　写：匡  晖、龙青霞</w:t>
      </w:r>
    </w:p>
    <w:p>
      <w:pPr>
        <w:ind w:firstLine="703" w:firstLineChars="25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审　　核：胡力</w:t>
      </w:r>
      <w:r>
        <w:rPr>
          <w:rFonts w:ascii="新宋体" w:hAnsi="新宋体" w:eastAsia="新宋体" w:cs="新宋体"/>
          <w:b/>
          <w:sz w:val="28"/>
          <w:szCs w:val="28"/>
        </w:rPr>
        <w:t>平</w:t>
      </w: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 　　　　</w:t>
      </w:r>
    </w:p>
    <w:p>
      <w:pPr>
        <w:ind w:firstLine="703" w:firstLineChars="25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审　　定：赵红</w:t>
      </w:r>
      <w:r>
        <w:rPr>
          <w:rFonts w:ascii="新宋体" w:hAnsi="新宋体" w:eastAsia="新宋体" w:cs="新宋体"/>
          <w:b/>
          <w:sz w:val="28"/>
          <w:szCs w:val="28"/>
        </w:rPr>
        <w:t>伟</w:t>
      </w:r>
      <w:r>
        <w:rPr>
          <w:rFonts w:hint="eastAsia" w:ascii="新宋体" w:hAnsi="新宋体" w:eastAsia="新宋体" w:cs="新宋体"/>
          <w:sz w:val="28"/>
          <w:szCs w:val="28"/>
        </w:rPr>
        <w:t>　</w:t>
      </w:r>
    </w:p>
    <w:p>
      <w:pPr>
        <w:ind w:firstLine="703" w:firstLineChars="25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签　　发：朱鸿毅</w:t>
      </w:r>
      <w:r>
        <w:rPr>
          <w:rFonts w:hint="eastAsia" w:ascii="新宋体" w:hAnsi="新宋体" w:eastAsia="新宋体" w:cs="新宋体"/>
          <w:sz w:val="28"/>
          <w:szCs w:val="28"/>
        </w:rPr>
        <w:t>　　　　　　　</w:t>
      </w:r>
    </w:p>
    <w:p>
      <w:pPr>
        <w:ind w:firstLine="703" w:firstLineChars="250"/>
        <w:rPr>
          <w:rFonts w:ascii="新宋体" w:hAnsi="新宋体" w:eastAsia="新宋体" w:cs="新宋体"/>
          <w:b/>
          <w:bCs/>
          <w:kern w:val="0"/>
          <w:sz w:val="24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编写日期：2021年</w:t>
      </w:r>
      <w:r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  <w:t>6</w:t>
      </w:r>
      <w:r>
        <w:rPr>
          <w:rFonts w:hint="eastAsia" w:ascii="新宋体" w:hAnsi="新宋体" w:eastAsia="新宋体" w:cs="新宋体"/>
          <w:b/>
          <w:sz w:val="28"/>
          <w:szCs w:val="28"/>
        </w:rPr>
        <w:t>月</w:t>
      </w:r>
      <w:r>
        <w:rPr>
          <w:rFonts w:ascii="新宋体" w:hAnsi="新宋体" w:eastAsia="新宋体" w:cs="新宋体"/>
          <w:b/>
          <w:sz w:val="28"/>
          <w:szCs w:val="28"/>
        </w:rPr>
        <w:t>1</w:t>
      </w:r>
      <w:r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  <w:t>0</w:t>
      </w:r>
      <w:r>
        <w:rPr>
          <w:rFonts w:hint="eastAsia" w:ascii="新宋体" w:hAnsi="新宋体" w:eastAsia="新宋体" w:cs="新宋体"/>
          <w:b/>
          <w:sz w:val="28"/>
          <w:szCs w:val="28"/>
        </w:rPr>
        <w:t>日</w:t>
      </w:r>
    </w:p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68367"/>
    <w:multiLevelType w:val="singleLevel"/>
    <w:tmpl w:val="D8E68367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1751B7BC"/>
    <w:multiLevelType w:val="singleLevel"/>
    <w:tmpl w:val="1751B7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4124B"/>
    <w:rsid w:val="000071DF"/>
    <w:rsid w:val="00015145"/>
    <w:rsid w:val="0004459F"/>
    <w:rsid w:val="00146CA7"/>
    <w:rsid w:val="001606C2"/>
    <w:rsid w:val="0019307E"/>
    <w:rsid w:val="001D177A"/>
    <w:rsid w:val="001E025B"/>
    <w:rsid w:val="001E169D"/>
    <w:rsid w:val="001E2C43"/>
    <w:rsid w:val="00200FF8"/>
    <w:rsid w:val="00231D47"/>
    <w:rsid w:val="00260BD4"/>
    <w:rsid w:val="00282C09"/>
    <w:rsid w:val="002842B3"/>
    <w:rsid w:val="002A2389"/>
    <w:rsid w:val="002A5785"/>
    <w:rsid w:val="002B27F4"/>
    <w:rsid w:val="002B6F79"/>
    <w:rsid w:val="002D7C22"/>
    <w:rsid w:val="002F6806"/>
    <w:rsid w:val="00314238"/>
    <w:rsid w:val="003838AE"/>
    <w:rsid w:val="00395FD8"/>
    <w:rsid w:val="003A1C17"/>
    <w:rsid w:val="003B7D96"/>
    <w:rsid w:val="003F6AE8"/>
    <w:rsid w:val="0044375A"/>
    <w:rsid w:val="004571F8"/>
    <w:rsid w:val="004B3BCA"/>
    <w:rsid w:val="004C6375"/>
    <w:rsid w:val="00551D98"/>
    <w:rsid w:val="005B11A6"/>
    <w:rsid w:val="005D1ADF"/>
    <w:rsid w:val="005E3E3C"/>
    <w:rsid w:val="00605857"/>
    <w:rsid w:val="00606CCE"/>
    <w:rsid w:val="006D46C6"/>
    <w:rsid w:val="006F1285"/>
    <w:rsid w:val="007010CD"/>
    <w:rsid w:val="00702E72"/>
    <w:rsid w:val="007A3A68"/>
    <w:rsid w:val="007B5811"/>
    <w:rsid w:val="007B5D5F"/>
    <w:rsid w:val="007D6770"/>
    <w:rsid w:val="007F35C7"/>
    <w:rsid w:val="00802C0D"/>
    <w:rsid w:val="00814771"/>
    <w:rsid w:val="008B693A"/>
    <w:rsid w:val="008C102D"/>
    <w:rsid w:val="008D1082"/>
    <w:rsid w:val="008D658B"/>
    <w:rsid w:val="008F18A6"/>
    <w:rsid w:val="008F2271"/>
    <w:rsid w:val="00987D9C"/>
    <w:rsid w:val="009914DB"/>
    <w:rsid w:val="009C37B3"/>
    <w:rsid w:val="009F3C89"/>
    <w:rsid w:val="00A360DA"/>
    <w:rsid w:val="00A718AD"/>
    <w:rsid w:val="00AA52D8"/>
    <w:rsid w:val="00AF558C"/>
    <w:rsid w:val="00B35189"/>
    <w:rsid w:val="00B5110C"/>
    <w:rsid w:val="00BA1829"/>
    <w:rsid w:val="00BF0059"/>
    <w:rsid w:val="00BF4DD9"/>
    <w:rsid w:val="00BF7683"/>
    <w:rsid w:val="00C034F7"/>
    <w:rsid w:val="00C23741"/>
    <w:rsid w:val="00C24EAA"/>
    <w:rsid w:val="00C95EB3"/>
    <w:rsid w:val="00CB3751"/>
    <w:rsid w:val="00CC06E3"/>
    <w:rsid w:val="00D0066B"/>
    <w:rsid w:val="00D32807"/>
    <w:rsid w:val="00DA06A9"/>
    <w:rsid w:val="00DA2050"/>
    <w:rsid w:val="00DD02DF"/>
    <w:rsid w:val="00E2185E"/>
    <w:rsid w:val="00E6057B"/>
    <w:rsid w:val="00F0087C"/>
    <w:rsid w:val="00F31CB4"/>
    <w:rsid w:val="00F43562"/>
    <w:rsid w:val="00F625D7"/>
    <w:rsid w:val="00F6631B"/>
    <w:rsid w:val="00F669A8"/>
    <w:rsid w:val="00F831DA"/>
    <w:rsid w:val="00F94D05"/>
    <w:rsid w:val="00FA1459"/>
    <w:rsid w:val="00FA6C61"/>
    <w:rsid w:val="011511B6"/>
    <w:rsid w:val="013C04E2"/>
    <w:rsid w:val="04C039CE"/>
    <w:rsid w:val="05200A74"/>
    <w:rsid w:val="06171CA3"/>
    <w:rsid w:val="06C44D60"/>
    <w:rsid w:val="072E60A6"/>
    <w:rsid w:val="07F661ED"/>
    <w:rsid w:val="09ED560B"/>
    <w:rsid w:val="0A142788"/>
    <w:rsid w:val="0AB879C8"/>
    <w:rsid w:val="0C5578C3"/>
    <w:rsid w:val="0D97577C"/>
    <w:rsid w:val="0E79341C"/>
    <w:rsid w:val="0F5866E0"/>
    <w:rsid w:val="0F5A7525"/>
    <w:rsid w:val="0FA03C8D"/>
    <w:rsid w:val="0FA21E71"/>
    <w:rsid w:val="0FD10A84"/>
    <w:rsid w:val="10554D43"/>
    <w:rsid w:val="10F22B14"/>
    <w:rsid w:val="11136348"/>
    <w:rsid w:val="11DC1075"/>
    <w:rsid w:val="1249388F"/>
    <w:rsid w:val="124B48B1"/>
    <w:rsid w:val="12B535B7"/>
    <w:rsid w:val="12BF2BE1"/>
    <w:rsid w:val="14516F11"/>
    <w:rsid w:val="14654299"/>
    <w:rsid w:val="15AD5CF3"/>
    <w:rsid w:val="163449B0"/>
    <w:rsid w:val="163E6D79"/>
    <w:rsid w:val="172E49CA"/>
    <w:rsid w:val="17A200B6"/>
    <w:rsid w:val="180E3C77"/>
    <w:rsid w:val="18100206"/>
    <w:rsid w:val="19077CBD"/>
    <w:rsid w:val="19A61C29"/>
    <w:rsid w:val="19B33A87"/>
    <w:rsid w:val="1D65621D"/>
    <w:rsid w:val="1E095907"/>
    <w:rsid w:val="1E227648"/>
    <w:rsid w:val="1F541079"/>
    <w:rsid w:val="200A6D43"/>
    <w:rsid w:val="22004630"/>
    <w:rsid w:val="22941E05"/>
    <w:rsid w:val="27D426EF"/>
    <w:rsid w:val="2B7A6653"/>
    <w:rsid w:val="2BE34FEE"/>
    <w:rsid w:val="2C595D3D"/>
    <w:rsid w:val="2D223F67"/>
    <w:rsid w:val="2FA06EFE"/>
    <w:rsid w:val="2FE2149C"/>
    <w:rsid w:val="30216663"/>
    <w:rsid w:val="30506F42"/>
    <w:rsid w:val="30FA2DBD"/>
    <w:rsid w:val="32CD5E9F"/>
    <w:rsid w:val="335D2803"/>
    <w:rsid w:val="344D6883"/>
    <w:rsid w:val="37B567DB"/>
    <w:rsid w:val="383B0269"/>
    <w:rsid w:val="393217AB"/>
    <w:rsid w:val="3A4160F8"/>
    <w:rsid w:val="3A4D4ED1"/>
    <w:rsid w:val="3A5E4F30"/>
    <w:rsid w:val="3AED4BE4"/>
    <w:rsid w:val="3BA24D61"/>
    <w:rsid w:val="3BD53CC5"/>
    <w:rsid w:val="3CF93408"/>
    <w:rsid w:val="3EEA1891"/>
    <w:rsid w:val="3EF427F7"/>
    <w:rsid w:val="3F115050"/>
    <w:rsid w:val="401B20BA"/>
    <w:rsid w:val="4272262C"/>
    <w:rsid w:val="447F19F8"/>
    <w:rsid w:val="450B2A9D"/>
    <w:rsid w:val="45B8361E"/>
    <w:rsid w:val="487D7455"/>
    <w:rsid w:val="4A9A7C53"/>
    <w:rsid w:val="4AC34856"/>
    <w:rsid w:val="4CF54C47"/>
    <w:rsid w:val="4DBE4329"/>
    <w:rsid w:val="4EB10B4B"/>
    <w:rsid w:val="4F4E3720"/>
    <w:rsid w:val="4F6A6BD9"/>
    <w:rsid w:val="4F94726C"/>
    <w:rsid w:val="4FDF7017"/>
    <w:rsid w:val="514771D3"/>
    <w:rsid w:val="514A49E6"/>
    <w:rsid w:val="523842B3"/>
    <w:rsid w:val="52386B5A"/>
    <w:rsid w:val="52987909"/>
    <w:rsid w:val="53061D9A"/>
    <w:rsid w:val="569048CA"/>
    <w:rsid w:val="56AE495D"/>
    <w:rsid w:val="572906D7"/>
    <w:rsid w:val="57487EAF"/>
    <w:rsid w:val="59331AB5"/>
    <w:rsid w:val="5B101482"/>
    <w:rsid w:val="5B5D34C6"/>
    <w:rsid w:val="5C372034"/>
    <w:rsid w:val="5E554E9A"/>
    <w:rsid w:val="601D2708"/>
    <w:rsid w:val="604D6B6A"/>
    <w:rsid w:val="60CA42CB"/>
    <w:rsid w:val="616B20DE"/>
    <w:rsid w:val="65AC637E"/>
    <w:rsid w:val="67272FB4"/>
    <w:rsid w:val="676C462E"/>
    <w:rsid w:val="67A51C44"/>
    <w:rsid w:val="685A2A48"/>
    <w:rsid w:val="6976316B"/>
    <w:rsid w:val="6A341CAF"/>
    <w:rsid w:val="6BBD6B50"/>
    <w:rsid w:val="6BFA69DB"/>
    <w:rsid w:val="6D3026A1"/>
    <w:rsid w:val="6D382D1A"/>
    <w:rsid w:val="6EEE60DC"/>
    <w:rsid w:val="6FA83B47"/>
    <w:rsid w:val="6FE17FDA"/>
    <w:rsid w:val="71323B27"/>
    <w:rsid w:val="71612A01"/>
    <w:rsid w:val="71D50A1E"/>
    <w:rsid w:val="7304326F"/>
    <w:rsid w:val="75825EEE"/>
    <w:rsid w:val="7794124B"/>
    <w:rsid w:val="77FB0B71"/>
    <w:rsid w:val="783B2614"/>
    <w:rsid w:val="79C64F93"/>
    <w:rsid w:val="7A21212C"/>
    <w:rsid w:val="7C672424"/>
    <w:rsid w:val="7DA62E7D"/>
    <w:rsid w:val="7E7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120" w:after="120" w:line="540" w:lineRule="exact"/>
      <w:outlineLvl w:val="0"/>
    </w:pPr>
    <w:rPr>
      <w:rFonts w:eastAsia="楷体_GB2312"/>
      <w:b/>
      <w:sz w:val="32"/>
      <w:szCs w:val="32"/>
    </w:rPr>
  </w:style>
  <w:style w:type="paragraph" w:styleId="3">
    <w:name w:val="heading 2"/>
    <w:basedOn w:val="1"/>
    <w:next w:val="1"/>
    <w:qFormat/>
    <w:uiPriority w:val="99"/>
    <w:pPr>
      <w:keepNext/>
      <w:keepLines/>
      <w:snapToGrid w:val="0"/>
      <w:spacing w:line="540" w:lineRule="exact"/>
      <w:outlineLvl w:val="1"/>
    </w:pPr>
    <w:rPr>
      <w:rFonts w:eastAsia="楷体_GB2312"/>
      <w:b/>
      <w:bCs/>
      <w:sz w:val="30"/>
      <w:szCs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&#27700;&#23460;&#40857;&#38738;&#38686;\Desktop\Microsoft%20Word%20&#20013;&#30340;&#22270;&#34920;2012.2&#26376;&#2525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320"/>
      <c:depthPercent val="100"/>
      <c:rAngAx val="0"/>
      <c:perspective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00555555555555556"/>
          <c:y val="0.087962962962963"/>
          <c:w val="0.965277777777778"/>
          <c:h val="0.868055555555556"/>
        </c:manualLayout>
      </c:layout>
      <c:pie3D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个数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7"/>
          <c:dPt>
            <c:idx val="0"/>
            <c:bubble3D val="0"/>
            <c:explosion val="22"/>
            <c:spPr>
              <a:solidFill>
                <a:srgbClr val="1DC4FF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explosion val="41"/>
            <c:spPr>
              <a:gradFill>
                <a:gsLst>
                  <a:gs pos="0">
                    <a:srgbClr val="007BD3"/>
                  </a:gs>
                  <a:gs pos="100000">
                    <a:srgbClr val="034373"/>
                  </a:gs>
                </a:gsLst>
                <a:path path="circle"/>
              </a:gra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explosion val="38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.0496185476815399"/>
                  <c:y val="-0.016388860483348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1.9%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66.0%</a:t>
                    </a:r>
                    <a:endParaRPr lang="en-US" altLang="zh-CN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0895056867891513"/>
                  <c:y val="0.084691231777845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32.1%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Sheet1!$B$4:$B$6</c:f>
              <c:strCache>
                <c:ptCount val="3"/>
                <c:pt idx="0">
                  <c:v>Ⅰ</c:v>
                </c:pt>
                <c:pt idx="1">
                  <c:v>Ⅱ</c:v>
                </c:pt>
                <c:pt idx="2">
                  <c:v>Ⅲ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0">
                  <c:v>1</c:v>
                </c:pt>
                <c:pt idx="1">
                  <c:v>35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比例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Sheet1!$B$4:$B$6</c:f>
              <c:strCache>
                <c:ptCount val="3"/>
                <c:pt idx="0">
                  <c:v>Ⅰ</c:v>
                </c:pt>
                <c:pt idx="1">
                  <c:v>Ⅱ</c:v>
                </c:pt>
                <c:pt idx="2">
                  <c:v>Ⅲ</c:v>
                </c:pt>
              </c:strCache>
            </c:strRef>
          </c:cat>
          <c:val>
            <c:numRef>
              <c:f>Sheet1!$D$4:$D$6</c:f>
              <c:numCache>
                <c:formatCode>0.00%</c:formatCode>
                <c:ptCount val="3"/>
                <c:pt idx="0">
                  <c:v>0.019</c:v>
                </c:pt>
                <c:pt idx="1">
                  <c:v>0.66</c:v>
                </c:pt>
                <c:pt idx="2">
                  <c:v>0.321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  <c:spPr>
        <a:solidFill>
          <a:schemeClr val="accent1">
            <a:lumMod val="20000"/>
            <a:lumOff val="80000"/>
            <a:alpha val="30000"/>
          </a:schemeClr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1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lang="zh-CN" altLang="en-US" sz="900" b="1">
                <a:solidFill>
                  <a:sysClr val="windowText" lastClr="000000"/>
                </a:solidFill>
                <a:latin typeface="Arial Black" panose="020B0A04020102020204" pitchFamily="34" charset="0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图</a:t>
            </a:r>
            <a:r>
              <a:rPr lang="en-US" altLang="zh-CN" sz="900" b="1">
                <a:solidFill>
                  <a:sysClr val="windowText" lastClr="000000"/>
                </a:solidFill>
                <a:latin typeface="Arial Black" panose="020B0A04020102020204" pitchFamily="34" charset="0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2         2021</a:t>
            </a:r>
            <a:r>
              <a:rPr lang="zh-CN" altLang="en-US" sz="900" b="1">
                <a:solidFill>
                  <a:sysClr val="windowText" lastClr="000000"/>
                </a:solidFill>
                <a:latin typeface="Arial Black" panose="020B0A04020102020204" pitchFamily="34" charset="0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年</a:t>
            </a:r>
            <a:r>
              <a:rPr lang="en-US" altLang="zh-CN" sz="900" b="1">
                <a:solidFill>
                  <a:sysClr val="windowText" lastClr="000000"/>
                </a:solidFill>
                <a:latin typeface="Arial Black" panose="020B0A04020102020204" pitchFamily="34" charset="0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5</a:t>
            </a:r>
            <a:r>
              <a:rPr lang="zh-CN" altLang="en-US" sz="900" b="1">
                <a:solidFill>
                  <a:sysClr val="windowText" lastClr="000000"/>
                </a:solidFill>
                <a:latin typeface="Arial Black" panose="020B0A04020102020204" pitchFamily="34" charset="0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月邵阳市国控、省控断面水质类别组成比例</a:t>
            </a:r>
            <a:endParaRPr lang="zh-CN" altLang="en-US" sz="900" b="1">
              <a:solidFill>
                <a:sysClr val="windowText" lastClr="000000"/>
              </a:solidFill>
              <a:latin typeface="Arial Black" panose="020B0A04020102020204" pitchFamily="34" charset="0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endParaRPr>
          </a:p>
        </c:rich>
      </c:tx>
      <c:layout>
        <c:manualLayout>
          <c:xMode val="edge"/>
          <c:yMode val="edge"/>
          <c:x val="0.152986111111111"/>
          <c:y val="0.90972222222222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0410958904109589"/>
          <c:y val="0.00795693891879242"/>
          <c:w val="0.981232876712329"/>
          <c:h val="0.731663936344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Sheet5!$D$29</c:f>
              <c:strCache>
                <c:ptCount val="1"/>
                <c:pt idx="0">
                  <c:v>个数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solidFill>
                <a:srgbClr val="FFC000">
                  <a:lumMod val="40000"/>
                  <a:lumOff val="60000"/>
                </a:srgbClr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00" b="1" i="0" u="none" strike="noStrike" kern="1200" cap="none" spc="0" normalizeH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uFill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Sheet5!$B$30:$C$34</c:f>
              <c:multiLvlStrCache>
                <c:ptCount val="5"/>
                <c:lvl>
                  <c:pt idx="0">
                    <c:v>Ⅰ</c:v>
                  </c:pt>
                  <c:pt idx="1">
                    <c:v>Ⅱ</c:v>
                  </c:pt>
                  <c:pt idx="2">
                    <c:v>Ⅲ</c:v>
                  </c:pt>
                  <c:pt idx="3">
                    <c:v>Ⅱ</c:v>
                  </c:pt>
                  <c:pt idx="4">
                    <c:v>Ⅲ</c:v>
                  </c:pt>
                </c:lvl>
                <c:lvl>
                  <c:pt idx="0">
                    <c:v>国控</c:v>
                  </c:pt>
                  <c:pt idx="3">
                    <c:v>省控</c:v>
                  </c:pt>
                </c:lvl>
              </c:multiLvlStrCache>
            </c:multiLvlStrRef>
          </c:cat>
          <c:val>
            <c:numRef>
              <c:f>Sheet5!$D$30:$D$34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3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Sheet5!$E$29</c:f>
              <c:strCache>
                <c:ptCount val="1"/>
                <c:pt idx="0">
                  <c:v>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375"/>
                  <c:y val="0.004716981132075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333333333333333"/>
                  <c:y val="0.004716981132075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Sheet5!$B$30:$C$34</c:f>
              <c:multiLvlStrCache>
                <c:ptCount val="5"/>
                <c:lvl>
                  <c:pt idx="0">
                    <c:v>Ⅰ</c:v>
                  </c:pt>
                  <c:pt idx="1">
                    <c:v>Ⅱ</c:v>
                  </c:pt>
                  <c:pt idx="2">
                    <c:v>Ⅲ</c:v>
                  </c:pt>
                  <c:pt idx="3">
                    <c:v>Ⅱ</c:v>
                  </c:pt>
                  <c:pt idx="4">
                    <c:v>Ⅲ</c:v>
                  </c:pt>
                </c:lvl>
                <c:lvl>
                  <c:pt idx="0">
                    <c:v>国控</c:v>
                  </c:pt>
                  <c:pt idx="3">
                    <c:v>省控</c:v>
                  </c:pt>
                </c:lvl>
              </c:multiLvlStrCache>
            </c:multiLvlStrRef>
          </c:cat>
          <c:val>
            <c:numRef>
              <c:f>Sheet5!$E$30:$E$34</c:f>
              <c:numCache>
                <c:formatCode>0.0%</c:formatCode>
                <c:ptCount val="5"/>
                <c:pt idx="0">
                  <c:v>0.067</c:v>
                </c:pt>
                <c:pt idx="1">
                  <c:v>0.733</c:v>
                </c:pt>
                <c:pt idx="2">
                  <c:v>0.2</c:v>
                </c:pt>
                <c:pt idx="3">
                  <c:v>0.632</c:v>
                </c:pt>
                <c:pt idx="4">
                  <c:v>0.368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26055427"/>
        <c:axId val="600219495"/>
      </c:barChart>
      <c:catAx>
        <c:axId val="92605542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600219495"/>
        <c:crosses val="autoZero"/>
        <c:auto val="1"/>
        <c:lblAlgn val="ctr"/>
        <c:lblOffset val="100"/>
        <c:noMultiLvlLbl val="0"/>
      </c:catAx>
      <c:valAx>
        <c:axId val="6002194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26055427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  <a:effectLst>
          <a:outerShdw blurRad="50800" dist="50800" dir="5400000" algn="ctr" rotWithShape="0">
            <a:schemeClr val="accent1">
              <a:lumMod val="20000"/>
              <a:lumOff val="80000"/>
            </a:schemeClr>
          </a:outerShdw>
        </a:effectLst>
      </c:spPr>
    </c:plotArea>
    <c:legend>
      <c:legendPos val="t"/>
      <c:layout>
        <c:manualLayout>
          <c:xMode val="edge"/>
          <c:yMode val="edge"/>
          <c:x val="0.20982261592301"/>
          <c:y val="0.100663780663781"/>
          <c:w val="0.185910104986877"/>
          <c:h val="0.097403279135562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761FF-AF54-4E4D-BF2E-D0C3D3F219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732</Words>
  <Characters>4178</Characters>
  <Lines>34</Lines>
  <Paragraphs>9</Paragraphs>
  <TotalTime>85</TotalTime>
  <ScaleCrop>false</ScaleCrop>
  <LinksUpToDate>false</LinksUpToDate>
  <CharactersWithSpaces>4901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2021-04-13T02:57:00Z</dcterms:created>
  <dc:creator>丽莎</dc:creator>
  <cp:lastModifiedBy>绿萝</cp:lastModifiedBy>
  <cp:lastPrinted>2021-06-10T08:36:08Z</cp:lastPrinted>
  <dcterms:modified xsi:type="dcterms:W3CDTF">2021-06-10T09:00:56Z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45E0F5A430DE4989BECD97B77C0FCEB4</vt:lpwstr>
  </property>
</Properties>
</file>