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color w:val="70AD47"/>
          <w:szCs w:val="21"/>
          <w14:glow w14:rad="38100">
            <w14:schemeClr w14:val="accent1">
              <w14:alpha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  <w14:props3d w14:extrusionH="0" w14:contourW="0" w14:prstMaterial="clear"/>
        </w:rPr>
      </w:pPr>
    </w:p>
    <w:p>
      <w:pPr>
        <w:jc w:val="center"/>
        <w:rPr>
          <w:rFonts w:ascii="新宋体" w:hAnsi="新宋体" w:eastAsia="新宋体" w:cs="新宋体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hint="eastAsia" w:ascii="黑体" w:hAnsi="黑体" w:eastAsia="黑体" w:cs="黑体"/>
          <w:color w:val="70AD47"/>
          <w:sz w:val="84"/>
          <w:szCs w:val="84"/>
          <w14:glow w14:rad="38100">
            <w14:schemeClr w14:val="accent1">
              <w14:alpha w14:val="60000"/>
            </w14:schemeClr>
          </w14:glow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  <w14:props3d w14:extrusionH="0" w14:contourW="0" w14:prstMaterial="clear"/>
        </w:rPr>
        <w:t>邵阳市水环境质量月报</w:t>
      </w:r>
    </w:p>
    <w:p>
      <w:pPr>
        <w:jc w:val="center"/>
        <w:rPr>
          <w:rFonts w:ascii="新宋体" w:hAnsi="新宋体" w:eastAsia="新宋体" w:cs="新宋体"/>
          <w:color w:val="4472C4" w:themeColor="accent5"/>
          <w:spacing w:val="40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hint="eastAsia" w:ascii="新宋体" w:hAnsi="新宋体" w:eastAsia="新宋体" w:cs="新宋体"/>
          <w:b/>
          <w:bCs/>
          <w:color w:val="4472C4" w:themeColor="accent5"/>
          <w:spacing w:val="40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2021年第4期（总第40期）</w:t>
      </w:r>
    </w:p>
    <w:p>
      <w:pPr>
        <w:jc w:val="center"/>
        <w:rPr>
          <w:rFonts w:ascii="新宋体" w:hAnsi="新宋体" w:eastAsia="新宋体" w:cs="新宋体"/>
          <w:color w:val="4472C4" w:themeColor="accent5"/>
          <w:spacing w:val="4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</w:p>
    <w:p>
      <w:pPr>
        <w:rPr>
          <w:rFonts w:ascii="新宋体" w:hAnsi="新宋体" w:eastAsia="新宋体" w:cs="新宋体"/>
          <w:color w:val="4472C4" w:themeColor="accent5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</w:pPr>
      <w:r>
        <w:rPr>
          <w:rFonts w:hint="eastAsia" w:ascii="新宋体" w:hAnsi="新宋体" w:eastAsia="新宋体" w:cs="新宋体"/>
          <w:color w:val="4472C4" w:themeColor="accent5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 xml:space="preserve"> </w:t>
      </w:r>
    </w:p>
    <w:p>
      <w:pPr>
        <w:jc w:val="center"/>
        <w:rPr>
          <w:rFonts w:ascii="新宋体" w:hAnsi="新宋体" w:eastAsia="新宋体" w:cs="新宋体"/>
          <w:b/>
          <w:bC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hint="eastAsia" w:ascii="黑体" w:hAnsi="黑体" w:eastAsia="黑体" w:cs="黑体"/>
          <w:b/>
          <w:bCs/>
          <w:color w:val="4472C4" w:themeColor="accent5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湖南省邵阳生态环境监测中心                             2021年5月</w:t>
      </w:r>
      <w:r>
        <w:rPr>
          <w:rFonts w:ascii="黑体" w:hAnsi="黑体" w:eastAsia="黑体" w:cs="黑体"/>
          <w:b/>
          <w:bCs/>
          <w:color w:val="4472C4" w:themeColor="accent5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13</w:t>
      </w:r>
      <w:r>
        <w:rPr>
          <w:rFonts w:hint="eastAsia" w:ascii="黑体" w:hAnsi="黑体" w:eastAsia="黑体" w:cs="黑体"/>
          <w:b/>
          <w:bCs/>
          <w:color w:val="4472C4" w:themeColor="accent5"/>
          <w:sz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ang="0" w14:scaled="0"/>
            </w14:gradFill>
          </w14:textFill>
        </w:rPr>
        <w:t>日</w:t>
      </w:r>
    </w:p>
    <w:p>
      <w:pPr>
        <w:spacing w:line="80" w:lineRule="exact"/>
        <w:rPr>
          <w:rFonts w:ascii="新宋体" w:hAnsi="新宋体" w:eastAsia="新宋体" w:cs="新宋体"/>
          <w:highlight w:val="blue"/>
          <w:u w:val="double"/>
        </w:rPr>
      </w:pPr>
      <w:r>
        <w:rPr>
          <w:rFonts w:hint="eastAsia" w:ascii="新宋体" w:hAnsi="新宋体" w:eastAsia="新宋体" w:cs="新宋体"/>
          <w:b/>
          <w:bCs/>
          <w:color w:val="4472C4" w:themeColor="accent5"/>
          <w:u w:val="thick"/>
          <w14:textFill>
            <w14:solidFill>
              <w14:schemeClr w14:val="accent5"/>
            </w14:solidFill>
          </w14:textFill>
        </w:rPr>
        <w:t xml:space="preserve">                                                                                   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 xml:space="preserve"> </w:t>
      </w:r>
    </w:p>
    <w:p>
      <w:pPr>
        <w:jc w:val="center"/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水环境质量概况</w:t>
      </w:r>
    </w:p>
    <w:p>
      <w:pPr>
        <w:spacing w:line="600" w:lineRule="exact"/>
        <w:ind w:firstLine="561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本月，邵阳市地表水总体水质为优。开展监测的53个断面，Ⅰ类水质断面5个，占9.4%；Ⅱ类水质断面42个，占79.2%；Ⅲ类水质断面6个，占11.3%。邵阳市地表水断面水质类别比例情况详见图1。</w:t>
      </w:r>
    </w:p>
    <w:p>
      <w:pPr>
        <w:spacing w:line="600" w:lineRule="exact"/>
        <w:ind w:firstLine="561"/>
        <w:rPr>
          <w:rFonts w:ascii="新宋体" w:hAnsi="新宋体" w:eastAsia="新宋体" w:cs="新宋体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546100</wp:posOffset>
            </wp:positionH>
            <wp:positionV relativeFrom="paragraph">
              <wp:posOffset>219710</wp:posOffset>
            </wp:positionV>
            <wp:extent cx="4572000" cy="2200275"/>
            <wp:effectExtent l="57150" t="57150" r="38100" b="47625"/>
            <wp:wrapNone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spacing w:line="600" w:lineRule="exact"/>
        <w:ind w:firstLine="561"/>
        <w:rPr>
          <w:rFonts w:ascii="新宋体" w:hAnsi="新宋体" w:eastAsia="新宋体" w:cs="新宋体"/>
          <w:sz w:val="28"/>
          <w:szCs w:val="28"/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color w:val="FFFFFF" w:themeColor="background1"/>
          <w:sz w:val="28"/>
          <w:szCs w:val="28"/>
          <w14:textFill>
            <w14:noFill/>
          </w14:textFill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spacing w:line="300" w:lineRule="exact"/>
        <w:ind w:firstLine="561"/>
        <w:jc w:val="center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 </w:t>
      </w:r>
    </w:p>
    <w:p>
      <w:pPr>
        <w:spacing w:line="300" w:lineRule="exact"/>
        <w:ind w:firstLine="561"/>
        <w:jc w:val="center"/>
        <w:rPr>
          <w:rFonts w:ascii="新宋体" w:hAnsi="新宋体" w:eastAsia="新宋体" w:cs="新宋体"/>
          <w:b/>
          <w:szCs w:val="21"/>
        </w:rPr>
      </w:pPr>
      <w:r>
        <w:rPr>
          <w:rFonts w:hint="eastAsia" w:ascii="新宋体" w:hAnsi="新宋体" w:eastAsia="新宋体" w:cs="新宋体"/>
          <w:b/>
          <w:szCs w:val="21"/>
        </w:rPr>
        <w:t>图1   2021年4月邵阳</w:t>
      </w:r>
      <w:r>
        <w:rPr>
          <w:rFonts w:ascii="新宋体" w:hAnsi="新宋体" w:eastAsia="新宋体" w:cs="新宋体"/>
          <w:b/>
          <w:szCs w:val="21"/>
        </w:rPr>
        <w:t>市</w:t>
      </w:r>
      <w:r>
        <w:rPr>
          <w:rFonts w:hint="eastAsia" w:ascii="新宋体" w:hAnsi="新宋体" w:eastAsia="新宋体" w:cs="新宋体"/>
          <w:b/>
          <w:szCs w:val="21"/>
        </w:rPr>
        <w:t>地表水断面水质</w:t>
      </w:r>
      <w:r>
        <w:rPr>
          <w:rFonts w:ascii="新宋体" w:hAnsi="新宋体" w:eastAsia="新宋体" w:cs="新宋体"/>
          <w:b/>
          <w:szCs w:val="21"/>
        </w:rPr>
        <w:t>类别比例情况</w:t>
      </w:r>
    </w:p>
    <w:p>
      <w:pPr>
        <w:spacing w:line="300" w:lineRule="exact"/>
        <w:ind w:firstLine="561"/>
        <w:jc w:val="center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           </w:t>
      </w:r>
    </w:p>
    <w:p>
      <w:pPr>
        <w:spacing w:line="300" w:lineRule="exact"/>
        <w:ind w:firstLine="561"/>
        <w:jc w:val="center"/>
        <w:rPr>
          <w:rFonts w:ascii="新宋体" w:hAnsi="新宋体" w:eastAsia="新宋体" w:cs="新宋体"/>
          <w:sz w:val="28"/>
          <w:szCs w:val="28"/>
        </w:rPr>
      </w:pPr>
    </w:p>
    <w:p>
      <w:pPr>
        <w:numPr>
          <w:ilvl w:val="0"/>
          <w:numId w:val="1"/>
        </w:numPr>
        <w:spacing w:line="600" w:lineRule="exact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</w:rPr>
        <w:t>地表水环境质量状况</w:t>
      </w:r>
    </w:p>
    <w:p>
      <w:pPr>
        <w:spacing w:line="600" w:lineRule="exact"/>
        <w:ind w:firstLine="561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本月，资江、沅江、湘江和珠江水系总体水质为优。</w:t>
      </w:r>
    </w:p>
    <w:p>
      <w:pPr>
        <w:spacing w:line="600" w:lineRule="exact"/>
        <w:ind w:firstLine="561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开展监测的53个断面中：15个国控采测分离断面，Ⅰ类水质断面</w:t>
      </w:r>
      <w:r>
        <w:rPr>
          <w:rFonts w:ascii="新宋体" w:hAnsi="新宋体" w:eastAsia="新宋体" w:cs="新宋体"/>
          <w:sz w:val="28"/>
          <w:szCs w:val="28"/>
        </w:rPr>
        <w:t>1</w:t>
      </w:r>
      <w:r>
        <w:rPr>
          <w:rFonts w:hint="eastAsia" w:ascii="新宋体" w:hAnsi="新宋体" w:eastAsia="新宋体" w:cs="新宋体"/>
          <w:sz w:val="28"/>
          <w:szCs w:val="28"/>
        </w:rPr>
        <w:t>个，占6.7%；Ⅱ类水质断面10个，占66.7%；Ⅲ类水质断面4个，占2</w:t>
      </w:r>
      <w:r>
        <w:rPr>
          <w:rFonts w:ascii="新宋体" w:hAnsi="新宋体" w:eastAsia="新宋体" w:cs="新宋体"/>
          <w:sz w:val="28"/>
          <w:szCs w:val="28"/>
        </w:rPr>
        <w:t>6.7</w:t>
      </w:r>
      <w:r>
        <w:rPr>
          <w:rFonts w:hint="eastAsia" w:ascii="新宋体" w:hAnsi="新宋体" w:eastAsia="新宋体" w:cs="新宋体"/>
          <w:sz w:val="28"/>
          <w:szCs w:val="28"/>
        </w:rPr>
        <w:t>%。38个省控考核断面，Ⅰ类水质断面4个，占10.5%；Ⅱ类水质断面32个，占84.2%；Ⅲ类水质断面2个，占5.3%。邵阳市国控、省控断面水质类别比例情况详见图2。</w:t>
      </w:r>
    </w:p>
    <w:p>
      <w:pPr>
        <w:spacing w:line="600" w:lineRule="exact"/>
        <w:ind w:firstLine="561"/>
        <w:jc w:val="center"/>
        <w:rPr>
          <w:rFonts w:ascii="新宋体" w:hAnsi="新宋体" w:eastAsia="新宋体" w:cs="新宋体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156845</wp:posOffset>
            </wp:positionV>
            <wp:extent cx="4572000" cy="2562225"/>
            <wp:effectExtent l="57150" t="57150" r="38100" b="47625"/>
            <wp:wrapNone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spacing w:line="600" w:lineRule="exact"/>
        <w:ind w:firstLine="560"/>
        <w:rPr>
          <w:rFonts w:ascii="新宋体" w:hAnsi="新宋体" w:eastAsia="新宋体" w:cs="新宋体"/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spacing w:line="280" w:lineRule="exact"/>
        <w:ind w:firstLine="561"/>
        <w:jc w:val="center"/>
        <w:rPr>
          <w:rFonts w:ascii="新宋体" w:hAnsi="新宋体" w:eastAsia="新宋体" w:cs="新宋体"/>
          <w:b/>
          <w:bCs/>
          <w:sz w:val="18"/>
          <w:szCs w:val="18"/>
        </w:rPr>
      </w:pPr>
    </w:p>
    <w:p>
      <w:pPr>
        <w:spacing w:line="280" w:lineRule="exact"/>
        <w:ind w:firstLine="561"/>
        <w:jc w:val="center"/>
        <w:rPr>
          <w:rFonts w:ascii="新宋体" w:hAnsi="新宋体" w:eastAsia="新宋体" w:cs="新宋体"/>
          <w:b/>
          <w:bCs/>
          <w:sz w:val="18"/>
          <w:szCs w:val="18"/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spacing w:line="600" w:lineRule="exact"/>
        <w:ind w:firstLine="560"/>
        <w:rPr>
          <w:rFonts w:ascii="新宋体" w:hAnsi="新宋体" w:eastAsia="新宋体" w:cs="新宋体"/>
          <w:sz w:val="28"/>
          <w:szCs w:val="28"/>
        </w:rPr>
      </w:pPr>
    </w:p>
    <w:p>
      <w:pPr>
        <w:tabs>
          <w:tab w:val="left" w:pos="3555"/>
        </w:tabs>
        <w:spacing w:before="156" w:beforeLines="50" w:line="460" w:lineRule="exact"/>
        <w:ind w:firstLine="151" w:firstLineChars="50"/>
        <w:outlineLvl w:val="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30"/>
          <w:szCs w:val="30"/>
        </w:rPr>
        <w:t>1、</w:t>
      </w:r>
      <w:r>
        <w:rPr>
          <w:rFonts w:hint="eastAsia" w:ascii="新宋体" w:hAnsi="新宋体" w:eastAsia="新宋体" w:cs="新宋体"/>
          <w:b/>
          <w:sz w:val="28"/>
          <w:szCs w:val="28"/>
        </w:rPr>
        <w:t>资江水质状况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本月，资江流域水质总体为</w:t>
      </w:r>
      <w:r>
        <w:rPr>
          <w:rFonts w:ascii="新宋体" w:hAnsi="新宋体" w:eastAsia="新宋体" w:cs="新宋体"/>
          <w:sz w:val="28"/>
          <w:szCs w:val="28"/>
        </w:rPr>
        <w:t>优</w:t>
      </w:r>
      <w:r>
        <w:rPr>
          <w:rFonts w:hint="eastAsia" w:ascii="新宋体" w:hAnsi="新宋体" w:eastAsia="新宋体" w:cs="新宋体"/>
          <w:sz w:val="28"/>
          <w:szCs w:val="28"/>
        </w:rPr>
        <w:t>。开展监测的41个断面，Ⅰ类水质断面2个，占4.9%；Ⅱ类水质断面34个，占82.9%；Ⅲ类水质断面5个，占12.2%。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与上月相比，洞口县二水厂、隆回县木瓜山水库2个断面由Ⅱ类上升为Ⅰ类；渡头桥镇光辉村断面水质由Ⅲ类上升为Ⅱ类；球溪、洞口县双江口、工业街水厂、桐江兴隆4个断面水质由Ⅱ类下降为Ⅲ类。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与上年同期相比，洞口县二水厂断面Ⅲ类上升为Ⅰ类；</w:t>
      </w:r>
      <w:r>
        <w:rPr>
          <w:rFonts w:ascii="新宋体" w:hAnsi="新宋体" w:eastAsia="新宋体" w:cs="新宋体"/>
          <w:sz w:val="28"/>
          <w:szCs w:val="28"/>
        </w:rPr>
        <w:t>木瓜桥</w:t>
      </w:r>
      <w:r>
        <w:rPr>
          <w:rFonts w:hint="eastAsia" w:ascii="新宋体" w:hAnsi="新宋体" w:eastAsia="新宋体" w:cs="新宋体"/>
          <w:sz w:val="28"/>
          <w:szCs w:val="28"/>
        </w:rPr>
        <w:t>、渡头桥镇光辉村2</w:t>
      </w:r>
      <w:r>
        <w:rPr>
          <w:rFonts w:ascii="新宋体" w:hAnsi="新宋体" w:eastAsia="新宋体" w:cs="新宋体"/>
          <w:sz w:val="28"/>
          <w:szCs w:val="28"/>
        </w:rPr>
        <w:t>个</w:t>
      </w:r>
      <w:r>
        <w:rPr>
          <w:rFonts w:hint="eastAsia" w:ascii="新宋体" w:hAnsi="新宋体" w:eastAsia="新宋体" w:cs="新宋体"/>
          <w:sz w:val="28"/>
          <w:szCs w:val="28"/>
        </w:rPr>
        <w:t>断面水质由Ⅲ类上升为Ⅱ类；球溪、洞口县双江口、工业街水厂3个</w:t>
      </w:r>
      <w:r>
        <w:rPr>
          <w:rFonts w:ascii="新宋体" w:hAnsi="新宋体" w:eastAsia="新宋体" w:cs="新宋体"/>
          <w:sz w:val="28"/>
          <w:szCs w:val="28"/>
        </w:rPr>
        <w:t>断面</w:t>
      </w:r>
      <w:r>
        <w:rPr>
          <w:rFonts w:hint="eastAsia" w:ascii="新宋体" w:hAnsi="新宋体" w:eastAsia="新宋体" w:cs="新宋体"/>
          <w:sz w:val="28"/>
          <w:szCs w:val="28"/>
        </w:rPr>
        <w:t>由Ⅱ类下降为Ⅲ类。</w:t>
      </w:r>
    </w:p>
    <w:p>
      <w:pPr>
        <w:spacing w:before="156" w:beforeLines="50" w:line="460" w:lineRule="exact"/>
        <w:ind w:right="-176" w:rightChars="-84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30"/>
          <w:szCs w:val="30"/>
        </w:rPr>
        <w:t>2、</w:t>
      </w:r>
      <w:r>
        <w:rPr>
          <w:rFonts w:hint="eastAsia" w:ascii="新宋体" w:hAnsi="新宋体" w:eastAsia="新宋体" w:cs="新宋体"/>
          <w:b/>
          <w:sz w:val="28"/>
          <w:szCs w:val="28"/>
        </w:rPr>
        <w:t>沅江水质状况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本月，沅江流域水质总体为优。开展监测的6个断面，Ⅰ类水质断面2个，占33.3%；Ⅱ类水质断面4个，占66.7%。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与上月相比，白云湖、虾子溪水厂2个断面Ⅱ类上升为Ⅰ类。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与上年同期相比，白云湖、虾子溪水厂2个断面Ⅱ类上升为Ⅰ类。</w:t>
      </w:r>
    </w:p>
    <w:p>
      <w:pPr>
        <w:spacing w:before="156" w:beforeLines="50" w:line="460" w:lineRule="exact"/>
        <w:ind w:right="-176" w:rightChars="-84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30"/>
          <w:szCs w:val="30"/>
        </w:rPr>
        <w:t>3、</w:t>
      </w:r>
      <w:r>
        <w:rPr>
          <w:rFonts w:hint="eastAsia" w:ascii="新宋体" w:hAnsi="新宋体" w:eastAsia="新宋体" w:cs="新宋体"/>
          <w:b/>
          <w:sz w:val="28"/>
          <w:szCs w:val="28"/>
        </w:rPr>
        <w:t>湘江水质状况</w:t>
      </w:r>
    </w:p>
    <w:p>
      <w:pPr>
        <w:spacing w:before="156" w:beforeLines="50" w:line="460" w:lineRule="exact"/>
        <w:ind w:right="-176" w:rightChars="-84" w:firstLine="536" w:firstLineChars="200"/>
        <w:rPr>
          <w:rFonts w:ascii="新宋体" w:hAnsi="新宋体" w:eastAsia="新宋体" w:cs="新宋体"/>
          <w:spacing w:val="-6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本月，湘江流域水质总体为优。开展监测的5</w:t>
      </w:r>
      <w:r>
        <w:rPr>
          <w:rFonts w:hint="eastAsia" w:ascii="新宋体" w:hAnsi="新宋体" w:eastAsia="新宋体" w:cs="新宋体"/>
          <w:sz w:val="28"/>
          <w:szCs w:val="28"/>
        </w:rPr>
        <w:t>个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断面，</w:t>
      </w:r>
      <w:r>
        <w:rPr>
          <w:rFonts w:hint="eastAsia" w:ascii="新宋体" w:hAnsi="新宋体" w:eastAsia="新宋体" w:cs="新宋体"/>
          <w:sz w:val="28"/>
          <w:szCs w:val="28"/>
        </w:rPr>
        <w:t>Ⅱ类水质断面4个，占8</w:t>
      </w:r>
      <w:r>
        <w:rPr>
          <w:rFonts w:ascii="新宋体" w:hAnsi="新宋体" w:eastAsia="新宋体" w:cs="新宋体"/>
          <w:sz w:val="28"/>
          <w:szCs w:val="28"/>
        </w:rPr>
        <w:t>0.0</w:t>
      </w:r>
      <w:r>
        <w:rPr>
          <w:rFonts w:hint="eastAsia" w:ascii="新宋体" w:hAnsi="新宋体" w:eastAsia="新宋体" w:cs="新宋体"/>
          <w:sz w:val="28"/>
          <w:szCs w:val="28"/>
        </w:rPr>
        <w:t>%；Ⅲ类水质断面1个，占2</w:t>
      </w:r>
      <w:r>
        <w:rPr>
          <w:rFonts w:ascii="新宋体" w:hAnsi="新宋体" w:eastAsia="新宋体" w:cs="新宋体"/>
          <w:sz w:val="28"/>
          <w:szCs w:val="28"/>
        </w:rPr>
        <w:t>0.0</w:t>
      </w:r>
      <w:r>
        <w:rPr>
          <w:rFonts w:hint="eastAsia" w:ascii="新宋体" w:hAnsi="新宋体" w:eastAsia="新宋体" w:cs="新宋体"/>
          <w:sz w:val="28"/>
          <w:szCs w:val="28"/>
        </w:rPr>
        <w:t>%。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与上月相比，联</w:t>
      </w:r>
      <w:r>
        <w:rPr>
          <w:rFonts w:ascii="新宋体" w:hAnsi="新宋体" w:eastAsia="新宋体" w:cs="新宋体"/>
          <w:sz w:val="28"/>
          <w:szCs w:val="28"/>
        </w:rPr>
        <w:t>江村断面</w:t>
      </w:r>
      <w:r>
        <w:rPr>
          <w:rFonts w:hint="eastAsia" w:ascii="新宋体" w:hAnsi="新宋体" w:eastAsia="新宋体" w:cs="新宋体"/>
          <w:sz w:val="28"/>
          <w:szCs w:val="28"/>
        </w:rPr>
        <w:t>水质</w:t>
      </w:r>
      <w:r>
        <w:rPr>
          <w:rFonts w:ascii="新宋体" w:hAnsi="新宋体" w:eastAsia="新宋体" w:cs="新宋体"/>
          <w:sz w:val="28"/>
          <w:szCs w:val="28"/>
        </w:rPr>
        <w:t>由</w:t>
      </w:r>
      <w:r>
        <w:rPr>
          <w:rFonts w:hint="eastAsia" w:ascii="新宋体" w:hAnsi="新宋体" w:eastAsia="新宋体" w:cs="新宋体"/>
          <w:sz w:val="28"/>
          <w:szCs w:val="28"/>
        </w:rPr>
        <w:t>Ⅱ类下降为Ⅲ类。</w:t>
      </w:r>
    </w:p>
    <w:p>
      <w:pPr>
        <w:spacing w:before="156" w:beforeLines="50" w:line="460" w:lineRule="exact"/>
        <w:ind w:right="-176" w:rightChars="-84" w:firstLine="544" w:firstLineChars="200"/>
        <w:rPr>
          <w:rFonts w:ascii="新宋体" w:hAnsi="新宋体" w:eastAsia="新宋体" w:cs="新宋体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sz w:val="28"/>
          <w:szCs w:val="28"/>
        </w:rPr>
        <w:t>与上年同期相比，</w:t>
      </w:r>
      <w:r>
        <w:rPr>
          <w:rFonts w:hint="eastAsia" w:ascii="新宋体" w:hAnsi="新宋体" w:eastAsia="新宋体" w:cs="新宋体"/>
          <w:sz w:val="28"/>
          <w:szCs w:val="28"/>
        </w:rPr>
        <w:t>联</w:t>
      </w:r>
      <w:r>
        <w:rPr>
          <w:rFonts w:ascii="新宋体" w:hAnsi="新宋体" w:eastAsia="新宋体" w:cs="新宋体"/>
          <w:sz w:val="28"/>
          <w:szCs w:val="28"/>
        </w:rPr>
        <w:t>江村断面</w:t>
      </w:r>
      <w:r>
        <w:rPr>
          <w:rFonts w:hint="eastAsia" w:ascii="新宋体" w:hAnsi="新宋体" w:eastAsia="新宋体" w:cs="新宋体"/>
          <w:sz w:val="28"/>
          <w:szCs w:val="28"/>
        </w:rPr>
        <w:t>水质</w:t>
      </w:r>
      <w:r>
        <w:rPr>
          <w:rFonts w:ascii="新宋体" w:hAnsi="新宋体" w:eastAsia="新宋体" w:cs="新宋体"/>
          <w:sz w:val="28"/>
          <w:szCs w:val="28"/>
        </w:rPr>
        <w:t>由</w:t>
      </w:r>
      <w:r>
        <w:rPr>
          <w:rFonts w:hint="eastAsia" w:ascii="新宋体" w:hAnsi="新宋体" w:eastAsia="新宋体" w:cs="新宋体"/>
          <w:sz w:val="28"/>
          <w:szCs w:val="28"/>
        </w:rPr>
        <w:t>Ⅱ类下降为Ⅲ类。</w:t>
      </w:r>
    </w:p>
    <w:p>
      <w:pPr>
        <w:spacing w:before="156" w:beforeLines="50" w:line="460" w:lineRule="exact"/>
        <w:ind w:right="-176" w:rightChars="-84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30"/>
          <w:szCs w:val="30"/>
        </w:rPr>
        <w:t>4、</w:t>
      </w:r>
      <w:r>
        <w:rPr>
          <w:rFonts w:hint="eastAsia" w:ascii="新宋体" w:hAnsi="新宋体" w:eastAsia="新宋体" w:cs="新宋体"/>
          <w:b/>
          <w:sz w:val="28"/>
          <w:szCs w:val="28"/>
        </w:rPr>
        <w:t>珠江水质状况</w:t>
      </w:r>
    </w:p>
    <w:p>
      <w:pPr>
        <w:spacing w:before="156" w:beforeLines="50" w:line="460" w:lineRule="exact"/>
        <w:ind w:right="-176" w:rightChars="-84" w:firstLine="536" w:firstLineChars="200"/>
        <w:rPr>
          <w:rFonts w:ascii="新宋体" w:hAnsi="新宋体" w:eastAsia="新宋体" w:cs="新宋体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本月，珠江流域布龙断面水质达到</w:t>
      </w:r>
      <w:r>
        <w:rPr>
          <w:rFonts w:hint="eastAsia" w:ascii="新宋体" w:hAnsi="新宋体" w:eastAsia="新宋体" w:cs="新宋体"/>
          <w:sz w:val="28"/>
          <w:szCs w:val="28"/>
        </w:rPr>
        <w:t>Ⅰ类标准，水质为优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。</w:t>
      </w:r>
    </w:p>
    <w:p>
      <w:pPr>
        <w:spacing w:before="156" w:beforeLines="50" w:line="460" w:lineRule="exact"/>
        <w:ind w:right="-176" w:rightChars="-84"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与上月相比，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布龙断面水质由</w:t>
      </w:r>
      <w:r>
        <w:rPr>
          <w:rFonts w:hint="eastAsia" w:ascii="新宋体" w:hAnsi="新宋体" w:eastAsia="新宋体" w:cs="新宋体"/>
          <w:sz w:val="28"/>
          <w:szCs w:val="28"/>
        </w:rPr>
        <w:t>Ⅱ类上升为Ⅰ类。</w:t>
      </w:r>
    </w:p>
    <w:p>
      <w:pPr>
        <w:spacing w:before="156" w:beforeLines="50" w:line="460" w:lineRule="exact"/>
        <w:ind w:right="-176" w:rightChars="-84" w:firstLine="544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sz w:val="28"/>
          <w:szCs w:val="28"/>
        </w:rPr>
        <w:t>与上年同期相比，</w:t>
      </w:r>
      <w:r>
        <w:rPr>
          <w:rFonts w:hint="eastAsia" w:ascii="新宋体" w:hAnsi="新宋体" w:eastAsia="新宋体" w:cs="新宋体"/>
          <w:spacing w:val="-6"/>
          <w:sz w:val="28"/>
          <w:szCs w:val="28"/>
        </w:rPr>
        <w:t>布龙断面水质由</w:t>
      </w:r>
      <w:r>
        <w:rPr>
          <w:rFonts w:hint="eastAsia" w:ascii="新宋体" w:hAnsi="新宋体" w:eastAsia="新宋体" w:cs="新宋体"/>
          <w:sz w:val="28"/>
          <w:szCs w:val="28"/>
        </w:rPr>
        <w:t>Ⅱ类上升为Ⅰ类。</w:t>
      </w:r>
    </w:p>
    <w:p>
      <w:pPr>
        <w:spacing w:before="156" w:beforeLines="50" w:line="460" w:lineRule="exact"/>
        <w:ind w:right="-176" w:rightChars="-84" w:firstLine="544" w:firstLineChars="200"/>
        <w:rPr>
          <w:rFonts w:ascii="新宋体" w:hAnsi="新宋体" w:eastAsia="新宋体" w:cs="新宋体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sz w:val="28"/>
          <w:szCs w:val="28"/>
        </w:rPr>
        <w:t>详见表1、表2。</w:t>
      </w:r>
    </w:p>
    <w:p>
      <w:pPr>
        <w:spacing w:before="156" w:beforeLines="50" w:line="360" w:lineRule="exact"/>
        <w:ind w:right="-176" w:rightChars="-84" w:firstLine="482" w:firstLineChars="200"/>
        <w:jc w:val="center"/>
        <w:rPr>
          <w:rFonts w:ascii="新宋体" w:hAnsi="新宋体" w:eastAsia="新宋体" w:cs="新宋体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</w:rPr>
        <w:t>表1       2021</w:t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t>62     2016</w:t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年4月邵阳市国控断面水质情况</w:t>
      </w:r>
    </w:p>
    <w:tbl>
      <w:tblPr>
        <w:tblStyle w:val="7"/>
        <w:tblW w:w="9303" w:type="dxa"/>
        <w:tblInd w:w="93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882"/>
        <w:gridCol w:w="1350"/>
        <w:gridCol w:w="1649"/>
        <w:gridCol w:w="1080"/>
        <w:gridCol w:w="1080"/>
        <w:gridCol w:w="1081"/>
        <w:gridCol w:w="1529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</w:trPr>
        <w:tc>
          <w:tcPr>
            <w:tcW w:w="65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88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城市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河流名称</w:t>
            </w:r>
          </w:p>
        </w:tc>
        <w:tc>
          <w:tcPr>
            <w:tcW w:w="1649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断面名称</w:t>
            </w:r>
          </w:p>
        </w:tc>
        <w:tc>
          <w:tcPr>
            <w:tcW w:w="3241" w:type="dxa"/>
            <w:gridSpan w:val="3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水质类别</w:t>
            </w:r>
          </w:p>
        </w:tc>
        <w:tc>
          <w:tcPr>
            <w:tcW w:w="1529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超Ⅲ类污染物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（超标倍数）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tblHeader/>
        </w:trPr>
        <w:tc>
          <w:tcPr>
            <w:tcW w:w="65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本月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上月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上年同期</w:t>
            </w:r>
          </w:p>
        </w:tc>
        <w:tc>
          <w:tcPr>
            <w:tcW w:w="152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衡阳市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湘江蒸水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联江村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邓元泰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渡头村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桂花渡水厂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晒谷滩电站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娄底市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球溪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资江蓼水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洞口县双江口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资江平溪江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团结坝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窑市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金家坝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塘渡口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邵水入河口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娄底市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资江大洋江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金石桥龙口湾桥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沅江巫水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绥宁河口镇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西江柳江寻江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布龙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Ⅰ类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81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</w:tbl>
    <w:p>
      <w:pPr>
        <w:spacing w:before="156" w:beforeLines="50" w:after="156" w:afterLines="50" w:line="360" w:lineRule="exact"/>
        <w:ind w:right="-176" w:rightChars="-84" w:firstLine="482" w:firstLineChars="200"/>
        <w:jc w:val="center"/>
        <w:rPr>
          <w:rFonts w:ascii="新宋体" w:hAnsi="新宋体" w:eastAsia="新宋体" w:cs="新宋体"/>
          <w:b/>
          <w:bCs/>
          <w:kern w:val="0"/>
          <w:sz w:val="24"/>
        </w:rPr>
      </w:pPr>
    </w:p>
    <w:p>
      <w:pPr>
        <w:spacing w:before="156" w:beforeLines="50" w:after="156" w:afterLines="50" w:line="360" w:lineRule="exact"/>
        <w:ind w:right="-176" w:rightChars="-84" w:firstLine="482" w:firstLineChars="200"/>
        <w:jc w:val="center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</w:rPr>
        <w:t>表2       2021</w:t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t>62     2016</w:t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vanish/>
          <w:kern w:val="0"/>
          <w:sz w:val="24"/>
        </w:rPr>
        <w:pgNum/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>年4月邵阳市省控断面水质情况</w:t>
      </w:r>
    </w:p>
    <w:tbl>
      <w:tblPr>
        <w:tblStyle w:val="7"/>
        <w:tblW w:w="9137" w:type="dxa"/>
        <w:tblInd w:w="93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022"/>
        <w:gridCol w:w="1175"/>
        <w:gridCol w:w="2082"/>
        <w:gridCol w:w="822"/>
        <w:gridCol w:w="953"/>
        <w:gridCol w:w="1074"/>
        <w:gridCol w:w="1477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tblHeader/>
        </w:trPr>
        <w:tc>
          <w:tcPr>
            <w:tcW w:w="53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2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城市名称</w:t>
            </w:r>
          </w:p>
        </w:tc>
        <w:tc>
          <w:tcPr>
            <w:tcW w:w="1175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河流名称</w:t>
            </w:r>
          </w:p>
        </w:tc>
        <w:tc>
          <w:tcPr>
            <w:tcW w:w="2082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断面名称</w:t>
            </w:r>
          </w:p>
        </w:tc>
        <w:tc>
          <w:tcPr>
            <w:tcW w:w="2849" w:type="dxa"/>
            <w:gridSpan w:val="3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水质类别</w:t>
            </w:r>
          </w:p>
        </w:tc>
        <w:tc>
          <w:tcPr>
            <w:tcW w:w="1477" w:type="dxa"/>
            <w:vMerge w:val="restart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超Ⅲ类污染物</w:t>
            </w:r>
          </w:p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（超标倍数）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</w:trPr>
        <w:tc>
          <w:tcPr>
            <w:tcW w:w="532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本月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上月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0ADEE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上年同期</w:t>
            </w:r>
          </w:p>
        </w:tc>
        <w:tc>
          <w:tcPr>
            <w:tcW w:w="1477" w:type="dxa"/>
            <w:vMerge w:val="continue"/>
            <w:tcBorders>
              <w:tl2br w:val="nil"/>
              <w:tr2bl w:val="nil"/>
            </w:tcBorders>
            <w:shd w:val="clear" w:color="auto" w:fill="DEEBF6" w:themeFill="accent1" w:themeFillTint="32"/>
            <w:noWrap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湘江蒸水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佘田桥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娄底市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湘江涟水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曾木冲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娄底市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湘江涟水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捞金桥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娄底市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湘江涟水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泉塘边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武冈小水村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红光水坝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乔家村渡口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隆回县水厂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元木山电站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邵阳双江口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工业街水厂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城西水厂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资江干流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柏树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资江玉溪河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威溪水库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资江蓼水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红岩坝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资江平溪江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洞口县二水厂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Ⅰ类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资江平溪江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木瓜桥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资江平溪江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隆回县木瓜山水库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Ⅰ类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资江平溪江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南岳庙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资江辰水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辰水入资江口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宛家岔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金河村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Ⅰ类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邵阳县水厂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资江夫夷水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新寨入夫夷水口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桐江兴隆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邵水梅子坝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渡头桥镇光辉村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Ⅲ类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三合水库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黄家坝水库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枫树坑水库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邵东洪桥村西洋江洪桥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资江邵水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罗市社区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资江石马江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石马江入资江口（大禹庙村）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沅江巫水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白云湖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Ⅰ类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沅江巫水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儒林镇两河口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沅江巫水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花园阁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沅江巫水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游家湾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3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邵阳市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沅江巫水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虾子溪水厂</w:t>
            </w:r>
          </w:p>
        </w:tc>
        <w:tc>
          <w:tcPr>
            <w:tcW w:w="822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Ⅰ类</w:t>
            </w:r>
          </w:p>
        </w:tc>
        <w:tc>
          <w:tcPr>
            <w:tcW w:w="953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Ⅱ类</w:t>
            </w:r>
          </w:p>
        </w:tc>
        <w:tc>
          <w:tcPr>
            <w:tcW w:w="1477" w:type="dxa"/>
            <w:tcBorders>
              <w:tl2br w:val="nil"/>
              <w:tr2bl w:val="nil"/>
            </w:tcBorders>
            <w:shd w:val="clear" w:color="auto" w:fill="D5FFF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</w:tbl>
    <w:p>
      <w:pPr>
        <w:widowControl/>
        <w:ind w:left="141" w:leftChars="67" w:right="-1039" w:rightChars="-495"/>
        <w:jc w:val="left"/>
        <w:rPr>
          <w:rFonts w:ascii="新宋体" w:hAnsi="新宋体" w:eastAsia="新宋体" w:cs="新宋体"/>
          <w:b/>
          <w:sz w:val="18"/>
          <w:szCs w:val="18"/>
        </w:rPr>
      </w:pPr>
      <w:r>
        <w:rPr>
          <w:rFonts w:hint="eastAsia" w:ascii="新宋体" w:hAnsi="新宋体" w:eastAsia="新宋体" w:cs="新宋体"/>
          <w:b/>
          <w:sz w:val="18"/>
          <w:szCs w:val="18"/>
        </w:rPr>
        <w:t>备注：根据生态环境部《“十四五”国家地表水环境质量监测网断面设置要求》，2021年邵阳市新增</w:t>
      </w:r>
      <w:r>
        <w:rPr>
          <w:rFonts w:ascii="新宋体" w:hAnsi="新宋体" w:eastAsia="新宋体" w:cs="新宋体"/>
          <w:b/>
          <w:sz w:val="18"/>
          <w:szCs w:val="18"/>
        </w:rPr>
        <w:t>3</w:t>
      </w:r>
      <w:r>
        <w:rPr>
          <w:rFonts w:hint="eastAsia" w:ascii="新宋体" w:hAnsi="新宋体" w:eastAsia="新宋体" w:cs="新宋体"/>
          <w:b/>
          <w:sz w:val="18"/>
          <w:szCs w:val="18"/>
        </w:rPr>
        <w:t>个省控断面：</w:t>
      </w:r>
    </w:p>
    <w:p>
      <w:pPr>
        <w:widowControl/>
        <w:ind w:left="141" w:leftChars="67" w:right="-1039" w:rightChars="-495"/>
        <w:jc w:val="left"/>
        <w:rPr>
          <w:rFonts w:ascii="新宋体" w:hAnsi="新宋体" w:eastAsia="新宋体" w:cs="新宋体"/>
          <w:b/>
          <w:sz w:val="18"/>
          <w:szCs w:val="18"/>
        </w:rPr>
      </w:pPr>
      <w:r>
        <w:rPr>
          <w:rFonts w:hint="eastAsia" w:ascii="新宋体" w:hAnsi="新宋体" w:eastAsia="新宋体" w:cs="新宋体"/>
          <w:b/>
          <w:sz w:val="18"/>
          <w:szCs w:val="18"/>
        </w:rPr>
        <w:t>辰水入资江口、新寨入夫夷水口、大禹庙村。</w:t>
      </w:r>
      <w:r>
        <w:rPr>
          <w:rFonts w:ascii="新宋体" w:hAnsi="新宋体" w:eastAsia="新宋体" w:cs="新宋体"/>
          <w:b/>
          <w:sz w:val="18"/>
          <w:szCs w:val="18"/>
        </w:rPr>
        <w:t>“</w:t>
      </w:r>
      <w:r>
        <w:rPr>
          <w:rFonts w:hint="eastAsia" w:ascii="新宋体" w:hAnsi="新宋体" w:eastAsia="新宋体" w:cs="新宋体"/>
          <w:b/>
          <w:sz w:val="18"/>
          <w:szCs w:val="18"/>
        </w:rPr>
        <w:t>十四五</w:t>
      </w:r>
      <w:r>
        <w:rPr>
          <w:rFonts w:ascii="新宋体" w:hAnsi="新宋体" w:eastAsia="新宋体" w:cs="新宋体"/>
          <w:b/>
          <w:sz w:val="18"/>
          <w:szCs w:val="18"/>
        </w:rPr>
        <w:t>”</w:t>
      </w:r>
      <w:r>
        <w:rPr>
          <w:rFonts w:hint="eastAsia" w:ascii="新宋体" w:hAnsi="新宋体" w:eastAsia="新宋体" w:cs="新宋体"/>
          <w:b/>
          <w:sz w:val="18"/>
          <w:szCs w:val="18"/>
        </w:rPr>
        <w:t>湖南省地表水环境质量监测网络设置时，水环境质量网和</w:t>
      </w:r>
    </w:p>
    <w:p>
      <w:pPr>
        <w:widowControl/>
        <w:ind w:left="141" w:leftChars="67" w:right="-1039" w:rightChars="-495"/>
        <w:jc w:val="left"/>
        <w:rPr>
          <w:rFonts w:ascii="新宋体" w:hAnsi="新宋体" w:eastAsia="新宋体" w:cs="新宋体"/>
          <w:b/>
          <w:sz w:val="18"/>
          <w:szCs w:val="18"/>
        </w:rPr>
      </w:pPr>
      <w:r>
        <w:rPr>
          <w:rFonts w:hint="eastAsia" w:ascii="新宋体" w:hAnsi="新宋体" w:eastAsia="新宋体" w:cs="新宋体"/>
          <w:b/>
          <w:sz w:val="18"/>
          <w:szCs w:val="18"/>
        </w:rPr>
        <w:t>水功能区监测网络已实现了</w:t>
      </w:r>
      <w:r>
        <w:rPr>
          <w:rFonts w:ascii="新宋体" w:hAnsi="新宋体" w:eastAsia="新宋体" w:cs="新宋体"/>
          <w:b/>
          <w:sz w:val="18"/>
          <w:szCs w:val="18"/>
        </w:rPr>
        <w:t>“</w:t>
      </w:r>
      <w:r>
        <w:rPr>
          <w:rFonts w:hint="eastAsia" w:ascii="新宋体" w:hAnsi="新宋体" w:eastAsia="新宋体" w:cs="新宋体"/>
          <w:b/>
          <w:sz w:val="18"/>
          <w:szCs w:val="18"/>
        </w:rPr>
        <w:t>双网合一</w:t>
      </w:r>
      <w:r>
        <w:rPr>
          <w:rFonts w:ascii="新宋体" w:hAnsi="新宋体" w:eastAsia="新宋体" w:cs="新宋体"/>
          <w:b/>
          <w:sz w:val="18"/>
          <w:szCs w:val="18"/>
        </w:rPr>
        <w:t>”</w:t>
      </w:r>
      <w:r>
        <w:rPr>
          <w:rFonts w:hint="eastAsia" w:ascii="新宋体" w:hAnsi="新宋体" w:eastAsia="新宋体" w:cs="新宋体"/>
          <w:b/>
          <w:sz w:val="18"/>
          <w:szCs w:val="18"/>
        </w:rPr>
        <w:t>，水功能区监测断面、长江及重要支流跨界断面和流域补偿断面不再另行</w:t>
      </w:r>
    </w:p>
    <w:p>
      <w:pPr>
        <w:widowControl/>
        <w:ind w:left="141" w:leftChars="67" w:right="-1039" w:rightChars="-495"/>
        <w:jc w:val="left"/>
        <w:rPr>
          <w:rFonts w:ascii="新宋体" w:hAnsi="新宋体" w:eastAsia="新宋体" w:cs="新宋体"/>
          <w:b/>
          <w:sz w:val="18"/>
          <w:szCs w:val="18"/>
        </w:rPr>
      </w:pPr>
      <w:r>
        <w:rPr>
          <w:rFonts w:hint="eastAsia" w:ascii="新宋体" w:hAnsi="新宋体" w:eastAsia="新宋体" w:cs="新宋体"/>
          <w:b/>
          <w:sz w:val="18"/>
          <w:szCs w:val="18"/>
        </w:rPr>
        <w:t>开展监测。三合水库、黄家坝水库、枫树坑水库3个县级饮用水水源地纳入“十四五”湖南省地表水环境质量监测</w:t>
      </w:r>
    </w:p>
    <w:p>
      <w:pPr>
        <w:widowControl/>
        <w:ind w:left="141" w:leftChars="67" w:right="-1039" w:rightChars="-495"/>
        <w:jc w:val="left"/>
        <w:rPr>
          <w:rFonts w:ascii="新宋体" w:hAnsi="新宋体" w:eastAsia="新宋体" w:cs="新宋体"/>
          <w:b/>
          <w:sz w:val="18"/>
          <w:szCs w:val="18"/>
        </w:rPr>
      </w:pPr>
      <w:r>
        <w:rPr>
          <w:rFonts w:hint="eastAsia" w:ascii="新宋体" w:hAnsi="新宋体" w:eastAsia="新宋体" w:cs="新宋体"/>
          <w:b/>
          <w:sz w:val="18"/>
          <w:szCs w:val="18"/>
        </w:rPr>
        <w:t>网络断面。</w:t>
      </w:r>
    </w:p>
    <w:p>
      <w:pPr>
        <w:spacing w:before="156" w:beforeLines="50" w:after="156" w:afterLines="50" w:line="360" w:lineRule="exact"/>
        <w:ind w:right="-170" w:rightChars="-81"/>
        <w:rPr>
          <w:rFonts w:ascii="新宋体" w:hAnsi="新宋体" w:eastAsia="新宋体" w:cs="新宋体"/>
          <w:b/>
          <w:bCs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 xml:space="preserve">  二、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饮用水水源地水质状况</w:t>
      </w:r>
    </w:p>
    <w:p>
      <w:pPr>
        <w:spacing w:before="156" w:beforeLines="50" w:line="460" w:lineRule="exact"/>
        <w:ind w:right="-176" w:rightChars="-84" w:firstLine="219" w:firstLineChars="78"/>
        <w:rPr>
          <w:rFonts w:ascii="新宋体" w:hAnsi="新宋体" w:eastAsia="新宋体" w:cs="新宋体"/>
          <w:spacing w:val="-6"/>
          <w:sz w:val="28"/>
          <w:szCs w:val="28"/>
        </w:rPr>
      </w:pPr>
      <w:bookmarkStart w:id="0" w:name="_Toc445285462"/>
      <w:r>
        <w:rPr>
          <w:rFonts w:hint="eastAsia" w:ascii="新宋体" w:hAnsi="新宋体" w:eastAsia="新宋体" w:cs="新宋体"/>
          <w:b/>
          <w:bCs/>
          <w:sz w:val="28"/>
          <w:szCs w:val="28"/>
        </w:rPr>
        <w:t xml:space="preserve"> 1、</w:t>
      </w:r>
      <w:r>
        <w:rPr>
          <w:rFonts w:hint="eastAsia" w:ascii="新宋体" w:hAnsi="新宋体" w:eastAsia="新宋体" w:cs="新宋体"/>
          <w:b/>
          <w:bCs/>
          <w:spacing w:val="-6"/>
          <w:sz w:val="28"/>
          <w:szCs w:val="28"/>
        </w:rPr>
        <w:t>市级饮用水</w:t>
      </w:r>
    </w:p>
    <w:p>
      <w:pPr>
        <w:spacing w:before="156" w:beforeLines="50" w:line="460" w:lineRule="exact"/>
        <w:ind w:right="-176" w:rightChars="-84" w:firstLine="536" w:firstLineChars="200"/>
        <w:rPr>
          <w:rFonts w:ascii="新宋体" w:hAnsi="新宋体" w:eastAsia="新宋体" w:cs="新宋体"/>
          <w:spacing w:val="-6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本月，邵阳市市级饮用水水源地水质均达标，水源达标率为100%。开展监测的4个市级饮用水水源地均达到Ⅱ类标准。</w:t>
      </w:r>
    </w:p>
    <w:p>
      <w:pPr>
        <w:spacing w:before="156" w:beforeLines="50" w:line="460" w:lineRule="exact"/>
        <w:ind w:right="-176" w:rightChars="-84" w:firstLine="536" w:firstLineChars="200"/>
        <w:rPr>
          <w:rFonts w:ascii="新宋体" w:hAnsi="新宋体" w:eastAsia="新宋体" w:cs="新宋体"/>
          <w:spacing w:val="-6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与上月相比，桂花渡水厂、城西水厂、工业街水厂3个水源地水质保持为Ⅱ类；木瓜山水库水源地水质由Ⅲ类上升为Ⅱ类。</w:t>
      </w:r>
    </w:p>
    <w:p>
      <w:pPr>
        <w:spacing w:before="156" w:beforeLines="50" w:line="460" w:lineRule="exact"/>
        <w:ind w:right="-176" w:rightChars="-84" w:firstLine="536" w:firstLineChars="200"/>
        <w:rPr>
          <w:rFonts w:ascii="新宋体" w:hAnsi="新宋体" w:eastAsia="新宋体" w:cs="新宋体"/>
          <w:spacing w:val="-6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与上年同期相比，</w:t>
      </w:r>
      <w:bookmarkStart w:id="7" w:name="_GoBack"/>
      <w:r>
        <w:rPr>
          <w:rFonts w:hint="eastAsia" w:ascii="新宋体" w:hAnsi="新宋体" w:eastAsia="新宋体" w:cs="新宋体"/>
          <w:spacing w:val="-6"/>
          <w:sz w:val="28"/>
          <w:szCs w:val="28"/>
        </w:rPr>
        <w:t>邵阳市饮用水水源地水质保持为Ⅱ类</w:t>
      </w:r>
      <w:bookmarkEnd w:id="7"/>
      <w:r>
        <w:rPr>
          <w:rFonts w:hint="eastAsia" w:ascii="新宋体" w:hAnsi="新宋体" w:eastAsia="新宋体" w:cs="新宋体"/>
          <w:spacing w:val="-6"/>
          <w:sz w:val="28"/>
          <w:szCs w:val="28"/>
        </w:rPr>
        <w:t>。</w:t>
      </w:r>
    </w:p>
    <w:p>
      <w:pPr>
        <w:spacing w:before="156" w:beforeLines="50" w:line="460" w:lineRule="exact"/>
        <w:ind w:right="-176" w:rightChars="-84" w:firstLine="536" w:firstLineChars="200"/>
        <w:rPr>
          <w:rFonts w:ascii="新宋体" w:hAnsi="新宋体" w:eastAsia="新宋体" w:cs="新宋体"/>
          <w:spacing w:val="-6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饮用水水源地水质状况详见表3。</w:t>
      </w:r>
    </w:p>
    <w:p>
      <w:pPr>
        <w:spacing w:before="156" w:beforeLines="50" w:line="460" w:lineRule="exact"/>
        <w:ind w:right="-176" w:rightChars="-84" w:firstLine="1928" w:firstLineChars="800"/>
        <w:rPr>
          <w:rFonts w:ascii="新宋体" w:hAnsi="新宋体" w:eastAsia="新宋体" w:cs="新宋体"/>
          <w:b/>
          <w:bCs/>
          <w:kern w:val="0"/>
          <w:sz w:val="24"/>
        </w:rPr>
      </w:pPr>
      <w:r>
        <w:rPr>
          <w:rFonts w:hint="eastAsia" w:ascii="新宋体" w:hAnsi="新宋体" w:eastAsia="新宋体" w:cs="新宋体"/>
          <w:b/>
          <w:bCs/>
          <w:kern w:val="0"/>
          <w:sz w:val="24"/>
        </w:rPr>
        <w:t>表3       2021年4月市级饮用水水源地水质状况</w:t>
      </w:r>
    </w:p>
    <w:tbl>
      <w:tblPr>
        <w:tblStyle w:val="7"/>
        <w:tblW w:w="9637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045"/>
        <w:gridCol w:w="1216"/>
        <w:gridCol w:w="1486"/>
        <w:gridCol w:w="1180"/>
        <w:gridCol w:w="841"/>
        <w:gridCol w:w="841"/>
        <w:gridCol w:w="1111"/>
        <w:gridCol w:w="139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21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1045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所在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地区</w:t>
            </w:r>
          </w:p>
        </w:tc>
        <w:tc>
          <w:tcPr>
            <w:tcW w:w="1216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河流名称</w:t>
            </w:r>
          </w:p>
        </w:tc>
        <w:tc>
          <w:tcPr>
            <w:tcW w:w="1486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水源地名称</w:t>
            </w:r>
          </w:p>
        </w:tc>
        <w:tc>
          <w:tcPr>
            <w:tcW w:w="1180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水源地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性质</w:t>
            </w:r>
          </w:p>
        </w:tc>
        <w:tc>
          <w:tcPr>
            <w:tcW w:w="2793" w:type="dxa"/>
            <w:gridSpan w:val="3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水质类别</w:t>
            </w:r>
          </w:p>
        </w:tc>
        <w:tc>
          <w:tcPr>
            <w:tcW w:w="1396" w:type="dxa"/>
            <w:vMerge w:val="restart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主要污染指标（超标倍数）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5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0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2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4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11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本月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上月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0ADEE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 w:cs="新宋体"/>
                <w:b/>
                <w:bCs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18"/>
                <w:szCs w:val="18"/>
              </w:rPr>
              <w:t>去年同期</w:t>
            </w:r>
          </w:p>
        </w:tc>
        <w:tc>
          <w:tcPr>
            <w:tcW w:w="13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56" w:beforeLines="50" w:after="156" w:afterLines="50" w:line="400" w:lineRule="exact"/>
              <w:jc w:val="center"/>
              <w:rPr>
                <w:rFonts w:ascii="新宋体" w:hAnsi="新宋体" w:eastAsia="新宋体" w:cs="新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1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邵阳市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资江干流 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桂花渡水厂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河流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2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邵阳市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资江干流 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城西水厂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河流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3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邵阳市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 xml:space="preserve">资江干流 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工业街水厂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河流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2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隆回县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资江赧水河西洋江河</w:t>
            </w:r>
          </w:p>
        </w:tc>
        <w:tc>
          <w:tcPr>
            <w:tcW w:w="148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木瓜山水库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  <w:lang w:bidi="ar"/>
              </w:rPr>
              <w:t>湖库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84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Ⅲ</w:t>
            </w:r>
          </w:p>
        </w:tc>
        <w:tc>
          <w:tcPr>
            <w:tcW w:w="1111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Ⅱ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shd w:val="clear" w:color="auto" w:fill="D5FFFD"/>
            <w:vAlign w:val="center"/>
          </w:tcPr>
          <w:p>
            <w:pPr>
              <w:spacing w:line="400" w:lineRule="exact"/>
              <w:jc w:val="center"/>
              <w:rPr>
                <w:rFonts w:ascii="新宋体" w:hAnsi="新宋体" w:eastAsia="新宋体" w:cs="新宋体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sz w:val="18"/>
                <w:szCs w:val="18"/>
              </w:rPr>
              <w:t>/</w:t>
            </w:r>
          </w:p>
        </w:tc>
      </w:tr>
    </w:tbl>
    <w:p>
      <w:pPr>
        <w:pStyle w:val="2"/>
        <w:spacing w:before="156" w:beforeLines="50" w:after="156" w:afterLines="50"/>
        <w:rPr>
          <w:rFonts w:ascii="新宋体" w:hAnsi="新宋体" w:eastAsia="新宋体" w:cs="新宋体"/>
          <w:sz w:val="28"/>
          <w:szCs w:val="28"/>
        </w:rPr>
      </w:pPr>
    </w:p>
    <w:p/>
    <w:p>
      <w:pPr>
        <w:pStyle w:val="2"/>
        <w:spacing w:before="156" w:beforeLines="50" w:after="156" w:afterLines="50"/>
        <w:rPr>
          <w:rFonts w:ascii="新宋体" w:hAnsi="新宋体" w:eastAsia="新宋体" w:cs="新宋体"/>
          <w:sz w:val="28"/>
          <w:szCs w:val="28"/>
        </w:rPr>
      </w:pPr>
    </w:p>
    <w:p>
      <w:pPr>
        <w:pStyle w:val="2"/>
        <w:spacing w:before="156" w:beforeLines="50" w:after="156" w:afterLines="50"/>
        <w:rPr>
          <w:rFonts w:ascii="新宋体" w:hAnsi="新宋体" w:eastAsia="新宋体" w:cs="新宋体"/>
          <w:sz w:val="28"/>
          <w:szCs w:val="28"/>
        </w:rPr>
      </w:pPr>
    </w:p>
    <w:p>
      <w:pPr>
        <w:pStyle w:val="2"/>
        <w:spacing w:before="156" w:beforeLines="50" w:after="156" w:afterLines="50"/>
        <w:rPr>
          <w:rFonts w:ascii="新宋体" w:hAnsi="新宋体" w:eastAsia="新宋体" w:cs="新宋体"/>
          <w:sz w:val="28"/>
          <w:szCs w:val="28"/>
        </w:rPr>
      </w:pPr>
    </w:p>
    <w:p/>
    <w:p>
      <w:pPr>
        <w:pStyle w:val="2"/>
        <w:spacing w:before="156" w:beforeLines="50" w:after="156" w:afterLines="5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附  录</w:t>
      </w:r>
      <w:bookmarkEnd w:id="0"/>
    </w:p>
    <w:p>
      <w:pPr>
        <w:pStyle w:val="3"/>
        <w:spacing w:before="156" w:beforeLines="50" w:after="93" w:afterLines="30" w:line="460" w:lineRule="exact"/>
        <w:rPr>
          <w:rFonts w:ascii="新宋体" w:hAnsi="新宋体" w:eastAsia="新宋体" w:cs="新宋体"/>
          <w:sz w:val="28"/>
          <w:szCs w:val="28"/>
        </w:rPr>
      </w:pPr>
      <w:bookmarkStart w:id="1" w:name="_Toc445285464"/>
      <w:bookmarkStart w:id="2" w:name="_Toc428266489"/>
      <w:bookmarkStart w:id="3" w:name="_Toc398298508"/>
      <w:r>
        <w:rPr>
          <w:rFonts w:hint="eastAsia" w:ascii="新宋体" w:hAnsi="新宋体" w:eastAsia="新宋体" w:cs="新宋体"/>
          <w:sz w:val="28"/>
          <w:szCs w:val="28"/>
        </w:rPr>
        <w:t>1、水质评价项目及标准</w:t>
      </w:r>
      <w:bookmarkEnd w:id="1"/>
      <w:bookmarkEnd w:id="2"/>
      <w:bookmarkEnd w:id="3"/>
    </w:p>
    <w:p>
      <w:pPr>
        <w:snapToGrid w:val="0"/>
        <w:spacing w:before="156" w:beforeLines="50" w:line="460" w:lineRule="exact"/>
        <w:ind w:firstLine="562" w:firstLineChars="200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 xml:space="preserve"> (1) 评价项目</w:t>
      </w:r>
    </w:p>
    <w:p>
      <w:pPr>
        <w:snapToGrid w:val="0"/>
        <w:spacing w:before="156" w:beforeLines="50" w:line="460" w:lineRule="exact"/>
        <w:ind w:firstLine="551" w:firstLineChars="197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河流型地表水水质评价：《地表水环境质量标准》(GB3838-2002)表1所列除水温、总氮和粪大肠菌群以外的其他21项指标采用单因子评价法进行评价，粪大肠菌群单独评价。</w:t>
      </w:r>
    </w:p>
    <w:p>
      <w:pPr>
        <w:snapToGrid w:val="0"/>
        <w:spacing w:before="156" w:beforeLines="50" w:line="460" w:lineRule="exact"/>
        <w:ind w:firstLine="551" w:firstLineChars="197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饮用水水源地水质评价：依据《全国集中式生活饮用水水源地水质监测实施方案》（环办函[2012]1266号）的要求，集中式生活饮用水水源地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监测项目为《地表水环境质量标准》（GB3838-2002）表1的基本项目（23项）、表2的补充项目（5项）和表3的优选特定项目（33项），共61项。评价项目为58项，即</w:t>
      </w:r>
      <w:r>
        <w:rPr>
          <w:rFonts w:hint="eastAsia" w:ascii="新宋体" w:hAnsi="新宋体" w:eastAsia="新宋体" w:cs="新宋体"/>
          <w:sz w:val="28"/>
          <w:szCs w:val="28"/>
        </w:rPr>
        <w:t>《地表水环境质量标准》(GB3838-2002)表1和表2所列除水温、总氮、化学需氧量和粪大肠菌群以外的25项指标，表3的</w:t>
      </w:r>
      <w:r>
        <w:rPr>
          <w:rFonts w:hint="eastAsia" w:ascii="新宋体" w:hAnsi="新宋体" w:eastAsia="新宋体" w:cs="新宋体"/>
          <w:color w:val="000000"/>
          <w:sz w:val="28"/>
          <w:szCs w:val="28"/>
        </w:rPr>
        <w:t>优选特定项目（33项）。</w:t>
      </w:r>
    </w:p>
    <w:p>
      <w:pPr>
        <w:snapToGrid w:val="0"/>
        <w:spacing w:before="156" w:beforeLines="50" w:line="460" w:lineRule="exact"/>
        <w:ind w:firstLine="557" w:firstLineChars="198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 xml:space="preserve"> (2) 评价标准</w:t>
      </w:r>
    </w:p>
    <w:p>
      <w:pPr>
        <w:snapToGrid w:val="0"/>
        <w:spacing w:before="156" w:beforeLines="50" w:line="460" w:lineRule="exact"/>
        <w:ind w:firstLine="551" w:firstLineChars="197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从2012年6月开始，地表水水质评价不再执行《地表水环境质量标准（GB3838-2002）》中相应功能区标准，而按Ⅰ类～劣Ⅴ类六个类别进行评价。当断面水质超过Ⅲ类标准时，应计算指标浓度超过Ⅲ类水质标准的倍数，即超标倍数。</w:t>
      </w:r>
    </w:p>
    <w:p>
      <w:pPr>
        <w:snapToGrid w:val="0"/>
        <w:spacing w:before="156" w:beforeLines="50" w:line="460" w:lineRule="exact"/>
        <w:ind w:firstLine="535" w:firstLineChars="197"/>
        <w:rPr>
          <w:rFonts w:ascii="新宋体" w:hAnsi="新宋体" w:eastAsia="新宋体" w:cs="新宋体"/>
          <w:color w:val="000000"/>
          <w:spacing w:val="-4"/>
          <w:sz w:val="28"/>
          <w:szCs w:val="28"/>
        </w:rPr>
      </w:pPr>
      <w:r>
        <w:rPr>
          <w:rFonts w:hint="eastAsia" w:ascii="新宋体" w:hAnsi="新宋体" w:eastAsia="新宋体" w:cs="新宋体"/>
          <w:spacing w:val="-4"/>
          <w:sz w:val="28"/>
          <w:szCs w:val="28"/>
        </w:rPr>
        <w:t>饮用水水源地水质</w:t>
      </w:r>
      <w:r>
        <w:rPr>
          <w:rFonts w:hint="eastAsia" w:ascii="新宋体" w:hAnsi="新宋体" w:eastAsia="新宋体" w:cs="新宋体"/>
          <w:color w:val="000000"/>
          <w:spacing w:val="-4"/>
          <w:sz w:val="28"/>
          <w:szCs w:val="28"/>
        </w:rPr>
        <w:t>根据《地表水环境质量标准》（GB3838-2002）进行评价。补充项目、特定项目采用单因子评价法进行评价。</w:t>
      </w:r>
    </w:p>
    <w:p>
      <w:pPr>
        <w:pStyle w:val="3"/>
        <w:spacing w:before="156" w:beforeLines="50" w:after="93" w:afterLines="30" w:line="460" w:lineRule="exact"/>
        <w:rPr>
          <w:rFonts w:ascii="新宋体" w:hAnsi="新宋体" w:eastAsia="新宋体" w:cs="新宋体"/>
          <w:sz w:val="28"/>
          <w:szCs w:val="28"/>
        </w:rPr>
      </w:pPr>
      <w:bookmarkStart w:id="4" w:name="_Toc398298509"/>
      <w:bookmarkStart w:id="5" w:name="_Toc445285465"/>
      <w:bookmarkStart w:id="6" w:name="_Toc428266490"/>
      <w:r>
        <w:rPr>
          <w:rFonts w:hint="eastAsia" w:ascii="新宋体" w:hAnsi="新宋体" w:eastAsia="新宋体" w:cs="新宋体"/>
          <w:sz w:val="28"/>
          <w:szCs w:val="28"/>
        </w:rPr>
        <w:t>2、水环境质量定性评价方法</w:t>
      </w:r>
      <w:bookmarkEnd w:id="4"/>
      <w:bookmarkEnd w:id="5"/>
      <w:bookmarkEnd w:id="6"/>
    </w:p>
    <w:p>
      <w:pPr>
        <w:snapToGrid w:val="0"/>
        <w:spacing w:before="156" w:beforeLines="50" w:line="460" w:lineRule="exact"/>
        <w:ind w:firstLine="562" w:firstLineChars="200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(1) 地表水环境质量定性评价方法</w:t>
      </w:r>
    </w:p>
    <w:p>
      <w:pPr>
        <w:snapToGrid w:val="0"/>
        <w:spacing w:before="156" w:beforeLines="50" w:line="460" w:lineRule="exact"/>
        <w:ind w:firstLine="551" w:firstLineChars="197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地表水环境质量分为：优、良好、轻度污染、中度污染、重度污染五个等级。</w:t>
      </w:r>
    </w:p>
    <w:p>
      <w:pPr>
        <w:snapToGrid w:val="0"/>
        <w:spacing w:before="156" w:beforeLines="50" w:line="460" w:lineRule="exact"/>
        <w:ind w:firstLine="551" w:firstLineChars="197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对应的表征颜色为：蓝色、绿色、黄色、橙色和红色。</w:t>
      </w:r>
    </w:p>
    <w:p>
      <w:pPr>
        <w:snapToGrid w:val="0"/>
        <w:spacing w:before="156" w:beforeLines="50" w:line="460" w:lineRule="exact"/>
        <w:ind w:firstLine="551" w:firstLineChars="197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断面、河段水质类别与水质定性评价分级的对应关系见附表1。</w:t>
      </w:r>
    </w:p>
    <w:p>
      <w:pPr>
        <w:autoSpaceDE w:val="0"/>
        <w:autoSpaceDN w:val="0"/>
        <w:adjustRightInd w:val="0"/>
        <w:spacing w:before="312" w:beforeLines="100" w:line="500" w:lineRule="exact"/>
        <w:jc w:val="center"/>
        <w:rPr>
          <w:rFonts w:ascii="新宋体" w:hAnsi="新宋体" w:eastAsia="新宋体" w:cs="新宋体"/>
          <w:b/>
          <w:kern w:val="0"/>
          <w:sz w:val="24"/>
        </w:rPr>
      </w:pPr>
      <w:r>
        <w:rPr>
          <w:rFonts w:hint="eastAsia" w:ascii="新宋体" w:hAnsi="新宋体" w:eastAsia="新宋体" w:cs="新宋体"/>
          <w:b/>
          <w:kern w:val="0"/>
          <w:sz w:val="24"/>
        </w:rPr>
        <w:t>附表</w:t>
      </w:r>
      <w:r>
        <w:rPr>
          <w:rFonts w:hint="eastAsia" w:ascii="新宋体" w:hAnsi="新宋体" w:eastAsia="新宋体" w:cs="新宋体"/>
          <w:b/>
          <w:bCs/>
          <w:kern w:val="0"/>
          <w:sz w:val="24"/>
        </w:rPr>
        <w:t xml:space="preserve">1          </w:t>
      </w:r>
      <w:r>
        <w:rPr>
          <w:rFonts w:hint="eastAsia" w:ascii="新宋体" w:hAnsi="新宋体" w:eastAsia="新宋体" w:cs="新宋体"/>
          <w:b/>
          <w:kern w:val="0"/>
          <w:sz w:val="24"/>
        </w:rPr>
        <w:t>断面、河段水质定性评价</w:t>
      </w:r>
    </w:p>
    <w:tbl>
      <w:tblPr>
        <w:tblStyle w:val="7"/>
        <w:tblW w:w="943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75"/>
        <w:gridCol w:w="602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43" w:type="dxa"/>
            <w:tcBorders>
              <w:top w:val="single" w:color="auto" w:sz="12" w:space="0"/>
            </w:tcBorders>
            <w:shd w:val="clear" w:color="auto" w:fill="0ADEE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  <w:t>水质类别</w:t>
            </w:r>
          </w:p>
        </w:tc>
        <w:tc>
          <w:tcPr>
            <w:tcW w:w="1575" w:type="dxa"/>
            <w:tcBorders>
              <w:top w:val="single" w:color="auto" w:sz="12" w:space="0"/>
            </w:tcBorders>
            <w:shd w:val="clear" w:color="auto" w:fill="0ADEE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6021" w:type="dxa"/>
            <w:tcBorders>
              <w:top w:val="single" w:color="auto" w:sz="12" w:space="0"/>
            </w:tcBorders>
            <w:shd w:val="clear" w:color="auto" w:fill="0ADEE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18"/>
                <w:szCs w:val="18"/>
              </w:rPr>
              <w:t>水质功能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43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Ⅰ、Ⅱ类水质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优</w:t>
            </w:r>
          </w:p>
        </w:tc>
        <w:tc>
          <w:tcPr>
            <w:tcW w:w="6021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饮用水源一级保护区、珍稀水生生物栖息地、鱼虾类产卵场、仔稚幼鱼的索饵场等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843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Ⅲ类水质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良好</w:t>
            </w:r>
          </w:p>
        </w:tc>
        <w:tc>
          <w:tcPr>
            <w:tcW w:w="6021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饮用水源二级保护区、鱼虾类越冬场、洄游通道、水产养殖区、游泳区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43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Ⅳ类水质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轻度污染</w:t>
            </w:r>
          </w:p>
        </w:tc>
        <w:tc>
          <w:tcPr>
            <w:tcW w:w="6021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一般工业用水和人体非直接接触的娱乐用水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43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Ⅴ类水质</w:t>
            </w:r>
          </w:p>
        </w:tc>
        <w:tc>
          <w:tcPr>
            <w:tcW w:w="1575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中度污染</w:t>
            </w:r>
          </w:p>
        </w:tc>
        <w:tc>
          <w:tcPr>
            <w:tcW w:w="6021" w:type="dxa"/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农业用水及一般景观用水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843" w:type="dxa"/>
            <w:tcBorders>
              <w:bottom w:val="single" w:color="auto" w:sz="12" w:space="0"/>
            </w:tcBorders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劣Ⅴ类水质</w:t>
            </w:r>
          </w:p>
        </w:tc>
        <w:tc>
          <w:tcPr>
            <w:tcW w:w="1575" w:type="dxa"/>
            <w:tcBorders>
              <w:bottom w:val="single" w:color="auto" w:sz="12" w:space="0"/>
            </w:tcBorders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重度污染</w:t>
            </w:r>
          </w:p>
        </w:tc>
        <w:tc>
          <w:tcPr>
            <w:tcW w:w="6021" w:type="dxa"/>
            <w:tcBorders>
              <w:bottom w:val="single" w:color="auto" w:sz="12" w:space="0"/>
            </w:tcBorders>
            <w:shd w:val="clear" w:color="auto" w:fill="D5FFFD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新宋体" w:hAnsi="新宋体" w:eastAsia="新宋体" w:cs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18"/>
                <w:szCs w:val="18"/>
              </w:rPr>
              <w:t>除调节局部气候外，几乎无使用功能</w:t>
            </w:r>
          </w:p>
        </w:tc>
      </w:tr>
    </w:tbl>
    <w:p>
      <w:pPr>
        <w:snapToGrid w:val="0"/>
        <w:spacing w:before="312" w:beforeLines="100" w:line="480" w:lineRule="exact"/>
        <w:ind w:firstLine="56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</w:rPr>
        <w:t>对于断面数少于5个的河流、水系，计算河流、水系所有断面各项评价指标浓度算术平均值，然后按照断面水质评价方法进行评价，并按附表1指出每个断面的水质类别和水质状况。</w:t>
      </w:r>
    </w:p>
    <w:p>
      <w:pPr>
        <w:snapToGrid w:val="0"/>
        <w:spacing w:line="480" w:lineRule="exact"/>
        <w:ind w:firstLine="536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pacing w:val="-6"/>
          <w:sz w:val="28"/>
          <w:szCs w:val="28"/>
        </w:rPr>
        <w:t>河流、水系水质类别比例与水质定性评价分级的对应关系见附表2。</w:t>
      </w:r>
    </w:p>
    <w:p>
      <w:pPr>
        <w:autoSpaceDE w:val="0"/>
        <w:autoSpaceDN w:val="0"/>
        <w:adjustRightInd w:val="0"/>
        <w:spacing w:before="156" w:beforeLines="50" w:line="500" w:lineRule="exact"/>
        <w:jc w:val="center"/>
        <w:rPr>
          <w:rFonts w:ascii="新宋体" w:hAnsi="新宋体" w:eastAsia="新宋体" w:cs="新宋体"/>
          <w:b/>
          <w:kern w:val="0"/>
          <w:sz w:val="24"/>
        </w:rPr>
      </w:pPr>
      <w:r>
        <w:rPr>
          <w:rFonts w:hint="eastAsia" w:ascii="新宋体" w:hAnsi="新宋体" w:eastAsia="新宋体" w:cs="新宋体"/>
          <w:b/>
          <w:kern w:val="0"/>
          <w:sz w:val="24"/>
        </w:rPr>
        <w:t>附表2  河流、水系水质定性评价</w:t>
      </w:r>
    </w:p>
    <w:tbl>
      <w:tblPr>
        <w:tblStyle w:val="7"/>
        <w:tblW w:w="943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6"/>
        <w:gridCol w:w="2235"/>
        <w:gridCol w:w="226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936" w:type="dxa"/>
            <w:tcBorders>
              <w:top w:val="single" w:color="auto" w:sz="12" w:space="0"/>
            </w:tcBorders>
            <w:shd w:val="clear" w:color="auto" w:fill="00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b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18"/>
                <w:szCs w:val="18"/>
              </w:rPr>
              <w:t>水质类别比例</w:t>
            </w:r>
          </w:p>
        </w:tc>
        <w:tc>
          <w:tcPr>
            <w:tcW w:w="2235" w:type="dxa"/>
            <w:tcBorders>
              <w:top w:val="single" w:color="auto" w:sz="12" w:space="0"/>
              <w:right w:val="single" w:color="auto" w:sz="4" w:space="0"/>
            </w:tcBorders>
            <w:shd w:val="clear" w:color="auto" w:fill="00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b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18"/>
                <w:szCs w:val="18"/>
              </w:rPr>
              <w:t>水质状况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</w:tcBorders>
            <w:shd w:val="clear" w:color="auto" w:fill="00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b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18"/>
                <w:szCs w:val="18"/>
              </w:rPr>
              <w:t>表征颜色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36" w:type="dxa"/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Ⅰ～Ⅲ类水质比例≥90%</w:t>
            </w:r>
          </w:p>
        </w:tc>
        <w:tc>
          <w:tcPr>
            <w:tcW w:w="2235" w:type="dxa"/>
            <w:tcBorders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优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蓝色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36" w:type="dxa"/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75%≤Ⅰ～Ⅲ类水质比例＜90%</w:t>
            </w:r>
          </w:p>
        </w:tc>
        <w:tc>
          <w:tcPr>
            <w:tcW w:w="2235" w:type="dxa"/>
            <w:tcBorders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良好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绿色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36" w:type="dxa"/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Ⅰ～Ⅲ类水质比例＜75%，且劣Ⅴ类比例＜20%</w:t>
            </w:r>
          </w:p>
        </w:tc>
        <w:tc>
          <w:tcPr>
            <w:tcW w:w="2235" w:type="dxa"/>
            <w:tcBorders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轻度污染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黄色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4936" w:type="dxa"/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Ⅰ～Ⅲ类水质比例＜75%，且20%≤劣Ⅴ类比例＜40%</w:t>
            </w:r>
          </w:p>
        </w:tc>
        <w:tc>
          <w:tcPr>
            <w:tcW w:w="2235" w:type="dxa"/>
            <w:tcBorders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中度污染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橙色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4936" w:type="dxa"/>
            <w:tcBorders>
              <w:bottom w:val="single" w:color="auto" w:sz="12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Ⅰ～Ⅲ类水质比例＜60%，且劣Ⅴ类比例≥40%</w:t>
            </w:r>
          </w:p>
        </w:tc>
        <w:tc>
          <w:tcPr>
            <w:tcW w:w="2235" w:type="dxa"/>
            <w:tcBorders>
              <w:bottom w:val="single" w:color="auto" w:sz="12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重度污染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12" w:space="0"/>
            </w:tcBorders>
            <w:shd w:val="clear" w:color="auto" w:fill="CC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新宋体" w:hAnsi="新宋体" w:eastAsia="新宋体" w:cs="新宋体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红色</w:t>
            </w:r>
          </w:p>
        </w:tc>
      </w:tr>
    </w:tbl>
    <w:p>
      <w:pPr>
        <w:snapToGrid w:val="0"/>
        <w:spacing w:before="156" w:beforeLines="50" w:line="500" w:lineRule="exact"/>
        <w:ind w:firstLine="562" w:firstLineChars="200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 xml:space="preserve"> </w:t>
      </w:r>
    </w:p>
    <w:p>
      <w:pPr>
        <w:spacing w:line="120" w:lineRule="exact"/>
        <w:ind w:firstLine="141" w:firstLineChars="50"/>
        <w:rPr>
          <w:rFonts w:ascii="新宋体" w:hAnsi="新宋体" w:eastAsia="新宋体" w:cs="新宋体"/>
          <w:b/>
          <w:sz w:val="28"/>
          <w:szCs w:val="28"/>
        </w:rPr>
      </w:pPr>
    </w:p>
    <w:p>
      <w:pPr>
        <w:ind w:firstLine="703" w:firstLineChars="250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编　　写：匡  晖、龙青霞</w:t>
      </w:r>
    </w:p>
    <w:p>
      <w:pPr>
        <w:ind w:firstLine="703" w:firstLineChars="250"/>
        <w:rPr>
          <w:rFonts w:ascii="新宋体" w:hAnsi="新宋体" w:eastAsia="新宋体" w:cs="新宋体"/>
          <w:b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审　　核：胡力</w:t>
      </w:r>
      <w:r>
        <w:rPr>
          <w:rFonts w:ascii="新宋体" w:hAnsi="新宋体" w:eastAsia="新宋体" w:cs="新宋体"/>
          <w:b/>
          <w:sz w:val="28"/>
          <w:szCs w:val="28"/>
        </w:rPr>
        <w:t>平</w:t>
      </w:r>
      <w:r>
        <w:rPr>
          <w:rFonts w:hint="eastAsia" w:ascii="新宋体" w:hAnsi="新宋体" w:eastAsia="新宋体" w:cs="新宋体"/>
          <w:b/>
          <w:sz w:val="28"/>
          <w:szCs w:val="28"/>
        </w:rPr>
        <w:t xml:space="preserve">  　　　　</w:t>
      </w:r>
    </w:p>
    <w:p>
      <w:pPr>
        <w:ind w:firstLine="703" w:firstLineChars="25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审　　定：赵红</w:t>
      </w:r>
      <w:r>
        <w:rPr>
          <w:rFonts w:ascii="新宋体" w:hAnsi="新宋体" w:eastAsia="新宋体" w:cs="新宋体"/>
          <w:b/>
          <w:sz w:val="28"/>
          <w:szCs w:val="28"/>
        </w:rPr>
        <w:t>伟</w:t>
      </w:r>
      <w:r>
        <w:rPr>
          <w:rFonts w:hint="eastAsia" w:ascii="新宋体" w:hAnsi="新宋体" w:eastAsia="新宋体" w:cs="新宋体"/>
          <w:sz w:val="28"/>
          <w:szCs w:val="28"/>
        </w:rPr>
        <w:t>　</w:t>
      </w:r>
    </w:p>
    <w:p>
      <w:pPr>
        <w:ind w:firstLine="703" w:firstLineChars="25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签　　发：朱鸿毅</w:t>
      </w:r>
      <w:r>
        <w:rPr>
          <w:rFonts w:hint="eastAsia" w:ascii="新宋体" w:hAnsi="新宋体" w:eastAsia="新宋体" w:cs="新宋体"/>
          <w:sz w:val="28"/>
          <w:szCs w:val="28"/>
        </w:rPr>
        <w:t>　　　　　　　</w:t>
      </w:r>
    </w:p>
    <w:p>
      <w:pPr>
        <w:ind w:firstLine="703" w:firstLineChars="250"/>
        <w:rPr>
          <w:rFonts w:ascii="新宋体" w:hAnsi="新宋体" w:eastAsia="新宋体" w:cs="新宋体"/>
          <w:b/>
          <w:bCs/>
          <w:kern w:val="0"/>
          <w:sz w:val="24"/>
        </w:rPr>
      </w:pPr>
      <w:r>
        <w:rPr>
          <w:rFonts w:hint="eastAsia" w:ascii="新宋体" w:hAnsi="新宋体" w:eastAsia="新宋体" w:cs="新宋体"/>
          <w:b/>
          <w:sz w:val="28"/>
          <w:szCs w:val="28"/>
        </w:rPr>
        <w:t>编写日期：2021年5月</w:t>
      </w:r>
      <w:r>
        <w:rPr>
          <w:rFonts w:ascii="新宋体" w:hAnsi="新宋体" w:eastAsia="新宋体" w:cs="新宋体"/>
          <w:b/>
          <w:sz w:val="28"/>
          <w:szCs w:val="28"/>
        </w:rPr>
        <w:t>13</w:t>
      </w:r>
      <w:r>
        <w:rPr>
          <w:rFonts w:hint="eastAsia" w:ascii="新宋体" w:hAnsi="新宋体" w:eastAsia="新宋体" w:cs="新宋体"/>
          <w:b/>
          <w:sz w:val="28"/>
          <w:szCs w:val="28"/>
        </w:rPr>
        <w:t>日</w:t>
      </w:r>
    </w:p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1B7BC"/>
    <w:multiLevelType w:val="singleLevel"/>
    <w:tmpl w:val="1751B7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94124B"/>
    <w:rsid w:val="000071DF"/>
    <w:rsid w:val="00015145"/>
    <w:rsid w:val="0004459F"/>
    <w:rsid w:val="00146CA7"/>
    <w:rsid w:val="001606C2"/>
    <w:rsid w:val="0019307E"/>
    <w:rsid w:val="001D177A"/>
    <w:rsid w:val="001E025B"/>
    <w:rsid w:val="001E169D"/>
    <w:rsid w:val="001E2C43"/>
    <w:rsid w:val="00200FF8"/>
    <w:rsid w:val="00231D47"/>
    <w:rsid w:val="00260BD4"/>
    <w:rsid w:val="00282C09"/>
    <w:rsid w:val="002842B3"/>
    <w:rsid w:val="002A2389"/>
    <w:rsid w:val="002A5785"/>
    <w:rsid w:val="002B27F4"/>
    <w:rsid w:val="002B6F79"/>
    <w:rsid w:val="002D7C22"/>
    <w:rsid w:val="002F6806"/>
    <w:rsid w:val="00314238"/>
    <w:rsid w:val="003838AE"/>
    <w:rsid w:val="00395FD8"/>
    <w:rsid w:val="003A1C17"/>
    <w:rsid w:val="003B7D96"/>
    <w:rsid w:val="003F6AE8"/>
    <w:rsid w:val="0044375A"/>
    <w:rsid w:val="004571F8"/>
    <w:rsid w:val="004B3BCA"/>
    <w:rsid w:val="004C6375"/>
    <w:rsid w:val="00551D98"/>
    <w:rsid w:val="005B11A6"/>
    <w:rsid w:val="005D1ADF"/>
    <w:rsid w:val="005E3E3C"/>
    <w:rsid w:val="00605857"/>
    <w:rsid w:val="00606CCE"/>
    <w:rsid w:val="006D46C6"/>
    <w:rsid w:val="006F1285"/>
    <w:rsid w:val="007010CD"/>
    <w:rsid w:val="00702E72"/>
    <w:rsid w:val="007A3A68"/>
    <w:rsid w:val="007B5811"/>
    <w:rsid w:val="007B5D5F"/>
    <w:rsid w:val="007D6770"/>
    <w:rsid w:val="007F35C7"/>
    <w:rsid w:val="00802C0D"/>
    <w:rsid w:val="00814771"/>
    <w:rsid w:val="008B693A"/>
    <w:rsid w:val="008C102D"/>
    <w:rsid w:val="008D1082"/>
    <w:rsid w:val="008D658B"/>
    <w:rsid w:val="008F18A6"/>
    <w:rsid w:val="008F2271"/>
    <w:rsid w:val="00987D9C"/>
    <w:rsid w:val="009914DB"/>
    <w:rsid w:val="009C37B3"/>
    <w:rsid w:val="009F3C89"/>
    <w:rsid w:val="00A360DA"/>
    <w:rsid w:val="00A718AD"/>
    <w:rsid w:val="00AA52D8"/>
    <w:rsid w:val="00AF558C"/>
    <w:rsid w:val="00B35189"/>
    <w:rsid w:val="00B5110C"/>
    <w:rsid w:val="00BA1829"/>
    <w:rsid w:val="00BF0059"/>
    <w:rsid w:val="00BF4DD9"/>
    <w:rsid w:val="00BF7683"/>
    <w:rsid w:val="00C034F7"/>
    <w:rsid w:val="00C23741"/>
    <w:rsid w:val="00C24EAA"/>
    <w:rsid w:val="00C95EB3"/>
    <w:rsid w:val="00CB3751"/>
    <w:rsid w:val="00CC06E3"/>
    <w:rsid w:val="00D0066B"/>
    <w:rsid w:val="00D32807"/>
    <w:rsid w:val="00DA06A9"/>
    <w:rsid w:val="00DA2050"/>
    <w:rsid w:val="00DD02DF"/>
    <w:rsid w:val="00E2185E"/>
    <w:rsid w:val="00E6057B"/>
    <w:rsid w:val="00F0087C"/>
    <w:rsid w:val="00F31CB4"/>
    <w:rsid w:val="00F43562"/>
    <w:rsid w:val="00F625D7"/>
    <w:rsid w:val="00F6631B"/>
    <w:rsid w:val="00F669A8"/>
    <w:rsid w:val="00F831DA"/>
    <w:rsid w:val="00F94D05"/>
    <w:rsid w:val="00FA1459"/>
    <w:rsid w:val="00FA6C61"/>
    <w:rsid w:val="011511B6"/>
    <w:rsid w:val="013C04E2"/>
    <w:rsid w:val="04C039CE"/>
    <w:rsid w:val="05200A74"/>
    <w:rsid w:val="06171CA3"/>
    <w:rsid w:val="06C44D60"/>
    <w:rsid w:val="072E60A6"/>
    <w:rsid w:val="09ED560B"/>
    <w:rsid w:val="0AB879C8"/>
    <w:rsid w:val="0C5578C3"/>
    <w:rsid w:val="0D97577C"/>
    <w:rsid w:val="0E79341C"/>
    <w:rsid w:val="0F5866E0"/>
    <w:rsid w:val="0FD10A84"/>
    <w:rsid w:val="10F22B14"/>
    <w:rsid w:val="1249388F"/>
    <w:rsid w:val="124B48B1"/>
    <w:rsid w:val="12BF2BE1"/>
    <w:rsid w:val="14516F11"/>
    <w:rsid w:val="14654299"/>
    <w:rsid w:val="15AD5CF3"/>
    <w:rsid w:val="163449B0"/>
    <w:rsid w:val="172E49CA"/>
    <w:rsid w:val="17A200B6"/>
    <w:rsid w:val="180E3C77"/>
    <w:rsid w:val="18100206"/>
    <w:rsid w:val="19077CBD"/>
    <w:rsid w:val="19A61C29"/>
    <w:rsid w:val="19B33A87"/>
    <w:rsid w:val="1D65621D"/>
    <w:rsid w:val="1E227648"/>
    <w:rsid w:val="1EAE064A"/>
    <w:rsid w:val="1F541079"/>
    <w:rsid w:val="22941E05"/>
    <w:rsid w:val="2B7A6653"/>
    <w:rsid w:val="2BE34FEE"/>
    <w:rsid w:val="2C595D3D"/>
    <w:rsid w:val="2D223F67"/>
    <w:rsid w:val="2FA06EFE"/>
    <w:rsid w:val="2FE2149C"/>
    <w:rsid w:val="30216663"/>
    <w:rsid w:val="335D2803"/>
    <w:rsid w:val="344D6883"/>
    <w:rsid w:val="383B0269"/>
    <w:rsid w:val="393217AB"/>
    <w:rsid w:val="3A4160F8"/>
    <w:rsid w:val="3AED4BE4"/>
    <w:rsid w:val="3BA24D61"/>
    <w:rsid w:val="3CF93408"/>
    <w:rsid w:val="3EEA1891"/>
    <w:rsid w:val="3EF427F7"/>
    <w:rsid w:val="3F115050"/>
    <w:rsid w:val="401B20BA"/>
    <w:rsid w:val="4272262C"/>
    <w:rsid w:val="447F19F8"/>
    <w:rsid w:val="45B8361E"/>
    <w:rsid w:val="487D7455"/>
    <w:rsid w:val="4A9A7C53"/>
    <w:rsid w:val="4AC34856"/>
    <w:rsid w:val="4CF54C47"/>
    <w:rsid w:val="4DBE4329"/>
    <w:rsid w:val="4EB10B4B"/>
    <w:rsid w:val="4F4E3720"/>
    <w:rsid w:val="4FDF7017"/>
    <w:rsid w:val="514771D3"/>
    <w:rsid w:val="514A49E6"/>
    <w:rsid w:val="52386B5A"/>
    <w:rsid w:val="52987909"/>
    <w:rsid w:val="53061D9A"/>
    <w:rsid w:val="569048CA"/>
    <w:rsid w:val="57487EAF"/>
    <w:rsid w:val="5B101482"/>
    <w:rsid w:val="5B5D34C6"/>
    <w:rsid w:val="5C372034"/>
    <w:rsid w:val="5E554E9A"/>
    <w:rsid w:val="604D6B6A"/>
    <w:rsid w:val="60CA42CB"/>
    <w:rsid w:val="616B20DE"/>
    <w:rsid w:val="65AC637E"/>
    <w:rsid w:val="67272FB4"/>
    <w:rsid w:val="676C462E"/>
    <w:rsid w:val="67A51C44"/>
    <w:rsid w:val="685A2A48"/>
    <w:rsid w:val="6A341CAF"/>
    <w:rsid w:val="6BFA69DB"/>
    <w:rsid w:val="6D3026A1"/>
    <w:rsid w:val="6D382D1A"/>
    <w:rsid w:val="6EEE60DC"/>
    <w:rsid w:val="6FA83B47"/>
    <w:rsid w:val="71612A01"/>
    <w:rsid w:val="71D50A1E"/>
    <w:rsid w:val="75825EEE"/>
    <w:rsid w:val="7794124B"/>
    <w:rsid w:val="77FB0B71"/>
    <w:rsid w:val="783B2614"/>
    <w:rsid w:val="79C64F93"/>
    <w:rsid w:val="7C672424"/>
    <w:rsid w:val="7E7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120" w:after="120" w:line="540" w:lineRule="exact"/>
      <w:outlineLvl w:val="0"/>
    </w:pPr>
    <w:rPr>
      <w:rFonts w:eastAsia="楷体_GB2312"/>
      <w:b/>
      <w:sz w:val="32"/>
      <w:szCs w:val="32"/>
    </w:rPr>
  </w:style>
  <w:style w:type="paragraph" w:styleId="3">
    <w:name w:val="heading 2"/>
    <w:basedOn w:val="1"/>
    <w:next w:val="1"/>
    <w:qFormat/>
    <w:uiPriority w:val="99"/>
    <w:pPr>
      <w:keepNext/>
      <w:keepLines/>
      <w:snapToGrid w:val="0"/>
      <w:spacing w:line="540" w:lineRule="exact"/>
      <w:outlineLvl w:val="1"/>
    </w:pPr>
    <w:rPr>
      <w:rFonts w:eastAsia="楷体_GB2312"/>
      <w:b/>
      <w:bCs/>
      <w:sz w:val="30"/>
      <w:szCs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AppData\Local\Temp\wps.lvuRdR\Work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320"/>
      <c:depthPercent val="100"/>
      <c:rAngAx val="0"/>
      <c:perspective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00555555555555556"/>
          <c:y val="0.087962962962963"/>
          <c:w val="0.965277777777778"/>
          <c:h val="0.868055555555556"/>
        </c:manualLayout>
      </c:layout>
      <c:pie3DChart>
        <c:varyColors val="1"/>
        <c:ser>
          <c:idx val="0"/>
          <c:order val="0"/>
          <c:tx>
            <c:strRef>
              <c:f>Sheet1!$C$3</c:f>
              <c:strCache>
                <c:ptCount val="1"/>
                <c:pt idx="0">
                  <c:v>个数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7"/>
          <c:dPt>
            <c:idx val="0"/>
            <c:bubble3D val="0"/>
            <c:explosion val="48"/>
            <c:spPr>
              <a:solidFill>
                <a:srgbClr val="1DC4FF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1"/>
            <c:bubble3D val="0"/>
            <c:explosion val="57"/>
            <c:spPr>
              <a:gradFill>
                <a:gsLst>
                  <a:gs pos="0">
                    <a:srgbClr val="007BD3"/>
                  </a:gs>
                  <a:gs pos="100000">
                    <a:srgbClr val="034373"/>
                  </a:gs>
                </a:gsLst>
                <a:path path="circle"/>
              </a:gra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Pt>
            <c:idx val="2"/>
            <c:bubble3D val="0"/>
            <c:explosion val="45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dPt>
          <c:dLbls>
            <c:dLbl>
              <c:idx val="0"/>
              <c:layout>
                <c:manualLayout>
                  <c:x val="0.0339241032370954"/>
                  <c:y val="0.088084443989955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9.4%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79.2%</a:t>
                    </a:r>
                    <a:endParaRPr lang="en-US" altLang="zh-CN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00895056867891513"/>
                  <c:y val="0.0846912317778459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11.3%</a:t>
                    </a:r>
                    <a:endParaRPr lang="en-US" altLang="zh-CN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Sheet1!$B$4:$B$6</c:f>
              <c:strCache>
                <c:ptCount val="3"/>
                <c:pt idx="0">
                  <c:v>Ⅰ</c:v>
                </c:pt>
                <c:pt idx="1">
                  <c:v>Ⅱ</c:v>
                </c:pt>
                <c:pt idx="2">
                  <c:v>Ⅲ</c:v>
                </c:pt>
              </c:strCache>
            </c:strRef>
          </c:cat>
          <c:val>
            <c:numRef>
              <c:f>Sheet1!$C$4:$C$6</c:f>
              <c:numCache>
                <c:formatCode>General</c:formatCode>
                <c:ptCount val="3"/>
                <c:pt idx="0">
                  <c:v>5</c:v>
                </c:pt>
                <c:pt idx="1">
                  <c:v>42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Sheet1!$D$3</c:f>
              <c:strCache>
                <c:ptCount val="1"/>
                <c:pt idx="0">
                  <c:v>比例</c:v>
                </c:pt>
              </c:strCache>
            </c:strRef>
          </c:tx>
          <c:explosion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Sheet1!$B$4:$B$6</c:f>
              <c:strCache>
                <c:ptCount val="3"/>
                <c:pt idx="0">
                  <c:v>Ⅰ</c:v>
                </c:pt>
                <c:pt idx="1">
                  <c:v>Ⅱ</c:v>
                </c:pt>
                <c:pt idx="2">
                  <c:v>Ⅲ</c:v>
                </c:pt>
              </c:strCache>
            </c:strRef>
          </c:cat>
          <c:val>
            <c:numRef>
              <c:f>Sheet1!$D$4:$D$6</c:f>
              <c:numCache>
                <c:formatCode>0.00%</c:formatCode>
                <c:ptCount val="3"/>
                <c:pt idx="0">
                  <c:v>0.094</c:v>
                </c:pt>
                <c:pt idx="1">
                  <c:v>0.792</c:v>
                </c:pt>
                <c:pt idx="2">
                  <c:v>0.113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</c:pie3DChart>
      <c:spPr>
        <a:solidFill>
          <a:schemeClr val="accent1">
            <a:lumMod val="20000"/>
            <a:lumOff val="80000"/>
            <a:alpha val="30000"/>
          </a:schemeClr>
        </a:solidFill>
        <a:ln>
          <a:noFill/>
        </a:ln>
        <a:effectLst/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  <a:scene3d>
      <a:camera prst="orthographicFront"/>
      <a:lightRig rig="threePt" dir="t"/>
    </a:scene3d>
    <a:sp3d/>
  </c:spPr>
  <c:txPr>
    <a:bodyPr/>
    <a:lstStyle/>
    <a:p>
      <a:pPr>
        <a:defRPr lang="zh-CN" sz="900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rPr lang="zh-CN" altLang="en-US" sz="900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图</a:t>
            </a:r>
            <a:r>
              <a:rPr lang="en-US" altLang="zh-CN" sz="900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2         2021</a:t>
            </a:r>
            <a:r>
              <a:rPr lang="zh-CN" altLang="en-US" sz="900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年</a:t>
            </a:r>
            <a:r>
              <a:rPr lang="en-US" altLang="zh-CN" sz="900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4</a:t>
            </a:r>
            <a:r>
              <a:rPr lang="zh-CN" altLang="en-US" sz="900" b="1" u="none" strike="noStrike" cap="none" normalizeH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rPr>
              <a:t>月邵阳市国控、省控断面水质类别组成比例</a:t>
            </a:r>
            <a:endParaRPr lang="zh-CN" altLang="en-US" sz="900" b="1" u="none" strike="noStrike" cap="none" normalizeH="0">
              <a:solidFill>
                <a:schemeClr val="tx1"/>
              </a:solidFill>
              <a:uFill>
                <a:solidFill>
                  <a:schemeClr val="tx1"/>
                </a:solidFill>
              </a:uFill>
              <a:ea typeface="微软雅黑" panose="020B0503020204020204" charset="-122"/>
              <a:cs typeface="微软雅黑" panose="020B0503020204020204" charset="-122"/>
              <a:sym typeface="微软雅黑" panose="020B0503020204020204" charset="-122"/>
            </a:endParaRPr>
          </a:p>
        </c:rich>
      </c:tx>
      <c:layout>
        <c:manualLayout>
          <c:xMode val="edge"/>
          <c:yMode val="edge"/>
          <c:x val="0.152986111111111"/>
          <c:y val="0.90972222222222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368055555555556"/>
          <c:y val="0.0485749690210657"/>
          <c:w val="0.945138888888889"/>
          <c:h val="0.6395043370508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[Workbook1.xlsx]Sheet1!$D$31</c:f>
              <c:strCache>
                <c:ptCount val="1"/>
                <c:pt idx="0">
                  <c:v>个数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800" b="1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800" b="1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1</a:t>
                    </a:r>
                    <a:r>
                      <a:rPr lang="zh-CN" altLang="en-US" sz="800" b="1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个</a:t>
                    </a:r>
                    <a:endParaRPr lang="zh-CN" altLang="en-US" sz="800" b="1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800" b="1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800" b="1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10</a:t>
                    </a:r>
                    <a:r>
                      <a:rPr lang="zh-CN" altLang="en-US" sz="800" b="1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个</a:t>
                    </a:r>
                    <a:endParaRPr lang="zh-CN" altLang="en-US" sz="800" b="1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800" b="1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800" b="1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4</a:t>
                    </a:r>
                    <a:r>
                      <a:rPr lang="zh-CN" altLang="en-US" sz="800" b="1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个</a:t>
                    </a:r>
                    <a:endParaRPr lang="zh-CN" altLang="en-US" sz="800" b="1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800" b="1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800" b="1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4</a:t>
                    </a:r>
                    <a:r>
                      <a:rPr lang="zh-CN" altLang="en-US" sz="800" b="1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个</a:t>
                    </a:r>
                    <a:endParaRPr lang="zh-CN" altLang="en-US" sz="800" b="1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05625"/>
                  <c:y val="0.074349442379182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800" b="1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800" b="1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32</a:t>
                    </a:r>
                    <a:r>
                      <a:rPr lang="zh-CN" altLang="en-US" sz="800" b="1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个</a:t>
                    </a:r>
                    <a:endParaRPr lang="zh-CN" altLang="en-US" sz="800" b="1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208333333333333"/>
                  <c:y val="0.033457249070632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800" b="1" i="0" u="none" strike="noStrike" kern="1200" cap="none" spc="0" normalizeH="0" baseline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 sz="800" b="1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2</a:t>
                    </a:r>
                    <a:r>
                      <a:rPr lang="zh-CN" altLang="en-US" sz="800" b="1" u="none" strike="noStrike" cap="none" normalizeH="0">
                        <a:solidFill>
                          <a:schemeClr val="tx1"/>
                        </a:solidFill>
                        <a:uFill>
                          <a:solidFill>
                            <a:schemeClr val="tx1"/>
                          </a:solidFill>
                        </a:uFill>
                      </a:rPr>
                      <a:t>个</a:t>
                    </a:r>
                    <a:endParaRPr lang="zh-CN" altLang="en-US" sz="800" b="1" u="none" strike="noStrike" cap="none" normalizeH="0">
                      <a:solidFill>
                        <a:schemeClr val="tx1"/>
                      </a:solidFill>
                      <a:uFill>
                        <a:solidFill>
                          <a:schemeClr val="tx1"/>
                        </a:solidFill>
                      </a:uFill>
                    </a:endParaRP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00" b="1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[Workbook1.xlsx]Sheet1!$B$32:$C$37</c:f>
              <c:multiLvlStrCache>
                <c:ptCount val="6"/>
                <c:lvl>
                  <c:pt idx="0">
                    <c:v>Ⅰ</c:v>
                  </c:pt>
                  <c:pt idx="1">
                    <c:v>Ⅱ</c:v>
                  </c:pt>
                  <c:pt idx="2">
                    <c:v>Ⅲ</c:v>
                  </c:pt>
                  <c:pt idx="3">
                    <c:v>Ⅰ</c:v>
                  </c:pt>
                  <c:pt idx="4">
                    <c:v>Ⅱ</c:v>
                  </c:pt>
                  <c:pt idx="5">
                    <c:v>Ⅲ</c:v>
                  </c:pt>
                </c:lvl>
                <c:lvl>
                  <c:pt idx="0">
                    <c:v>国控</c:v>
                  </c:pt>
                  <c:pt idx="3">
                    <c:v>省控</c:v>
                  </c:pt>
                </c:lvl>
              </c:multiLvlStrCache>
            </c:multiLvlStrRef>
          </c:cat>
          <c:val>
            <c:numRef>
              <c:f>[Workbook1.xlsx]Sheet1!$D$32:$D$37</c:f>
              <c:numCache>
                <c:formatCode>General</c:formatCode>
                <c:ptCount val="6"/>
                <c:pt idx="0">
                  <c:v>1</c:v>
                </c:pt>
                <c:pt idx="1">
                  <c:v>10</c:v>
                </c:pt>
                <c:pt idx="2">
                  <c:v>4</c:v>
                </c:pt>
                <c:pt idx="3">
                  <c:v>4</c:v>
                </c:pt>
                <c:pt idx="4">
                  <c:v>32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[Workbook1.xlsx]Sheet1!$E$31</c:f>
              <c:strCache>
                <c:ptCount val="1"/>
                <c:pt idx="0">
                  <c:v>比例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0.0229166666666667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208333333333333"/>
                  <c:y val="0.0074349442379182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229166666666667"/>
                  <c:y val="0.0074349442379182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14583333333333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66666666666667"/>
                  <c:y val="0.0037174721189591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125"/>
                  <c:y val="0.029739776951672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cap="none" spc="0" normalizeH="0" baseline="0">
                    <a:solidFill>
                      <a:schemeClr val="tx1"/>
                    </a:solidFill>
                    <a:uFill>
                      <a:solidFill>
                        <a:schemeClr val="tx1"/>
                      </a:solidFill>
                    </a:u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[Workbook1.xlsx]Sheet1!$B$32:$C$37</c:f>
              <c:multiLvlStrCache>
                <c:ptCount val="6"/>
                <c:lvl>
                  <c:pt idx="0">
                    <c:v>Ⅰ</c:v>
                  </c:pt>
                  <c:pt idx="1">
                    <c:v>Ⅱ</c:v>
                  </c:pt>
                  <c:pt idx="2">
                    <c:v>Ⅲ</c:v>
                  </c:pt>
                  <c:pt idx="3">
                    <c:v>Ⅰ</c:v>
                  </c:pt>
                  <c:pt idx="4">
                    <c:v>Ⅱ</c:v>
                  </c:pt>
                  <c:pt idx="5">
                    <c:v>Ⅲ</c:v>
                  </c:pt>
                </c:lvl>
                <c:lvl>
                  <c:pt idx="0">
                    <c:v>国控</c:v>
                  </c:pt>
                  <c:pt idx="3">
                    <c:v>省控</c:v>
                  </c:pt>
                </c:lvl>
              </c:multiLvlStrCache>
            </c:multiLvlStrRef>
          </c:cat>
          <c:val>
            <c:numRef>
              <c:f>[Workbook1.xlsx]Sheet1!$E$32:$E$37</c:f>
              <c:numCache>
                <c:formatCode>0.0%</c:formatCode>
                <c:ptCount val="6"/>
                <c:pt idx="0">
                  <c:v>0.067</c:v>
                </c:pt>
                <c:pt idx="1">
                  <c:v>0.667</c:v>
                </c:pt>
                <c:pt idx="2">
                  <c:v>0.267</c:v>
                </c:pt>
                <c:pt idx="3">
                  <c:v>0.105</c:v>
                </c:pt>
                <c:pt idx="4">
                  <c:v>0.842</c:v>
                </c:pt>
                <c:pt idx="5">
                  <c:v>0.053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26055427"/>
        <c:axId val="600219495"/>
      </c:barChart>
      <c:catAx>
        <c:axId val="92605542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600219495"/>
        <c:crosses val="autoZero"/>
        <c:auto val="1"/>
        <c:lblAlgn val="ctr"/>
        <c:lblOffset val="100"/>
        <c:noMultiLvlLbl val="0"/>
      </c:catAx>
      <c:valAx>
        <c:axId val="60021949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  <c:crossAx val="926055427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1" i="0" u="none" strike="noStrike" kern="1200" cap="none" spc="0" normalizeH="0" baseline="0">
                <a:solidFill>
                  <a:schemeClr val="tx1"/>
                </a:solidFill>
                <a:uFill>
                  <a:solidFill>
                    <a:schemeClr val="tx1"/>
                  </a:solidFill>
                </a:u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cap="none" spc="0" normalizeH="0" baseline="0">
              <a:solidFill>
                <a:schemeClr val="tx1"/>
              </a:solidFill>
              <a:uFill>
                <a:solidFill>
                  <a:schemeClr val="tx1"/>
                </a:solidFill>
              </a:u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 lang="zh-CN" b="1" u="none" strike="noStrike" kern="1200" cap="none" spc="0" normalizeH="0">
          <a:solidFill>
            <a:schemeClr val="tx1"/>
          </a:solidFill>
          <a:uFill>
            <a:solidFill>
              <a:schemeClr val="tx1"/>
            </a:solidFill>
          </a:uFill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5761FF-AF54-4E4D-BF2E-D0C3D3F219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732</Words>
  <Characters>4178</Characters>
  <Lines>34</Lines>
  <Paragraphs>9</Paragraphs>
  <TotalTime>6</TotalTime>
  <ScaleCrop>false</ScaleCrop>
  <LinksUpToDate>false</LinksUpToDate>
  <CharactersWithSpaces>4901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2021-04-13T02:57:00Z</dcterms:created>
  <dc:creator>丽莎</dc:creator>
  <cp:lastModifiedBy>XG</cp:lastModifiedBy>
  <cp:lastPrinted>2021-05-13T10:35:00Z</cp:lastPrinted>
  <dcterms:modified xsi:type="dcterms:W3CDTF">2021-05-18T00:53:57Z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1DCC184DB34B4505ACCCB5F3EF258F19</vt:lpwstr>
  </property>
</Properties>
</file>