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jc w:val="center"/>
        <w:rPr>
          <w:rFonts w:ascii="仿宋_GB2312" w:hAnsi="华文楷体" w:eastAsia="仿宋_GB2312"/>
          <w:b/>
          <w:bCs/>
          <w:kern w:val="10"/>
          <w:szCs w:val="21"/>
        </w:rPr>
      </w:pPr>
      <w:r>
        <w:rPr>
          <w:rFonts w:hint="eastAsia" w:ascii="仿宋_GB2312" w:hAnsi="华文楷体" w:eastAsia="仿宋_GB2312"/>
          <w:b/>
          <w:bCs/>
          <w:kern w:val="10"/>
          <w:szCs w:val="21"/>
          <w:lang w:val="en-US" w:eastAsia="zh-CN"/>
        </w:rPr>
        <w:t xml:space="preserve">              </w:t>
      </w:r>
      <w:r>
        <w:rPr>
          <w:rFonts w:ascii="仿宋_GB2312" w:hAnsi="华文楷体" w:eastAsia="仿宋_GB2312"/>
          <w:b/>
          <w:bCs/>
          <w:kern w:val="10"/>
          <w:szCs w:val="21"/>
        </w:rPr>
        <w:t xml:space="preserve">   </w:t>
      </w:r>
    </w:p>
    <w:p>
      <w:pPr>
        <w:jc w:val="center"/>
        <w:rPr>
          <w:rFonts w:ascii="楷体_GB2312" w:hAnsi="华文楷体" w:eastAsia="楷体_GB2312"/>
          <w:b/>
          <w:bCs/>
          <w:spacing w:val="-44"/>
          <w:kern w:val="10"/>
          <w:sz w:val="84"/>
          <w:szCs w:val="84"/>
        </w:rPr>
      </w:pPr>
      <w:r>
        <w:rPr>
          <w:rFonts w:hint="eastAsia" w:ascii="楷体_GB2312" w:hAnsi="华文楷体" w:eastAsia="楷体_GB2312"/>
          <w:b/>
          <w:bCs/>
          <w:spacing w:val="-44"/>
          <w:kern w:val="10"/>
          <w:sz w:val="84"/>
          <w:szCs w:val="84"/>
        </w:rPr>
        <w:t>邵阳市水环境质量月报</w:t>
      </w:r>
    </w:p>
    <w:p>
      <w:pPr>
        <w:spacing w:line="360" w:lineRule="exact"/>
        <w:jc w:val="center"/>
        <w:rPr>
          <w:rFonts w:ascii="仿宋_GB2312" w:hAnsi="华文楷体" w:eastAsia="仿宋_GB2312"/>
          <w:b/>
          <w:spacing w:val="40"/>
          <w:sz w:val="48"/>
          <w:szCs w:val="84"/>
        </w:rPr>
      </w:pPr>
    </w:p>
    <w:p>
      <w:pPr>
        <w:spacing w:line="500" w:lineRule="exact"/>
        <w:jc w:val="center"/>
        <w:rPr>
          <w:rFonts w:ascii="仿宋_GB2312" w:hAnsi="华文楷体" w:eastAsia="仿宋_GB2312"/>
          <w:b/>
          <w:sz w:val="24"/>
        </w:rPr>
      </w:pPr>
      <w:r>
        <w:rPr>
          <w:rFonts w:hint="eastAsia" w:ascii="仿宋_GB2312" w:hAnsi="华文楷体" w:eastAsia="仿宋_GB2312"/>
          <w:b/>
          <w:sz w:val="24"/>
          <w:lang w:eastAsia="zh-CN"/>
        </w:rPr>
        <w:t>湖南省</w:t>
      </w:r>
      <w:r>
        <w:rPr>
          <w:rFonts w:hint="eastAsia" w:ascii="仿宋_GB2312" w:hAnsi="华文楷体" w:eastAsia="仿宋_GB2312"/>
          <w:b/>
          <w:sz w:val="24"/>
        </w:rPr>
        <w:t>邵阳</w:t>
      </w:r>
      <w:r>
        <w:rPr>
          <w:rFonts w:hint="eastAsia" w:ascii="仿宋_GB2312" w:hAnsi="华文楷体" w:eastAsia="仿宋_GB2312"/>
          <w:b/>
          <w:sz w:val="24"/>
          <w:lang w:eastAsia="zh-CN"/>
        </w:rPr>
        <w:t>生态</w:t>
      </w:r>
      <w:r>
        <w:rPr>
          <w:rFonts w:hint="eastAsia" w:ascii="仿宋_GB2312" w:hAnsi="华文楷体" w:eastAsia="仿宋_GB2312"/>
          <w:b/>
          <w:sz w:val="24"/>
        </w:rPr>
        <w:t>环境监测</w:t>
      </w:r>
      <w:r>
        <w:rPr>
          <w:rFonts w:hint="eastAsia" w:ascii="仿宋_GB2312" w:hAnsi="华文楷体" w:eastAsia="仿宋_GB2312"/>
          <w:b/>
          <w:sz w:val="24"/>
          <w:lang w:eastAsia="zh-CN"/>
        </w:rPr>
        <w:t>中心</w:t>
      </w:r>
      <w:r>
        <w:rPr>
          <w:rFonts w:ascii="仿宋_GB2312" w:hAnsi="华文楷体" w:eastAsia="仿宋_GB2312"/>
          <w:sz w:val="24"/>
        </w:rPr>
        <w:t xml:space="preserve">               </w:t>
      </w:r>
      <w:r>
        <w:rPr>
          <w:rFonts w:hint="eastAsia" w:ascii="仿宋_GB2312" w:hAnsi="华文楷体" w:eastAsia="仿宋_GB2312"/>
          <w:sz w:val="24"/>
        </w:rPr>
        <w:t>　</w:t>
      </w:r>
      <w:r>
        <w:rPr>
          <w:rFonts w:ascii="仿宋_GB2312" w:hAnsi="华文楷体" w:eastAsia="仿宋_GB2312"/>
          <w:b/>
          <w:sz w:val="24"/>
        </w:rPr>
        <w:t>20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20</w:t>
      </w:r>
      <w:r>
        <w:rPr>
          <w:rFonts w:hint="eastAsia" w:ascii="仿宋_GB2312" w:hAnsi="华文楷体" w:eastAsia="仿宋_GB2312"/>
          <w:b/>
          <w:sz w:val="24"/>
        </w:rPr>
        <w:t>年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10</w:t>
      </w:r>
      <w:r>
        <w:rPr>
          <w:rFonts w:hint="eastAsia" w:ascii="仿宋_GB2312" w:hAnsi="华文楷体" w:eastAsia="仿宋_GB2312"/>
          <w:b/>
          <w:sz w:val="24"/>
        </w:rPr>
        <w:t>月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10</w:t>
      </w:r>
      <w:r>
        <w:rPr>
          <w:rFonts w:hint="eastAsia" w:ascii="仿宋_GB2312" w:hAnsi="华文楷体" w:eastAsia="仿宋_GB2312"/>
          <w:b/>
          <w:sz w:val="24"/>
        </w:rPr>
        <w:t>期（总第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34</w:t>
      </w:r>
      <w:r>
        <w:rPr>
          <w:rFonts w:hint="eastAsia" w:ascii="仿宋_GB2312" w:hAnsi="华文楷体" w:eastAsia="仿宋_GB2312"/>
          <w:b/>
          <w:sz w:val="24"/>
        </w:rPr>
        <w:t>期）</w:t>
      </w:r>
      <w:r>
        <w:rPr>
          <w:rFonts w:ascii="仿宋_GB2312" w:hAnsi="华文楷体" w:eastAsia="仿宋_GB2312"/>
          <w:sz w:val="24"/>
        </w:rPr>
        <w:t xml:space="preserve"> </w:t>
      </w:r>
    </w:p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100965</wp:posOffset>
            </wp:positionV>
            <wp:extent cx="5610225" cy="28575"/>
            <wp:effectExtent l="19050" t="19050" r="28575" b="28575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grayscl/>
                      <a:lum contrast="-6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8575"/>
                    </a:xfrm>
                    <a:prstGeom prst="rect">
                      <a:avLst/>
                    </a:prstGeom>
                    <a:noFill/>
                    <a:ln w="19050" cap="rnd" cmpd="sng">
                      <a:solidFill>
                        <a:srgbClr val="000000"/>
                      </a:solidFill>
                      <a:prstDash val="sysDot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93980</wp:posOffset>
            </wp:positionV>
            <wp:extent cx="5362575" cy="19050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90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/>
          <w:sz w:val="30"/>
          <w:szCs w:val="30"/>
        </w:rPr>
        <w:t>1</w:t>
      </w:r>
      <w:r>
        <w:rPr>
          <w:rFonts w:hint="eastAsia" w:ascii="仿宋_GB2312" w:hAnsi="华文楷体" w:eastAsia="仿宋_GB2312"/>
          <w:b/>
          <w:sz w:val="30"/>
          <w:szCs w:val="30"/>
        </w:rPr>
        <w:t>、主要河流水质状况</w:t>
      </w:r>
      <w:r>
        <w:rPr>
          <w:rFonts w:ascii="仿宋_GB2312" w:hAnsi="华文楷体" w:eastAsia="仿宋_GB2312"/>
          <w:b/>
          <w:sz w:val="30"/>
          <w:szCs w:val="30"/>
        </w:rPr>
        <w:tab/>
      </w:r>
    </w:p>
    <w:p>
      <w:pPr>
        <w:tabs>
          <w:tab w:val="left" w:pos="3555"/>
        </w:tabs>
        <w:spacing w:beforeLines="50" w:afterLines="50" w:line="400" w:lineRule="exact"/>
        <w:ind w:firstLine="151" w:firstLineChars="50"/>
        <w:outlineLvl w:val="0"/>
        <w:rPr>
          <w:rFonts w:ascii="仿宋_GB2312" w:hAnsi="华文楷体" w:eastAsia="仿宋_GB2312"/>
          <w:sz w:val="28"/>
          <w:szCs w:val="28"/>
        </w:rPr>
      </w:pPr>
      <w:r>
        <w:rPr>
          <w:b/>
          <w:sz w:val="30"/>
          <w:szCs w:val="30"/>
        </w:rPr>
        <w:t>1.1</w:t>
      </w:r>
      <w:r>
        <w:rPr>
          <w:rFonts w:hint="eastAsia" w:ascii="仿宋_GB2312" w:hAnsi="华文楷体" w:eastAsia="仿宋_GB2312"/>
          <w:b/>
          <w:sz w:val="28"/>
          <w:szCs w:val="28"/>
        </w:rPr>
        <w:t>资江水质状况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本月资江流域水质总体为优。干、支流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37</w:t>
      </w:r>
      <w:r>
        <w:rPr>
          <w:rFonts w:hint="eastAsia" w:ascii="仿宋_GB2312" w:hAnsi="华文楷体" w:eastAsia="仿宋_GB2312"/>
          <w:sz w:val="28"/>
          <w:szCs w:val="28"/>
        </w:rPr>
        <w:t>个断面均达到或优于Ⅲ类标准，优良率为</w:t>
      </w:r>
      <w:r>
        <w:rPr>
          <w:rFonts w:ascii="仿宋_GB2312" w:hAnsi="华文楷体" w:eastAsia="仿宋_GB2312"/>
          <w:sz w:val="28"/>
          <w:szCs w:val="28"/>
        </w:rPr>
        <w:t>100</w:t>
      </w:r>
      <w:r>
        <w:rPr>
          <w:rFonts w:hint="eastAsia" w:ascii="仿宋_GB2312" w:hAnsi="华文楷体" w:eastAsia="仿宋_GB2312"/>
          <w:sz w:val="28"/>
          <w:szCs w:val="28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球溪、邵水梅子坝、邵水入河口三个断面水质</w:t>
      </w:r>
      <w:r>
        <w:rPr>
          <w:rFonts w:hint="eastAsia" w:ascii="仿宋_GB2312" w:hAnsi="华文楷体" w:eastAsia="仿宋_GB2312"/>
          <w:sz w:val="28"/>
          <w:szCs w:val="28"/>
        </w:rPr>
        <w:t>由Ⅲ类上升为Ⅱ类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；武冈上游（小水村）、红光水坝两个</w:t>
      </w:r>
      <w:r>
        <w:rPr>
          <w:rFonts w:hint="eastAsia" w:ascii="仿宋_GB2312" w:hAnsi="华文楷体" w:eastAsia="仿宋_GB2312"/>
          <w:sz w:val="28"/>
          <w:szCs w:val="28"/>
        </w:rPr>
        <w:t>断面水质由Ⅱ类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</w:t>
      </w:r>
      <w:r>
        <w:rPr>
          <w:rFonts w:hint="eastAsia" w:ascii="仿宋_GB2312" w:hAnsi="华文楷体" w:eastAsia="仿宋_GB2312"/>
          <w:sz w:val="28"/>
          <w:szCs w:val="28"/>
        </w:rPr>
        <w:t>为Ⅲ类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与上年同期相比，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邵水梅子坝、洞口县双江口两个</w:t>
      </w:r>
      <w:r>
        <w:rPr>
          <w:rFonts w:hint="eastAsia" w:ascii="仿宋_GB2312" w:hAnsi="华文楷体" w:eastAsia="仿宋_GB2312"/>
          <w:sz w:val="28"/>
          <w:szCs w:val="28"/>
        </w:rPr>
        <w:t>断面水质由Ⅲ类上升为Ⅱ类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，邵水入河口断面水质由Ⅳ类上升为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。窑市、乔家村渡口两个断面</w:t>
      </w:r>
      <w:r>
        <w:rPr>
          <w:rFonts w:hint="eastAsia" w:ascii="仿宋_GB2312" w:hAnsi="华文楷体" w:eastAsia="仿宋_GB2312"/>
          <w:sz w:val="28"/>
          <w:szCs w:val="28"/>
        </w:rPr>
        <w:t>由Ⅰ类下降为Ⅱ类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spacing w:beforeLines="50" w:afterLines="50" w:line="400" w:lineRule="exact"/>
        <w:ind w:right="-176" w:rightChars="-84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1.2</w:t>
      </w:r>
      <w:r>
        <w:rPr>
          <w:rFonts w:hint="eastAsia" w:ascii="仿宋_GB2312" w:hAnsi="华文楷体" w:eastAsia="仿宋_GB2312"/>
          <w:b/>
          <w:sz w:val="28"/>
          <w:szCs w:val="28"/>
        </w:rPr>
        <w:t>沅江水质状况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atLeas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本月沅江流域水质总体为优。干、支流</w:t>
      </w:r>
      <w:r>
        <w:rPr>
          <w:rFonts w:ascii="仿宋_GB2312" w:hAnsi="华文楷体" w:eastAsia="仿宋_GB2312"/>
          <w:sz w:val="28"/>
          <w:szCs w:val="28"/>
        </w:rPr>
        <w:t>6</w:t>
      </w:r>
      <w:r>
        <w:rPr>
          <w:rFonts w:hint="eastAsia" w:ascii="仿宋_GB2312" w:hAnsi="华文楷体" w:eastAsia="仿宋_GB2312"/>
          <w:sz w:val="28"/>
          <w:szCs w:val="28"/>
        </w:rPr>
        <w:t>个断面均达到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或超过</w:t>
      </w:r>
      <w:r>
        <w:rPr>
          <w:rFonts w:hint="eastAsia" w:ascii="仿宋_GB2312" w:hAnsi="华文楷体" w:eastAsia="仿宋_GB2312"/>
          <w:sz w:val="28"/>
          <w:szCs w:val="28"/>
        </w:rPr>
        <w:t>Ⅲ类标准，优良率为</w:t>
      </w:r>
      <w:r>
        <w:rPr>
          <w:rFonts w:ascii="仿宋_GB2312" w:hAnsi="华文楷体" w:eastAsia="仿宋_GB2312"/>
          <w:sz w:val="28"/>
          <w:szCs w:val="28"/>
        </w:rPr>
        <w:t>100</w:t>
      </w:r>
      <w:r>
        <w:rPr>
          <w:rFonts w:hint="eastAsia" w:ascii="仿宋_GB2312" w:hAnsi="华文楷体" w:eastAsia="仿宋_GB2312"/>
          <w:sz w:val="28"/>
          <w:szCs w:val="28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atLeas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儒林镇两河口断面水质由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</w:t>
      </w:r>
      <w:r>
        <w:rPr>
          <w:rFonts w:hint="eastAsia" w:ascii="仿宋_GB2312" w:hAnsi="华文楷体" w:eastAsia="仿宋_GB2312"/>
          <w:sz w:val="28"/>
          <w:szCs w:val="28"/>
        </w:rPr>
        <w:t>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atLeas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与上年同期相比，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花园阁断面水质由</w:t>
      </w:r>
      <w:r>
        <w:rPr>
          <w:rFonts w:hint="eastAsia" w:ascii="仿宋_GB2312" w:hAnsi="华文楷体" w:eastAsia="仿宋_GB2312"/>
          <w:sz w:val="28"/>
          <w:szCs w:val="28"/>
        </w:rPr>
        <w:t>Ⅰ类下降为Ⅱ类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spacing w:beforeLines="50" w:afterLines="50" w:line="400" w:lineRule="exact"/>
        <w:ind w:right="-176" w:rightChars="-84" w:firstLine="148" w:firstLineChars="49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1.3</w:t>
      </w:r>
      <w:r>
        <w:rPr>
          <w:rFonts w:hint="eastAsia" w:ascii="仿宋_GB2312" w:hAnsi="华文楷体" w:eastAsia="仿宋_GB2312"/>
          <w:b/>
          <w:sz w:val="28"/>
          <w:szCs w:val="28"/>
        </w:rPr>
        <w:t>湘江水质状况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36" w:firstLineChars="200"/>
        <w:textAlignment w:val="auto"/>
        <w:rPr>
          <w:rFonts w:ascii="仿宋_GB2312" w:hAnsi="华文楷体" w:eastAsia="仿宋_GB2312"/>
          <w:spacing w:val="-6"/>
          <w:sz w:val="28"/>
          <w:szCs w:val="28"/>
        </w:rPr>
      </w:pPr>
      <w:r>
        <w:rPr>
          <w:rFonts w:hint="eastAsia" w:ascii="仿宋_GB2312" w:hAnsi="华文楷体" w:eastAsia="仿宋_GB2312"/>
          <w:spacing w:val="-6"/>
          <w:sz w:val="28"/>
          <w:szCs w:val="28"/>
        </w:rPr>
        <w:t>本月湘江流域水质总体为优。联江村断面水质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为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、</w:t>
      </w:r>
      <w:r>
        <w:rPr>
          <w:rFonts w:hint="eastAsia" w:ascii="仿宋_GB2312" w:hAnsi="华文楷体" w:eastAsia="仿宋_GB2312"/>
          <w:sz w:val="28"/>
          <w:szCs w:val="28"/>
        </w:rPr>
        <w:t>捞金桥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为</w:t>
      </w:r>
      <w:r>
        <w:rPr>
          <w:rFonts w:hint="eastAsia" w:ascii="仿宋_GB2312" w:hAnsi="华文楷体" w:eastAsia="仿宋_GB2312"/>
          <w:sz w:val="28"/>
          <w:szCs w:val="28"/>
        </w:rPr>
        <w:t>Ⅲ类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联江村断面水质</w:t>
      </w:r>
      <w:r>
        <w:rPr>
          <w:rFonts w:hint="eastAsia" w:ascii="仿宋_GB2312" w:hAnsi="华文楷体" w:eastAsia="仿宋_GB2312"/>
          <w:sz w:val="28"/>
          <w:szCs w:val="28"/>
        </w:rPr>
        <w:t>由Ⅲ类上升为Ⅱ类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，捞金桥断面水质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由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</w:t>
      </w:r>
      <w:r>
        <w:rPr>
          <w:rFonts w:hint="eastAsia" w:ascii="仿宋_GB2312" w:hAnsi="华文楷体" w:eastAsia="仿宋_GB2312"/>
          <w:sz w:val="28"/>
          <w:szCs w:val="28"/>
        </w:rPr>
        <w:t>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44" w:firstLineChars="200"/>
        <w:textAlignment w:val="auto"/>
        <w:rPr>
          <w:rFonts w:hint="eastAsia" w:ascii="仿宋_GB2312" w:hAnsi="华文楷体" w:eastAsia="仿宋_GB2312"/>
          <w:spacing w:val="-4"/>
          <w:sz w:val="28"/>
          <w:szCs w:val="28"/>
        </w:rPr>
      </w:pPr>
      <w:r>
        <w:rPr>
          <w:rFonts w:hint="eastAsia" w:ascii="仿宋_GB2312" w:hAnsi="华文楷体" w:eastAsia="仿宋_GB2312"/>
          <w:spacing w:val="-4"/>
          <w:sz w:val="28"/>
          <w:szCs w:val="28"/>
        </w:rPr>
        <w:t>与上年同期相比，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捞金桥断面水质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保持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由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</w:t>
      </w:r>
      <w:r>
        <w:rPr>
          <w:rFonts w:hint="eastAsia" w:ascii="仿宋_GB2312" w:hAnsi="华文楷体" w:eastAsia="仿宋_GB2312"/>
          <w:sz w:val="28"/>
          <w:szCs w:val="28"/>
        </w:rPr>
        <w:t>Ⅲ类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right="-176" w:rightChars="-84"/>
        <w:textAlignment w:val="auto"/>
        <w:rPr>
          <w:rFonts w:hint="eastAsia"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1.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 w:ascii="仿宋_GB2312" w:hAnsi="华文楷体" w:eastAsia="仿宋_GB2312"/>
          <w:b/>
          <w:sz w:val="28"/>
          <w:szCs w:val="28"/>
          <w:lang w:eastAsia="zh-CN"/>
        </w:rPr>
        <w:t>珠</w:t>
      </w:r>
      <w:r>
        <w:rPr>
          <w:rFonts w:hint="eastAsia" w:ascii="仿宋_GB2312" w:hAnsi="华文楷体" w:eastAsia="仿宋_GB2312"/>
          <w:b/>
          <w:sz w:val="28"/>
          <w:szCs w:val="28"/>
        </w:rPr>
        <w:t>江水质状况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36" w:firstLineChars="200"/>
        <w:textAlignment w:val="auto"/>
        <w:rPr>
          <w:rFonts w:hint="eastAsia" w:ascii="仿宋_GB2312" w:hAnsi="华文楷体" w:eastAsia="仿宋_GB2312"/>
          <w:spacing w:val="-4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spacing w:val="-6"/>
          <w:sz w:val="28"/>
          <w:szCs w:val="28"/>
        </w:rPr>
        <w:t>本月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珠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江流域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布龙断面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水质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为</w:t>
      </w:r>
      <w:r>
        <w:rPr>
          <w:rFonts w:hint="eastAsia" w:ascii="仿宋_GB2312" w:hAnsi="华文楷体" w:eastAsia="仿宋_GB2312"/>
          <w:sz w:val="28"/>
          <w:szCs w:val="28"/>
        </w:rPr>
        <w:t>Ⅱ类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与上月相比，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珠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江流域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布龙断面</w:t>
      </w:r>
      <w:r>
        <w:rPr>
          <w:rFonts w:hint="eastAsia" w:ascii="仿宋_GB2312" w:hAnsi="华文楷体" w:eastAsia="仿宋_GB2312"/>
          <w:spacing w:val="-6"/>
          <w:sz w:val="28"/>
          <w:szCs w:val="28"/>
        </w:rPr>
        <w:t>水质</w:t>
      </w:r>
      <w:r>
        <w:rPr>
          <w:rFonts w:hint="eastAsia" w:ascii="仿宋_GB2312" w:hAnsi="华文楷体" w:eastAsia="仿宋_GB2312"/>
          <w:spacing w:val="-6"/>
          <w:sz w:val="28"/>
          <w:szCs w:val="28"/>
          <w:lang w:eastAsia="zh-CN"/>
        </w:rPr>
        <w:t>保持为</w:t>
      </w:r>
      <w:r>
        <w:rPr>
          <w:rFonts w:hint="eastAsia" w:ascii="仿宋_GB2312" w:hAnsi="华文楷体" w:eastAsia="仿宋_GB2312"/>
          <w:sz w:val="28"/>
          <w:szCs w:val="28"/>
        </w:rPr>
        <w:t>Ⅱ类。</w:t>
      </w:r>
      <w:r>
        <w:rPr>
          <w:rFonts w:hint="eastAsia" w:ascii="仿宋_GB2312" w:hAnsi="华文楷体" w:eastAsia="仿宋_GB2312"/>
          <w:spacing w:val="-4"/>
          <w:sz w:val="28"/>
          <w:szCs w:val="28"/>
        </w:rPr>
        <w:t>详见表</w:t>
      </w:r>
      <w:r>
        <w:rPr>
          <w:rFonts w:ascii="仿宋_GB2312" w:hAnsi="华文楷体" w:eastAsia="仿宋_GB2312"/>
          <w:spacing w:val="-4"/>
          <w:sz w:val="28"/>
          <w:szCs w:val="28"/>
        </w:rPr>
        <w:t>1</w:t>
      </w:r>
      <w:r>
        <w:rPr>
          <w:rFonts w:hint="eastAsia" w:ascii="仿宋_GB2312" w:hAnsi="华文楷体" w:eastAsia="仿宋_GB2312"/>
          <w:spacing w:val="-4"/>
          <w:sz w:val="28"/>
          <w:szCs w:val="28"/>
        </w:rPr>
        <w:t>。</w:t>
      </w:r>
    </w:p>
    <w:tbl>
      <w:tblPr>
        <w:tblStyle w:val="6"/>
        <w:tblpPr w:leftFromText="180" w:rightFromText="180" w:vertAnchor="text" w:horzAnchor="margin" w:tblpXSpec="center" w:tblpY="623"/>
        <w:tblW w:w="10298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006"/>
        <w:gridCol w:w="969"/>
        <w:gridCol w:w="1287"/>
        <w:gridCol w:w="969"/>
        <w:gridCol w:w="969"/>
        <w:gridCol w:w="786"/>
        <w:gridCol w:w="15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Lines="50" w:afterLines="50" w:line="360" w:lineRule="exac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 w:cs="宋体"/>
                <w:b/>
                <w:bCs/>
                <w:kern w:val="0"/>
                <w:sz w:val="24"/>
              </w:rPr>
              <w:t>　　　　　　</w:t>
            </w:r>
            <w:r>
              <w:rPr>
                <w:rFonts w:hint="eastAsia" w:ascii="仿宋_GB2312" w:hAnsi="华文楷体" w:eastAsia="仿宋_GB2312"/>
                <w:szCs w:val="21"/>
              </w:rPr>
              <w:t>河流名称</w:t>
            </w:r>
          </w:p>
        </w:tc>
        <w:tc>
          <w:tcPr>
            <w:tcW w:w="200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名称</w:t>
            </w:r>
          </w:p>
        </w:tc>
        <w:tc>
          <w:tcPr>
            <w:tcW w:w="96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所在</w:t>
            </w:r>
          </w:p>
          <w:p>
            <w:pPr>
              <w:widowControl/>
              <w:ind w:firstLine="105" w:firstLineChars="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市州</w:t>
            </w:r>
          </w:p>
        </w:tc>
        <w:tc>
          <w:tcPr>
            <w:tcW w:w="128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widowControl/>
              <w:ind w:firstLine="315" w:firstLineChars="1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属性</w:t>
            </w:r>
          </w:p>
        </w:tc>
        <w:tc>
          <w:tcPr>
            <w:tcW w:w="272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水质类别</w:t>
            </w:r>
          </w:p>
        </w:tc>
        <w:tc>
          <w:tcPr>
            <w:tcW w:w="150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本月超标项目</w:t>
            </w:r>
          </w:p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969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1287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本月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上月</w:t>
            </w:r>
          </w:p>
        </w:tc>
        <w:tc>
          <w:tcPr>
            <w:tcW w:w="7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上年同期</w:t>
            </w:r>
          </w:p>
        </w:tc>
        <w:tc>
          <w:tcPr>
            <w:tcW w:w="1505" w:type="dxa"/>
            <w:vMerge w:val="continue"/>
          </w:tcPr>
          <w:p>
            <w:pPr>
              <w:widowControl/>
              <w:jc w:val="left"/>
              <w:rPr>
                <w:rFonts w:ascii="仿宋_GB2312" w:hAnsi="华文楷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napToGrid w:val="0"/>
              <w:spacing w:beforeLines="50" w:afterLines="50" w:line="36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资江干流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桂花渡水厂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工业街水厂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城西水厂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田江渡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柏树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新邵县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晒谷滩电站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新邵县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塘口码头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新邵县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球溪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娄底市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国控（娄底）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邵水梅子坝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渡头桥镇光辉村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邵水入河口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Ⅳ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邵水檀江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罗市社区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资江大洋江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金石桥龙口湾桥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隆回县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国控（新增）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邵水西洋江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西洋江洪桥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</w:t>
            </w: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邵水桐江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桐江兴隆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邵东</w:t>
            </w: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平溪江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畔上村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趋势科研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洞口县一水厂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木瓜桥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团结坝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国控（</w:t>
            </w: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新增</w:t>
            </w:r>
            <w:r>
              <w:rPr>
                <w:rFonts w:hint="eastAsia" w:ascii="仿宋_GB2312" w:hAnsi="华文楷体" w:eastAsia="仿宋_GB2312"/>
                <w:szCs w:val="21"/>
              </w:rPr>
              <w:t>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黄背河（西洋江）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南岳庙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蓼水</w:t>
            </w: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红岩坝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县界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洞口县双江口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洞口县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夫夷水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窑市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新宁县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Ⅰ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宛家岔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新宁县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金家坝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新宁县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金河村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邵阳县水厂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塘渡口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赧水</w:t>
            </w: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邓元泰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spacing w:line="240" w:lineRule="exact"/>
              <w:jc w:val="both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武冈上游（小水村）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红光水坝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8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00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乔家村渡口</w:t>
            </w: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隆回县</w:t>
            </w:r>
          </w:p>
        </w:tc>
        <w:tc>
          <w:tcPr>
            <w:tcW w:w="1287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9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78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Ⅰ</w:t>
            </w:r>
          </w:p>
        </w:tc>
        <w:tc>
          <w:tcPr>
            <w:tcW w:w="150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</w:tbl>
    <w:p>
      <w:pPr>
        <w:widowControl/>
        <w:snapToGrid w:val="0"/>
        <w:spacing w:beforeLines="50" w:afterLines="50" w:line="360" w:lineRule="exact"/>
        <w:jc w:val="center"/>
        <w:rPr>
          <w:rFonts w:ascii="仿宋_GB2312" w:hAnsi="华文楷体" w:eastAsia="仿宋_GB2312" w:cs="宋体"/>
          <w:b/>
          <w:kern w:val="0"/>
          <w:sz w:val="24"/>
        </w:rPr>
      </w:pP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表</w:t>
      </w:r>
      <w:r>
        <w:rPr>
          <w:rFonts w:ascii="仿宋_GB2312" w:hAnsi="华文楷体" w:eastAsia="仿宋_GB2312" w:cs="宋体"/>
          <w:b/>
          <w:bCs/>
          <w:kern w:val="0"/>
          <w:sz w:val="24"/>
        </w:rPr>
        <w:t xml:space="preserve">1       </w:t>
      </w:r>
      <w:r>
        <w:rPr>
          <w:rFonts w:ascii="仿宋_GB2312" w:hAnsi="宋体" w:eastAsia="仿宋_GB2312" w:cs="宋体"/>
          <w:b/>
          <w:bCs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20</w:t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t>62     2016</w:t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ascii="仿宋_GB2312" w:hAnsi="宋体" w:eastAsia="仿宋_GB2312" w:cs="宋体"/>
          <w:b/>
          <w:bCs/>
          <w:vanish/>
          <w:kern w:val="0"/>
          <w:sz w:val="24"/>
        </w:rPr>
        <w:pgNum/>
      </w: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年</w:t>
      </w:r>
      <w:r>
        <w:rPr>
          <w:rFonts w:hint="eastAsia" w:ascii="仿宋_GB2312" w:hAnsi="华文楷体" w:eastAsia="仿宋_GB2312" w:cs="宋体"/>
          <w:b/>
          <w:bCs/>
          <w:kern w:val="0"/>
          <w:sz w:val="24"/>
          <w:lang w:val="en-US" w:eastAsia="zh-CN"/>
        </w:rPr>
        <w:t>10</w:t>
      </w: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月全市河流型地表水断面水质情况</w:t>
      </w:r>
    </w:p>
    <w:p>
      <w:pPr>
        <w:rPr>
          <w:color w:val="FF0000"/>
        </w:rPr>
      </w:pPr>
    </w:p>
    <w:tbl>
      <w:tblPr>
        <w:tblStyle w:val="6"/>
        <w:tblpPr w:leftFromText="180" w:rightFromText="180" w:vertAnchor="text" w:horzAnchor="margin" w:tblpXSpec="center" w:tblpY="278"/>
        <w:tblW w:w="999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18"/>
        <w:gridCol w:w="866"/>
        <w:gridCol w:w="1294"/>
        <w:gridCol w:w="1013"/>
        <w:gridCol w:w="1081"/>
        <w:gridCol w:w="1081"/>
        <w:gridCol w:w="14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河流名称</w:t>
            </w:r>
          </w:p>
        </w:tc>
        <w:tc>
          <w:tcPr>
            <w:tcW w:w="161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所在</w:t>
            </w:r>
          </w:p>
          <w:p>
            <w:pPr>
              <w:widowControl/>
              <w:ind w:firstLine="105" w:firstLineChars="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市州</w:t>
            </w:r>
          </w:p>
        </w:tc>
        <w:tc>
          <w:tcPr>
            <w:tcW w:w="129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</w:t>
            </w:r>
          </w:p>
          <w:p>
            <w:pPr>
              <w:widowControl/>
              <w:ind w:firstLine="315" w:firstLineChars="150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属性</w:t>
            </w:r>
          </w:p>
        </w:tc>
        <w:tc>
          <w:tcPr>
            <w:tcW w:w="31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水质类别</w:t>
            </w:r>
          </w:p>
        </w:tc>
        <w:tc>
          <w:tcPr>
            <w:tcW w:w="14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本月超标项目</w:t>
            </w:r>
          </w:p>
          <w:p>
            <w:pPr>
              <w:widowControl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866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1294" w:type="dxa"/>
            <w:vMerge w:val="continue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</w:rPr>
              <w:t>本月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上月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</w:rPr>
            </w:pPr>
            <w:r>
              <w:rPr>
                <w:rFonts w:hint="eastAsia" w:ascii="仿宋_GB2312" w:hAnsi="华文楷体" w:eastAsia="仿宋_GB2312"/>
              </w:rPr>
              <w:t>上年同期</w:t>
            </w:r>
          </w:p>
        </w:tc>
        <w:tc>
          <w:tcPr>
            <w:tcW w:w="1498" w:type="dxa"/>
            <w:vMerge w:val="continue"/>
          </w:tcPr>
          <w:p>
            <w:pPr>
              <w:widowControl/>
              <w:jc w:val="left"/>
              <w:rPr>
                <w:rFonts w:ascii="仿宋_GB2312" w:hAnsi="华文楷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赧水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隆回县水厂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隆回县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元木山电站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隆回县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渡头村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邵阳县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大洋江</w:t>
            </w:r>
          </w:p>
        </w:tc>
        <w:tc>
          <w:tcPr>
            <w:tcW w:w="16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三拱桥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娄底市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华文楷体" w:eastAsia="仿宋_GB2312"/>
                <w:szCs w:val="21"/>
              </w:rPr>
              <w:t>界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玉溪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威溪水库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武冈市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沅江巫水</w:t>
            </w:r>
          </w:p>
          <w:p>
            <w:pPr>
              <w:widowControl/>
              <w:jc w:val="center"/>
              <w:textAlignment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儒林镇两河口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城步县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白云湖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城步县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花园阁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Ⅰ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游家湾</w:t>
            </w:r>
          </w:p>
        </w:tc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趋势科研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绥宁河口镇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Align w:val="center"/>
          </w:tcPr>
          <w:p>
            <w:pPr>
              <w:jc w:val="center"/>
              <w:textAlignment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巫水</w:t>
            </w:r>
            <w:r>
              <w:rPr>
                <w:rFonts w:hint="eastAsia" w:ascii="仿宋_GB2312" w:hAnsi="华文楷体" w:eastAsia="仿宋_GB2312"/>
                <w:szCs w:val="21"/>
              </w:rPr>
              <w:t>虾子溪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虾子溪水厂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绥宁县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湘江蒸水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联江村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衡阳市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国控（衡阳）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湘江捞金河</w:t>
            </w:r>
          </w:p>
        </w:tc>
        <w:tc>
          <w:tcPr>
            <w:tcW w:w="1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捞金桥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娄底市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省控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Ⅲ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4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珠江寻江</w:t>
            </w:r>
          </w:p>
        </w:tc>
        <w:tc>
          <w:tcPr>
            <w:tcW w:w="1618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布龙</w:t>
            </w:r>
          </w:p>
        </w:tc>
        <w:tc>
          <w:tcPr>
            <w:tcW w:w="866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城步县</w:t>
            </w:r>
          </w:p>
        </w:tc>
        <w:tc>
          <w:tcPr>
            <w:tcW w:w="1294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国控（新增）</w:t>
            </w:r>
          </w:p>
        </w:tc>
        <w:tc>
          <w:tcPr>
            <w:tcW w:w="10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Ⅱ</w:t>
            </w:r>
          </w:p>
        </w:tc>
        <w:tc>
          <w:tcPr>
            <w:tcW w:w="1081" w:type="dxa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1498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ind w:right="-176" w:rightChars="-84" w:firstLine="103" w:firstLineChars="49"/>
        <w:textAlignment w:val="auto"/>
        <w:rPr>
          <w:rFonts w:hint="default" w:ascii="仿宋_GB2312" w:hAnsi="华文楷体" w:eastAsia="仿宋_GB2312"/>
          <w:b/>
          <w:sz w:val="21"/>
          <w:szCs w:val="21"/>
          <w:lang w:val="en-US" w:eastAsia="zh-CN"/>
        </w:rPr>
      </w:pPr>
      <w:r>
        <w:rPr>
          <w:rFonts w:hint="eastAsia" w:ascii="仿宋_GB2312" w:hAnsi="华文楷体" w:eastAsia="仿宋_GB2312"/>
          <w:b/>
          <w:sz w:val="21"/>
          <w:szCs w:val="21"/>
          <w:lang w:val="en-US" w:eastAsia="zh-CN"/>
        </w:rPr>
        <w:t>备注：根据生态环境部《关于开展“十四五”国控断面设置和水环境控制单元细化工作的通知》的要求，2020年邵阳市新增七个国控断面：团结坝、金石桥龙口湾桥、布龙三个断面为新增断面；晒谷滩电站、金家坝两个原省控断面设置为国控断面；洞口县双江口、邓元泰两个断面由原长江经济带重要支流跨界断面设置为国控断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exact"/>
        <w:ind w:right="-176" w:rightChars="-84" w:firstLine="148" w:firstLineChars="49"/>
        <w:textAlignment w:val="auto"/>
        <w:rPr>
          <w:rFonts w:ascii="仿宋_GB2312" w:hAnsi="华文楷体" w:eastAsia="仿宋_GB2312"/>
          <w:b/>
          <w:sz w:val="30"/>
          <w:szCs w:val="30"/>
        </w:rPr>
      </w:pPr>
    </w:p>
    <w:p>
      <w:pPr>
        <w:spacing w:beforeLines="50" w:afterLines="50" w:line="360" w:lineRule="exact"/>
        <w:ind w:right="-176" w:rightChars="-84" w:firstLine="148" w:firstLineChars="49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b/>
          <w:sz w:val="30"/>
          <w:szCs w:val="30"/>
        </w:rPr>
        <w:t>2</w:t>
      </w:r>
      <w:r>
        <w:rPr>
          <w:rFonts w:hint="eastAsia" w:ascii="仿宋_GB2312" w:hAnsi="华文楷体" w:eastAsia="仿宋_GB2312"/>
          <w:b/>
          <w:sz w:val="30"/>
          <w:szCs w:val="30"/>
        </w:rPr>
        <w:t>、饮用水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水</w:t>
      </w:r>
      <w:r>
        <w:rPr>
          <w:rFonts w:hint="eastAsia" w:ascii="仿宋_GB2312" w:hAnsi="华文楷体" w:eastAsia="仿宋_GB2312"/>
          <w:b/>
          <w:sz w:val="30"/>
          <w:szCs w:val="30"/>
        </w:rPr>
        <w:t>源地水质状况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20" w:lineRule="exact"/>
        <w:ind w:right="-176" w:rightChars="-84" w:firstLine="560" w:firstLineChars="200"/>
        <w:textAlignment w:val="auto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本月，市本级桂花渡、城西、工业街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、木瓜山水库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华文楷体" w:eastAsia="仿宋_GB2312"/>
          <w:sz w:val="28"/>
          <w:szCs w:val="28"/>
        </w:rPr>
        <w:t>个饮用水水源地水质全部达标（达到或优于Ⅲ类标准），断面水质均符合《地表水环境质量标准》（</w:t>
      </w:r>
      <w:r>
        <w:rPr>
          <w:rFonts w:ascii="仿宋_GB2312" w:hAnsi="华文楷体" w:eastAsia="仿宋_GB2312"/>
          <w:sz w:val="28"/>
          <w:szCs w:val="28"/>
        </w:rPr>
        <w:t>GB3838-2002</w:t>
      </w:r>
      <w:r>
        <w:rPr>
          <w:rFonts w:hint="eastAsia" w:ascii="仿宋_GB2312" w:hAnsi="华文楷体" w:eastAsia="仿宋_GB2312"/>
          <w:sz w:val="28"/>
          <w:szCs w:val="28"/>
        </w:rPr>
        <w:t>）表</w:t>
      </w:r>
      <w:r>
        <w:rPr>
          <w:rFonts w:ascii="仿宋_GB2312" w:hAnsi="华文楷体" w:eastAsia="仿宋_GB2312"/>
          <w:sz w:val="28"/>
          <w:szCs w:val="28"/>
        </w:rPr>
        <w:t>1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Ⅱ</w:t>
      </w:r>
      <w:r>
        <w:rPr>
          <w:rFonts w:hint="eastAsia" w:ascii="仿宋_GB2312" w:hAnsi="华文楷体" w:eastAsia="仿宋_GB2312"/>
          <w:sz w:val="28"/>
          <w:szCs w:val="28"/>
        </w:rPr>
        <w:t>类水质标准，补充项目和特定项目均符合表</w:t>
      </w:r>
      <w:r>
        <w:rPr>
          <w:rFonts w:ascii="仿宋_GB2312" w:hAnsi="华文楷体" w:eastAsia="仿宋_GB2312"/>
          <w:sz w:val="28"/>
          <w:szCs w:val="28"/>
        </w:rPr>
        <w:t>2</w:t>
      </w:r>
      <w:r>
        <w:rPr>
          <w:rFonts w:hint="eastAsia" w:ascii="仿宋_GB2312" w:hAnsi="华文楷体" w:eastAsia="仿宋_GB2312"/>
          <w:sz w:val="28"/>
          <w:szCs w:val="28"/>
        </w:rPr>
        <w:t>和表</w:t>
      </w:r>
      <w:r>
        <w:rPr>
          <w:rFonts w:ascii="仿宋_GB2312" w:hAnsi="华文楷体" w:eastAsia="仿宋_GB2312"/>
          <w:sz w:val="28"/>
          <w:szCs w:val="28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的标准限值，达标率为</w:t>
      </w:r>
      <w:r>
        <w:rPr>
          <w:rFonts w:ascii="仿宋_GB2312" w:hAnsi="华文楷体" w:eastAsia="仿宋_GB2312"/>
          <w:sz w:val="28"/>
          <w:szCs w:val="28"/>
        </w:rPr>
        <w:t>100</w:t>
      </w:r>
      <w:r>
        <w:rPr>
          <w:rFonts w:hint="eastAsia" w:ascii="仿宋_GB2312" w:hAnsi="华文楷体" w:eastAsia="仿宋_GB2312"/>
          <w:sz w:val="28"/>
          <w:szCs w:val="28"/>
        </w:rPr>
        <w:t>％。详见表</w:t>
      </w:r>
      <w:r>
        <w:rPr>
          <w:rFonts w:ascii="仿宋_GB2312" w:hAnsi="华文楷体" w:eastAsia="仿宋_GB2312"/>
          <w:sz w:val="28"/>
          <w:szCs w:val="28"/>
        </w:rPr>
        <w:t>2</w:t>
      </w:r>
      <w:r>
        <w:rPr>
          <w:rFonts w:hint="eastAsia" w:ascii="仿宋_GB2312" w:hAnsi="华文楷体" w:eastAsia="仿宋_GB2312"/>
          <w:sz w:val="28"/>
          <w:szCs w:val="28"/>
        </w:rPr>
        <w:t>。</w:t>
      </w:r>
    </w:p>
    <w:p>
      <w:pPr>
        <w:widowControl/>
        <w:snapToGrid w:val="0"/>
        <w:spacing w:beforeLines="50" w:afterLines="50" w:line="400" w:lineRule="exact"/>
        <w:jc w:val="center"/>
        <w:rPr>
          <w:rFonts w:ascii="仿宋_GB2312" w:hAnsi="华文楷体" w:eastAsia="仿宋_GB2312" w:cs="宋体"/>
          <w:b/>
          <w:bCs/>
          <w:kern w:val="0"/>
          <w:sz w:val="24"/>
        </w:rPr>
      </w:pPr>
    </w:p>
    <w:p>
      <w:pPr>
        <w:widowControl/>
        <w:snapToGrid w:val="0"/>
        <w:spacing w:beforeLines="50" w:afterLines="50" w:line="40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表</w:t>
      </w:r>
      <w:r>
        <w:rPr>
          <w:rFonts w:ascii="仿宋_GB2312" w:hAnsi="华文楷体" w:eastAsia="仿宋_GB2312" w:cs="宋体"/>
          <w:b/>
          <w:bCs/>
          <w:kern w:val="0"/>
          <w:sz w:val="24"/>
        </w:rPr>
        <w:t xml:space="preserve">2       </w:t>
      </w:r>
      <w:r>
        <w:rPr>
          <w:rFonts w:ascii="仿宋_GB2312" w:hAnsi="宋体" w:eastAsia="仿宋_GB2312" w:cs="宋体"/>
          <w:b/>
          <w:bCs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10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月全市饮用水水源地水质状况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80" w:lineRule="exact"/>
        <w:jc w:val="center"/>
        <w:textAlignment w:val="auto"/>
        <w:rPr>
          <w:rFonts w:hint="eastAsia" w:ascii="仿宋_GB2312" w:hAnsi="宋体" w:eastAsia="仿宋_GB2312" w:cs="宋体"/>
          <w:b/>
          <w:bCs/>
          <w:kern w:val="0"/>
          <w:sz w:val="24"/>
        </w:rPr>
      </w:pPr>
    </w:p>
    <w:tbl>
      <w:tblPr>
        <w:tblStyle w:val="6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34"/>
        <w:gridCol w:w="1434"/>
        <w:gridCol w:w="1075"/>
        <w:gridCol w:w="1075"/>
        <w:gridCol w:w="1255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362" w:type="dxa"/>
            <w:vMerge w:val="restart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所属城市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断面名称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评价项目</w:t>
            </w:r>
            <w:r>
              <w:rPr>
                <w:rFonts w:ascii="仿宋_GB2312" w:hAnsi="华文楷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华文楷体" w:eastAsia="仿宋_GB2312"/>
                <w:szCs w:val="21"/>
              </w:rPr>
              <w:t>（个）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是否达标</w:t>
            </w:r>
          </w:p>
        </w:tc>
        <w:tc>
          <w:tcPr>
            <w:tcW w:w="1672" w:type="dxa"/>
            <w:vMerge w:val="restart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超标项目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（超标倍数）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62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上月</w:t>
            </w:r>
          </w:p>
        </w:tc>
        <w:tc>
          <w:tcPr>
            <w:tcW w:w="125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上年同期</w:t>
            </w:r>
          </w:p>
        </w:tc>
        <w:tc>
          <w:tcPr>
            <w:tcW w:w="1672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napToGrid w:val="0"/>
              <w:spacing w:beforeLines="50" w:afterLines="50" w:line="400" w:lineRule="exact"/>
              <w:jc w:val="center"/>
              <w:rPr>
                <w:rFonts w:ascii="仿宋_GB2312" w:hAnsi="华文楷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桂花渡水厂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城西水厂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工业街水厂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2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隆回县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木瓜山水库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华文楷体" w:eastAsia="仿宋_GB2312"/>
                <w:szCs w:val="21"/>
              </w:rPr>
              <w:t>58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是</w:t>
            </w:r>
          </w:p>
        </w:tc>
        <w:tc>
          <w:tcPr>
            <w:tcW w:w="1672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楷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华文楷体" w:eastAsia="仿宋_GB2312"/>
                <w:szCs w:val="21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exact"/>
        <w:jc w:val="both"/>
        <w:textAlignment w:val="auto"/>
        <w:rPr>
          <w:rFonts w:ascii="仿宋_GB2312" w:hAnsi="宋体" w:eastAsia="仿宋_GB2312" w:cs="宋体"/>
          <w:b/>
          <w:bCs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00" w:lineRule="exact"/>
        <w:ind w:right="-176" w:rightChars="-84"/>
        <w:textAlignment w:val="auto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/>
          <w:sz w:val="30"/>
          <w:szCs w:val="30"/>
        </w:rPr>
        <w:t>3</w:t>
      </w:r>
      <w:r>
        <w:rPr>
          <w:rFonts w:hint="eastAsia" w:ascii="仿宋_GB2312" w:hAnsi="华文楷体" w:eastAsia="仿宋_GB2312"/>
          <w:b/>
          <w:sz w:val="30"/>
          <w:szCs w:val="30"/>
        </w:rPr>
        <w:t>、城南公园人工湖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right="-176" w:rightChars="-84" w:firstLine="298" w:firstLineChars="99"/>
        <w:textAlignment w:val="auto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3.1</w:t>
      </w:r>
      <w:r>
        <w:rPr>
          <w:rFonts w:hint="eastAsia" w:ascii="仿宋_GB2312" w:hAnsi="华文楷体" w:eastAsia="仿宋_GB2312"/>
          <w:b/>
          <w:sz w:val="28"/>
          <w:szCs w:val="28"/>
        </w:rPr>
        <w:t>营养状态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tLeast"/>
        <w:ind w:left="554" w:leftChars="133" w:right="-170" w:rightChars="-81" w:hanging="275" w:hangingChars="98"/>
        <w:textAlignment w:val="auto"/>
        <w:rPr>
          <w:rFonts w:ascii="仿宋_GB2312" w:hAnsi="华文楷体" w:eastAsia="仿宋_GB2312"/>
          <w:color w:val="FF0000"/>
          <w:sz w:val="28"/>
          <w:szCs w:val="28"/>
        </w:rPr>
      </w:pPr>
      <w:r>
        <w:rPr>
          <w:rFonts w:hint="eastAsia" w:ascii="仿宋_GB2312" w:hAnsi="华文楷体" w:eastAsia="仿宋_GB2312"/>
          <w:b/>
          <w:sz w:val="28"/>
          <w:szCs w:val="28"/>
        </w:rPr>
        <w:t>　</w:t>
      </w:r>
      <w:r>
        <w:rPr>
          <w:rFonts w:hint="eastAsia" w:ascii="仿宋_GB2312" w:hAnsi="华文楷体" w:eastAsia="仿宋_GB2312"/>
          <w:sz w:val="28"/>
          <w:szCs w:val="28"/>
        </w:rPr>
        <w:t>本月我市城南公园人工湖营养指数为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66.5</w:t>
      </w:r>
      <w:r>
        <w:rPr>
          <w:rFonts w:hint="eastAsia" w:ascii="仿宋_GB2312" w:hAnsi="华文楷体" w:eastAsia="仿宋_GB2312"/>
          <w:sz w:val="28"/>
          <w:szCs w:val="28"/>
        </w:rPr>
        <w:t>，为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中度富</w:t>
      </w:r>
      <w:r>
        <w:rPr>
          <w:rFonts w:hint="eastAsia" w:ascii="仿宋_GB2312" w:hAnsi="华文楷体" w:eastAsia="仿宋_GB2312"/>
          <w:sz w:val="28"/>
          <w:szCs w:val="28"/>
        </w:rPr>
        <w:t>营养状态。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tLeast"/>
        <w:ind w:right="-176" w:rightChars="-84" w:firstLine="140" w:firstLineChars="50"/>
        <w:textAlignment w:val="auto"/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</w:pPr>
      <w:r>
        <w:rPr>
          <w:rFonts w:hint="eastAsia" w:ascii="仿宋_GB2312" w:hAnsi="华文楷体" w:eastAsia="仿宋_GB2312"/>
          <w:color w:val="FF0000"/>
          <w:sz w:val="28"/>
          <w:szCs w:val="28"/>
        </w:rPr>
        <w:t>　</w:t>
      </w:r>
      <w:r>
        <w:rPr>
          <w:rFonts w:hint="eastAsia" w:ascii="仿宋_GB2312" w:hAnsi="华文楷体" w:eastAsia="仿宋_GB2312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楷体" w:eastAsia="仿宋_GB2312"/>
          <w:color w:val="auto"/>
          <w:sz w:val="28"/>
          <w:szCs w:val="28"/>
          <w:lang w:val="en-US" w:eastAsia="zh-CN"/>
        </w:rPr>
        <w:t>与</w:t>
      </w:r>
      <w:r>
        <w:rPr>
          <w:rFonts w:hint="eastAsia" w:ascii="仿宋_GB2312" w:hAnsi="华文楷体" w:eastAsia="仿宋_GB2312"/>
          <w:color w:val="auto"/>
          <w:sz w:val="28"/>
          <w:szCs w:val="28"/>
          <w:lang w:eastAsia="zh-CN"/>
        </w:rPr>
        <w:t>上</w:t>
      </w:r>
      <w:r>
        <w:rPr>
          <w:rFonts w:hint="eastAsia" w:ascii="仿宋_GB2312" w:hAnsi="华文楷体" w:eastAsia="仿宋_GB2312"/>
          <w:sz w:val="28"/>
          <w:szCs w:val="28"/>
        </w:rPr>
        <w:t>月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相比，</w:t>
      </w:r>
      <w:r>
        <w:rPr>
          <w:rFonts w:hint="eastAsia" w:ascii="仿宋_GB2312" w:hAnsi="华文楷体" w:eastAsia="仿宋_GB2312"/>
          <w:sz w:val="28"/>
          <w:szCs w:val="28"/>
        </w:rPr>
        <w:t>城南公园人工湖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水质由重度富</w:t>
      </w:r>
      <w:r>
        <w:rPr>
          <w:rFonts w:hint="eastAsia" w:ascii="仿宋_GB2312" w:hAnsi="华文楷体" w:eastAsia="仿宋_GB2312"/>
          <w:sz w:val="28"/>
          <w:szCs w:val="28"/>
        </w:rPr>
        <w:t>营养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上升为中度富</w:t>
      </w:r>
      <w:r>
        <w:rPr>
          <w:rFonts w:hint="eastAsia" w:ascii="仿宋_GB2312" w:hAnsi="华文楷体" w:eastAsia="仿宋_GB2312"/>
          <w:sz w:val="28"/>
          <w:szCs w:val="28"/>
        </w:rPr>
        <w:t>营养状态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00" w:lineRule="exact"/>
        <w:ind w:left="553" w:leftChars="133" w:right="-170" w:rightChars="-81" w:hanging="274" w:hangingChars="98"/>
        <w:textAlignment w:val="auto"/>
        <w:rPr>
          <w:rFonts w:hint="default" w:ascii="仿宋_GB2312" w:hAnsi="华文楷体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　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与</w:t>
      </w:r>
      <w:r>
        <w:rPr>
          <w:rFonts w:hint="eastAsia" w:ascii="仿宋_GB2312" w:hAnsi="华文楷体" w:eastAsia="仿宋_GB2312"/>
          <w:sz w:val="28"/>
          <w:szCs w:val="28"/>
        </w:rPr>
        <w:t>上年同期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相比，</w:t>
      </w:r>
      <w:r>
        <w:rPr>
          <w:rFonts w:hint="eastAsia" w:ascii="仿宋_GB2312" w:hAnsi="华文楷体" w:eastAsia="仿宋_GB2312"/>
          <w:sz w:val="28"/>
          <w:szCs w:val="28"/>
        </w:rPr>
        <w:t>城南公园人工湖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水质由轻度富</w:t>
      </w:r>
      <w:r>
        <w:rPr>
          <w:rFonts w:hint="eastAsia" w:ascii="仿宋_GB2312" w:hAnsi="华文楷体" w:eastAsia="仿宋_GB2312"/>
          <w:sz w:val="28"/>
          <w:szCs w:val="28"/>
        </w:rPr>
        <w:t>营养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下降为中度富</w:t>
      </w:r>
      <w:r>
        <w:rPr>
          <w:rFonts w:hint="eastAsia" w:ascii="仿宋_GB2312" w:hAnsi="华文楷体" w:eastAsia="仿宋_GB2312"/>
          <w:sz w:val="28"/>
          <w:szCs w:val="28"/>
        </w:rPr>
        <w:t>营养状态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298" w:firstLineChars="99"/>
        <w:textAlignment w:val="auto"/>
        <w:rPr>
          <w:rFonts w:ascii="仿宋_GB2312" w:hAnsi="华文楷体" w:eastAsia="仿宋_GB2312"/>
          <w:b/>
          <w:sz w:val="28"/>
          <w:szCs w:val="28"/>
        </w:rPr>
      </w:pPr>
      <w:r>
        <w:rPr>
          <w:b/>
          <w:sz w:val="30"/>
          <w:szCs w:val="30"/>
        </w:rPr>
        <w:t>3.2</w:t>
      </w:r>
      <w:r>
        <w:rPr>
          <w:rFonts w:hint="eastAsia" w:ascii="仿宋_GB2312" w:hAnsi="华文楷体" w:eastAsia="仿宋_GB2312"/>
          <w:b/>
          <w:sz w:val="28"/>
          <w:szCs w:val="28"/>
        </w:rPr>
        <w:t>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left="279" w:leftChars="133" w:right="-176" w:rightChars="-84" w:firstLine="280" w:firstLineChars="100"/>
        <w:textAlignment w:val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</w:rPr>
        <w:t>本月我市城南公园人工湖水质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为Ⅲ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0" w:rightChars="-81" w:firstLine="560" w:firstLineChars="200"/>
        <w:textAlignment w:val="auto"/>
        <w:rPr>
          <w:rFonts w:hint="eastAsia" w:ascii="仿宋_GB2312" w:hAnsi="华文楷体" w:eastAsia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华文楷体" w:eastAsia="仿宋_GB2312"/>
          <w:color w:val="auto"/>
          <w:sz w:val="28"/>
          <w:szCs w:val="28"/>
          <w:lang w:eastAsia="zh-CN"/>
        </w:rPr>
        <w:t>与上</w:t>
      </w:r>
      <w:r>
        <w:rPr>
          <w:rFonts w:hint="eastAsia" w:ascii="仿宋_GB2312" w:hAnsi="华文楷体" w:eastAsia="仿宋_GB2312"/>
          <w:sz w:val="28"/>
          <w:szCs w:val="28"/>
        </w:rPr>
        <w:t>月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相比，</w:t>
      </w:r>
      <w:r>
        <w:rPr>
          <w:rFonts w:hint="eastAsia" w:ascii="仿宋_GB2312" w:hAnsi="华文楷体" w:eastAsia="仿宋_GB2312"/>
          <w:sz w:val="28"/>
          <w:szCs w:val="28"/>
        </w:rPr>
        <w:t>城南公园人工湖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水质由Ⅱ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下降为Ⅲ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4" w:rightChars="-83" w:firstLine="560" w:firstLineChars="200"/>
        <w:textAlignment w:val="auto"/>
        <w:rPr>
          <w:rFonts w:hint="default" w:ascii="仿宋_GB2312" w:hAnsi="华文楷体" w:eastAsia="仿宋_GB2312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华文楷体" w:eastAsia="仿宋_GB2312"/>
          <w:sz w:val="28"/>
          <w:szCs w:val="28"/>
          <w:lang w:eastAsia="zh-CN"/>
        </w:rPr>
        <w:t>与去年同期相比，</w:t>
      </w:r>
      <w:r>
        <w:rPr>
          <w:rFonts w:hint="eastAsia" w:ascii="仿宋_GB2312" w:hAnsi="华文楷体" w:eastAsia="仿宋_GB2312"/>
          <w:sz w:val="28"/>
          <w:szCs w:val="28"/>
        </w:rPr>
        <w:t>城南公园人工</w:t>
      </w:r>
      <w:bookmarkStart w:id="7" w:name="_GoBack"/>
      <w:bookmarkEnd w:id="7"/>
      <w:r>
        <w:rPr>
          <w:rFonts w:hint="eastAsia" w:ascii="仿宋_GB2312" w:hAnsi="华文楷体" w:eastAsia="仿宋_GB2312"/>
          <w:sz w:val="28"/>
          <w:szCs w:val="28"/>
        </w:rPr>
        <w:t>湖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水质由Ⅴ上升为Ⅲ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6" w:rightChars="-84" w:firstLine="560" w:firstLineChars="200"/>
        <w:textAlignment w:val="auto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总氮单独评价时：城南公园人工湖水质为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Ⅳ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宋体" w:eastAsia="仿宋_GB2312" w:cs="宋体"/>
          <w:sz w:val="28"/>
          <w:szCs w:val="28"/>
        </w:rPr>
        <w:t>水质。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exact"/>
        <w:ind w:right="-170" w:rightChars="-81" w:firstLine="560" w:firstLineChars="200"/>
        <w:textAlignment w:val="auto"/>
        <w:rPr>
          <w:rFonts w:hint="eastAsia" w:ascii="仿宋_GB2312" w:hAnsi="华文楷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粪大肠菌群单独评价时：</w:t>
      </w:r>
      <w:r>
        <w:rPr>
          <w:rFonts w:hint="eastAsia" w:ascii="仿宋_GB2312" w:hAnsi="华文楷体" w:eastAsia="仿宋_GB2312"/>
          <w:sz w:val="28"/>
          <w:szCs w:val="28"/>
        </w:rPr>
        <w:t>城南公园人工湖水质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为Ⅱ</w:t>
      </w:r>
      <w:r>
        <w:rPr>
          <w:rFonts w:hint="eastAsia" w:ascii="仿宋_GB2312" w:hAnsi="华文楷体" w:eastAsia="仿宋_GB2312"/>
          <w:sz w:val="28"/>
          <w:szCs w:val="28"/>
        </w:rPr>
        <w:t>类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  <w:r>
        <w:rPr>
          <w:rFonts w:hint="eastAsia" w:ascii="仿宋_GB2312" w:hAnsi="华文楷体" w:eastAsia="仿宋_GB2312"/>
          <w:sz w:val="28"/>
          <w:szCs w:val="28"/>
        </w:rPr>
        <w:t>详见表</w:t>
      </w:r>
      <w:r>
        <w:rPr>
          <w:rFonts w:ascii="仿宋_GB2312" w:hAnsi="华文楷体" w:eastAsia="仿宋_GB2312"/>
          <w:sz w:val="28"/>
          <w:szCs w:val="28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700" w:lineRule="atLeast"/>
        <w:ind w:right="-170" w:rightChars="-81" w:firstLine="1446" w:firstLineChars="600"/>
        <w:jc w:val="both"/>
        <w:textAlignment w:val="auto"/>
        <w:rPr>
          <w:rFonts w:ascii="仿宋_GB2312" w:hAnsi="华文楷体" w:eastAsia="仿宋_GB2312"/>
          <w:color w:val="FF0000"/>
          <w:sz w:val="28"/>
          <w:szCs w:val="28"/>
        </w:rPr>
      </w:pPr>
      <w:r>
        <w:rPr>
          <w:rFonts w:hint="eastAsia" w:ascii="仿宋_GB2312" w:hAnsi="华文楷体" w:eastAsia="仿宋_GB2312" w:cs="宋体"/>
          <w:b/>
          <w:bCs/>
          <w:kern w:val="0"/>
          <w:sz w:val="24"/>
        </w:rPr>
        <w:t>表</w:t>
      </w:r>
      <w:r>
        <w:rPr>
          <w:rFonts w:ascii="仿宋_GB2312" w:hAnsi="华文楷体" w:eastAsia="仿宋_GB2312" w:cs="宋体"/>
          <w:b/>
          <w:bCs/>
          <w:kern w:val="0"/>
          <w:sz w:val="24"/>
        </w:rPr>
        <w:t xml:space="preserve">3   </w:t>
      </w:r>
      <w:r>
        <w:rPr>
          <w:rFonts w:ascii="仿宋_GB2312" w:hAnsi="宋体" w:eastAsia="仿宋_GB2312" w:cs="宋体"/>
          <w:b/>
          <w:bCs/>
          <w:kern w:val="0"/>
          <w:sz w:val="2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年</w:t>
      </w: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10</w:t>
      </w:r>
      <w:r>
        <w:rPr>
          <w:rFonts w:hint="eastAsia" w:ascii="仿宋_GB2312" w:hAnsi="宋体" w:eastAsia="仿宋_GB2312" w:cs="宋体"/>
          <w:b/>
          <w:bCs/>
          <w:kern w:val="0"/>
          <w:sz w:val="24"/>
        </w:rPr>
        <w:t>月邵阳市城南公园人工湖水质状况</w:t>
      </w:r>
    </w:p>
    <w:tbl>
      <w:tblPr>
        <w:tblStyle w:val="6"/>
        <w:tblpPr w:leftFromText="180" w:rightFromText="180" w:vertAnchor="text" w:horzAnchor="margin" w:tblpXSpec="center" w:tblpY="94"/>
        <w:tblW w:w="1015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809"/>
        <w:gridCol w:w="711"/>
        <w:gridCol w:w="712"/>
        <w:gridCol w:w="714"/>
        <w:gridCol w:w="1203"/>
        <w:gridCol w:w="645"/>
        <w:gridCol w:w="630"/>
        <w:gridCol w:w="1035"/>
        <w:gridCol w:w="195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断面名称</w:t>
            </w:r>
          </w:p>
        </w:tc>
        <w:tc>
          <w:tcPr>
            <w:tcW w:w="8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240" w:lineRule="atLeast"/>
              <w:ind w:left="-250" w:leftChars="-119"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所在</w:t>
            </w:r>
          </w:p>
          <w:p>
            <w:pPr>
              <w:spacing w:beforeLines="50" w:afterLines="50" w:line="240" w:lineRule="atLeast"/>
              <w:ind w:left="-70" w:leftChars="-118" w:right="-176" w:rightChars="-84" w:hanging="178" w:hangingChars="85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城市</w:t>
            </w:r>
          </w:p>
        </w:tc>
        <w:tc>
          <w:tcPr>
            <w:tcW w:w="213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营养指数</w:t>
            </w:r>
          </w:p>
        </w:tc>
        <w:tc>
          <w:tcPr>
            <w:tcW w:w="120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 xml:space="preserve"> </w:t>
            </w:r>
            <w:r>
              <w:rPr>
                <w:rFonts w:hint="eastAsia" w:ascii="仿宋_GB2312" w:hAnsi="华文楷体" w:eastAsia="仿宋_GB2312"/>
                <w:szCs w:val="21"/>
              </w:rPr>
              <w:t>营养</w:t>
            </w:r>
          </w:p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 xml:space="preserve"> </w:t>
            </w:r>
            <w:r>
              <w:rPr>
                <w:rFonts w:hint="eastAsia" w:ascii="仿宋_GB2312" w:hAnsi="华文楷体" w:eastAsia="仿宋_GB2312"/>
                <w:szCs w:val="21"/>
              </w:rPr>
              <w:t>状态</w:t>
            </w:r>
          </w:p>
        </w:tc>
        <w:tc>
          <w:tcPr>
            <w:tcW w:w="231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水质类别</w:t>
            </w:r>
          </w:p>
        </w:tc>
        <w:tc>
          <w:tcPr>
            <w:tcW w:w="19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beforeLines="50" w:afterLines="50" w:line="24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本月超标项目</w:t>
            </w:r>
          </w:p>
          <w:p>
            <w:pPr>
              <w:widowControl/>
              <w:snapToGrid w:val="0"/>
              <w:spacing w:beforeLines="50" w:afterLines="50"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（超标倍数）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47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809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</w:t>
            </w:r>
          </w:p>
        </w:tc>
        <w:tc>
          <w:tcPr>
            <w:tcW w:w="712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上月</w:t>
            </w:r>
          </w:p>
        </w:tc>
        <w:tc>
          <w:tcPr>
            <w:tcW w:w="714" w:type="dxa"/>
            <w:vAlign w:val="center"/>
          </w:tcPr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上年</w:t>
            </w:r>
          </w:p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同期</w:t>
            </w:r>
          </w:p>
        </w:tc>
        <w:tc>
          <w:tcPr>
            <w:tcW w:w="1203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本月</w:t>
            </w:r>
          </w:p>
        </w:tc>
        <w:tc>
          <w:tcPr>
            <w:tcW w:w="630" w:type="dxa"/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上月</w:t>
            </w:r>
          </w:p>
        </w:tc>
        <w:tc>
          <w:tcPr>
            <w:tcW w:w="1035" w:type="dxa"/>
          </w:tcPr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上年</w:t>
            </w:r>
          </w:p>
          <w:p>
            <w:pPr>
              <w:spacing w:beforeLines="50" w:afterLines="50" w:line="240" w:lineRule="atLeas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同期</w:t>
            </w:r>
          </w:p>
        </w:tc>
        <w:tc>
          <w:tcPr>
            <w:tcW w:w="1951" w:type="dxa"/>
            <w:vMerge w:val="continue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747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城南公园人工湖</w:t>
            </w:r>
          </w:p>
        </w:tc>
        <w:tc>
          <w:tcPr>
            <w:tcW w:w="809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left="-67" w:leftChars="-32" w:right="-176" w:rightChars="-84"/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</w:tc>
        <w:tc>
          <w:tcPr>
            <w:tcW w:w="711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66.5</w:t>
            </w:r>
          </w:p>
        </w:tc>
        <w:tc>
          <w:tcPr>
            <w:tcW w:w="712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70.24</w:t>
            </w:r>
          </w:p>
        </w:tc>
        <w:tc>
          <w:tcPr>
            <w:tcW w:w="714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/>
              <w:jc w:val="center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57.62</w:t>
            </w:r>
          </w:p>
        </w:tc>
        <w:tc>
          <w:tcPr>
            <w:tcW w:w="1203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240" w:lineRule="exact"/>
              <w:ind w:right="-176" w:rightChars="-84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中度富</w:t>
            </w:r>
            <w:r>
              <w:rPr>
                <w:rFonts w:hint="eastAsia" w:ascii="仿宋_GB2312" w:hAnsi="华文楷体" w:eastAsia="仿宋_GB2312"/>
                <w:szCs w:val="21"/>
              </w:rPr>
              <w:t>营养</w:t>
            </w:r>
          </w:p>
        </w:tc>
        <w:tc>
          <w:tcPr>
            <w:tcW w:w="645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 w:firstLine="105" w:firstLineChars="50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Ⅲ类</w:t>
            </w:r>
          </w:p>
        </w:tc>
        <w:tc>
          <w:tcPr>
            <w:tcW w:w="630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 w:firstLine="105" w:firstLineChars="50"/>
              <w:rPr>
                <w:rFonts w:hint="eastAsia" w:ascii="仿宋_GB2312" w:hAnsi="华文楷体" w:eastAsia="仿宋_GB2312"/>
                <w:szCs w:val="21"/>
                <w:lang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eastAsia="zh-CN"/>
              </w:rPr>
              <w:t>Ⅱ类</w:t>
            </w:r>
          </w:p>
        </w:tc>
        <w:tc>
          <w:tcPr>
            <w:tcW w:w="1035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300" w:lineRule="exact"/>
              <w:ind w:right="-176" w:rightChars="-84" w:firstLine="172" w:firstLineChars="82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Ⅴ类</w:t>
            </w:r>
          </w:p>
        </w:tc>
        <w:tc>
          <w:tcPr>
            <w:tcW w:w="1951" w:type="dxa"/>
            <w:tcBorders>
              <w:bottom w:val="single" w:color="auto" w:sz="12" w:space="0"/>
            </w:tcBorders>
            <w:vAlign w:val="center"/>
          </w:tcPr>
          <w:p>
            <w:pPr>
              <w:spacing w:beforeLines="50" w:afterLines="50" w:line="160" w:lineRule="exact"/>
              <w:ind w:right="-176" w:rightChars="-84"/>
              <w:jc w:val="center"/>
              <w:rPr>
                <w:rFonts w:hint="default" w:ascii="仿宋_GB2312" w:hAnsi="华文楷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szCs w:val="21"/>
                <w:lang w:val="en-US" w:eastAsia="zh-CN"/>
              </w:rPr>
              <w:t>/</w:t>
            </w:r>
          </w:p>
        </w:tc>
      </w:tr>
    </w:tbl>
    <w:p>
      <w:pPr>
        <w:pStyle w:val="2"/>
        <w:spacing w:beforeLines="50" w:afterLines="50"/>
      </w:pPr>
      <w:bookmarkStart w:id="0" w:name="_Toc445285462"/>
      <w:r>
        <w:rPr>
          <w:rFonts w:hint="eastAsia"/>
        </w:rPr>
        <w:t>附</w:t>
      </w:r>
      <w:r>
        <w:t xml:space="preserve">  </w:t>
      </w:r>
      <w:r>
        <w:rPr>
          <w:rFonts w:hint="eastAsia"/>
        </w:rPr>
        <w:t>录</w:t>
      </w:r>
      <w:bookmarkEnd w:id="0"/>
    </w:p>
    <w:p>
      <w:pPr>
        <w:pStyle w:val="3"/>
        <w:spacing w:beforeLines="30" w:afterLines="30" w:line="500" w:lineRule="exact"/>
      </w:pPr>
      <w:bookmarkStart w:id="1" w:name="_Toc398298508"/>
      <w:bookmarkStart w:id="2" w:name="_Toc445285464"/>
      <w:bookmarkStart w:id="3" w:name="_Toc428266489"/>
      <w:r>
        <w:t>1</w:t>
      </w:r>
      <w:r>
        <w:rPr>
          <w:rFonts w:hint="eastAsia"/>
        </w:rPr>
        <w:t>、水质评价项目及标准</w:t>
      </w:r>
      <w:bookmarkEnd w:id="1"/>
      <w:bookmarkEnd w:id="2"/>
      <w:bookmarkEnd w:id="3"/>
    </w:p>
    <w:p>
      <w:pPr>
        <w:snapToGrid w:val="0"/>
        <w:spacing w:line="50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(1) </w:t>
      </w:r>
      <w:r>
        <w:rPr>
          <w:rFonts w:hint="eastAsia" w:eastAsia="楷体_GB2312"/>
          <w:b/>
          <w:sz w:val="28"/>
          <w:szCs w:val="28"/>
        </w:rPr>
        <w:t>评价项目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河流型地表水水质评价：《地表水环境质量标准》</w:t>
      </w:r>
      <w:r>
        <w:rPr>
          <w:rFonts w:eastAsia="楷体_GB2312"/>
          <w:sz w:val="28"/>
          <w:szCs w:val="28"/>
        </w:rPr>
        <w:t>(GB3838-2002)</w:t>
      </w: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所列除水温、总氮和粪大肠菌群以外的其他</w:t>
      </w:r>
      <w:r>
        <w:rPr>
          <w:rFonts w:eastAsia="楷体_GB2312"/>
          <w:sz w:val="28"/>
          <w:szCs w:val="28"/>
        </w:rPr>
        <w:t>21</w:t>
      </w:r>
      <w:r>
        <w:rPr>
          <w:rFonts w:hint="eastAsia" w:eastAsia="楷体_GB2312"/>
          <w:sz w:val="28"/>
          <w:szCs w:val="28"/>
        </w:rPr>
        <w:t>项指标，粪大肠菌群单独评价。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饮用水水源地水质评价：依据《全国集中式生活饮用水水源地水质监测实施方案》（环办函</w:t>
      </w:r>
      <w:r>
        <w:rPr>
          <w:rFonts w:eastAsia="楷体_GB2312"/>
          <w:sz w:val="28"/>
          <w:szCs w:val="28"/>
        </w:rPr>
        <w:t>[2012]1266</w:t>
      </w:r>
      <w:r>
        <w:rPr>
          <w:rFonts w:hint="eastAsia" w:eastAsia="楷体_GB2312"/>
          <w:sz w:val="28"/>
          <w:szCs w:val="28"/>
        </w:rPr>
        <w:t>号）的要求，集中式生活饮用水水源地</w:t>
      </w:r>
      <w:r>
        <w:rPr>
          <w:rFonts w:hint="eastAsia" w:eastAsia="楷体_GB2312"/>
          <w:color w:val="000000"/>
          <w:sz w:val="28"/>
        </w:rPr>
        <w:t>监测项目为《地表水环境质量标准》（</w:t>
      </w:r>
      <w:r>
        <w:rPr>
          <w:rFonts w:eastAsia="楷体_GB2312"/>
          <w:color w:val="000000"/>
          <w:sz w:val="28"/>
        </w:rPr>
        <w:t>GB3838-2002</w:t>
      </w:r>
      <w:r>
        <w:rPr>
          <w:rFonts w:hint="eastAsia" w:eastAsia="楷体_GB2312"/>
          <w:color w:val="000000"/>
          <w:sz w:val="28"/>
        </w:rPr>
        <w:t>）表</w:t>
      </w:r>
      <w:r>
        <w:rPr>
          <w:rFonts w:eastAsia="楷体_GB2312"/>
          <w:color w:val="000000"/>
          <w:sz w:val="28"/>
        </w:rPr>
        <w:t>1</w:t>
      </w:r>
      <w:r>
        <w:rPr>
          <w:rFonts w:hint="eastAsia" w:eastAsia="楷体_GB2312"/>
          <w:color w:val="000000"/>
          <w:sz w:val="28"/>
        </w:rPr>
        <w:t>的基本项目（</w:t>
      </w:r>
      <w:r>
        <w:rPr>
          <w:rFonts w:eastAsia="楷体_GB2312"/>
          <w:color w:val="000000"/>
          <w:sz w:val="28"/>
        </w:rPr>
        <w:t>23</w:t>
      </w:r>
      <w:r>
        <w:rPr>
          <w:rFonts w:hint="eastAsia" w:eastAsia="楷体_GB2312"/>
          <w:color w:val="000000"/>
          <w:sz w:val="28"/>
        </w:rPr>
        <w:t>项，化学需氧量除外）、表</w:t>
      </w:r>
      <w:r>
        <w:rPr>
          <w:rFonts w:eastAsia="楷体_GB2312"/>
          <w:color w:val="000000"/>
          <w:sz w:val="28"/>
        </w:rPr>
        <w:t>2</w:t>
      </w:r>
      <w:r>
        <w:rPr>
          <w:rFonts w:hint="eastAsia" w:eastAsia="楷体_GB2312"/>
          <w:color w:val="000000"/>
          <w:sz w:val="28"/>
        </w:rPr>
        <w:t>的补充项目（</w:t>
      </w:r>
      <w:r>
        <w:rPr>
          <w:rFonts w:eastAsia="楷体_GB2312"/>
          <w:color w:val="000000"/>
          <w:sz w:val="28"/>
        </w:rPr>
        <w:t>5</w:t>
      </w:r>
      <w:r>
        <w:rPr>
          <w:rFonts w:hint="eastAsia" w:eastAsia="楷体_GB2312"/>
          <w:color w:val="000000"/>
          <w:sz w:val="28"/>
        </w:rPr>
        <w:t>项）和表</w:t>
      </w:r>
      <w:r>
        <w:rPr>
          <w:rFonts w:eastAsia="楷体_GB2312"/>
          <w:color w:val="000000"/>
          <w:sz w:val="28"/>
        </w:rPr>
        <w:t>3</w:t>
      </w:r>
      <w:r>
        <w:rPr>
          <w:rFonts w:hint="eastAsia" w:eastAsia="楷体_GB2312"/>
          <w:color w:val="000000"/>
          <w:sz w:val="28"/>
        </w:rPr>
        <w:t>的优选特定项目（</w:t>
      </w:r>
      <w:r>
        <w:rPr>
          <w:rFonts w:eastAsia="楷体_GB2312"/>
          <w:color w:val="000000"/>
          <w:sz w:val="28"/>
        </w:rPr>
        <w:t>33</w:t>
      </w:r>
      <w:r>
        <w:rPr>
          <w:rFonts w:hint="eastAsia" w:eastAsia="楷体_GB2312"/>
          <w:color w:val="000000"/>
          <w:sz w:val="28"/>
        </w:rPr>
        <w:t>项），共</w:t>
      </w:r>
      <w:r>
        <w:rPr>
          <w:rFonts w:eastAsia="楷体_GB2312"/>
          <w:color w:val="000000"/>
          <w:sz w:val="28"/>
        </w:rPr>
        <w:t>61</w:t>
      </w:r>
      <w:r>
        <w:rPr>
          <w:rFonts w:hint="eastAsia" w:eastAsia="楷体_GB2312"/>
          <w:color w:val="000000"/>
          <w:sz w:val="28"/>
        </w:rPr>
        <w:t>项。评价项目为</w:t>
      </w:r>
      <w:r>
        <w:rPr>
          <w:rFonts w:hint="eastAsia" w:eastAsia="楷体_GB2312"/>
          <w:sz w:val="28"/>
          <w:szCs w:val="28"/>
        </w:rPr>
        <w:t>《地表水环境质量标准》</w:t>
      </w:r>
      <w:r>
        <w:rPr>
          <w:rFonts w:eastAsia="楷体_GB2312"/>
          <w:sz w:val="28"/>
          <w:szCs w:val="28"/>
        </w:rPr>
        <w:t>(GB3838-2002)</w:t>
      </w: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和表</w:t>
      </w:r>
      <w:r>
        <w:rPr>
          <w:rFonts w:eastAsia="楷体_GB2312"/>
          <w:sz w:val="28"/>
          <w:szCs w:val="28"/>
        </w:rPr>
        <w:t>2</w:t>
      </w:r>
      <w:r>
        <w:rPr>
          <w:rFonts w:hint="eastAsia" w:eastAsia="楷体_GB2312"/>
          <w:sz w:val="28"/>
          <w:szCs w:val="28"/>
        </w:rPr>
        <w:t>所列除水温、总氮和粪大肠菌群以外的其他指标，表</w:t>
      </w:r>
      <w:r>
        <w:rPr>
          <w:rFonts w:eastAsia="楷体_GB2312"/>
          <w:sz w:val="28"/>
          <w:szCs w:val="28"/>
        </w:rPr>
        <w:t>3</w:t>
      </w:r>
      <w:r>
        <w:rPr>
          <w:rFonts w:hint="eastAsia" w:eastAsia="楷体_GB2312"/>
          <w:sz w:val="28"/>
          <w:szCs w:val="28"/>
        </w:rPr>
        <w:t>的</w:t>
      </w:r>
      <w:r>
        <w:rPr>
          <w:rFonts w:hint="eastAsia" w:eastAsia="楷体_GB2312"/>
          <w:color w:val="000000"/>
          <w:sz w:val="28"/>
        </w:rPr>
        <w:t>优选特定项目（</w:t>
      </w:r>
      <w:r>
        <w:rPr>
          <w:rFonts w:eastAsia="楷体_GB2312"/>
          <w:color w:val="000000"/>
          <w:sz w:val="28"/>
        </w:rPr>
        <w:t>33</w:t>
      </w:r>
      <w:r>
        <w:rPr>
          <w:rFonts w:hint="eastAsia" w:eastAsia="楷体_GB2312"/>
          <w:color w:val="000000"/>
          <w:sz w:val="28"/>
        </w:rPr>
        <w:t>项），共</w:t>
      </w:r>
      <w:r>
        <w:rPr>
          <w:rFonts w:eastAsia="楷体_GB2312"/>
          <w:color w:val="000000"/>
          <w:sz w:val="28"/>
        </w:rPr>
        <w:t>58</w:t>
      </w:r>
      <w:r>
        <w:rPr>
          <w:rFonts w:hint="eastAsia" w:eastAsia="楷体_GB2312"/>
          <w:color w:val="000000"/>
          <w:sz w:val="28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湖泊评价：湖泊评价项目为《地表水环境质量标准》</w:t>
      </w:r>
      <w:r>
        <w:rPr>
          <w:rFonts w:eastAsia="楷体_GB2312"/>
          <w:sz w:val="28"/>
          <w:szCs w:val="28"/>
        </w:rPr>
        <w:t>(GB3838-2002)</w:t>
      </w:r>
      <w:r>
        <w:rPr>
          <w:rFonts w:hint="eastAsia" w:eastAsia="楷体_GB2312"/>
          <w:sz w:val="28"/>
          <w:szCs w:val="28"/>
        </w:rPr>
        <w:t>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除水温、总氮和粪大肠菌群以外的其他</w:t>
      </w:r>
      <w:r>
        <w:rPr>
          <w:rFonts w:eastAsia="楷体_GB2312"/>
          <w:sz w:val="28"/>
          <w:szCs w:val="28"/>
        </w:rPr>
        <w:t>21</w:t>
      </w:r>
      <w:r>
        <w:rPr>
          <w:rFonts w:hint="eastAsia" w:eastAsia="楷体_GB2312"/>
          <w:sz w:val="28"/>
          <w:szCs w:val="28"/>
        </w:rPr>
        <w:t>项指标，另外用总磷、总氮、叶绿素</w:t>
      </w:r>
      <w:r>
        <w:rPr>
          <w:rFonts w:eastAsia="楷体_GB2312"/>
          <w:sz w:val="28"/>
          <w:szCs w:val="28"/>
        </w:rPr>
        <w:t>a</w:t>
      </w:r>
      <w:r>
        <w:rPr>
          <w:rFonts w:hint="eastAsia" w:eastAsia="楷体_GB2312"/>
          <w:sz w:val="28"/>
          <w:szCs w:val="28"/>
        </w:rPr>
        <w:t>、高锰酸盐指数和透明度</w:t>
      </w:r>
      <w:r>
        <w:rPr>
          <w:rFonts w:eastAsia="楷体_GB2312"/>
          <w:sz w:val="28"/>
          <w:szCs w:val="28"/>
        </w:rPr>
        <w:t>5</w:t>
      </w:r>
      <w:r>
        <w:rPr>
          <w:rFonts w:hint="eastAsia" w:eastAsia="楷体_GB2312"/>
          <w:sz w:val="28"/>
          <w:szCs w:val="28"/>
        </w:rPr>
        <w:t>项指标，用于评价营养状态。总氮和粪大肠菌群单独评价。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7" w:firstLineChars="198"/>
        <w:textAlignment w:val="auto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(2) </w:t>
      </w:r>
      <w:r>
        <w:rPr>
          <w:rFonts w:hint="eastAsia" w:eastAsia="楷体_GB2312"/>
          <w:b/>
          <w:sz w:val="28"/>
          <w:szCs w:val="28"/>
        </w:rPr>
        <w:t>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从</w:t>
      </w:r>
      <w:r>
        <w:rPr>
          <w:rFonts w:eastAsia="楷体_GB2312"/>
          <w:sz w:val="28"/>
          <w:szCs w:val="28"/>
        </w:rPr>
        <w:t>2012</w:t>
      </w:r>
      <w:r>
        <w:rPr>
          <w:rFonts w:hint="eastAsia" w:eastAsia="楷体_GB2312"/>
          <w:sz w:val="28"/>
          <w:szCs w:val="28"/>
        </w:rPr>
        <w:t>年</w:t>
      </w:r>
      <w:r>
        <w:rPr>
          <w:rFonts w:eastAsia="楷体_GB2312"/>
          <w:sz w:val="28"/>
          <w:szCs w:val="28"/>
        </w:rPr>
        <w:t>6</w:t>
      </w:r>
      <w:r>
        <w:rPr>
          <w:rFonts w:hint="eastAsia" w:eastAsia="楷体_GB2312"/>
          <w:sz w:val="28"/>
          <w:szCs w:val="28"/>
        </w:rPr>
        <w:t>月开始，地表水水质评价不再执行《地表水环境质量标准（</w:t>
      </w:r>
      <w:r>
        <w:rPr>
          <w:rFonts w:eastAsia="楷体_GB2312"/>
          <w:sz w:val="28"/>
          <w:szCs w:val="28"/>
        </w:rPr>
        <w:t>GB3838-2002</w:t>
      </w:r>
      <w:r>
        <w:rPr>
          <w:rFonts w:hint="eastAsia" w:eastAsia="楷体_GB2312"/>
          <w:sz w:val="28"/>
          <w:szCs w:val="28"/>
        </w:rPr>
        <w:t>）》中相应功能区标准，而按</w:t>
      </w:r>
      <w:r>
        <w:rPr>
          <w:rFonts w:hint="eastAsia" w:ascii="宋体" w:hAnsi="宋体" w:cs="宋体"/>
          <w:sz w:val="28"/>
          <w:szCs w:val="28"/>
        </w:rPr>
        <w:t>Ⅰ</w:t>
      </w:r>
      <w:r>
        <w:rPr>
          <w:rFonts w:hint="eastAsia" w:eastAsia="楷体_GB2312"/>
          <w:sz w:val="28"/>
          <w:szCs w:val="28"/>
        </w:rPr>
        <w:t>类～劣</w:t>
      </w:r>
      <w:r>
        <w:rPr>
          <w:rFonts w:hint="eastAsia" w:ascii="宋体" w:hAnsi="宋体" w:cs="宋体"/>
          <w:sz w:val="28"/>
          <w:szCs w:val="28"/>
        </w:rPr>
        <w:t>Ⅴ</w:t>
      </w:r>
      <w:r>
        <w:rPr>
          <w:rFonts w:hint="eastAsia" w:eastAsia="楷体_GB2312"/>
          <w:sz w:val="28"/>
          <w:szCs w:val="28"/>
        </w:rPr>
        <w:t>类六个类别进行评价。当断面水质超过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hint="eastAsia" w:eastAsia="楷体_GB2312"/>
          <w:sz w:val="28"/>
          <w:szCs w:val="28"/>
        </w:rPr>
        <w:t>类标准时，应计算指标浓度超过</w:t>
      </w:r>
      <w:r>
        <w:rPr>
          <w:rFonts w:hint="eastAsia" w:ascii="宋体" w:hAnsi="宋体" w:cs="宋体"/>
          <w:sz w:val="28"/>
          <w:szCs w:val="28"/>
        </w:rPr>
        <w:t>Ⅲ</w:t>
      </w:r>
      <w:r>
        <w:rPr>
          <w:rFonts w:hint="eastAsia" w:eastAsia="楷体_GB2312"/>
          <w:sz w:val="28"/>
          <w:szCs w:val="28"/>
        </w:rPr>
        <w:t>类水质标准的倍数，即超标倍数。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35" w:firstLineChars="197"/>
        <w:textAlignment w:val="auto"/>
        <w:rPr>
          <w:rFonts w:eastAsia="楷体_GB2312"/>
          <w:color w:val="000000"/>
          <w:spacing w:val="-4"/>
          <w:sz w:val="28"/>
        </w:rPr>
      </w:pPr>
      <w:r>
        <w:rPr>
          <w:rFonts w:hint="eastAsia" w:eastAsia="楷体_GB2312"/>
          <w:spacing w:val="-4"/>
          <w:sz w:val="28"/>
          <w:szCs w:val="28"/>
        </w:rPr>
        <w:t>饮用水水源地水质</w:t>
      </w:r>
      <w:r>
        <w:rPr>
          <w:rFonts w:hint="eastAsia" w:eastAsia="楷体_GB2312"/>
          <w:color w:val="000000"/>
          <w:spacing w:val="-4"/>
          <w:sz w:val="28"/>
        </w:rPr>
        <w:t>根据《地表水环境质量标准》（</w:t>
      </w:r>
      <w:r>
        <w:rPr>
          <w:rFonts w:eastAsia="楷体_GB2312"/>
          <w:color w:val="000000"/>
          <w:spacing w:val="-4"/>
          <w:sz w:val="28"/>
        </w:rPr>
        <w:t>GB3838-2002</w:t>
      </w:r>
      <w:r>
        <w:rPr>
          <w:rFonts w:hint="eastAsia" w:eastAsia="楷体_GB2312"/>
          <w:color w:val="000000"/>
          <w:spacing w:val="-4"/>
          <w:sz w:val="28"/>
        </w:rPr>
        <w:t>）进行评价。基本项目按照《地表水环境质量评价方法（试行）》（环办</w:t>
      </w:r>
      <w:r>
        <w:rPr>
          <w:rFonts w:eastAsia="楷体_GB2312"/>
          <w:color w:val="000000"/>
          <w:spacing w:val="-4"/>
          <w:sz w:val="28"/>
        </w:rPr>
        <w:t>[2011]22</w:t>
      </w:r>
      <w:r>
        <w:rPr>
          <w:rFonts w:hint="eastAsia" w:eastAsia="楷体_GB2312"/>
          <w:color w:val="000000"/>
          <w:spacing w:val="-4"/>
          <w:sz w:val="28"/>
        </w:rPr>
        <w:t>号）进行评价</w:t>
      </w:r>
      <w:r>
        <w:rPr>
          <w:rFonts w:hint="eastAsia" w:eastAsia="楷体_GB2312"/>
          <w:spacing w:val="-4"/>
          <w:sz w:val="28"/>
          <w:szCs w:val="28"/>
        </w:rPr>
        <w:t>。</w:t>
      </w:r>
      <w:r>
        <w:rPr>
          <w:rFonts w:hint="eastAsia" w:eastAsia="楷体_GB2312"/>
          <w:color w:val="000000"/>
          <w:spacing w:val="-4"/>
          <w:sz w:val="28"/>
        </w:rPr>
        <w:t>补充项目、特定项目采用单因子评价法进行评价。</w:t>
      </w:r>
    </w:p>
    <w:p>
      <w:pPr>
        <w:pStyle w:val="3"/>
        <w:spacing w:beforeLines="30" w:afterLines="30" w:line="440" w:lineRule="exact"/>
      </w:pPr>
      <w:bookmarkStart w:id="4" w:name="_Toc428266490"/>
      <w:bookmarkStart w:id="5" w:name="_Toc445285465"/>
      <w:bookmarkStart w:id="6" w:name="_Toc398298509"/>
      <w:r>
        <w:t>2</w:t>
      </w:r>
      <w:r>
        <w:rPr>
          <w:rFonts w:hint="eastAsia"/>
        </w:rPr>
        <w:t>、水环境质量定性评价方法</w:t>
      </w:r>
      <w:bookmarkEnd w:id="4"/>
      <w:bookmarkEnd w:id="5"/>
      <w:bookmarkEnd w:id="6"/>
    </w:p>
    <w:p>
      <w:pPr>
        <w:snapToGrid w:val="0"/>
        <w:spacing w:line="440" w:lineRule="exact"/>
        <w:ind w:firstLine="562" w:firstLineChars="20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(1) </w:t>
      </w:r>
      <w:r>
        <w:rPr>
          <w:rFonts w:hint="eastAsia" w:eastAsia="楷体_GB2312"/>
          <w:b/>
          <w:sz w:val="28"/>
          <w:szCs w:val="28"/>
        </w:rPr>
        <w:t>地表水环境质量定性评价方法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551" w:firstLineChars="197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地表水环境质量分为：优、良好、轻度污染、中度污染、重度污染五个等级。</w:t>
      </w:r>
    </w:p>
    <w:p>
      <w:pPr>
        <w:snapToGrid w:val="0"/>
        <w:spacing w:line="360" w:lineRule="exact"/>
        <w:ind w:firstLine="551" w:firstLineChars="197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断面、河段水质类别与水质定性评价分级的对应关系见附表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eastAsia="楷体_GB2312"/>
          <w:b/>
          <w:kern w:val="0"/>
          <w:sz w:val="24"/>
        </w:rPr>
      </w:pPr>
      <w:r>
        <w:rPr>
          <w:rFonts w:hint="eastAsia" w:eastAsia="楷体_GB2312"/>
          <w:b/>
          <w:kern w:val="0"/>
          <w:sz w:val="24"/>
        </w:rPr>
        <w:t>附表</w:t>
      </w:r>
      <w:r>
        <w:rPr>
          <w:rFonts w:eastAsia="楷体_GB2312"/>
          <w:b/>
          <w:bCs/>
          <w:kern w:val="0"/>
          <w:sz w:val="24"/>
        </w:rPr>
        <w:t xml:space="preserve">1  </w:t>
      </w:r>
      <w:r>
        <w:rPr>
          <w:rFonts w:hint="eastAsia" w:eastAsia="楷体_GB2312"/>
          <w:b/>
          <w:kern w:val="0"/>
          <w:sz w:val="24"/>
        </w:rPr>
        <w:t>断面、河段水质定性评价</w:t>
      </w:r>
    </w:p>
    <w:tbl>
      <w:tblPr>
        <w:tblStyle w:val="6"/>
        <w:tblW w:w="758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37"/>
        <w:gridCol w:w="472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8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</w:rPr>
              <w:t>水质类别</w:t>
            </w:r>
          </w:p>
        </w:tc>
        <w:tc>
          <w:tcPr>
            <w:tcW w:w="1237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</w:rPr>
              <w:t>水质状况</w:t>
            </w:r>
          </w:p>
        </w:tc>
        <w:tc>
          <w:tcPr>
            <w:tcW w:w="4727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</w:rPr>
              <w:t>水质功能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18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Ⅱ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饮用水源一级保护区、珍稀水生生物栖息地、鱼虾类产卵场、仔稚幼鱼的索饵场等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18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饮用水源二级保护区、鱼虾类越冬场、洄游通道、水产养殖区、游泳区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18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Ⅳ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轻度污染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一般工业用水和人体非直接接触的娱乐用水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18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中度污染</w:t>
            </w:r>
          </w:p>
        </w:tc>
        <w:tc>
          <w:tcPr>
            <w:tcW w:w="4727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农业用水及一般景观用水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618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类水质</w:t>
            </w:r>
          </w:p>
        </w:tc>
        <w:tc>
          <w:tcPr>
            <w:tcW w:w="1237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重度污染</w:t>
            </w:r>
          </w:p>
        </w:tc>
        <w:tc>
          <w:tcPr>
            <w:tcW w:w="4727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除调节局部气候外，几乎无使用功能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36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pacing w:val="-6"/>
          <w:sz w:val="28"/>
          <w:szCs w:val="28"/>
        </w:rPr>
        <w:t>河流、水系水质类别比例与水质定性评价分级的对应关系见附表</w:t>
      </w:r>
      <w:r>
        <w:rPr>
          <w:rFonts w:eastAsia="楷体_GB2312"/>
          <w:spacing w:val="-6"/>
          <w:sz w:val="28"/>
          <w:szCs w:val="28"/>
        </w:rPr>
        <w:t>2</w:t>
      </w:r>
      <w:r>
        <w:rPr>
          <w:rFonts w:hint="eastAsia" w:eastAsia="楷体_GB2312"/>
          <w:spacing w:val="-6"/>
          <w:sz w:val="28"/>
          <w:szCs w:val="28"/>
        </w:rPr>
        <w:t>。</w:t>
      </w:r>
      <w:r>
        <w:rPr>
          <w:rFonts w:hint="eastAsia" w:eastAsia="楷体_GB2312"/>
          <w:sz w:val="28"/>
          <w:szCs w:val="28"/>
        </w:rPr>
        <w:t>对于断面数少于</w:t>
      </w:r>
      <w:r>
        <w:rPr>
          <w:rFonts w:eastAsia="楷体_GB2312"/>
          <w:sz w:val="28"/>
          <w:szCs w:val="28"/>
        </w:rPr>
        <w:t>5</w:t>
      </w:r>
      <w:r>
        <w:rPr>
          <w:rFonts w:hint="eastAsia" w:eastAsia="楷体_GB2312"/>
          <w:sz w:val="28"/>
          <w:szCs w:val="28"/>
        </w:rPr>
        <w:t>个的河流、水系，按附表</w:t>
      </w:r>
      <w:r>
        <w:rPr>
          <w:rFonts w:eastAsia="楷体_GB2312"/>
          <w:sz w:val="28"/>
          <w:szCs w:val="28"/>
        </w:rPr>
        <w:t>1</w:t>
      </w:r>
      <w:r>
        <w:rPr>
          <w:rFonts w:hint="eastAsia" w:eastAsia="楷体_GB2312"/>
          <w:sz w:val="28"/>
          <w:szCs w:val="28"/>
        </w:rPr>
        <w:t>直接指出每个断面的水质状况。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eastAsia="楷体_GB2312"/>
          <w:b/>
          <w:kern w:val="0"/>
          <w:sz w:val="24"/>
        </w:rPr>
      </w:pPr>
      <w:r>
        <w:rPr>
          <w:rFonts w:hint="eastAsia" w:eastAsia="楷体_GB2312"/>
          <w:b/>
          <w:kern w:val="0"/>
          <w:sz w:val="24"/>
        </w:rPr>
        <w:t>附表</w:t>
      </w:r>
      <w:r>
        <w:rPr>
          <w:rFonts w:eastAsia="楷体_GB2312"/>
          <w:b/>
          <w:kern w:val="0"/>
          <w:sz w:val="24"/>
        </w:rPr>
        <w:t xml:space="preserve">2  </w:t>
      </w:r>
      <w:r>
        <w:rPr>
          <w:rFonts w:hint="eastAsia" w:eastAsia="楷体_GB2312"/>
          <w:b/>
          <w:kern w:val="0"/>
          <w:sz w:val="24"/>
        </w:rPr>
        <w:t>河流、水系水质定性评价</w:t>
      </w:r>
    </w:p>
    <w:tbl>
      <w:tblPr>
        <w:tblStyle w:val="6"/>
        <w:tblW w:w="733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3"/>
        <w:gridCol w:w="134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3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水质类别比例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shd w:val="clear" w:color="auto" w:fill="00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水质状况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</w:t>
            </w:r>
            <w:r>
              <w:rPr>
                <w:rFonts w:eastAsia="仿宋_GB2312"/>
                <w:kern w:val="0"/>
                <w:szCs w:val="21"/>
              </w:rPr>
              <w:t>≥90%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75%≤</w:t>
            </w: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90%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良好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75%</w:t>
            </w:r>
            <w:r>
              <w:rPr>
                <w:rFonts w:hint="eastAsia" w:eastAsia="仿宋_GB2312"/>
                <w:kern w:val="0"/>
                <w:szCs w:val="21"/>
              </w:rPr>
              <w:t>，且劣</w:t>
            </w:r>
            <w:r>
              <w:rPr>
                <w:rFonts w:hint="eastAsia" w:ascii="宋体" w:hAnsi="宋体" w:cs="宋体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kern w:val="0"/>
                <w:szCs w:val="21"/>
              </w:rPr>
              <w:t>类比例＜</w:t>
            </w:r>
            <w:r>
              <w:rPr>
                <w:rFonts w:eastAsia="仿宋_GB2312"/>
                <w:kern w:val="0"/>
                <w:szCs w:val="21"/>
              </w:rPr>
              <w:t>20%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轻度污染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5993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75%</w:t>
            </w:r>
            <w:r>
              <w:rPr>
                <w:rFonts w:hint="eastAsia" w:eastAsia="仿宋_GB2312"/>
                <w:kern w:val="0"/>
                <w:szCs w:val="21"/>
              </w:rPr>
              <w:t>，且</w:t>
            </w:r>
            <w:r>
              <w:rPr>
                <w:rFonts w:eastAsia="仿宋_GB2312"/>
                <w:kern w:val="0"/>
                <w:szCs w:val="21"/>
              </w:rPr>
              <w:t>20%≤</w:t>
            </w:r>
            <w:r>
              <w:rPr>
                <w:rFonts w:hint="eastAsia" w:eastAsia="仿宋_GB2312"/>
                <w:kern w:val="0"/>
                <w:szCs w:val="21"/>
              </w:rPr>
              <w:t>劣</w:t>
            </w:r>
            <w:r>
              <w:rPr>
                <w:rFonts w:hint="eastAsia" w:ascii="宋体" w:hAnsi="宋体" w:cs="宋体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kern w:val="0"/>
                <w:szCs w:val="21"/>
              </w:rPr>
              <w:t>类比例＜</w:t>
            </w:r>
            <w:r>
              <w:rPr>
                <w:rFonts w:eastAsia="仿宋_GB2312"/>
                <w:kern w:val="0"/>
                <w:szCs w:val="21"/>
              </w:rPr>
              <w:t>40%</w:t>
            </w:r>
          </w:p>
        </w:tc>
        <w:tc>
          <w:tcPr>
            <w:tcW w:w="1344" w:type="dxa"/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中度污染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3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  <w:r>
              <w:rPr>
                <w:rFonts w:hint="eastAsia" w:eastAsia="仿宋_GB2312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  <w:r>
              <w:rPr>
                <w:rFonts w:hint="eastAsia" w:eastAsia="仿宋_GB2312"/>
                <w:kern w:val="0"/>
                <w:szCs w:val="21"/>
              </w:rPr>
              <w:t>类水质比例＜</w:t>
            </w:r>
            <w:r>
              <w:rPr>
                <w:rFonts w:eastAsia="仿宋_GB2312"/>
                <w:kern w:val="0"/>
                <w:szCs w:val="21"/>
              </w:rPr>
              <w:t>60%</w:t>
            </w:r>
            <w:r>
              <w:rPr>
                <w:rFonts w:hint="eastAsia" w:eastAsia="仿宋_GB2312"/>
                <w:kern w:val="0"/>
                <w:szCs w:val="21"/>
              </w:rPr>
              <w:t>，且劣</w:t>
            </w:r>
            <w:r>
              <w:rPr>
                <w:rFonts w:hint="eastAsia" w:ascii="宋体" w:hAnsi="宋体" w:cs="宋体"/>
                <w:kern w:val="0"/>
                <w:szCs w:val="21"/>
              </w:rPr>
              <w:t>Ⅴ</w:t>
            </w:r>
            <w:r>
              <w:rPr>
                <w:rFonts w:hint="eastAsia" w:eastAsia="仿宋_GB2312"/>
                <w:kern w:val="0"/>
                <w:szCs w:val="21"/>
              </w:rPr>
              <w:t>类比例</w:t>
            </w:r>
            <w:r>
              <w:rPr>
                <w:rFonts w:eastAsia="仿宋_GB2312"/>
                <w:kern w:val="0"/>
                <w:szCs w:val="21"/>
              </w:rPr>
              <w:t>≥40%</w:t>
            </w:r>
          </w:p>
        </w:tc>
        <w:tc>
          <w:tcPr>
            <w:tcW w:w="1344" w:type="dxa"/>
            <w:tcBorders>
              <w:bottom w:val="single" w:color="auto" w:sz="12" w:space="0"/>
            </w:tcBorders>
            <w:shd w:val="clear" w:color="auto" w:fill="CCFFFF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重度污染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地表水环境质量定性评价方法执行中国环境监测总站（总站综字</w:t>
      </w:r>
      <w:r>
        <w:rPr>
          <w:rFonts w:eastAsia="楷体_GB2312"/>
          <w:sz w:val="28"/>
          <w:szCs w:val="28"/>
        </w:rPr>
        <w:t>[2004]72</w:t>
      </w:r>
      <w:r>
        <w:rPr>
          <w:rFonts w:hint="eastAsia" w:eastAsia="楷体_GB2312"/>
          <w:sz w:val="28"/>
          <w:szCs w:val="28"/>
        </w:rPr>
        <w:t>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562" w:firstLineChars="200"/>
        <w:textAlignment w:val="auto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(2) </w:t>
      </w:r>
      <w:r>
        <w:rPr>
          <w:rFonts w:hint="eastAsia" w:eastAsia="楷体_GB2312"/>
          <w:b/>
          <w:sz w:val="28"/>
          <w:szCs w:val="28"/>
        </w:rPr>
        <w:t>湖泊、水库富营养化评价方法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44" w:firstLineChars="200"/>
        <w:textAlignment w:val="auto"/>
        <w:rPr>
          <w:rFonts w:eastAsia="楷体_GB2312"/>
          <w:spacing w:val="-4"/>
          <w:sz w:val="28"/>
          <w:szCs w:val="28"/>
        </w:rPr>
      </w:pPr>
      <w:r>
        <w:rPr>
          <w:rFonts w:hint="eastAsia" w:eastAsia="楷体_GB2312"/>
          <w:spacing w:val="-4"/>
          <w:sz w:val="28"/>
          <w:szCs w:val="28"/>
        </w:rPr>
        <w:t>根据营养状态指数（</w:t>
      </w:r>
      <w:r>
        <w:rPr>
          <w:rFonts w:eastAsia="楷体_GB2312"/>
          <w:spacing w:val="-4"/>
          <w:sz w:val="28"/>
          <w:szCs w:val="28"/>
        </w:rPr>
        <w:t>TLI</w:t>
      </w:r>
      <w:r>
        <w:rPr>
          <w:rFonts w:hint="eastAsia" w:eastAsia="楷体_GB2312"/>
          <w:spacing w:val="-4"/>
          <w:sz w:val="28"/>
          <w:szCs w:val="28"/>
        </w:rPr>
        <w:t>）的计算结果对湖泊营养状态进行分级如下：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）＜</w:t>
      </w:r>
      <w:r>
        <w:rPr>
          <w:rFonts w:eastAsia="楷体_GB2312"/>
          <w:sz w:val="28"/>
          <w:szCs w:val="28"/>
        </w:rPr>
        <w:t>30</w:t>
      </w:r>
      <w:r>
        <w:rPr>
          <w:rFonts w:hint="eastAsia" w:eastAsia="楷体_GB2312"/>
          <w:sz w:val="28"/>
          <w:szCs w:val="28"/>
        </w:rPr>
        <w:t>贫营养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3</w:t>
      </w:r>
      <w:r>
        <w:rPr>
          <w:rFonts w:ascii="楷体_GB2312" w:eastAsia="楷体_GB2312"/>
          <w:sz w:val="28"/>
          <w:szCs w:val="28"/>
        </w:rPr>
        <w:t>0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50</w:t>
      </w:r>
      <w:r>
        <w:rPr>
          <w:rFonts w:hint="eastAsia" w:eastAsia="楷体_GB2312"/>
          <w:sz w:val="28"/>
          <w:szCs w:val="28"/>
        </w:rPr>
        <w:t>中营养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）＞</w:t>
      </w:r>
      <w:r>
        <w:rPr>
          <w:rFonts w:eastAsia="楷体_GB2312"/>
          <w:sz w:val="28"/>
          <w:szCs w:val="28"/>
        </w:rPr>
        <w:t>50</w:t>
      </w:r>
      <w:r>
        <w:rPr>
          <w:rFonts w:hint="eastAsia" w:eastAsia="楷体_GB2312"/>
          <w:sz w:val="28"/>
          <w:szCs w:val="28"/>
        </w:rPr>
        <w:t>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50</w:t>
      </w:r>
      <w:r>
        <w:rPr>
          <w:rFonts w:hint="eastAsia" w:eastAsia="楷体_GB2312"/>
          <w:sz w:val="28"/>
          <w:szCs w:val="28"/>
        </w:rPr>
        <w:t>＜</w:t>
      </w: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60</w:t>
      </w:r>
      <w:r>
        <w:rPr>
          <w:rFonts w:hint="eastAsia" w:eastAsia="楷体_GB2312"/>
          <w:sz w:val="28"/>
          <w:szCs w:val="28"/>
        </w:rPr>
        <w:t>轻度富营养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60</w:t>
      </w:r>
      <w:r>
        <w:rPr>
          <w:rFonts w:hint="eastAsia" w:eastAsia="楷体_GB2312"/>
          <w:sz w:val="28"/>
          <w:szCs w:val="28"/>
        </w:rPr>
        <w:t>＜</w:t>
      </w: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</w:t>
      </w:r>
      <w:r>
        <w:rPr>
          <w:rFonts w:hint="eastAsia" w:ascii="楷体_GB2312" w:eastAsia="楷体_GB2312"/>
          <w:sz w:val="28"/>
          <w:szCs w:val="28"/>
        </w:rPr>
        <w:t>≤</w:t>
      </w:r>
      <w:r>
        <w:rPr>
          <w:rFonts w:eastAsia="楷体_GB2312"/>
          <w:sz w:val="28"/>
          <w:szCs w:val="28"/>
        </w:rPr>
        <w:t>70</w:t>
      </w:r>
      <w:r>
        <w:rPr>
          <w:rFonts w:hint="eastAsia" w:eastAsia="楷体_GB2312"/>
          <w:sz w:val="28"/>
          <w:szCs w:val="28"/>
        </w:rPr>
        <w:t>中度富营养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TLI</w:t>
      </w:r>
      <w:r>
        <w:rPr>
          <w:rFonts w:hint="eastAsia" w:eastAsia="楷体_GB2312"/>
          <w:sz w:val="28"/>
          <w:szCs w:val="28"/>
        </w:rPr>
        <w:t>（</w:t>
      </w:r>
      <w:r>
        <w:rPr>
          <w:rFonts w:eastAsia="楷体_GB2312"/>
          <w:sz w:val="28"/>
          <w:szCs w:val="28"/>
        </w:rPr>
        <w:t>Σ</w:t>
      </w:r>
      <w:r>
        <w:rPr>
          <w:rFonts w:hint="eastAsia" w:eastAsia="楷体_GB2312"/>
          <w:sz w:val="28"/>
          <w:szCs w:val="28"/>
        </w:rPr>
        <w:t>）＞</w:t>
      </w:r>
      <w:r>
        <w:rPr>
          <w:rFonts w:eastAsia="楷体_GB2312"/>
          <w:sz w:val="28"/>
          <w:szCs w:val="28"/>
        </w:rPr>
        <w:t>70</w:t>
      </w:r>
      <w:r>
        <w:rPr>
          <w:rFonts w:hint="eastAsia" w:eastAsia="楷体_GB2312"/>
          <w:sz w:val="28"/>
          <w:szCs w:val="28"/>
        </w:rPr>
        <w:t>重度富营养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560" w:firstLineChars="200"/>
        <w:textAlignment w:val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营养状态指数的计算方法见中国环境监测总站（总站生字</w:t>
      </w:r>
      <w:r>
        <w:rPr>
          <w:rFonts w:eastAsia="楷体_GB2312"/>
          <w:sz w:val="28"/>
          <w:szCs w:val="28"/>
        </w:rPr>
        <w:t>[2001]090</w:t>
      </w:r>
      <w:r>
        <w:rPr>
          <w:rFonts w:hint="eastAsia" w:eastAsia="楷体_GB2312"/>
          <w:sz w:val="28"/>
          <w:szCs w:val="28"/>
        </w:rPr>
        <w:t>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151" w:firstLineChars="50"/>
        <w:textAlignment w:val="auto"/>
        <w:rPr>
          <w:rFonts w:ascii="仿宋_GB2312" w:hAnsi="华文楷体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firstLine="151" w:firstLineChars="50"/>
        <w:textAlignment w:val="auto"/>
        <w:rPr>
          <w:rFonts w:ascii="仿宋_GB2312" w:hAnsi="华文楷体" w:eastAsia="仿宋_GB2312"/>
          <w:b/>
          <w:sz w:val="30"/>
          <w:szCs w:val="30"/>
        </w:rPr>
      </w:pP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编　　写：向红丽</w:t>
      </w: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审　　核：简红霞</w:t>
      </w:r>
      <w:r>
        <w:rPr>
          <w:rFonts w:ascii="仿宋_GB2312" w:hAnsi="华文楷体" w:eastAsia="仿宋_GB2312"/>
          <w:b/>
          <w:sz w:val="30"/>
          <w:szCs w:val="30"/>
        </w:rPr>
        <w:t xml:space="preserve">  </w:t>
      </w:r>
      <w:r>
        <w:rPr>
          <w:rFonts w:hint="eastAsia" w:ascii="仿宋_GB2312" w:hAnsi="华文楷体" w:eastAsia="仿宋_GB2312"/>
          <w:b/>
          <w:sz w:val="30"/>
          <w:szCs w:val="30"/>
        </w:rPr>
        <w:t>　　　　</w:t>
      </w:r>
    </w:p>
    <w:p>
      <w:pPr>
        <w:ind w:firstLine="151" w:firstLineChars="50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审　　定：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王晚英</w:t>
      </w:r>
      <w:r>
        <w:rPr>
          <w:rFonts w:hint="eastAsia" w:ascii="仿宋_GB2312" w:hAnsi="华文楷体" w:eastAsia="仿宋_GB2312"/>
          <w:sz w:val="30"/>
          <w:szCs w:val="30"/>
        </w:rPr>
        <w:t>　</w:t>
      </w:r>
    </w:p>
    <w:p>
      <w:pPr>
        <w:ind w:firstLine="151" w:firstLineChars="50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签　　发：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朱鸿毅</w:t>
      </w:r>
      <w:r>
        <w:rPr>
          <w:rFonts w:hint="eastAsia" w:ascii="仿宋_GB2312" w:hAnsi="华文楷体" w:eastAsia="仿宋_GB2312"/>
          <w:sz w:val="30"/>
          <w:szCs w:val="30"/>
        </w:rPr>
        <w:t>　　　　　　　</w:t>
      </w: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编写日期：</w:t>
      </w:r>
      <w:r>
        <w:rPr>
          <w:rFonts w:ascii="仿宋_GB2312" w:hAnsi="华文楷体" w:eastAsia="仿宋_GB2312"/>
          <w:b/>
          <w:sz w:val="30"/>
          <w:szCs w:val="30"/>
        </w:rPr>
        <w:t>20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20</w:t>
      </w:r>
      <w:r>
        <w:rPr>
          <w:rFonts w:hint="eastAsia" w:ascii="仿宋_GB2312" w:hAnsi="华文楷体" w:eastAsia="仿宋_GB2312"/>
          <w:b/>
          <w:sz w:val="30"/>
          <w:szCs w:val="30"/>
        </w:rPr>
        <w:t>年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11</w:t>
      </w:r>
      <w:r>
        <w:rPr>
          <w:rFonts w:hint="eastAsia" w:ascii="仿宋_GB2312" w:hAnsi="华文楷体" w:eastAsia="仿宋_GB2312"/>
          <w:b/>
          <w:sz w:val="30"/>
          <w:szCs w:val="30"/>
        </w:rPr>
        <w:t>月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12</w:t>
      </w:r>
      <w:r>
        <w:rPr>
          <w:rFonts w:hint="eastAsia" w:ascii="仿宋_GB2312" w:hAnsi="华文楷体" w:eastAsia="仿宋_GB2312"/>
          <w:b/>
          <w:sz w:val="30"/>
          <w:szCs w:val="30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02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471E"/>
    <w:rsid w:val="00EF7C50"/>
    <w:rsid w:val="00FC328F"/>
    <w:rsid w:val="013349DD"/>
    <w:rsid w:val="015A295D"/>
    <w:rsid w:val="019D3A50"/>
    <w:rsid w:val="01A56FF6"/>
    <w:rsid w:val="01C65DC3"/>
    <w:rsid w:val="01C92429"/>
    <w:rsid w:val="01E43C96"/>
    <w:rsid w:val="02842B5C"/>
    <w:rsid w:val="02DB1315"/>
    <w:rsid w:val="02F9682F"/>
    <w:rsid w:val="030619C2"/>
    <w:rsid w:val="031A749C"/>
    <w:rsid w:val="03602E82"/>
    <w:rsid w:val="037C4C32"/>
    <w:rsid w:val="039936EF"/>
    <w:rsid w:val="04A62314"/>
    <w:rsid w:val="0550554A"/>
    <w:rsid w:val="055479C4"/>
    <w:rsid w:val="05AD26D2"/>
    <w:rsid w:val="05F17DF8"/>
    <w:rsid w:val="05F6359C"/>
    <w:rsid w:val="060028C6"/>
    <w:rsid w:val="06120DDE"/>
    <w:rsid w:val="06776FE5"/>
    <w:rsid w:val="06796DAC"/>
    <w:rsid w:val="06F47B69"/>
    <w:rsid w:val="07032285"/>
    <w:rsid w:val="071613D0"/>
    <w:rsid w:val="072B45F8"/>
    <w:rsid w:val="076C319C"/>
    <w:rsid w:val="07981E38"/>
    <w:rsid w:val="08126396"/>
    <w:rsid w:val="083D747A"/>
    <w:rsid w:val="084779E1"/>
    <w:rsid w:val="084F2CCC"/>
    <w:rsid w:val="085A1D76"/>
    <w:rsid w:val="087722D6"/>
    <w:rsid w:val="08965A02"/>
    <w:rsid w:val="089B1287"/>
    <w:rsid w:val="08D6275B"/>
    <w:rsid w:val="095C33F1"/>
    <w:rsid w:val="09AB276D"/>
    <w:rsid w:val="09B37EBF"/>
    <w:rsid w:val="09D35612"/>
    <w:rsid w:val="0A7916F9"/>
    <w:rsid w:val="0A805733"/>
    <w:rsid w:val="0AEA4304"/>
    <w:rsid w:val="0B017C26"/>
    <w:rsid w:val="0B160F51"/>
    <w:rsid w:val="0B1D1CB2"/>
    <w:rsid w:val="0B20622C"/>
    <w:rsid w:val="0BA92E65"/>
    <w:rsid w:val="0BAB50F6"/>
    <w:rsid w:val="0BFA7CA6"/>
    <w:rsid w:val="0C1B3F2C"/>
    <w:rsid w:val="0C1F1F3C"/>
    <w:rsid w:val="0C2B13EB"/>
    <w:rsid w:val="0C3B585B"/>
    <w:rsid w:val="0CBA20AD"/>
    <w:rsid w:val="0CC90AB5"/>
    <w:rsid w:val="0CED04A4"/>
    <w:rsid w:val="0D447AAF"/>
    <w:rsid w:val="0D8E1BC4"/>
    <w:rsid w:val="0D9D012B"/>
    <w:rsid w:val="0DC41EE2"/>
    <w:rsid w:val="0E3B5551"/>
    <w:rsid w:val="0E72557C"/>
    <w:rsid w:val="0E7A0295"/>
    <w:rsid w:val="0F0350F4"/>
    <w:rsid w:val="0F045D09"/>
    <w:rsid w:val="0F2E0BAC"/>
    <w:rsid w:val="0F9C72D1"/>
    <w:rsid w:val="0FA93B3C"/>
    <w:rsid w:val="10326751"/>
    <w:rsid w:val="105154A3"/>
    <w:rsid w:val="106F411A"/>
    <w:rsid w:val="10A76ABF"/>
    <w:rsid w:val="10CB6AB5"/>
    <w:rsid w:val="10CE7D9C"/>
    <w:rsid w:val="10E237F3"/>
    <w:rsid w:val="11552DC0"/>
    <w:rsid w:val="118C13D9"/>
    <w:rsid w:val="11974C34"/>
    <w:rsid w:val="11BB3711"/>
    <w:rsid w:val="11C42AA0"/>
    <w:rsid w:val="11D1491F"/>
    <w:rsid w:val="11F50284"/>
    <w:rsid w:val="12057734"/>
    <w:rsid w:val="12603247"/>
    <w:rsid w:val="127A312C"/>
    <w:rsid w:val="12A62F69"/>
    <w:rsid w:val="13BF2A39"/>
    <w:rsid w:val="13F453AC"/>
    <w:rsid w:val="13F623EB"/>
    <w:rsid w:val="13FD5C4E"/>
    <w:rsid w:val="142F2C24"/>
    <w:rsid w:val="14555B46"/>
    <w:rsid w:val="14A50712"/>
    <w:rsid w:val="15EA1BD2"/>
    <w:rsid w:val="15F75793"/>
    <w:rsid w:val="15FA0069"/>
    <w:rsid w:val="178751EB"/>
    <w:rsid w:val="17904D91"/>
    <w:rsid w:val="17937143"/>
    <w:rsid w:val="17D2616C"/>
    <w:rsid w:val="17E60836"/>
    <w:rsid w:val="183414C6"/>
    <w:rsid w:val="184D26FD"/>
    <w:rsid w:val="1881611F"/>
    <w:rsid w:val="18AB079F"/>
    <w:rsid w:val="19121B44"/>
    <w:rsid w:val="191748A7"/>
    <w:rsid w:val="19851289"/>
    <w:rsid w:val="198910E6"/>
    <w:rsid w:val="19956A9A"/>
    <w:rsid w:val="1A4069FC"/>
    <w:rsid w:val="1A545BAD"/>
    <w:rsid w:val="1AC1382B"/>
    <w:rsid w:val="1AE42EFE"/>
    <w:rsid w:val="1B5659F0"/>
    <w:rsid w:val="1B6567F8"/>
    <w:rsid w:val="1B703AA3"/>
    <w:rsid w:val="1BEB22EF"/>
    <w:rsid w:val="1C0C4538"/>
    <w:rsid w:val="1C3F0D57"/>
    <w:rsid w:val="1C5134C8"/>
    <w:rsid w:val="1C754FC8"/>
    <w:rsid w:val="1CA1252B"/>
    <w:rsid w:val="1CB81B76"/>
    <w:rsid w:val="1D1E2243"/>
    <w:rsid w:val="1D3011EA"/>
    <w:rsid w:val="1D3C75E3"/>
    <w:rsid w:val="1D684FA8"/>
    <w:rsid w:val="1DA81BBB"/>
    <w:rsid w:val="1DC3152C"/>
    <w:rsid w:val="1E255E95"/>
    <w:rsid w:val="1E2E65EC"/>
    <w:rsid w:val="1EB24EE1"/>
    <w:rsid w:val="1EB763DB"/>
    <w:rsid w:val="1EBC6493"/>
    <w:rsid w:val="1EC80438"/>
    <w:rsid w:val="1F2D30D9"/>
    <w:rsid w:val="1FCA1DA7"/>
    <w:rsid w:val="2012121F"/>
    <w:rsid w:val="201D03F6"/>
    <w:rsid w:val="20412B7D"/>
    <w:rsid w:val="20812DE0"/>
    <w:rsid w:val="20A430A1"/>
    <w:rsid w:val="20B13A20"/>
    <w:rsid w:val="20C71AE4"/>
    <w:rsid w:val="20C94811"/>
    <w:rsid w:val="20D20B3C"/>
    <w:rsid w:val="20E57971"/>
    <w:rsid w:val="21394165"/>
    <w:rsid w:val="21677794"/>
    <w:rsid w:val="21877563"/>
    <w:rsid w:val="21AD5FA9"/>
    <w:rsid w:val="21DD62F0"/>
    <w:rsid w:val="21DD68E1"/>
    <w:rsid w:val="21F86422"/>
    <w:rsid w:val="222B6A42"/>
    <w:rsid w:val="22873F1F"/>
    <w:rsid w:val="22877C9B"/>
    <w:rsid w:val="22913F94"/>
    <w:rsid w:val="229646F6"/>
    <w:rsid w:val="22C428B8"/>
    <w:rsid w:val="22FE33C0"/>
    <w:rsid w:val="235A7E3C"/>
    <w:rsid w:val="23720B14"/>
    <w:rsid w:val="23A125C8"/>
    <w:rsid w:val="24B222B7"/>
    <w:rsid w:val="25303024"/>
    <w:rsid w:val="253A272B"/>
    <w:rsid w:val="25521425"/>
    <w:rsid w:val="257404D9"/>
    <w:rsid w:val="257C4000"/>
    <w:rsid w:val="25FB73FA"/>
    <w:rsid w:val="261F2F0D"/>
    <w:rsid w:val="26560F68"/>
    <w:rsid w:val="265A62FD"/>
    <w:rsid w:val="26A15C9D"/>
    <w:rsid w:val="26E7230A"/>
    <w:rsid w:val="27404AC1"/>
    <w:rsid w:val="281A6745"/>
    <w:rsid w:val="288941AB"/>
    <w:rsid w:val="28B7435F"/>
    <w:rsid w:val="28B8423F"/>
    <w:rsid w:val="29083C65"/>
    <w:rsid w:val="292A0339"/>
    <w:rsid w:val="294E01E0"/>
    <w:rsid w:val="29703799"/>
    <w:rsid w:val="299A2B68"/>
    <w:rsid w:val="29C675B7"/>
    <w:rsid w:val="29E06E8C"/>
    <w:rsid w:val="29F568C7"/>
    <w:rsid w:val="2A3867A2"/>
    <w:rsid w:val="2A3C0579"/>
    <w:rsid w:val="2A4850F9"/>
    <w:rsid w:val="2A521A1B"/>
    <w:rsid w:val="2A8D3B77"/>
    <w:rsid w:val="2AA033C6"/>
    <w:rsid w:val="2AA80564"/>
    <w:rsid w:val="2ABF115F"/>
    <w:rsid w:val="2B1531AD"/>
    <w:rsid w:val="2B6A7233"/>
    <w:rsid w:val="2BF93B2A"/>
    <w:rsid w:val="2C232472"/>
    <w:rsid w:val="2C4D60D1"/>
    <w:rsid w:val="2C4E56F9"/>
    <w:rsid w:val="2CB95BC8"/>
    <w:rsid w:val="2D1C3D73"/>
    <w:rsid w:val="2D44401C"/>
    <w:rsid w:val="2D60029D"/>
    <w:rsid w:val="2D61054A"/>
    <w:rsid w:val="2D902E2A"/>
    <w:rsid w:val="2DA11494"/>
    <w:rsid w:val="2DA12ADA"/>
    <w:rsid w:val="2DA64990"/>
    <w:rsid w:val="2DA728CF"/>
    <w:rsid w:val="2E1F1906"/>
    <w:rsid w:val="2E222397"/>
    <w:rsid w:val="2E3671CC"/>
    <w:rsid w:val="2EB06229"/>
    <w:rsid w:val="2EF5027A"/>
    <w:rsid w:val="2F1A4080"/>
    <w:rsid w:val="2F5F1C1C"/>
    <w:rsid w:val="2F9B62D8"/>
    <w:rsid w:val="2FAF3461"/>
    <w:rsid w:val="2FB8113A"/>
    <w:rsid w:val="2FFA58F1"/>
    <w:rsid w:val="30A821DA"/>
    <w:rsid w:val="317D73B5"/>
    <w:rsid w:val="31BB480E"/>
    <w:rsid w:val="321F389F"/>
    <w:rsid w:val="32327422"/>
    <w:rsid w:val="323F6674"/>
    <w:rsid w:val="325576E0"/>
    <w:rsid w:val="326D5116"/>
    <w:rsid w:val="32F729BC"/>
    <w:rsid w:val="330B0C6E"/>
    <w:rsid w:val="33A9521E"/>
    <w:rsid w:val="33F047BC"/>
    <w:rsid w:val="34160FDF"/>
    <w:rsid w:val="343E7EA4"/>
    <w:rsid w:val="34707A98"/>
    <w:rsid w:val="34834170"/>
    <w:rsid w:val="35796228"/>
    <w:rsid w:val="3610124B"/>
    <w:rsid w:val="36393EDB"/>
    <w:rsid w:val="369F1503"/>
    <w:rsid w:val="36A27EBD"/>
    <w:rsid w:val="36B64721"/>
    <w:rsid w:val="36C744C7"/>
    <w:rsid w:val="36DE0C75"/>
    <w:rsid w:val="3727486C"/>
    <w:rsid w:val="37940DF9"/>
    <w:rsid w:val="37AE4D1B"/>
    <w:rsid w:val="37AF0AFF"/>
    <w:rsid w:val="37BD659A"/>
    <w:rsid w:val="37D22F34"/>
    <w:rsid w:val="3912129C"/>
    <w:rsid w:val="391923FE"/>
    <w:rsid w:val="394D11E7"/>
    <w:rsid w:val="398E6A5F"/>
    <w:rsid w:val="39AD341B"/>
    <w:rsid w:val="39C87811"/>
    <w:rsid w:val="39F44FCE"/>
    <w:rsid w:val="3A993B72"/>
    <w:rsid w:val="3AD6716D"/>
    <w:rsid w:val="3B1F2B42"/>
    <w:rsid w:val="3B4C3535"/>
    <w:rsid w:val="3B5E6D50"/>
    <w:rsid w:val="3B6E072B"/>
    <w:rsid w:val="3BB921CA"/>
    <w:rsid w:val="3BE5681C"/>
    <w:rsid w:val="3BF744BD"/>
    <w:rsid w:val="3C052261"/>
    <w:rsid w:val="3C12161B"/>
    <w:rsid w:val="3C32172D"/>
    <w:rsid w:val="3C4E65BE"/>
    <w:rsid w:val="3C9B4DFF"/>
    <w:rsid w:val="3CAE3199"/>
    <w:rsid w:val="3CB61298"/>
    <w:rsid w:val="3CBB3B2D"/>
    <w:rsid w:val="3CE0117F"/>
    <w:rsid w:val="3CF41C80"/>
    <w:rsid w:val="3D553540"/>
    <w:rsid w:val="3D794810"/>
    <w:rsid w:val="3D9570DE"/>
    <w:rsid w:val="3DA458D9"/>
    <w:rsid w:val="3DAA65ED"/>
    <w:rsid w:val="3DC3007D"/>
    <w:rsid w:val="3DC73EB1"/>
    <w:rsid w:val="3E2F7D2F"/>
    <w:rsid w:val="3E5F79E7"/>
    <w:rsid w:val="3E796E06"/>
    <w:rsid w:val="3E997CD1"/>
    <w:rsid w:val="3EA32513"/>
    <w:rsid w:val="3EA7036A"/>
    <w:rsid w:val="3EC51F8F"/>
    <w:rsid w:val="3F226F66"/>
    <w:rsid w:val="3FCA6A0D"/>
    <w:rsid w:val="407D4A92"/>
    <w:rsid w:val="40C36D32"/>
    <w:rsid w:val="40FF4302"/>
    <w:rsid w:val="410D47A0"/>
    <w:rsid w:val="414F5C7C"/>
    <w:rsid w:val="41510037"/>
    <w:rsid w:val="42150D22"/>
    <w:rsid w:val="429675DA"/>
    <w:rsid w:val="43565435"/>
    <w:rsid w:val="436127D6"/>
    <w:rsid w:val="43CF15DC"/>
    <w:rsid w:val="43DA49FC"/>
    <w:rsid w:val="43FB5543"/>
    <w:rsid w:val="441273BE"/>
    <w:rsid w:val="4414318A"/>
    <w:rsid w:val="443F445B"/>
    <w:rsid w:val="446A4F65"/>
    <w:rsid w:val="44910149"/>
    <w:rsid w:val="44AD4E30"/>
    <w:rsid w:val="45184253"/>
    <w:rsid w:val="45215BDB"/>
    <w:rsid w:val="457B3746"/>
    <w:rsid w:val="458623AA"/>
    <w:rsid w:val="458D54B3"/>
    <w:rsid w:val="45A83521"/>
    <w:rsid w:val="463A29E4"/>
    <w:rsid w:val="465D3ED9"/>
    <w:rsid w:val="46704231"/>
    <w:rsid w:val="46820570"/>
    <w:rsid w:val="46A36A16"/>
    <w:rsid w:val="46B07EA1"/>
    <w:rsid w:val="46BE28FA"/>
    <w:rsid w:val="46CB5111"/>
    <w:rsid w:val="472D5446"/>
    <w:rsid w:val="47711446"/>
    <w:rsid w:val="478C7CA2"/>
    <w:rsid w:val="47F12F77"/>
    <w:rsid w:val="47FC410B"/>
    <w:rsid w:val="488B1CE0"/>
    <w:rsid w:val="48E35556"/>
    <w:rsid w:val="49002E1E"/>
    <w:rsid w:val="490D439D"/>
    <w:rsid w:val="492D68F8"/>
    <w:rsid w:val="493915AF"/>
    <w:rsid w:val="497573B8"/>
    <w:rsid w:val="49940CFC"/>
    <w:rsid w:val="49CE07DC"/>
    <w:rsid w:val="49FF1F94"/>
    <w:rsid w:val="4A11150D"/>
    <w:rsid w:val="4A152348"/>
    <w:rsid w:val="4A2D4566"/>
    <w:rsid w:val="4A477C1B"/>
    <w:rsid w:val="4AE9764F"/>
    <w:rsid w:val="4B0D2E91"/>
    <w:rsid w:val="4B85418B"/>
    <w:rsid w:val="4B8C27E5"/>
    <w:rsid w:val="4BC72C35"/>
    <w:rsid w:val="4BDA0FA4"/>
    <w:rsid w:val="4BEA51BA"/>
    <w:rsid w:val="4C051B91"/>
    <w:rsid w:val="4C1F0523"/>
    <w:rsid w:val="4D3F3BB7"/>
    <w:rsid w:val="4D5E12E4"/>
    <w:rsid w:val="4D8D12BC"/>
    <w:rsid w:val="4DD0609B"/>
    <w:rsid w:val="4E341B3F"/>
    <w:rsid w:val="4E796268"/>
    <w:rsid w:val="4EF352E9"/>
    <w:rsid w:val="4F161E4B"/>
    <w:rsid w:val="4F2522AF"/>
    <w:rsid w:val="4F48068B"/>
    <w:rsid w:val="500F2F89"/>
    <w:rsid w:val="50684F5C"/>
    <w:rsid w:val="510B176C"/>
    <w:rsid w:val="514B024C"/>
    <w:rsid w:val="51823608"/>
    <w:rsid w:val="51934FAF"/>
    <w:rsid w:val="51D16D76"/>
    <w:rsid w:val="51EF1552"/>
    <w:rsid w:val="524A1243"/>
    <w:rsid w:val="527062E0"/>
    <w:rsid w:val="52B35406"/>
    <w:rsid w:val="52E46C4F"/>
    <w:rsid w:val="53297E42"/>
    <w:rsid w:val="536172F8"/>
    <w:rsid w:val="53721176"/>
    <w:rsid w:val="538F30C7"/>
    <w:rsid w:val="53C35937"/>
    <w:rsid w:val="53E17AAB"/>
    <w:rsid w:val="541B6436"/>
    <w:rsid w:val="541D002B"/>
    <w:rsid w:val="543C5447"/>
    <w:rsid w:val="545309E0"/>
    <w:rsid w:val="55045803"/>
    <w:rsid w:val="55632B91"/>
    <w:rsid w:val="557E4CFC"/>
    <w:rsid w:val="55A231FD"/>
    <w:rsid w:val="55CB1FE9"/>
    <w:rsid w:val="55E04384"/>
    <w:rsid w:val="566D3DB9"/>
    <w:rsid w:val="56756BFE"/>
    <w:rsid w:val="569C7E53"/>
    <w:rsid w:val="56AD46E3"/>
    <w:rsid w:val="570127F6"/>
    <w:rsid w:val="57127BEB"/>
    <w:rsid w:val="5721123D"/>
    <w:rsid w:val="574D17AB"/>
    <w:rsid w:val="57AE3CCC"/>
    <w:rsid w:val="580B7A2A"/>
    <w:rsid w:val="5830668C"/>
    <w:rsid w:val="588A28AC"/>
    <w:rsid w:val="58DF068C"/>
    <w:rsid w:val="591E66B8"/>
    <w:rsid w:val="595E5CE7"/>
    <w:rsid w:val="59670C72"/>
    <w:rsid w:val="59EF4EF0"/>
    <w:rsid w:val="5AD3533A"/>
    <w:rsid w:val="5AE93C42"/>
    <w:rsid w:val="5AEA3017"/>
    <w:rsid w:val="5B8E7760"/>
    <w:rsid w:val="5BBB5F34"/>
    <w:rsid w:val="5C15727B"/>
    <w:rsid w:val="5C1828D3"/>
    <w:rsid w:val="5C5D0B15"/>
    <w:rsid w:val="5C7B0B03"/>
    <w:rsid w:val="5C8872B1"/>
    <w:rsid w:val="5CB3243D"/>
    <w:rsid w:val="5CC63B2E"/>
    <w:rsid w:val="5CCA67C7"/>
    <w:rsid w:val="5CDD4C46"/>
    <w:rsid w:val="5D013DA3"/>
    <w:rsid w:val="5D2603D6"/>
    <w:rsid w:val="5D427C1F"/>
    <w:rsid w:val="5D6A038E"/>
    <w:rsid w:val="5D8723C4"/>
    <w:rsid w:val="5E994A58"/>
    <w:rsid w:val="5ED84F6F"/>
    <w:rsid w:val="5EE018CF"/>
    <w:rsid w:val="5EEB222E"/>
    <w:rsid w:val="5FBE5820"/>
    <w:rsid w:val="60313507"/>
    <w:rsid w:val="603847D5"/>
    <w:rsid w:val="6053197A"/>
    <w:rsid w:val="60992601"/>
    <w:rsid w:val="609F2885"/>
    <w:rsid w:val="60A12BBD"/>
    <w:rsid w:val="60E54867"/>
    <w:rsid w:val="613C6C1A"/>
    <w:rsid w:val="613D59A4"/>
    <w:rsid w:val="61A90695"/>
    <w:rsid w:val="61C23046"/>
    <w:rsid w:val="61D879D0"/>
    <w:rsid w:val="625346E7"/>
    <w:rsid w:val="629E3671"/>
    <w:rsid w:val="62EC0980"/>
    <w:rsid w:val="6371527F"/>
    <w:rsid w:val="637A2252"/>
    <w:rsid w:val="63A527B7"/>
    <w:rsid w:val="63F76631"/>
    <w:rsid w:val="641A0D1C"/>
    <w:rsid w:val="646E48B3"/>
    <w:rsid w:val="6470345B"/>
    <w:rsid w:val="64884602"/>
    <w:rsid w:val="64B60787"/>
    <w:rsid w:val="64DD30B4"/>
    <w:rsid w:val="655F5429"/>
    <w:rsid w:val="657B4AAE"/>
    <w:rsid w:val="65947B01"/>
    <w:rsid w:val="65FA4A0E"/>
    <w:rsid w:val="6609788A"/>
    <w:rsid w:val="661260D9"/>
    <w:rsid w:val="66560066"/>
    <w:rsid w:val="66773F18"/>
    <w:rsid w:val="66A36EF4"/>
    <w:rsid w:val="66AE6EF0"/>
    <w:rsid w:val="66DC1F77"/>
    <w:rsid w:val="66FE6333"/>
    <w:rsid w:val="67151EC3"/>
    <w:rsid w:val="67737840"/>
    <w:rsid w:val="67AE407F"/>
    <w:rsid w:val="67C2161A"/>
    <w:rsid w:val="68167846"/>
    <w:rsid w:val="681A21B7"/>
    <w:rsid w:val="6842291B"/>
    <w:rsid w:val="686140F8"/>
    <w:rsid w:val="68717706"/>
    <w:rsid w:val="687C0217"/>
    <w:rsid w:val="68B817A9"/>
    <w:rsid w:val="68B83EA0"/>
    <w:rsid w:val="691F39B6"/>
    <w:rsid w:val="69204E0C"/>
    <w:rsid w:val="692977D5"/>
    <w:rsid w:val="6966307D"/>
    <w:rsid w:val="69860674"/>
    <w:rsid w:val="69950178"/>
    <w:rsid w:val="699847D4"/>
    <w:rsid w:val="69F16CB0"/>
    <w:rsid w:val="6A214A09"/>
    <w:rsid w:val="6A6D73F3"/>
    <w:rsid w:val="6AE00D69"/>
    <w:rsid w:val="6B5027BC"/>
    <w:rsid w:val="6B6D3C7D"/>
    <w:rsid w:val="6BCC00D3"/>
    <w:rsid w:val="6BD707B6"/>
    <w:rsid w:val="6BF319C9"/>
    <w:rsid w:val="6C4F625B"/>
    <w:rsid w:val="6C5B0B6E"/>
    <w:rsid w:val="6C8D19CB"/>
    <w:rsid w:val="6CF6054D"/>
    <w:rsid w:val="6D3D7F92"/>
    <w:rsid w:val="6E3D58F2"/>
    <w:rsid w:val="6E4D190A"/>
    <w:rsid w:val="6E7F0EAC"/>
    <w:rsid w:val="6E9A1048"/>
    <w:rsid w:val="6EBD0C7B"/>
    <w:rsid w:val="6F1815AC"/>
    <w:rsid w:val="6F2B01F0"/>
    <w:rsid w:val="6FA92414"/>
    <w:rsid w:val="6FED1F8B"/>
    <w:rsid w:val="70060997"/>
    <w:rsid w:val="70302ED7"/>
    <w:rsid w:val="703F4D81"/>
    <w:rsid w:val="709C73FC"/>
    <w:rsid w:val="70CA5308"/>
    <w:rsid w:val="70F06F8A"/>
    <w:rsid w:val="71217116"/>
    <w:rsid w:val="719909C2"/>
    <w:rsid w:val="71C337FC"/>
    <w:rsid w:val="71DB4411"/>
    <w:rsid w:val="72661F3F"/>
    <w:rsid w:val="72AC509B"/>
    <w:rsid w:val="72E41161"/>
    <w:rsid w:val="73016754"/>
    <w:rsid w:val="7305150B"/>
    <w:rsid w:val="73086F38"/>
    <w:rsid w:val="736A4DF2"/>
    <w:rsid w:val="738B2A7C"/>
    <w:rsid w:val="73C45138"/>
    <w:rsid w:val="73C61DD9"/>
    <w:rsid w:val="73EB66F0"/>
    <w:rsid w:val="73EF51A4"/>
    <w:rsid w:val="745D2786"/>
    <w:rsid w:val="746311C2"/>
    <w:rsid w:val="74895878"/>
    <w:rsid w:val="74D80DBA"/>
    <w:rsid w:val="74F944FC"/>
    <w:rsid w:val="74FA2317"/>
    <w:rsid w:val="75095287"/>
    <w:rsid w:val="757A0E25"/>
    <w:rsid w:val="75820E9A"/>
    <w:rsid w:val="758B7A2B"/>
    <w:rsid w:val="75C407EE"/>
    <w:rsid w:val="75DC542B"/>
    <w:rsid w:val="76307B23"/>
    <w:rsid w:val="763C6E7B"/>
    <w:rsid w:val="76712D9E"/>
    <w:rsid w:val="76E72A03"/>
    <w:rsid w:val="771B5CAB"/>
    <w:rsid w:val="777165A4"/>
    <w:rsid w:val="778E0F4E"/>
    <w:rsid w:val="77AB641E"/>
    <w:rsid w:val="77C101F6"/>
    <w:rsid w:val="77D97695"/>
    <w:rsid w:val="77DE622D"/>
    <w:rsid w:val="77E74736"/>
    <w:rsid w:val="77F372DF"/>
    <w:rsid w:val="784E64FA"/>
    <w:rsid w:val="786203B2"/>
    <w:rsid w:val="78837BA7"/>
    <w:rsid w:val="788C26B4"/>
    <w:rsid w:val="78961161"/>
    <w:rsid w:val="78CE5D56"/>
    <w:rsid w:val="791135F7"/>
    <w:rsid w:val="79245A5D"/>
    <w:rsid w:val="79342466"/>
    <w:rsid w:val="795949DC"/>
    <w:rsid w:val="79775359"/>
    <w:rsid w:val="79CE3E02"/>
    <w:rsid w:val="79CE7A1B"/>
    <w:rsid w:val="79E16A86"/>
    <w:rsid w:val="7A146936"/>
    <w:rsid w:val="7A321109"/>
    <w:rsid w:val="7A6427FF"/>
    <w:rsid w:val="7A6F3AD9"/>
    <w:rsid w:val="7A8E3D83"/>
    <w:rsid w:val="7B113747"/>
    <w:rsid w:val="7B2D381E"/>
    <w:rsid w:val="7BCA49C4"/>
    <w:rsid w:val="7C392F39"/>
    <w:rsid w:val="7C4A3EC1"/>
    <w:rsid w:val="7C7D6669"/>
    <w:rsid w:val="7C98362D"/>
    <w:rsid w:val="7C9D4792"/>
    <w:rsid w:val="7CBF53D0"/>
    <w:rsid w:val="7CCF286B"/>
    <w:rsid w:val="7D7806F0"/>
    <w:rsid w:val="7E537A4C"/>
    <w:rsid w:val="7E5A5F66"/>
    <w:rsid w:val="7E845B4F"/>
    <w:rsid w:val="7EA84AE7"/>
    <w:rsid w:val="7EEA4042"/>
    <w:rsid w:val="7EEE50F8"/>
    <w:rsid w:val="7EFC43FE"/>
    <w:rsid w:val="7F26231B"/>
    <w:rsid w:val="7F453A47"/>
    <w:rsid w:val="7F4A7134"/>
    <w:rsid w:val="7F6321F9"/>
    <w:rsid w:val="7F691B71"/>
    <w:rsid w:val="7FA22A5A"/>
    <w:rsid w:val="7FF3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20" w:after="120" w:line="540" w:lineRule="exact"/>
      <w:outlineLvl w:val="0"/>
    </w:pPr>
    <w:rPr>
      <w:rFonts w:eastAsia="楷体_GB2312"/>
      <w:b/>
      <w:sz w:val="32"/>
      <w:szCs w:val="32"/>
    </w:rPr>
  </w:style>
  <w:style w:type="paragraph" w:styleId="3">
    <w:name w:val="heading 2"/>
    <w:basedOn w:val="1"/>
    <w:next w:val="1"/>
    <w:qFormat/>
    <w:uiPriority w:val="99"/>
    <w:pPr>
      <w:keepNext/>
      <w:keepLines/>
      <w:snapToGrid w:val="0"/>
      <w:spacing w:line="540" w:lineRule="exact"/>
      <w:outlineLvl w:val="1"/>
    </w:pPr>
    <w:rPr>
      <w:rFonts w:eastAsia="楷体_GB2312"/>
      <w:b/>
      <w:bCs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2020-02-17T08:57:00Z</dcterms:created>
  <dc:creator>Administrator</dc:creator>
  <cp:lastModifiedBy>Administrator</cp:lastModifiedBy>
  <cp:lastPrinted>2020-11-13T01:03:49Z</cp:lastPrinted>
  <dcterms:modified xsi:type="dcterms:W3CDTF">2020-11-13T01:04:32Z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