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jc w:val="center"/>
        <w:rPr>
          <w:rFonts w:hint="eastAsia"/>
          <w:b/>
          <w:bCs/>
          <w:sz w:val="36"/>
          <w:szCs w:val="36"/>
        </w:rPr>
      </w:pPr>
      <w:r>
        <w:rPr>
          <w:rFonts w:hint="eastAsia"/>
          <w:b/>
          <w:bCs/>
          <w:sz w:val="36"/>
          <w:szCs w:val="36"/>
        </w:rPr>
        <w:t>202</w:t>
      </w:r>
      <w:r>
        <w:rPr>
          <w:rFonts w:hint="eastAsia"/>
          <w:b/>
          <w:bCs/>
          <w:sz w:val="36"/>
          <w:szCs w:val="36"/>
          <w:lang w:val="en-US" w:eastAsia="zh-CN"/>
        </w:rPr>
        <w:t>1</w:t>
      </w:r>
      <w:r>
        <w:rPr>
          <w:rFonts w:hint="eastAsia"/>
          <w:b/>
          <w:bCs/>
          <w:sz w:val="36"/>
          <w:szCs w:val="36"/>
        </w:rPr>
        <w:t>年度部门整体支出绩效评价报告</w:t>
      </w:r>
    </w:p>
    <w:p>
      <w:pPr>
        <w:spacing w:line="530" w:lineRule="exact"/>
        <w:ind w:firstLine="480"/>
        <w:rPr>
          <w:rFonts w:hint="eastAsia" w:ascii="仿宋" w:hAnsi="仿宋" w:eastAsia="仿宋" w:cs="仿宋"/>
          <w:spacing w:val="-8"/>
          <w:sz w:val="28"/>
          <w:szCs w:val="28"/>
        </w:rPr>
      </w:pPr>
    </w:p>
    <w:p>
      <w:pPr>
        <w:spacing w:line="600" w:lineRule="exact"/>
        <w:ind w:firstLine="640" w:firstLineChars="200"/>
        <w:rPr>
          <w:rFonts w:hint="eastAsia" w:ascii="黑体" w:eastAsia="黑体"/>
          <w:sz w:val="32"/>
          <w:szCs w:val="32"/>
        </w:rPr>
      </w:pPr>
      <w:r>
        <w:rPr>
          <w:rFonts w:hint="eastAsia" w:ascii="黑体" w:eastAsia="黑体"/>
          <w:sz w:val="32"/>
          <w:szCs w:val="32"/>
        </w:rPr>
        <w:t>一、单位概况</w:t>
      </w:r>
    </w:p>
    <w:p>
      <w:pPr>
        <w:spacing w:line="530" w:lineRule="exact"/>
        <w:ind w:firstLine="48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1、机构设置</w:t>
      </w:r>
    </w:p>
    <w:p>
      <w:pPr>
        <w:pStyle w:val="5"/>
        <w:ind w:firstLine="640" w:firstLineChars="20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邵阳市生态环境局设15个内设科室：办公室、政工科、法规与标准科、综合协调科、科技与财务科、自然生态保护科（加挂生物多样性保护办公室牌子）、水生态环境科、大气环境与应对气候变化科、土壤生态环境科、固体废物与化学品科、核与辐射管理科、环境影响评价与排放管理科、生态环境监测科、宣传教育科、机关党委。下设邵阳市生态环境局双清分局、邵阳市生态环境局大祥分局、邵阳市生态环境局北塔分局、邵阳市生态环境局经开分局4个环保分局。</w:t>
      </w:r>
    </w:p>
    <w:p>
      <w:pPr>
        <w:pStyle w:val="5"/>
        <w:ind w:firstLine="640" w:firstLineChars="20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下辖邵阳市生态环境保护综合行政执法支队、邵阳市环境研究与信息中心、邵阳市排污权储备交易所3个二级机构。</w:t>
      </w:r>
      <w:r>
        <w:rPr>
          <w:rFonts w:hint="eastAsia" w:ascii="宋体" w:hAnsi="宋体" w:eastAsia="宋体" w:cs="黑体"/>
          <w:color w:val="000000"/>
          <w:kern w:val="0"/>
          <w:sz w:val="32"/>
          <w:szCs w:val="32"/>
          <w:lang w:val="en-US" w:eastAsia="zh-CN" w:bidi="ar-SA"/>
        </w:rPr>
        <w:fldChar w:fldCharType="begin">
          <w:fldData xml:space="preserve">QwAzAEIAMgBDAEIAMgBBADYANgA1AEIANABFAEEANwBCAEQAQgA4ADAAMAA5ADQAQgA3ADYAQwBF
ADgAQQBFAA==
</w:fldData>
        </w:fldChar>
      </w:r>
      <w:r>
        <w:rPr>
          <w:rFonts w:hint="eastAsia" w:ascii="宋体" w:hAnsi="宋体" w:eastAsia="宋体" w:cs="黑体"/>
          <w:color w:val="000000"/>
          <w:kern w:val="0"/>
          <w:sz w:val="32"/>
          <w:szCs w:val="32"/>
          <w:lang w:val="en-US" w:eastAsia="zh-CN" w:bidi="ar-SA"/>
        </w:rPr>
        <w:instrText xml:space="preserve">Addin 单位职能概述</w:instrText>
      </w:r>
      <w:r>
        <w:rPr>
          <w:rFonts w:hint="eastAsia" w:ascii="宋体" w:hAnsi="宋体" w:eastAsia="宋体" w:cs="黑体"/>
          <w:color w:val="000000"/>
          <w:kern w:val="0"/>
          <w:sz w:val="32"/>
          <w:szCs w:val="32"/>
          <w:lang w:val="en-US" w:eastAsia="zh-CN" w:bidi="ar-SA"/>
        </w:rPr>
        <w:fldChar w:fldCharType="separate"/>
      </w:r>
    </w:p>
    <w:p>
      <w:pPr>
        <w:spacing w:line="530" w:lineRule="exact"/>
        <w:ind w:firstLine="48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fldChar w:fldCharType="end"/>
      </w:r>
      <w:r>
        <w:rPr>
          <w:rFonts w:hint="eastAsia" w:ascii="宋体" w:hAnsi="宋体" w:eastAsia="宋体" w:cs="黑体"/>
          <w:color w:val="000000"/>
          <w:kern w:val="0"/>
          <w:sz w:val="32"/>
          <w:szCs w:val="32"/>
          <w:lang w:val="en-US" w:eastAsia="zh-CN" w:bidi="ar-SA"/>
        </w:rPr>
        <w:t xml:space="preserve"> 邵阳市排污权储备交易所、市环境研究与信息中心为财务独立核算的法人机构。</w:t>
      </w:r>
    </w:p>
    <w:p>
      <w:pPr>
        <w:spacing w:line="530" w:lineRule="exact"/>
        <w:ind w:firstLine="48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2、人员概况</w:t>
      </w:r>
    </w:p>
    <w:p>
      <w:pPr>
        <w:spacing w:line="530" w:lineRule="exact"/>
        <w:ind w:firstLine="640" w:firstLineChars="20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邵阳市生态环境局人数为165人，现有在职工作人员118人，退休人员47人。</w:t>
      </w:r>
    </w:p>
    <w:p>
      <w:pPr>
        <w:spacing w:line="530" w:lineRule="exact"/>
        <w:ind w:firstLine="48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3、主要职能及重点工作计划</w:t>
      </w:r>
    </w:p>
    <w:p>
      <w:pPr>
        <w:spacing w:line="530" w:lineRule="exact"/>
        <w:ind w:firstLine="640" w:firstLineChars="20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邵阳市生态环境局为市人民政府工作部门，贯彻落实党中央关于生态环境保护工作的方针政策和决策部署，全面落实省委、市委关于生态环境保护工作的要求，在履行职责过程中坚持和加强党对生态环境保护工作的集中统一领导。主要职责是：</w:t>
      </w:r>
    </w:p>
    <w:p>
      <w:pPr>
        <w:spacing w:line="530" w:lineRule="exact"/>
        <w:ind w:firstLine="640" w:firstLineChars="20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1、贯彻执行生态环境领域的法律法规和方针政策。会同有关部门拟订全市生态环境规划、规范性文件并组织实施；会同有关部门编制并监督实施重点区域、流域、饮用水水源地生态环境规划和水功能区划；组织实施国家、省生态环境标准和生态环境技术规范。</w:t>
      </w:r>
    </w:p>
    <w:p>
      <w:pPr>
        <w:spacing w:line="530" w:lineRule="exact"/>
        <w:ind w:firstLine="640" w:firstLineChars="20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2、负责生态环境问题的统筹协调和监督管理。组织开展环境污染事故和生态破坏事件的调查处理，以及突发生态环境事件的应急、预警工作；牵头指导实施生态环境损害赔偿制度，协调解决有关跨区域环境污染纠纷；统筹协调重点区域、流域生态环境保护工作。</w:t>
      </w:r>
    </w:p>
    <w:p>
      <w:pPr>
        <w:spacing w:line="530" w:lineRule="exact"/>
        <w:ind w:firstLine="640" w:firstLineChars="20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3、负责监督管理减排目标的落实。监督实施各类污染物排放总量控制制度、排污许可证制度，确定大气、水等纳污能力，提出实施总量控制的污染物名称和控制指标，监督检查县市区污染物减排任务完成情况，实施生态环境保护目标责任制。 </w:t>
      </w:r>
    </w:p>
    <w:p>
      <w:pPr>
        <w:spacing w:line="530" w:lineRule="exact"/>
        <w:ind w:firstLine="640" w:firstLineChars="20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4、负责提出国家、省、市级财政专项资金安排意见。按规定权限审批、核准规划内和年度计划规模内生态环境领域固定资产投资项目，配合有关部门做好组织实施和监督工作。参与指导和推动全市循环经济和生态环保产业发展。</w:t>
      </w:r>
    </w:p>
    <w:p>
      <w:pPr>
        <w:spacing w:line="530" w:lineRule="exact"/>
        <w:ind w:firstLine="640" w:firstLineChars="20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5、负责环境污染防治的监督管理。贯彻落实国家和省大气、水、土壤、噪声、光、恶臭、固体废物、化学品、机动车等的污染防治管理制度；会同有关部门监督管理饮用水水源地生态环境保护工作，监督指导城乡生态环境综合整治工作，监督指导农业面源污染治理工作；监督指导全市区域大气环境保护工作，组织实施区域大气污染联防联控协作机制。</w:t>
      </w:r>
    </w:p>
    <w:p>
      <w:pPr>
        <w:spacing w:line="530" w:lineRule="exact"/>
        <w:ind w:firstLine="640" w:firstLineChars="20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6、指导协调和监督生态保护修复工作。组织编制全市生态保护规划，监督对生态环境有影响的自然资源开发利用活动、重要生态环境建设和生态破坏恢复工作；组织拟订各类自然保护地生态环境监管制度并监督实施；监督野生动植物保护、湿地生态环境保护、荒漠化防治等工作；指导协调和监督农村生态环境保护；监督生物技术环境安全，牵头生物物种（含遗传资源）工作，组织协调生物多样性保护工作，参与生态保护补偿工作。</w:t>
      </w:r>
    </w:p>
    <w:p>
      <w:pPr>
        <w:spacing w:line="530" w:lineRule="exact"/>
        <w:ind w:firstLine="640" w:firstLineChars="20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7、负责核与辐射安全的监督管理。贯彻实施核与辐射安全法律法规、政策、规划和相关标准；组织核安全文化宣传、辐射事故应急和辐射安全与防护培训工作，监督管理核技术利用、电磁辐射、伴生放射性矿产资源开发利用中的污染防治；指导并督促核技术利用单位完成法律法规和政策规定的相关工作。</w:t>
      </w:r>
    </w:p>
    <w:p>
      <w:pPr>
        <w:spacing w:line="530" w:lineRule="exact"/>
        <w:ind w:firstLine="640" w:firstLineChars="20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8、负责生态环境准入的监督管理。受市政府委托对重大经济和技术政策、发展规划以及重大经济开发计划进行环境影响评价；按规定审批或审查开发建设区域、规划、项目环境影响评价文件；拟订并组织实施全市生态环境准入清单。</w:t>
      </w:r>
    </w:p>
    <w:p>
      <w:pPr>
        <w:spacing w:line="530" w:lineRule="exact"/>
        <w:ind w:firstLine="640" w:firstLineChars="20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9、负责生态环境监测工作。监督实施生态环境监测制度、规范和相关标准，统一实施全市生态环境质量监测站点的设置和自动监测站的建设；配合开展全市生态环境质量的监测和信息公开工作；落实、督促重点污染源单位自行监测（含在线监测、比对监测）和信息公开工作，督促开展污染源监督性监测工作；落实辖区社会环境检测机构和在线监控设施运维单位的监管工作。</w:t>
      </w:r>
    </w:p>
    <w:p>
      <w:pPr>
        <w:spacing w:line="530" w:lineRule="exact"/>
        <w:ind w:firstLine="640" w:firstLineChars="20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10、负责应对气候变化工作。组织实施应对气候变化及温室气体减排重大战略、规划和政策，组织协调履行国家应对气候变化市内相关义务。</w:t>
      </w:r>
    </w:p>
    <w:p>
      <w:pPr>
        <w:spacing w:line="530" w:lineRule="exact"/>
        <w:ind w:firstLine="640" w:firstLineChars="20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11、负责配合中央、省级生态环境保护督察的日常工作。根据市委、市政府授权，对县市党委政府及有关部门贯彻落实中央、省委和市委生态环境保护决策部署情况进行督查。</w:t>
      </w:r>
    </w:p>
    <w:p>
      <w:pPr>
        <w:spacing w:line="530" w:lineRule="exact"/>
        <w:ind w:firstLine="640" w:firstLineChars="20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12、统一负责生态环境监督执法。组织开展全市生态环境保护执法检查活动，查处生态环境违法问题，负责全市生态环境保护综合执法队伍建设和业务工作。</w:t>
      </w:r>
    </w:p>
    <w:p>
      <w:pPr>
        <w:spacing w:line="530" w:lineRule="exact"/>
        <w:ind w:firstLine="640" w:firstLineChars="20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13、组织指导和协调生态环境宣传教育工作。贯彻实施生态环境保护宣传教育纲要，推动社会组织和公众参与生态环境保护，开展生态环境科技工作，推动生态环境技术管理体系建设。</w:t>
      </w:r>
    </w:p>
    <w:p>
      <w:pPr>
        <w:spacing w:line="530" w:lineRule="exact"/>
        <w:ind w:firstLine="640" w:firstLineChars="20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14、完成市委、市政府交办的其他任务。</w:t>
      </w:r>
    </w:p>
    <w:p>
      <w:pPr>
        <w:spacing w:line="530" w:lineRule="exact"/>
        <w:ind w:firstLine="640" w:firstLineChars="20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15、职能转变。市生态环境局要统一行使生态和城乡各类污染排放监管与行政执法职责，切实履行监管责任，全面落实大气、水、土壤污染防治行动计划，构建政府为主导、企业为主体、社会组织和公众共同参与的生态环境治理体系，实行最严格的生态环境保护制度，严守生态保护红线和环境质量底线，坚决打好污染防治攻坚战，保障全市生态安全，为“二中心、一枢纽”战略的顺利实施提供良好的生态环境支撑。</w:t>
      </w:r>
      <w:r>
        <w:rPr>
          <w:rFonts w:hint="eastAsia" w:ascii="宋体" w:hAnsi="宋体" w:eastAsia="宋体" w:cs="黑体"/>
          <w:color w:val="000000"/>
          <w:kern w:val="0"/>
          <w:sz w:val="32"/>
          <w:szCs w:val="32"/>
          <w:lang w:val="en-US" w:eastAsia="zh-CN" w:bidi="ar-SA"/>
        </w:rPr>
        <w:fldChar w:fldCharType="begin">
          <w:fldData xml:space="preserve">QwAzAEIAMgBDAEIAMgBBADYANgA1AEIANABFAEEANwBCAEQAQgA4ADAAMAA5ADQAQgA3ADYAQwBF
ADgAQQBFAA==
</w:fldData>
        </w:fldChar>
      </w:r>
      <w:r>
        <w:rPr>
          <w:rFonts w:hint="eastAsia" w:ascii="宋体" w:hAnsi="宋体" w:eastAsia="宋体" w:cs="黑体"/>
          <w:color w:val="000000"/>
          <w:kern w:val="0"/>
          <w:sz w:val="32"/>
          <w:szCs w:val="32"/>
          <w:lang w:val="en-US" w:eastAsia="zh-CN" w:bidi="ar-SA"/>
        </w:rPr>
        <w:instrText xml:space="preserve">Addin 单位职能概述</w:instrText>
      </w:r>
      <w:r>
        <w:rPr>
          <w:rFonts w:hint="eastAsia" w:ascii="宋体" w:hAnsi="宋体" w:eastAsia="宋体" w:cs="黑体"/>
          <w:color w:val="000000"/>
          <w:kern w:val="0"/>
          <w:sz w:val="32"/>
          <w:szCs w:val="32"/>
          <w:lang w:val="en-US" w:eastAsia="zh-CN" w:bidi="ar-SA"/>
        </w:rPr>
        <w:fldChar w:fldCharType="separate"/>
      </w:r>
    </w:p>
    <w:p>
      <w:pPr>
        <w:spacing w:line="530" w:lineRule="exact"/>
        <w:ind w:firstLine="640" w:firstLineChars="20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fldChar w:fldCharType="end"/>
      </w:r>
    </w:p>
    <w:p>
      <w:pPr>
        <w:spacing w:line="600" w:lineRule="exact"/>
        <w:ind w:firstLine="997" w:firstLineChars="328"/>
        <w:rPr>
          <w:rFonts w:hint="eastAsia" w:ascii="仿宋_GB2312" w:eastAsia="仿宋_GB2312"/>
          <w:b/>
          <w:spacing w:val="-8"/>
          <w:sz w:val="32"/>
          <w:szCs w:val="32"/>
        </w:rPr>
      </w:pPr>
      <w:r>
        <w:rPr>
          <w:rFonts w:hint="eastAsia" w:ascii="黑体" w:hAnsi="黑体" w:eastAsia="黑体" w:cs="黑体"/>
          <w:bCs/>
          <w:spacing w:val="-8"/>
          <w:sz w:val="32"/>
          <w:szCs w:val="32"/>
        </w:rPr>
        <w:t>一、邵阳市生态环境局整体支出规模、使用方向和主要内容、涉及范围</w:t>
      </w:r>
    </w:p>
    <w:p>
      <w:pPr>
        <w:spacing w:line="530" w:lineRule="exact"/>
        <w:ind w:firstLine="48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2021年度邵阳市财政局批复邵阳市生态环境局预算支出1961.55万元，基本支出：1661.55万元，其中：工资福利支出1344.02万元,商品和福利支出312.87万元,对个人和家庭补助支出4.66万元，项目支出：300万元。项目支出包括生态环境执法成本。</w:t>
      </w: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二、整体支出管理及使用情况</w:t>
      </w:r>
    </w:p>
    <w:p>
      <w:pPr>
        <w:spacing w:line="600" w:lineRule="exact"/>
        <w:ind w:firstLine="480"/>
        <w:rPr>
          <w:rFonts w:hint="eastAsia" w:ascii="黑体" w:hAnsi="黑体" w:eastAsia="黑体" w:cs="黑体"/>
          <w:b w:val="0"/>
          <w:bCs/>
          <w:spacing w:val="-8"/>
          <w:sz w:val="32"/>
          <w:szCs w:val="32"/>
        </w:rPr>
      </w:pPr>
      <w:r>
        <w:rPr>
          <w:rFonts w:hint="eastAsia" w:ascii="黑体" w:hAnsi="黑体" w:eastAsia="黑体" w:cs="黑体"/>
          <w:b w:val="0"/>
          <w:bCs/>
          <w:spacing w:val="-8"/>
          <w:sz w:val="32"/>
          <w:szCs w:val="32"/>
        </w:rPr>
        <w:t>(一)预算执行情况</w:t>
      </w:r>
    </w:p>
    <w:p>
      <w:pPr>
        <w:spacing w:line="530" w:lineRule="exact"/>
        <w:ind w:firstLine="640" w:firstLineChars="20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2021年度邵阳市生态环境局预算实际到位数</w:t>
      </w:r>
      <w:r>
        <w:rPr>
          <w:rFonts w:hint="eastAsia" w:ascii="宋体" w:hAnsi="宋体" w:eastAsia="宋体"/>
          <w:sz w:val="32"/>
          <w:szCs w:val="32"/>
          <w:lang w:val="en-US" w:eastAsia="zh-CN"/>
        </w:rPr>
        <w:t>4,928.81万元</w:t>
      </w:r>
      <w:r>
        <w:rPr>
          <w:rFonts w:hint="eastAsia" w:ascii="宋体" w:hAnsi="宋体" w:eastAsia="宋体" w:cs="黑体"/>
          <w:color w:val="000000"/>
          <w:kern w:val="0"/>
          <w:sz w:val="32"/>
          <w:szCs w:val="32"/>
          <w:lang w:val="en-US" w:eastAsia="zh-CN" w:bidi="ar-SA"/>
        </w:rPr>
        <w:t>,实际支出数</w:t>
      </w:r>
      <w:r>
        <w:rPr>
          <w:rFonts w:hint="eastAsia" w:ascii="宋体" w:hAnsi="宋体" w:eastAsia="宋体"/>
          <w:sz w:val="32"/>
          <w:szCs w:val="32"/>
          <w:lang w:val="en-US" w:eastAsia="zh-CN"/>
        </w:rPr>
        <w:t>4,275.24万元</w:t>
      </w:r>
      <w:r>
        <w:rPr>
          <w:rFonts w:hint="eastAsia" w:ascii="宋体" w:hAnsi="宋体" w:eastAsia="宋体" w:cs="黑体"/>
          <w:color w:val="000000"/>
          <w:kern w:val="0"/>
          <w:sz w:val="32"/>
          <w:szCs w:val="32"/>
          <w:lang w:val="en-US" w:eastAsia="zh-CN" w:bidi="ar-SA"/>
        </w:rPr>
        <w:t>，其中：基本支出</w:t>
      </w:r>
      <w:r>
        <w:rPr>
          <w:rFonts w:hint="eastAsia" w:ascii="宋体" w:hAnsi="宋体" w:eastAsia="宋体"/>
          <w:sz w:val="32"/>
          <w:szCs w:val="32"/>
          <w:lang w:val="en-US" w:eastAsia="zh-CN"/>
        </w:rPr>
        <w:t>2,129.49万元</w:t>
      </w:r>
      <w:r>
        <w:rPr>
          <w:rFonts w:hint="eastAsia" w:ascii="宋体" w:hAnsi="宋体" w:eastAsia="宋体" w:cs="黑体"/>
          <w:color w:val="000000"/>
          <w:kern w:val="0"/>
          <w:sz w:val="32"/>
          <w:szCs w:val="32"/>
          <w:lang w:val="en-US" w:eastAsia="zh-CN" w:bidi="ar-SA"/>
        </w:rPr>
        <w:t>，项目支出</w:t>
      </w:r>
      <w:r>
        <w:rPr>
          <w:rFonts w:hint="eastAsia" w:ascii="宋体" w:hAnsi="宋体" w:eastAsia="宋体"/>
          <w:sz w:val="32"/>
          <w:szCs w:val="32"/>
          <w:lang w:val="en-US" w:eastAsia="zh-CN"/>
        </w:rPr>
        <w:t>2,145.76万元</w:t>
      </w:r>
      <w:r>
        <w:rPr>
          <w:rFonts w:hint="eastAsia" w:ascii="宋体" w:hAnsi="宋体" w:eastAsia="宋体" w:cs="黑体"/>
          <w:color w:val="000000"/>
          <w:kern w:val="0"/>
          <w:sz w:val="32"/>
          <w:szCs w:val="32"/>
          <w:lang w:val="en-US" w:eastAsia="zh-CN" w:bidi="ar-SA"/>
        </w:rPr>
        <w:t>。本期财政补助结转结余653.57元。</w:t>
      </w:r>
    </w:p>
    <w:p>
      <w:pPr>
        <w:spacing w:line="600" w:lineRule="exact"/>
        <w:ind w:firstLine="480"/>
        <w:rPr>
          <w:rFonts w:hint="eastAsia" w:ascii="黑体" w:hAnsi="黑体" w:eastAsia="黑体" w:cs="黑体"/>
          <w:b w:val="0"/>
          <w:bCs/>
          <w:spacing w:val="-8"/>
          <w:sz w:val="32"/>
          <w:szCs w:val="32"/>
        </w:rPr>
      </w:pPr>
      <w:r>
        <w:rPr>
          <w:rFonts w:hint="eastAsia" w:ascii="黑体" w:hAnsi="黑体" w:eastAsia="黑体" w:cs="黑体"/>
          <w:b w:val="0"/>
          <w:bCs/>
          <w:spacing w:val="-8"/>
          <w:sz w:val="32"/>
          <w:szCs w:val="32"/>
        </w:rPr>
        <w:t>(二)基本经费支出情况</w:t>
      </w:r>
    </w:p>
    <w:p>
      <w:pPr>
        <w:spacing w:line="530" w:lineRule="exact"/>
        <w:ind w:firstLine="48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2021年邵阳市生态环境局经费基本支出2,129.49万元，其中：工资福利支出1586.72万元，商品服务支出440.98万元，对个人和家庭补助支出97.13万元,资本性支出4.65万元。为了进一步规范财务管理，控制行政成本，减少浪费，邵阳市生态环境局制订了《财务管理制度（试行）》、《公务用车管理规定》，并规范公务接待工作，认真贯彻执行《党政机关厉行节约反对浪费条例》；邵阳市生态环境局在2021年的“三公经费”开支总额22.79万元，比2020年的71.54万元同比减少48.75万元，减少了68.14%。</w:t>
      </w:r>
    </w:p>
    <w:p>
      <w:pPr>
        <w:spacing w:line="600" w:lineRule="exact"/>
        <w:ind w:firstLine="480"/>
        <w:rPr>
          <w:rFonts w:hint="eastAsia" w:ascii="黑体" w:hAnsi="黑体" w:eastAsia="黑体" w:cs="黑体"/>
          <w:b w:val="0"/>
          <w:bCs/>
          <w:spacing w:val="-8"/>
          <w:sz w:val="32"/>
          <w:szCs w:val="32"/>
        </w:rPr>
      </w:pPr>
      <w:r>
        <w:rPr>
          <w:rFonts w:hint="eastAsia" w:ascii="黑体" w:hAnsi="黑体" w:eastAsia="黑体" w:cs="黑体"/>
          <w:b w:val="0"/>
          <w:bCs/>
          <w:spacing w:val="-8"/>
          <w:sz w:val="32"/>
          <w:szCs w:val="32"/>
        </w:rPr>
        <w:t>（三）专项经费支出情况</w:t>
      </w:r>
    </w:p>
    <w:p>
      <w:pPr>
        <w:spacing w:line="530" w:lineRule="exact"/>
        <w:ind w:firstLine="48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2021年邵阳市生态环境局项目经费支出</w:t>
      </w:r>
      <w:r>
        <w:rPr>
          <w:rFonts w:hint="eastAsia" w:ascii="宋体" w:hAnsi="宋体" w:eastAsia="宋体"/>
          <w:sz w:val="32"/>
          <w:szCs w:val="32"/>
          <w:lang w:val="en-US" w:eastAsia="zh-CN"/>
        </w:rPr>
        <w:t>2,145.76万</w:t>
      </w:r>
      <w:r>
        <w:rPr>
          <w:rFonts w:hint="eastAsia" w:ascii="宋体" w:hAnsi="宋体" w:eastAsia="宋体" w:cs="黑体"/>
          <w:color w:val="000000"/>
          <w:kern w:val="0"/>
          <w:sz w:val="32"/>
          <w:szCs w:val="32"/>
          <w:lang w:val="en-US" w:eastAsia="zh-CN" w:bidi="ar-SA"/>
        </w:rPr>
        <w:t>元，其中：商品服务支出910.72万元，债务利息及费用支出10.66万元，资本性支出1224.38万元。项目经费支出主要用于、新农村建设及扶贫支出、中央环保督查及省级环保督查“回头看”、污染防治攻坚战等。</w:t>
      </w: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三、整体支出管理及使用情况</w:t>
      </w:r>
    </w:p>
    <w:p>
      <w:pPr>
        <w:spacing w:line="530" w:lineRule="exact"/>
        <w:ind w:firstLine="48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1、“三公经费”控制情况的评价</w:t>
      </w:r>
    </w:p>
    <w:p>
      <w:pPr>
        <w:spacing w:line="530" w:lineRule="exact"/>
        <w:ind w:firstLine="640" w:firstLineChars="20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邵阳市生态环境局2021年“三公经费”预算数为51万元（其中:出国（境）经费预算数0万元，公务招待费用预算数35万元，公务用车购置及运行经费预算数16万元）, 2021年度实际发生“三公经费”支出22.79万元，其中：出国（境）经费0.00元，公务招待费用14.13万元，公务用车购置0万元及运行经费8.66万元。“三公经费”控制情况见下表：</w:t>
      </w:r>
    </w:p>
    <w:p>
      <w:pPr>
        <w:spacing w:line="530" w:lineRule="exact"/>
        <w:ind w:firstLine="48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 xml:space="preserve">  2021年度“三公经费”支出变动情况表    单位:万元</w:t>
      </w:r>
    </w:p>
    <w:tbl>
      <w:tblPr>
        <w:tblStyle w:val="3"/>
        <w:tblW w:w="8980"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2126"/>
        <w:gridCol w:w="1754"/>
        <w:gridCol w:w="1874"/>
        <w:gridCol w:w="1440"/>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695" w:type="dxa"/>
            <w:noWrap w:val="0"/>
            <w:vAlign w:val="center"/>
          </w:tcPr>
          <w:p>
            <w:pPr>
              <w:spacing w:line="3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序号</w:t>
            </w:r>
          </w:p>
        </w:tc>
        <w:tc>
          <w:tcPr>
            <w:tcW w:w="2126" w:type="dxa"/>
            <w:noWrap w:val="0"/>
            <w:vAlign w:val="center"/>
          </w:tcPr>
          <w:p>
            <w:pPr>
              <w:spacing w:line="3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项 目</w:t>
            </w:r>
          </w:p>
        </w:tc>
        <w:tc>
          <w:tcPr>
            <w:tcW w:w="1754" w:type="dxa"/>
            <w:noWrap w:val="0"/>
            <w:vAlign w:val="center"/>
          </w:tcPr>
          <w:p>
            <w:pPr>
              <w:spacing w:line="3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2021年预算数</w:t>
            </w:r>
          </w:p>
        </w:tc>
        <w:tc>
          <w:tcPr>
            <w:tcW w:w="1874" w:type="dxa"/>
            <w:noWrap w:val="0"/>
            <w:vAlign w:val="center"/>
          </w:tcPr>
          <w:p>
            <w:pPr>
              <w:spacing w:line="3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2021年支出数</w:t>
            </w:r>
          </w:p>
        </w:tc>
        <w:tc>
          <w:tcPr>
            <w:tcW w:w="1440" w:type="dxa"/>
            <w:noWrap w:val="0"/>
            <w:vAlign w:val="center"/>
          </w:tcPr>
          <w:p>
            <w:pPr>
              <w:spacing w:line="3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控制率（%）</w:t>
            </w:r>
          </w:p>
        </w:tc>
        <w:tc>
          <w:tcPr>
            <w:tcW w:w="1091" w:type="dxa"/>
            <w:noWrap w:val="0"/>
            <w:vAlign w:val="center"/>
          </w:tcPr>
          <w:p>
            <w:pPr>
              <w:spacing w:line="3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695" w:type="dxa"/>
            <w:noWrap w:val="0"/>
            <w:vAlign w:val="center"/>
          </w:tcPr>
          <w:p>
            <w:pPr>
              <w:spacing w:line="3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1</w:t>
            </w:r>
          </w:p>
        </w:tc>
        <w:tc>
          <w:tcPr>
            <w:tcW w:w="2126" w:type="dxa"/>
            <w:noWrap w:val="0"/>
            <w:vAlign w:val="center"/>
          </w:tcPr>
          <w:p>
            <w:pPr>
              <w:spacing w:line="3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出国（境）经费</w:t>
            </w:r>
          </w:p>
        </w:tc>
        <w:tc>
          <w:tcPr>
            <w:tcW w:w="1754" w:type="dxa"/>
            <w:noWrap w:val="0"/>
            <w:vAlign w:val="center"/>
          </w:tcPr>
          <w:p>
            <w:pPr>
              <w:spacing w:line="3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0</w:t>
            </w:r>
          </w:p>
        </w:tc>
        <w:tc>
          <w:tcPr>
            <w:tcW w:w="1874" w:type="dxa"/>
            <w:noWrap w:val="0"/>
            <w:vAlign w:val="center"/>
          </w:tcPr>
          <w:p>
            <w:pPr>
              <w:spacing w:line="3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0</w:t>
            </w:r>
          </w:p>
        </w:tc>
        <w:tc>
          <w:tcPr>
            <w:tcW w:w="1440" w:type="dxa"/>
            <w:noWrap w:val="0"/>
            <w:vAlign w:val="center"/>
          </w:tcPr>
          <w:p>
            <w:pPr>
              <w:spacing w:line="3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w:t>
            </w:r>
          </w:p>
        </w:tc>
        <w:tc>
          <w:tcPr>
            <w:tcW w:w="1091" w:type="dxa"/>
            <w:noWrap w:val="0"/>
            <w:vAlign w:val="center"/>
          </w:tcPr>
          <w:p>
            <w:pPr>
              <w:spacing w:line="300" w:lineRule="exact"/>
              <w:jc w:val="center"/>
              <w:rPr>
                <w:rFonts w:hint="eastAsia" w:ascii="仿宋_GB2312" w:hAnsi="Times New Roman" w:eastAsia="仿宋_GB2312"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695" w:type="dxa"/>
            <w:noWrap w:val="0"/>
            <w:vAlign w:val="center"/>
          </w:tcPr>
          <w:p>
            <w:pPr>
              <w:spacing w:line="3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2</w:t>
            </w:r>
          </w:p>
        </w:tc>
        <w:tc>
          <w:tcPr>
            <w:tcW w:w="2126" w:type="dxa"/>
            <w:noWrap w:val="0"/>
            <w:vAlign w:val="center"/>
          </w:tcPr>
          <w:p>
            <w:pPr>
              <w:spacing w:line="3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公务招待费</w:t>
            </w:r>
          </w:p>
        </w:tc>
        <w:tc>
          <w:tcPr>
            <w:tcW w:w="1754" w:type="dxa"/>
            <w:noWrap w:val="0"/>
            <w:vAlign w:val="center"/>
          </w:tcPr>
          <w:p>
            <w:pPr>
              <w:spacing w:line="3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35</w:t>
            </w:r>
          </w:p>
        </w:tc>
        <w:tc>
          <w:tcPr>
            <w:tcW w:w="1874" w:type="dxa"/>
            <w:noWrap w:val="0"/>
            <w:vAlign w:val="center"/>
          </w:tcPr>
          <w:p>
            <w:pPr>
              <w:spacing w:line="3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14.13</w:t>
            </w:r>
          </w:p>
        </w:tc>
        <w:tc>
          <w:tcPr>
            <w:tcW w:w="1440" w:type="dxa"/>
            <w:noWrap w:val="0"/>
            <w:vAlign w:val="center"/>
          </w:tcPr>
          <w:p>
            <w:pPr>
              <w:spacing w:line="3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40%</w:t>
            </w:r>
          </w:p>
        </w:tc>
        <w:tc>
          <w:tcPr>
            <w:tcW w:w="1091" w:type="dxa"/>
            <w:noWrap w:val="0"/>
            <w:vAlign w:val="center"/>
          </w:tcPr>
          <w:p>
            <w:pPr>
              <w:spacing w:line="300" w:lineRule="exact"/>
              <w:jc w:val="center"/>
              <w:rPr>
                <w:rFonts w:hint="eastAsia" w:ascii="仿宋_GB2312" w:hAnsi="Times New Roman" w:eastAsia="仿宋_GB2312"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695" w:type="dxa"/>
            <w:noWrap w:val="0"/>
            <w:vAlign w:val="center"/>
          </w:tcPr>
          <w:p>
            <w:pPr>
              <w:spacing w:line="3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3</w:t>
            </w:r>
          </w:p>
        </w:tc>
        <w:tc>
          <w:tcPr>
            <w:tcW w:w="2126" w:type="dxa"/>
            <w:noWrap w:val="0"/>
            <w:vAlign w:val="center"/>
          </w:tcPr>
          <w:p>
            <w:pPr>
              <w:spacing w:line="3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公务用车购置费</w:t>
            </w:r>
          </w:p>
        </w:tc>
        <w:tc>
          <w:tcPr>
            <w:tcW w:w="1754" w:type="dxa"/>
            <w:noWrap w:val="0"/>
            <w:vAlign w:val="center"/>
          </w:tcPr>
          <w:p>
            <w:pPr>
              <w:spacing w:line="3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0</w:t>
            </w:r>
          </w:p>
        </w:tc>
        <w:tc>
          <w:tcPr>
            <w:tcW w:w="1874" w:type="dxa"/>
            <w:noWrap w:val="0"/>
            <w:vAlign w:val="center"/>
          </w:tcPr>
          <w:p>
            <w:pPr>
              <w:spacing w:line="3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0</w:t>
            </w:r>
          </w:p>
        </w:tc>
        <w:tc>
          <w:tcPr>
            <w:tcW w:w="1440" w:type="dxa"/>
            <w:noWrap w:val="0"/>
            <w:vAlign w:val="center"/>
          </w:tcPr>
          <w:p>
            <w:pPr>
              <w:spacing w:line="3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w:t>
            </w:r>
          </w:p>
        </w:tc>
        <w:tc>
          <w:tcPr>
            <w:tcW w:w="1091" w:type="dxa"/>
            <w:noWrap w:val="0"/>
            <w:vAlign w:val="center"/>
          </w:tcPr>
          <w:p>
            <w:pPr>
              <w:spacing w:line="300" w:lineRule="exact"/>
              <w:jc w:val="center"/>
              <w:rPr>
                <w:rFonts w:hint="eastAsia" w:ascii="仿宋_GB2312" w:hAnsi="Times New Roman" w:eastAsia="仿宋_GB2312"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695" w:type="dxa"/>
            <w:noWrap w:val="0"/>
            <w:vAlign w:val="center"/>
          </w:tcPr>
          <w:p>
            <w:pPr>
              <w:spacing w:line="3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4</w:t>
            </w:r>
          </w:p>
        </w:tc>
        <w:tc>
          <w:tcPr>
            <w:tcW w:w="2126" w:type="dxa"/>
            <w:noWrap w:val="0"/>
            <w:vAlign w:val="center"/>
          </w:tcPr>
          <w:p>
            <w:pPr>
              <w:spacing w:line="3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公务用车运行费</w:t>
            </w:r>
          </w:p>
        </w:tc>
        <w:tc>
          <w:tcPr>
            <w:tcW w:w="1754" w:type="dxa"/>
            <w:noWrap w:val="0"/>
            <w:vAlign w:val="center"/>
          </w:tcPr>
          <w:p>
            <w:pPr>
              <w:spacing w:line="3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16</w:t>
            </w:r>
          </w:p>
        </w:tc>
        <w:tc>
          <w:tcPr>
            <w:tcW w:w="1874" w:type="dxa"/>
            <w:noWrap w:val="0"/>
            <w:vAlign w:val="center"/>
          </w:tcPr>
          <w:p>
            <w:pPr>
              <w:spacing w:line="3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8.66</w:t>
            </w:r>
          </w:p>
        </w:tc>
        <w:tc>
          <w:tcPr>
            <w:tcW w:w="1440" w:type="dxa"/>
            <w:noWrap w:val="0"/>
            <w:vAlign w:val="center"/>
          </w:tcPr>
          <w:p>
            <w:pPr>
              <w:spacing w:line="3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54%</w:t>
            </w:r>
          </w:p>
        </w:tc>
        <w:tc>
          <w:tcPr>
            <w:tcW w:w="1091" w:type="dxa"/>
            <w:noWrap w:val="0"/>
            <w:vAlign w:val="center"/>
          </w:tcPr>
          <w:p>
            <w:pPr>
              <w:spacing w:line="300" w:lineRule="exact"/>
              <w:jc w:val="center"/>
              <w:rPr>
                <w:rFonts w:hint="eastAsia" w:ascii="仿宋_GB2312" w:hAnsi="Times New Roman" w:eastAsia="仿宋_GB2312"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821" w:type="dxa"/>
            <w:gridSpan w:val="2"/>
            <w:noWrap w:val="0"/>
            <w:vAlign w:val="center"/>
          </w:tcPr>
          <w:p>
            <w:pPr>
              <w:spacing w:line="3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合    计</w:t>
            </w:r>
          </w:p>
        </w:tc>
        <w:tc>
          <w:tcPr>
            <w:tcW w:w="1754" w:type="dxa"/>
            <w:noWrap w:val="0"/>
            <w:vAlign w:val="center"/>
          </w:tcPr>
          <w:p>
            <w:pPr>
              <w:spacing w:line="3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51</w:t>
            </w:r>
          </w:p>
        </w:tc>
        <w:tc>
          <w:tcPr>
            <w:tcW w:w="1874" w:type="dxa"/>
            <w:noWrap w:val="0"/>
            <w:vAlign w:val="center"/>
          </w:tcPr>
          <w:p>
            <w:pPr>
              <w:spacing w:line="3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22.79</w:t>
            </w:r>
          </w:p>
        </w:tc>
        <w:tc>
          <w:tcPr>
            <w:tcW w:w="1440" w:type="dxa"/>
            <w:noWrap w:val="0"/>
            <w:vAlign w:val="center"/>
          </w:tcPr>
          <w:p>
            <w:pPr>
              <w:spacing w:line="3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44.69%</w:t>
            </w:r>
          </w:p>
        </w:tc>
        <w:tc>
          <w:tcPr>
            <w:tcW w:w="1091" w:type="dxa"/>
            <w:noWrap w:val="0"/>
            <w:vAlign w:val="center"/>
          </w:tcPr>
          <w:p>
            <w:pPr>
              <w:spacing w:line="300" w:lineRule="exact"/>
              <w:jc w:val="center"/>
              <w:rPr>
                <w:rFonts w:hint="eastAsia" w:ascii="仿宋_GB2312" w:hAnsi="Times New Roman" w:eastAsia="仿宋_GB2312" w:cs="Times New Roman"/>
                <w:sz w:val="24"/>
                <w:szCs w:val="24"/>
                <w:lang w:val="en-US" w:eastAsia="zh-CN"/>
              </w:rPr>
            </w:pPr>
          </w:p>
        </w:tc>
      </w:tr>
    </w:tbl>
    <w:p>
      <w:pPr>
        <w:spacing w:line="530" w:lineRule="exact"/>
        <w:ind w:firstLine="480"/>
        <w:rPr>
          <w:rFonts w:hint="eastAsia" w:ascii="宋体" w:hAnsi="宋体" w:eastAsia="宋体" w:cs="黑体"/>
          <w:color w:val="000000"/>
          <w:kern w:val="0"/>
          <w:sz w:val="32"/>
          <w:szCs w:val="32"/>
          <w:lang w:val="en-US" w:eastAsia="zh-CN" w:bidi="ar-SA"/>
        </w:rPr>
      </w:pPr>
    </w:p>
    <w:p>
      <w:pPr>
        <w:spacing w:line="530" w:lineRule="exact"/>
        <w:ind w:firstLine="48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2、非税收收入情况的评价</w:t>
      </w:r>
    </w:p>
    <w:p>
      <w:pPr>
        <w:spacing w:line="530" w:lineRule="exact"/>
        <w:ind w:firstLine="640" w:firstLineChars="20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邵阳市生态环境局2021年非税收入预算数为300万元，为一般罚没收入300万元。收入管理方面，严格执行“收支两条线”，所有非税收入除法律允许可当场收缴外，其余一律开具《湖南省非税收入一般缴款书》，在规定时限内通过代理银行存入市非税收入汇缴结算户。2021年邵阳市生态环境局非税收入154万元，非税收收入完成率为51.33%。</w:t>
      </w:r>
    </w:p>
    <w:p>
      <w:pPr>
        <w:spacing w:line="530" w:lineRule="exact"/>
        <w:ind w:firstLine="48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 xml:space="preserve">       </w:t>
      </w:r>
    </w:p>
    <w:p>
      <w:pPr>
        <w:spacing w:line="530" w:lineRule="exact"/>
        <w:ind w:firstLine="48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 xml:space="preserve">     2021年度非税收入完成情况表        单位:万元</w:t>
      </w:r>
    </w:p>
    <w:tbl>
      <w:tblPr>
        <w:tblStyle w:val="3"/>
        <w:tblW w:w="0" w:type="auto"/>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860"/>
        <w:gridCol w:w="1559"/>
        <w:gridCol w:w="1559"/>
        <w:gridCol w:w="1560"/>
        <w:gridCol w:w="1559"/>
        <w:gridCol w:w="850"/>
        <w:gridCol w:w="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544" w:type="dxa"/>
            <w:noWrap w:val="0"/>
            <w:vAlign w:val="center"/>
          </w:tcPr>
          <w:p>
            <w:pPr>
              <w:spacing w:line="530" w:lineRule="exact"/>
              <w:ind w:firstLine="480"/>
              <w:rPr>
                <w:rFonts w:hint="eastAsia" w:ascii="宋体" w:hAnsi="宋体" w:eastAsia="宋体" w:cs="黑体"/>
                <w:color w:val="000000"/>
                <w:kern w:val="0"/>
                <w:sz w:val="21"/>
                <w:szCs w:val="21"/>
                <w:lang w:val="en-US" w:eastAsia="zh-CN" w:bidi="ar-SA"/>
              </w:rPr>
            </w:pPr>
            <w:r>
              <w:rPr>
                <w:rFonts w:hint="eastAsia" w:ascii="宋体" w:hAnsi="宋体" w:eastAsia="宋体" w:cs="黑体"/>
                <w:color w:val="000000"/>
                <w:kern w:val="0"/>
                <w:sz w:val="21"/>
                <w:szCs w:val="21"/>
                <w:lang w:val="en-US" w:eastAsia="zh-CN" w:bidi="ar-SA"/>
              </w:rPr>
              <w:t>序号</w:t>
            </w:r>
          </w:p>
        </w:tc>
        <w:tc>
          <w:tcPr>
            <w:tcW w:w="860" w:type="dxa"/>
            <w:noWrap w:val="0"/>
            <w:vAlign w:val="center"/>
          </w:tcPr>
          <w:p>
            <w:pPr>
              <w:spacing w:line="530" w:lineRule="exact"/>
              <w:rPr>
                <w:rFonts w:hint="eastAsia" w:ascii="宋体" w:hAnsi="宋体" w:eastAsia="宋体" w:cs="黑体"/>
                <w:color w:val="000000"/>
                <w:kern w:val="0"/>
                <w:sz w:val="21"/>
                <w:szCs w:val="21"/>
                <w:lang w:val="en-US" w:eastAsia="zh-CN" w:bidi="ar-SA"/>
              </w:rPr>
            </w:pPr>
            <w:r>
              <w:rPr>
                <w:rFonts w:hint="eastAsia" w:ascii="宋体" w:hAnsi="宋体" w:eastAsia="宋体" w:cs="黑体"/>
                <w:color w:val="000000"/>
                <w:kern w:val="0"/>
                <w:sz w:val="21"/>
                <w:szCs w:val="21"/>
                <w:lang w:val="en-US" w:eastAsia="zh-CN" w:bidi="ar-SA"/>
              </w:rPr>
              <w:t>项 目</w:t>
            </w:r>
          </w:p>
        </w:tc>
        <w:tc>
          <w:tcPr>
            <w:tcW w:w="1559" w:type="dxa"/>
            <w:noWrap w:val="0"/>
            <w:vAlign w:val="center"/>
          </w:tcPr>
          <w:p>
            <w:pPr>
              <w:spacing w:line="530" w:lineRule="exact"/>
              <w:rPr>
                <w:rFonts w:hint="eastAsia" w:ascii="宋体" w:hAnsi="宋体" w:eastAsia="宋体" w:cs="黑体"/>
                <w:color w:val="000000"/>
                <w:kern w:val="0"/>
                <w:sz w:val="21"/>
                <w:szCs w:val="21"/>
                <w:lang w:val="en-US" w:eastAsia="zh-CN" w:bidi="ar-SA"/>
              </w:rPr>
            </w:pPr>
            <w:r>
              <w:rPr>
                <w:rFonts w:hint="eastAsia" w:ascii="宋体" w:hAnsi="宋体" w:eastAsia="宋体" w:cs="黑体"/>
                <w:color w:val="000000"/>
                <w:kern w:val="0"/>
                <w:sz w:val="21"/>
                <w:szCs w:val="21"/>
                <w:lang w:val="en-US" w:eastAsia="zh-CN" w:bidi="ar-SA"/>
              </w:rPr>
              <w:t>本年度计划收入数</w:t>
            </w:r>
          </w:p>
        </w:tc>
        <w:tc>
          <w:tcPr>
            <w:tcW w:w="1559" w:type="dxa"/>
            <w:noWrap w:val="0"/>
            <w:vAlign w:val="center"/>
          </w:tcPr>
          <w:p>
            <w:pPr>
              <w:spacing w:line="530" w:lineRule="exact"/>
              <w:rPr>
                <w:rFonts w:hint="eastAsia" w:ascii="宋体" w:hAnsi="宋体" w:eastAsia="宋体" w:cs="黑体"/>
                <w:color w:val="000000"/>
                <w:kern w:val="0"/>
                <w:sz w:val="21"/>
                <w:szCs w:val="21"/>
                <w:lang w:val="en-US" w:eastAsia="zh-CN" w:bidi="ar-SA"/>
              </w:rPr>
            </w:pPr>
            <w:r>
              <w:rPr>
                <w:rFonts w:hint="eastAsia" w:ascii="宋体" w:hAnsi="宋体" w:eastAsia="宋体" w:cs="黑体"/>
                <w:color w:val="000000"/>
                <w:kern w:val="0"/>
                <w:sz w:val="21"/>
                <w:szCs w:val="21"/>
                <w:lang w:val="en-US" w:eastAsia="zh-CN" w:bidi="ar-SA"/>
              </w:rPr>
              <w:t>本年度实际收入数</w:t>
            </w:r>
          </w:p>
        </w:tc>
        <w:tc>
          <w:tcPr>
            <w:tcW w:w="1560" w:type="dxa"/>
            <w:noWrap w:val="0"/>
            <w:vAlign w:val="center"/>
          </w:tcPr>
          <w:p>
            <w:pPr>
              <w:spacing w:line="530" w:lineRule="exact"/>
              <w:rPr>
                <w:rFonts w:hint="eastAsia" w:ascii="宋体" w:hAnsi="宋体" w:eastAsia="宋体" w:cs="黑体"/>
                <w:color w:val="000000"/>
                <w:kern w:val="0"/>
                <w:sz w:val="21"/>
                <w:szCs w:val="21"/>
                <w:lang w:val="en-US" w:eastAsia="zh-CN" w:bidi="ar-SA"/>
              </w:rPr>
            </w:pPr>
            <w:r>
              <w:rPr>
                <w:rFonts w:hint="eastAsia" w:ascii="宋体" w:hAnsi="宋体" w:eastAsia="宋体" w:cs="黑体"/>
                <w:color w:val="000000"/>
                <w:kern w:val="0"/>
                <w:sz w:val="21"/>
                <w:szCs w:val="21"/>
                <w:lang w:val="en-US" w:eastAsia="zh-CN" w:bidi="ar-SA"/>
              </w:rPr>
              <w:t>本年度上交数</w:t>
            </w:r>
          </w:p>
        </w:tc>
        <w:tc>
          <w:tcPr>
            <w:tcW w:w="1559" w:type="dxa"/>
            <w:noWrap w:val="0"/>
            <w:vAlign w:val="center"/>
          </w:tcPr>
          <w:p>
            <w:pPr>
              <w:spacing w:line="530" w:lineRule="exact"/>
              <w:rPr>
                <w:rFonts w:hint="eastAsia" w:ascii="宋体" w:hAnsi="宋体" w:eastAsia="宋体" w:cs="黑体"/>
                <w:color w:val="000000"/>
                <w:kern w:val="0"/>
                <w:sz w:val="21"/>
                <w:szCs w:val="21"/>
                <w:lang w:val="en-US" w:eastAsia="zh-CN" w:bidi="ar-SA"/>
              </w:rPr>
            </w:pPr>
            <w:r>
              <w:rPr>
                <w:rFonts w:hint="eastAsia" w:ascii="宋体" w:hAnsi="宋体" w:eastAsia="宋体" w:cs="黑体"/>
                <w:color w:val="000000"/>
                <w:kern w:val="0"/>
                <w:sz w:val="21"/>
                <w:szCs w:val="21"/>
                <w:lang w:val="en-US" w:eastAsia="zh-CN" w:bidi="ar-SA"/>
              </w:rPr>
              <w:t>增减金额</w:t>
            </w:r>
          </w:p>
        </w:tc>
        <w:tc>
          <w:tcPr>
            <w:tcW w:w="850" w:type="dxa"/>
            <w:noWrap w:val="0"/>
            <w:vAlign w:val="center"/>
          </w:tcPr>
          <w:p>
            <w:pPr>
              <w:spacing w:line="530" w:lineRule="exact"/>
              <w:rPr>
                <w:rFonts w:hint="eastAsia" w:ascii="宋体" w:hAnsi="宋体" w:eastAsia="宋体" w:cs="黑体"/>
                <w:color w:val="000000"/>
                <w:kern w:val="0"/>
                <w:sz w:val="21"/>
                <w:szCs w:val="21"/>
                <w:lang w:val="en-US" w:eastAsia="zh-CN" w:bidi="ar-SA"/>
              </w:rPr>
            </w:pPr>
            <w:r>
              <w:rPr>
                <w:rFonts w:hint="eastAsia" w:ascii="宋体" w:hAnsi="宋体" w:eastAsia="宋体" w:cs="黑体"/>
                <w:color w:val="000000"/>
                <w:kern w:val="0"/>
                <w:sz w:val="21"/>
                <w:szCs w:val="21"/>
                <w:lang w:val="en-US" w:eastAsia="zh-CN" w:bidi="ar-SA"/>
              </w:rPr>
              <w:t>完成率（%）</w:t>
            </w:r>
          </w:p>
        </w:tc>
        <w:tc>
          <w:tcPr>
            <w:tcW w:w="469" w:type="dxa"/>
            <w:noWrap w:val="0"/>
            <w:vAlign w:val="center"/>
          </w:tcPr>
          <w:p>
            <w:pPr>
              <w:spacing w:line="530" w:lineRule="exact"/>
              <w:ind w:firstLine="480"/>
              <w:rPr>
                <w:rFonts w:hint="eastAsia" w:ascii="宋体" w:hAnsi="宋体" w:eastAsia="宋体" w:cs="黑体"/>
                <w:color w:val="000000"/>
                <w:kern w:val="0"/>
                <w:sz w:val="21"/>
                <w:szCs w:val="21"/>
                <w:lang w:val="en-US" w:eastAsia="zh-CN" w:bidi="ar-SA"/>
              </w:rPr>
            </w:pPr>
            <w:r>
              <w:rPr>
                <w:rFonts w:hint="eastAsia" w:ascii="宋体" w:hAnsi="宋体" w:eastAsia="宋体" w:cs="黑体"/>
                <w:color w:val="000000"/>
                <w:kern w:val="0"/>
                <w:sz w:val="21"/>
                <w:szCs w:val="21"/>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544" w:type="dxa"/>
            <w:noWrap w:val="0"/>
            <w:vAlign w:val="center"/>
          </w:tcPr>
          <w:p>
            <w:pPr>
              <w:spacing w:line="530" w:lineRule="exact"/>
              <w:ind w:firstLine="480"/>
              <w:rPr>
                <w:rFonts w:hint="eastAsia" w:ascii="宋体" w:hAnsi="宋体" w:eastAsia="宋体" w:cs="黑体"/>
                <w:color w:val="000000"/>
                <w:kern w:val="0"/>
                <w:sz w:val="21"/>
                <w:szCs w:val="21"/>
                <w:lang w:val="en-US" w:eastAsia="zh-CN" w:bidi="ar-SA"/>
              </w:rPr>
            </w:pPr>
            <w:r>
              <w:rPr>
                <w:rFonts w:hint="eastAsia" w:ascii="宋体" w:hAnsi="宋体" w:eastAsia="宋体" w:cs="黑体"/>
                <w:color w:val="000000"/>
                <w:kern w:val="0"/>
                <w:sz w:val="21"/>
                <w:szCs w:val="21"/>
                <w:lang w:val="en-US" w:eastAsia="zh-CN" w:bidi="ar-SA"/>
              </w:rPr>
              <w:t>1</w:t>
            </w:r>
          </w:p>
        </w:tc>
        <w:tc>
          <w:tcPr>
            <w:tcW w:w="860" w:type="dxa"/>
            <w:noWrap w:val="0"/>
            <w:vAlign w:val="center"/>
          </w:tcPr>
          <w:p>
            <w:pPr>
              <w:spacing w:line="530" w:lineRule="exact"/>
              <w:rPr>
                <w:rFonts w:hint="eastAsia" w:ascii="宋体" w:hAnsi="宋体" w:eastAsia="宋体" w:cs="黑体"/>
                <w:color w:val="000000"/>
                <w:kern w:val="0"/>
                <w:sz w:val="21"/>
                <w:szCs w:val="21"/>
                <w:lang w:val="en-US" w:eastAsia="zh-CN" w:bidi="ar-SA"/>
              </w:rPr>
            </w:pPr>
            <w:r>
              <w:rPr>
                <w:rFonts w:hint="eastAsia" w:ascii="宋体" w:hAnsi="宋体" w:eastAsia="宋体" w:cs="黑体"/>
                <w:color w:val="000000"/>
                <w:kern w:val="0"/>
                <w:sz w:val="21"/>
                <w:szCs w:val="21"/>
                <w:lang w:val="en-US" w:eastAsia="zh-CN" w:bidi="ar-SA"/>
              </w:rPr>
              <w:t>一般罚没收入</w:t>
            </w:r>
          </w:p>
        </w:tc>
        <w:tc>
          <w:tcPr>
            <w:tcW w:w="1559" w:type="dxa"/>
            <w:noWrap w:val="0"/>
            <w:vAlign w:val="center"/>
          </w:tcPr>
          <w:p>
            <w:pPr>
              <w:spacing w:line="530" w:lineRule="exact"/>
              <w:ind w:firstLine="480"/>
              <w:rPr>
                <w:rFonts w:hint="eastAsia" w:ascii="宋体" w:hAnsi="宋体" w:eastAsia="宋体" w:cs="黑体"/>
                <w:color w:val="000000"/>
                <w:kern w:val="0"/>
                <w:sz w:val="21"/>
                <w:szCs w:val="21"/>
                <w:lang w:val="en-US" w:eastAsia="zh-CN" w:bidi="ar-SA"/>
              </w:rPr>
            </w:pPr>
            <w:r>
              <w:rPr>
                <w:rFonts w:hint="eastAsia" w:ascii="宋体" w:hAnsi="宋体" w:eastAsia="宋体" w:cs="黑体"/>
                <w:color w:val="000000"/>
                <w:kern w:val="0"/>
                <w:sz w:val="21"/>
                <w:szCs w:val="21"/>
                <w:lang w:val="en-US" w:eastAsia="zh-CN" w:bidi="ar-SA"/>
              </w:rPr>
              <w:t xml:space="preserve"> 300</w:t>
            </w:r>
          </w:p>
        </w:tc>
        <w:tc>
          <w:tcPr>
            <w:tcW w:w="1559" w:type="dxa"/>
            <w:noWrap w:val="0"/>
            <w:vAlign w:val="center"/>
          </w:tcPr>
          <w:p>
            <w:pPr>
              <w:spacing w:line="530" w:lineRule="exact"/>
              <w:ind w:firstLine="480"/>
              <w:rPr>
                <w:rFonts w:hint="default" w:ascii="宋体" w:hAnsi="宋体" w:eastAsia="宋体" w:cs="黑体"/>
                <w:color w:val="000000"/>
                <w:kern w:val="0"/>
                <w:sz w:val="21"/>
                <w:szCs w:val="21"/>
                <w:lang w:val="en-US" w:eastAsia="zh-CN" w:bidi="ar-SA"/>
              </w:rPr>
            </w:pPr>
            <w:r>
              <w:rPr>
                <w:rFonts w:hint="eastAsia" w:ascii="宋体" w:hAnsi="宋体" w:eastAsia="宋体" w:cs="黑体"/>
                <w:color w:val="000000"/>
                <w:kern w:val="0"/>
                <w:sz w:val="21"/>
                <w:szCs w:val="21"/>
                <w:lang w:val="en-US" w:eastAsia="zh-CN" w:bidi="ar-SA"/>
              </w:rPr>
              <w:t>154</w:t>
            </w:r>
          </w:p>
        </w:tc>
        <w:tc>
          <w:tcPr>
            <w:tcW w:w="1560" w:type="dxa"/>
            <w:noWrap w:val="0"/>
            <w:vAlign w:val="center"/>
          </w:tcPr>
          <w:p>
            <w:pPr>
              <w:spacing w:line="530" w:lineRule="exact"/>
              <w:ind w:firstLine="480"/>
              <w:rPr>
                <w:rFonts w:hint="default" w:ascii="宋体" w:hAnsi="宋体" w:eastAsia="宋体" w:cs="黑体"/>
                <w:color w:val="000000"/>
                <w:kern w:val="0"/>
                <w:sz w:val="21"/>
                <w:szCs w:val="21"/>
                <w:lang w:val="en-US" w:eastAsia="zh-CN" w:bidi="ar-SA"/>
              </w:rPr>
            </w:pPr>
            <w:r>
              <w:rPr>
                <w:rFonts w:hint="eastAsia" w:ascii="宋体" w:hAnsi="宋体" w:eastAsia="宋体" w:cs="黑体"/>
                <w:color w:val="000000"/>
                <w:kern w:val="0"/>
                <w:sz w:val="21"/>
                <w:szCs w:val="21"/>
                <w:lang w:val="en-US" w:eastAsia="zh-CN" w:bidi="ar-SA"/>
              </w:rPr>
              <w:t>154</w:t>
            </w:r>
          </w:p>
        </w:tc>
        <w:tc>
          <w:tcPr>
            <w:tcW w:w="1559" w:type="dxa"/>
            <w:noWrap w:val="0"/>
            <w:vAlign w:val="center"/>
          </w:tcPr>
          <w:p>
            <w:pPr>
              <w:spacing w:line="530" w:lineRule="exact"/>
              <w:ind w:firstLine="480"/>
              <w:rPr>
                <w:rFonts w:hint="eastAsia" w:ascii="宋体" w:hAnsi="宋体" w:eastAsia="宋体" w:cs="黑体"/>
                <w:color w:val="000000"/>
                <w:kern w:val="0"/>
                <w:sz w:val="21"/>
                <w:szCs w:val="21"/>
                <w:lang w:val="en-US" w:eastAsia="zh-CN" w:bidi="ar-SA"/>
              </w:rPr>
            </w:pPr>
            <w:r>
              <w:rPr>
                <w:rFonts w:hint="eastAsia" w:ascii="宋体" w:hAnsi="宋体" w:eastAsia="宋体" w:cs="黑体"/>
                <w:color w:val="000000"/>
                <w:kern w:val="0"/>
                <w:sz w:val="21"/>
                <w:szCs w:val="21"/>
                <w:lang w:val="en-US" w:eastAsia="zh-CN" w:bidi="ar-SA"/>
              </w:rPr>
              <w:t xml:space="preserve">145 </w:t>
            </w:r>
          </w:p>
        </w:tc>
        <w:tc>
          <w:tcPr>
            <w:tcW w:w="850" w:type="dxa"/>
            <w:noWrap w:val="0"/>
            <w:vAlign w:val="center"/>
          </w:tcPr>
          <w:p>
            <w:pPr>
              <w:spacing w:line="530" w:lineRule="exact"/>
              <w:ind w:firstLine="480"/>
              <w:rPr>
                <w:rFonts w:hint="eastAsia" w:ascii="宋体" w:hAnsi="宋体" w:eastAsia="宋体" w:cs="黑体"/>
                <w:color w:val="000000"/>
                <w:kern w:val="0"/>
                <w:sz w:val="21"/>
                <w:szCs w:val="21"/>
                <w:lang w:val="en-US" w:eastAsia="zh-CN" w:bidi="ar-SA"/>
              </w:rPr>
            </w:pPr>
            <w:r>
              <w:rPr>
                <w:rFonts w:hint="eastAsia" w:ascii="宋体" w:hAnsi="宋体" w:eastAsia="宋体" w:cs="黑体"/>
                <w:color w:val="000000"/>
                <w:kern w:val="0"/>
                <w:sz w:val="21"/>
                <w:szCs w:val="21"/>
                <w:lang w:val="en-US" w:eastAsia="zh-CN" w:bidi="ar-SA"/>
              </w:rPr>
              <w:t xml:space="preserve"> 51.33%</w:t>
            </w:r>
          </w:p>
        </w:tc>
        <w:tc>
          <w:tcPr>
            <w:tcW w:w="469" w:type="dxa"/>
            <w:noWrap w:val="0"/>
            <w:vAlign w:val="center"/>
          </w:tcPr>
          <w:p>
            <w:pPr>
              <w:spacing w:line="530" w:lineRule="exact"/>
              <w:ind w:firstLine="480"/>
              <w:rPr>
                <w:rFonts w:hint="eastAsia" w:ascii="宋体" w:hAnsi="宋体" w:eastAsia="宋体" w:cs="黑体"/>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404" w:type="dxa"/>
            <w:gridSpan w:val="2"/>
            <w:noWrap w:val="0"/>
            <w:vAlign w:val="center"/>
          </w:tcPr>
          <w:p>
            <w:pPr>
              <w:spacing w:line="530" w:lineRule="exact"/>
              <w:ind w:firstLine="480"/>
              <w:rPr>
                <w:rFonts w:hint="eastAsia" w:ascii="宋体" w:hAnsi="宋体" w:eastAsia="宋体" w:cs="黑体"/>
                <w:color w:val="000000"/>
                <w:kern w:val="0"/>
                <w:sz w:val="21"/>
                <w:szCs w:val="21"/>
                <w:lang w:val="en-US" w:eastAsia="zh-CN" w:bidi="ar-SA"/>
              </w:rPr>
            </w:pPr>
            <w:r>
              <w:rPr>
                <w:rFonts w:hint="eastAsia" w:ascii="宋体" w:hAnsi="宋体" w:eastAsia="宋体" w:cs="黑体"/>
                <w:color w:val="000000"/>
                <w:kern w:val="0"/>
                <w:sz w:val="21"/>
                <w:szCs w:val="21"/>
                <w:lang w:val="en-US" w:eastAsia="zh-CN" w:bidi="ar-SA"/>
              </w:rPr>
              <w:t>合  计</w:t>
            </w:r>
          </w:p>
        </w:tc>
        <w:tc>
          <w:tcPr>
            <w:tcW w:w="1559" w:type="dxa"/>
            <w:noWrap w:val="0"/>
            <w:vAlign w:val="center"/>
          </w:tcPr>
          <w:p>
            <w:pPr>
              <w:spacing w:line="530" w:lineRule="exact"/>
              <w:ind w:firstLine="480"/>
              <w:rPr>
                <w:rFonts w:hint="default" w:ascii="宋体" w:hAnsi="宋体" w:eastAsia="宋体" w:cs="黑体"/>
                <w:color w:val="000000"/>
                <w:kern w:val="0"/>
                <w:sz w:val="21"/>
                <w:szCs w:val="21"/>
                <w:lang w:val="en-US" w:eastAsia="zh-CN" w:bidi="ar-SA"/>
              </w:rPr>
            </w:pPr>
            <w:r>
              <w:rPr>
                <w:rFonts w:hint="eastAsia" w:ascii="宋体" w:hAnsi="宋体" w:eastAsia="宋体" w:cs="黑体"/>
                <w:color w:val="000000"/>
                <w:kern w:val="0"/>
                <w:sz w:val="21"/>
                <w:szCs w:val="21"/>
                <w:lang w:val="en-US" w:eastAsia="zh-CN" w:bidi="ar-SA"/>
              </w:rPr>
              <w:t>300</w:t>
            </w:r>
          </w:p>
        </w:tc>
        <w:tc>
          <w:tcPr>
            <w:tcW w:w="1559" w:type="dxa"/>
            <w:noWrap w:val="0"/>
            <w:vAlign w:val="center"/>
          </w:tcPr>
          <w:p>
            <w:pPr>
              <w:spacing w:line="530" w:lineRule="exact"/>
              <w:ind w:firstLine="480"/>
              <w:rPr>
                <w:rFonts w:hint="default" w:ascii="宋体" w:hAnsi="宋体" w:eastAsia="宋体" w:cs="黑体"/>
                <w:color w:val="000000"/>
                <w:kern w:val="0"/>
                <w:sz w:val="21"/>
                <w:szCs w:val="21"/>
                <w:lang w:val="en-US" w:eastAsia="zh-CN" w:bidi="ar-SA"/>
              </w:rPr>
            </w:pPr>
            <w:r>
              <w:rPr>
                <w:rFonts w:hint="eastAsia" w:ascii="宋体" w:hAnsi="宋体" w:eastAsia="宋体" w:cs="黑体"/>
                <w:color w:val="000000"/>
                <w:kern w:val="0"/>
                <w:sz w:val="21"/>
                <w:szCs w:val="21"/>
                <w:lang w:val="en-US" w:eastAsia="zh-CN" w:bidi="ar-SA"/>
              </w:rPr>
              <w:t>154</w:t>
            </w:r>
          </w:p>
        </w:tc>
        <w:tc>
          <w:tcPr>
            <w:tcW w:w="1560" w:type="dxa"/>
            <w:noWrap w:val="0"/>
            <w:vAlign w:val="center"/>
          </w:tcPr>
          <w:p>
            <w:pPr>
              <w:spacing w:line="530" w:lineRule="exact"/>
              <w:ind w:firstLine="480"/>
              <w:rPr>
                <w:rFonts w:hint="default" w:ascii="宋体" w:hAnsi="宋体" w:eastAsia="宋体" w:cs="黑体"/>
                <w:color w:val="000000"/>
                <w:kern w:val="0"/>
                <w:sz w:val="21"/>
                <w:szCs w:val="21"/>
                <w:lang w:val="en-US" w:eastAsia="zh-CN" w:bidi="ar-SA"/>
              </w:rPr>
            </w:pPr>
            <w:r>
              <w:rPr>
                <w:rFonts w:hint="eastAsia" w:ascii="宋体" w:hAnsi="宋体" w:eastAsia="宋体" w:cs="黑体"/>
                <w:color w:val="000000"/>
                <w:kern w:val="0"/>
                <w:sz w:val="21"/>
                <w:szCs w:val="21"/>
                <w:lang w:val="en-US" w:eastAsia="zh-CN" w:bidi="ar-SA"/>
              </w:rPr>
              <w:t>154</w:t>
            </w:r>
          </w:p>
        </w:tc>
        <w:tc>
          <w:tcPr>
            <w:tcW w:w="1559" w:type="dxa"/>
            <w:noWrap w:val="0"/>
            <w:vAlign w:val="center"/>
          </w:tcPr>
          <w:p>
            <w:pPr>
              <w:spacing w:line="530" w:lineRule="exact"/>
              <w:ind w:firstLine="480"/>
              <w:rPr>
                <w:rFonts w:hint="default" w:ascii="宋体" w:hAnsi="宋体" w:eastAsia="宋体" w:cs="黑体"/>
                <w:color w:val="000000"/>
                <w:kern w:val="0"/>
                <w:sz w:val="21"/>
                <w:szCs w:val="21"/>
                <w:lang w:val="en-US" w:eastAsia="zh-CN" w:bidi="ar-SA"/>
              </w:rPr>
            </w:pPr>
            <w:r>
              <w:rPr>
                <w:rFonts w:hint="eastAsia" w:ascii="宋体" w:hAnsi="宋体" w:eastAsia="宋体" w:cs="黑体"/>
                <w:color w:val="000000"/>
                <w:kern w:val="0"/>
                <w:sz w:val="21"/>
                <w:szCs w:val="21"/>
                <w:lang w:val="en-US" w:eastAsia="zh-CN" w:bidi="ar-SA"/>
              </w:rPr>
              <w:t>145</w:t>
            </w:r>
          </w:p>
        </w:tc>
        <w:tc>
          <w:tcPr>
            <w:tcW w:w="850" w:type="dxa"/>
            <w:noWrap w:val="0"/>
            <w:vAlign w:val="center"/>
          </w:tcPr>
          <w:p>
            <w:pPr>
              <w:spacing w:line="530" w:lineRule="exact"/>
              <w:rPr>
                <w:rFonts w:hint="eastAsia" w:ascii="宋体" w:hAnsi="宋体" w:eastAsia="宋体" w:cs="黑体"/>
                <w:color w:val="000000"/>
                <w:kern w:val="0"/>
                <w:sz w:val="21"/>
                <w:szCs w:val="21"/>
                <w:lang w:val="en-US" w:eastAsia="zh-CN" w:bidi="ar-SA"/>
              </w:rPr>
            </w:pPr>
            <w:r>
              <w:rPr>
                <w:rFonts w:hint="eastAsia" w:ascii="宋体" w:hAnsi="宋体" w:eastAsia="宋体" w:cs="黑体"/>
                <w:color w:val="000000"/>
                <w:kern w:val="0"/>
                <w:sz w:val="21"/>
                <w:szCs w:val="21"/>
                <w:lang w:val="en-US" w:eastAsia="zh-CN" w:bidi="ar-SA"/>
              </w:rPr>
              <w:t>51.33%</w:t>
            </w:r>
          </w:p>
        </w:tc>
        <w:tc>
          <w:tcPr>
            <w:tcW w:w="469" w:type="dxa"/>
            <w:noWrap w:val="0"/>
            <w:vAlign w:val="center"/>
          </w:tcPr>
          <w:p>
            <w:pPr>
              <w:spacing w:line="530" w:lineRule="exact"/>
              <w:ind w:firstLine="480"/>
              <w:rPr>
                <w:rFonts w:hint="eastAsia" w:ascii="宋体" w:hAnsi="宋体" w:eastAsia="宋体" w:cs="黑体"/>
                <w:color w:val="000000"/>
                <w:kern w:val="0"/>
                <w:sz w:val="21"/>
                <w:szCs w:val="21"/>
                <w:lang w:val="en-US" w:eastAsia="zh-CN" w:bidi="ar-SA"/>
              </w:rPr>
            </w:pPr>
          </w:p>
        </w:tc>
      </w:tr>
    </w:tbl>
    <w:p>
      <w:pPr>
        <w:spacing w:line="530" w:lineRule="exact"/>
        <w:ind w:firstLine="640" w:firstLineChars="20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3、政府采购执行情况的评价</w:t>
      </w:r>
    </w:p>
    <w:p>
      <w:pPr>
        <w:spacing w:line="530" w:lineRule="exact"/>
        <w:ind w:firstLine="640" w:firstLineChars="20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邵阳市生态环境局编制了2021年度政府采购预算并上报，采购预算金额222万元。2021年度单位对集中采购目录及限额标准内项目主要实行自行采购。</w:t>
      </w:r>
    </w:p>
    <w:p>
      <w:pPr>
        <w:spacing w:line="530" w:lineRule="exact"/>
        <w:ind w:firstLine="480"/>
        <w:rPr>
          <w:rFonts w:hint="eastAsia" w:ascii="黑体" w:hAnsi="黑体" w:eastAsia="黑体" w:cs="黑体"/>
          <w:color w:val="000000"/>
          <w:kern w:val="0"/>
          <w:sz w:val="32"/>
          <w:szCs w:val="32"/>
          <w:lang w:val="en-US" w:eastAsia="zh-CN" w:bidi="ar-SA"/>
        </w:rPr>
      </w:pPr>
    </w:p>
    <w:p>
      <w:pPr>
        <w:spacing w:line="530" w:lineRule="exact"/>
        <w:ind w:firstLine="640" w:firstLineChars="200"/>
        <w:rPr>
          <w:rFonts w:hint="eastAsia" w:ascii="黑体" w:hAnsi="黑体" w:eastAsia="黑体" w:cs="黑体"/>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四、预算管理评价情况</w:t>
      </w:r>
    </w:p>
    <w:p>
      <w:pPr>
        <w:spacing w:line="530" w:lineRule="exact"/>
        <w:ind w:firstLine="640" w:firstLineChars="200"/>
        <w:rPr>
          <w:rFonts w:hint="eastAsia" w:ascii="黑体" w:hAnsi="黑体" w:eastAsia="黑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为加强对预算资金的支出管理,邵阳市生态环境局先后修订了《财务管理制度》、《关于规范公务接待工作的通知》、《邵阳市环保局公务用车管理规定》、《邵阳市环保局内控制度》。切实执行非现金结算，单位一切开支均通过公务卡结算、国库集中支付结算。贯彻执行“三重一大”、“财务审批一支笔”民主集体理财制度，单位一把手对财务管理负总责，分管财务局领导负责报销审批。所有的支出严格按预算执行，实行事先审批，经费支出按照“先申报计划，再开支；先审核，后报销”的程序进行。每年由规划财务科按照收支平衡、统筹兼顾、保证重点、综合预算的原则编制年度财务预算，市财政局批复的预算在局门户网站公示。</w:t>
      </w:r>
    </w:p>
    <w:p>
      <w:pPr>
        <w:spacing w:line="530" w:lineRule="exact"/>
        <w:ind w:firstLine="640" w:firstLineChars="200"/>
        <w:rPr>
          <w:rFonts w:hint="eastAsia" w:ascii="黑体" w:hAnsi="黑体" w:eastAsia="黑体" w:cs="黑体"/>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五、资产管理评价情况</w:t>
      </w:r>
    </w:p>
    <w:p>
      <w:pPr>
        <w:spacing w:line="530" w:lineRule="exact"/>
        <w:ind w:firstLine="640" w:firstLineChars="200"/>
        <w:rPr>
          <w:rFonts w:hint="eastAsia" w:ascii="宋体" w:hAnsi="宋体" w:eastAsia="宋体" w:cs="宋体"/>
          <w:color w:val="000000"/>
          <w:kern w:val="0"/>
          <w:sz w:val="21"/>
          <w:szCs w:val="21"/>
          <w:lang w:val="en-US" w:eastAsia="zh-CN" w:bidi="ar-SA"/>
        </w:rPr>
      </w:pPr>
      <w:r>
        <w:rPr>
          <w:rFonts w:hint="eastAsia" w:ascii="宋体" w:hAnsi="宋体" w:eastAsia="宋体" w:cs="黑体"/>
          <w:color w:val="000000"/>
          <w:kern w:val="0"/>
          <w:sz w:val="32"/>
          <w:szCs w:val="32"/>
          <w:lang w:val="en-US" w:eastAsia="zh-CN" w:bidi="ar-SA"/>
        </w:rPr>
        <w:t>邵阳市生态环境局为加强资产管理，规范资产管理行为，在制订《财务管理制度》时专门设立章节规范了资产管理。单位的资产主要为固定资产，固定资产的购置执行政府采购制度，局办公室、信息宣教科和规划财务科根据实际情况编制年度采购预算计划，随同部门预算报市财政局批复计划。没有资产采购预算计划的，一律不得购置。财务部门每年及时报送行政事业单位资产报表，逐步建立有效的内部控制制度，规范资产从购置至处置各环节的国有资产管理行为，切实做到资产管理规范、资金使用规范、会计核算规范，确保国有资产安全完整和保值增值。2021年固定资产统计情况见下表:</w:t>
      </w:r>
    </w:p>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32"/>
          <w:szCs w:val="32"/>
        </w:rPr>
        <w:t xml:space="preserve">  202</w:t>
      </w:r>
      <w:r>
        <w:rPr>
          <w:rFonts w:hint="eastAsia" w:ascii="宋体" w:hAnsi="宋体" w:eastAsia="宋体" w:cs="宋体"/>
          <w:sz w:val="32"/>
          <w:szCs w:val="32"/>
          <w:lang w:val="en-US" w:eastAsia="zh-CN"/>
        </w:rPr>
        <w:t>1</w:t>
      </w:r>
      <w:r>
        <w:rPr>
          <w:rFonts w:hint="eastAsia" w:ascii="宋体" w:hAnsi="宋体" w:eastAsia="宋体" w:cs="宋体"/>
          <w:sz w:val="32"/>
          <w:szCs w:val="32"/>
        </w:rPr>
        <w:t xml:space="preserve">年度固定资产情况统计表  </w:t>
      </w:r>
      <w:r>
        <w:rPr>
          <w:rFonts w:hint="eastAsia" w:ascii="宋体" w:hAnsi="宋体" w:eastAsia="宋体" w:cs="宋体"/>
          <w:sz w:val="21"/>
          <w:szCs w:val="21"/>
        </w:rPr>
        <w:t xml:space="preserve">          单位:元</w:t>
      </w:r>
    </w:p>
    <w:tbl>
      <w:tblPr>
        <w:tblStyle w:val="3"/>
        <w:tblW w:w="9520" w:type="dxa"/>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1401"/>
        <w:gridCol w:w="594"/>
        <w:gridCol w:w="1492"/>
        <w:gridCol w:w="676"/>
        <w:gridCol w:w="736"/>
        <w:gridCol w:w="1691"/>
        <w:gridCol w:w="1682"/>
        <w:gridCol w:w="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532" w:type="dxa"/>
            <w:vMerge w:val="restart"/>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序号</w:t>
            </w:r>
          </w:p>
        </w:tc>
        <w:tc>
          <w:tcPr>
            <w:tcW w:w="1401" w:type="dxa"/>
            <w:vMerge w:val="restart"/>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类别</w:t>
            </w:r>
          </w:p>
        </w:tc>
        <w:tc>
          <w:tcPr>
            <w:tcW w:w="2086" w:type="dxa"/>
            <w:gridSpan w:val="2"/>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在用固定资产</w:t>
            </w:r>
          </w:p>
        </w:tc>
        <w:tc>
          <w:tcPr>
            <w:tcW w:w="1412" w:type="dxa"/>
            <w:gridSpan w:val="2"/>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未用固定资产</w:t>
            </w:r>
          </w:p>
        </w:tc>
        <w:tc>
          <w:tcPr>
            <w:tcW w:w="1691" w:type="dxa"/>
            <w:vMerge w:val="restart"/>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合计</w:t>
            </w:r>
          </w:p>
        </w:tc>
        <w:tc>
          <w:tcPr>
            <w:tcW w:w="1682" w:type="dxa"/>
            <w:vMerge w:val="restart"/>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固定资产利用率（%）</w:t>
            </w:r>
          </w:p>
        </w:tc>
        <w:tc>
          <w:tcPr>
            <w:tcW w:w="716" w:type="dxa"/>
            <w:vMerge w:val="restart"/>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532" w:type="dxa"/>
            <w:vMerge w:val="continue"/>
            <w:noWrap w:val="0"/>
            <w:vAlign w:val="center"/>
          </w:tcPr>
          <w:p>
            <w:pPr>
              <w:spacing w:line="300" w:lineRule="exact"/>
              <w:jc w:val="center"/>
              <w:rPr>
                <w:rFonts w:hint="eastAsia" w:ascii="宋体" w:hAnsi="宋体" w:eastAsia="宋体" w:cs="宋体"/>
                <w:sz w:val="21"/>
                <w:szCs w:val="21"/>
              </w:rPr>
            </w:pPr>
          </w:p>
        </w:tc>
        <w:tc>
          <w:tcPr>
            <w:tcW w:w="1401" w:type="dxa"/>
            <w:vMerge w:val="continue"/>
            <w:noWrap w:val="0"/>
            <w:vAlign w:val="center"/>
          </w:tcPr>
          <w:p>
            <w:pPr>
              <w:spacing w:line="300" w:lineRule="exact"/>
              <w:jc w:val="center"/>
              <w:rPr>
                <w:rFonts w:hint="eastAsia" w:ascii="宋体" w:hAnsi="宋体" w:eastAsia="宋体" w:cs="宋体"/>
                <w:sz w:val="21"/>
                <w:szCs w:val="21"/>
              </w:rPr>
            </w:pPr>
          </w:p>
        </w:tc>
        <w:tc>
          <w:tcPr>
            <w:tcW w:w="594" w:type="dxa"/>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数量</w:t>
            </w:r>
          </w:p>
        </w:tc>
        <w:tc>
          <w:tcPr>
            <w:tcW w:w="1492" w:type="dxa"/>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金额</w:t>
            </w:r>
          </w:p>
        </w:tc>
        <w:tc>
          <w:tcPr>
            <w:tcW w:w="676" w:type="dxa"/>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数量</w:t>
            </w:r>
          </w:p>
        </w:tc>
        <w:tc>
          <w:tcPr>
            <w:tcW w:w="736" w:type="dxa"/>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金额</w:t>
            </w:r>
          </w:p>
        </w:tc>
        <w:tc>
          <w:tcPr>
            <w:tcW w:w="1691" w:type="dxa"/>
            <w:vMerge w:val="continue"/>
            <w:noWrap w:val="0"/>
            <w:vAlign w:val="center"/>
          </w:tcPr>
          <w:p>
            <w:pPr>
              <w:spacing w:line="300" w:lineRule="exact"/>
              <w:jc w:val="center"/>
              <w:rPr>
                <w:rFonts w:hint="eastAsia" w:ascii="宋体" w:hAnsi="宋体" w:eastAsia="宋体" w:cs="宋体"/>
                <w:sz w:val="21"/>
                <w:szCs w:val="21"/>
              </w:rPr>
            </w:pPr>
          </w:p>
        </w:tc>
        <w:tc>
          <w:tcPr>
            <w:tcW w:w="1682" w:type="dxa"/>
            <w:vMerge w:val="continue"/>
            <w:noWrap w:val="0"/>
            <w:vAlign w:val="center"/>
          </w:tcPr>
          <w:p>
            <w:pPr>
              <w:spacing w:line="300" w:lineRule="exact"/>
              <w:jc w:val="center"/>
              <w:rPr>
                <w:rFonts w:hint="eastAsia" w:ascii="宋体" w:hAnsi="宋体" w:eastAsia="宋体" w:cs="宋体"/>
                <w:sz w:val="21"/>
                <w:szCs w:val="21"/>
              </w:rPr>
            </w:pPr>
          </w:p>
        </w:tc>
        <w:tc>
          <w:tcPr>
            <w:tcW w:w="716" w:type="dxa"/>
            <w:vMerge w:val="continue"/>
            <w:noWrap w:val="0"/>
            <w:vAlign w:val="center"/>
          </w:tcPr>
          <w:p>
            <w:pPr>
              <w:spacing w:line="3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32" w:type="dxa"/>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1401" w:type="dxa"/>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房屋建筑物</w:t>
            </w:r>
          </w:p>
        </w:tc>
        <w:tc>
          <w:tcPr>
            <w:tcW w:w="594" w:type="dxa"/>
            <w:noWrap w:val="0"/>
            <w:vAlign w:val="center"/>
          </w:tcPr>
          <w:p>
            <w:pPr>
              <w:spacing w:line="300" w:lineRule="exact"/>
              <w:jc w:val="center"/>
              <w:rPr>
                <w:rFonts w:hint="eastAsia" w:ascii="宋体" w:hAnsi="宋体" w:eastAsia="宋体" w:cs="宋体"/>
                <w:sz w:val="21"/>
                <w:szCs w:val="21"/>
              </w:rPr>
            </w:pPr>
          </w:p>
        </w:tc>
        <w:tc>
          <w:tcPr>
            <w:tcW w:w="1492" w:type="dxa"/>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4827</w:t>
            </w:r>
            <w:r>
              <w:rPr>
                <w:rFonts w:hint="eastAsia" w:ascii="宋体" w:hAnsi="宋体" w:eastAsia="宋体" w:cs="宋体"/>
                <w:sz w:val="21"/>
                <w:szCs w:val="21"/>
                <w:lang w:val="en-US" w:eastAsia="zh-CN"/>
              </w:rPr>
              <w:t>6157</w:t>
            </w:r>
            <w:r>
              <w:rPr>
                <w:rFonts w:hint="eastAsia" w:ascii="宋体" w:hAnsi="宋体" w:eastAsia="宋体" w:cs="宋体"/>
                <w:sz w:val="21"/>
                <w:szCs w:val="21"/>
              </w:rPr>
              <w:t>.64</w:t>
            </w:r>
          </w:p>
        </w:tc>
        <w:tc>
          <w:tcPr>
            <w:tcW w:w="676" w:type="dxa"/>
            <w:noWrap w:val="0"/>
            <w:vAlign w:val="center"/>
          </w:tcPr>
          <w:p>
            <w:pPr>
              <w:spacing w:line="300" w:lineRule="exact"/>
              <w:jc w:val="center"/>
              <w:rPr>
                <w:rFonts w:hint="eastAsia" w:ascii="宋体" w:hAnsi="宋体" w:eastAsia="宋体" w:cs="宋体"/>
                <w:sz w:val="21"/>
                <w:szCs w:val="21"/>
              </w:rPr>
            </w:pPr>
          </w:p>
        </w:tc>
        <w:tc>
          <w:tcPr>
            <w:tcW w:w="736" w:type="dxa"/>
            <w:noWrap w:val="0"/>
            <w:vAlign w:val="center"/>
          </w:tcPr>
          <w:p>
            <w:pPr>
              <w:spacing w:line="300" w:lineRule="exact"/>
              <w:jc w:val="center"/>
              <w:rPr>
                <w:rFonts w:hint="eastAsia" w:ascii="宋体" w:hAnsi="宋体" w:eastAsia="宋体" w:cs="宋体"/>
                <w:sz w:val="21"/>
                <w:szCs w:val="21"/>
              </w:rPr>
            </w:pPr>
          </w:p>
        </w:tc>
        <w:tc>
          <w:tcPr>
            <w:tcW w:w="1691" w:type="dxa"/>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4827</w:t>
            </w:r>
            <w:r>
              <w:rPr>
                <w:rFonts w:hint="eastAsia" w:ascii="宋体" w:hAnsi="宋体" w:eastAsia="宋体" w:cs="宋体"/>
                <w:sz w:val="21"/>
                <w:szCs w:val="21"/>
                <w:lang w:val="en-US" w:eastAsia="zh-CN"/>
              </w:rPr>
              <w:t>6157</w:t>
            </w:r>
            <w:r>
              <w:rPr>
                <w:rFonts w:hint="eastAsia" w:ascii="宋体" w:hAnsi="宋体" w:eastAsia="宋体" w:cs="宋体"/>
                <w:sz w:val="21"/>
                <w:szCs w:val="21"/>
              </w:rPr>
              <w:t>.64</w:t>
            </w:r>
          </w:p>
        </w:tc>
        <w:tc>
          <w:tcPr>
            <w:tcW w:w="1682" w:type="dxa"/>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100%</w:t>
            </w:r>
          </w:p>
        </w:tc>
        <w:tc>
          <w:tcPr>
            <w:tcW w:w="716" w:type="dxa"/>
            <w:noWrap w:val="0"/>
            <w:vAlign w:val="center"/>
          </w:tcPr>
          <w:p>
            <w:pPr>
              <w:spacing w:line="3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32" w:type="dxa"/>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1401" w:type="dxa"/>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通用设备</w:t>
            </w:r>
          </w:p>
        </w:tc>
        <w:tc>
          <w:tcPr>
            <w:tcW w:w="594" w:type="dxa"/>
            <w:noWrap w:val="0"/>
            <w:vAlign w:val="center"/>
          </w:tcPr>
          <w:p>
            <w:pPr>
              <w:spacing w:line="300" w:lineRule="exact"/>
              <w:jc w:val="center"/>
              <w:rPr>
                <w:rFonts w:hint="eastAsia" w:ascii="宋体" w:hAnsi="宋体" w:eastAsia="宋体" w:cs="宋体"/>
                <w:sz w:val="21"/>
                <w:szCs w:val="21"/>
              </w:rPr>
            </w:pPr>
          </w:p>
        </w:tc>
        <w:tc>
          <w:tcPr>
            <w:tcW w:w="1492" w:type="dxa"/>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val="en-US" w:eastAsia="zh-CN"/>
              </w:rPr>
              <w:t>787384.9</w:t>
            </w:r>
            <w:r>
              <w:rPr>
                <w:rFonts w:hint="eastAsia" w:ascii="宋体" w:hAnsi="宋体" w:eastAsia="宋体" w:cs="宋体"/>
                <w:sz w:val="21"/>
                <w:szCs w:val="21"/>
              </w:rPr>
              <w:t>9</w:t>
            </w:r>
          </w:p>
        </w:tc>
        <w:tc>
          <w:tcPr>
            <w:tcW w:w="676" w:type="dxa"/>
            <w:noWrap w:val="0"/>
            <w:vAlign w:val="center"/>
          </w:tcPr>
          <w:p>
            <w:pPr>
              <w:spacing w:line="300" w:lineRule="exact"/>
              <w:jc w:val="center"/>
              <w:rPr>
                <w:rFonts w:hint="eastAsia" w:ascii="宋体" w:hAnsi="宋体" w:eastAsia="宋体" w:cs="宋体"/>
                <w:sz w:val="21"/>
                <w:szCs w:val="21"/>
              </w:rPr>
            </w:pPr>
          </w:p>
        </w:tc>
        <w:tc>
          <w:tcPr>
            <w:tcW w:w="736" w:type="dxa"/>
            <w:noWrap w:val="0"/>
            <w:vAlign w:val="center"/>
          </w:tcPr>
          <w:p>
            <w:pPr>
              <w:spacing w:line="300" w:lineRule="exact"/>
              <w:jc w:val="center"/>
              <w:rPr>
                <w:rFonts w:hint="eastAsia" w:ascii="宋体" w:hAnsi="宋体" w:eastAsia="宋体" w:cs="宋体"/>
                <w:sz w:val="21"/>
                <w:szCs w:val="21"/>
              </w:rPr>
            </w:pPr>
          </w:p>
        </w:tc>
        <w:tc>
          <w:tcPr>
            <w:tcW w:w="1691" w:type="dxa"/>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val="en-US" w:eastAsia="zh-CN"/>
              </w:rPr>
              <w:t>787384.9</w:t>
            </w:r>
            <w:r>
              <w:rPr>
                <w:rFonts w:hint="eastAsia" w:ascii="宋体" w:hAnsi="宋体" w:eastAsia="宋体" w:cs="宋体"/>
                <w:sz w:val="21"/>
                <w:szCs w:val="21"/>
              </w:rPr>
              <w:t>9</w:t>
            </w:r>
          </w:p>
        </w:tc>
        <w:tc>
          <w:tcPr>
            <w:tcW w:w="1682" w:type="dxa"/>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100%</w:t>
            </w:r>
          </w:p>
        </w:tc>
        <w:tc>
          <w:tcPr>
            <w:tcW w:w="716" w:type="dxa"/>
            <w:noWrap w:val="0"/>
            <w:vAlign w:val="center"/>
          </w:tcPr>
          <w:p>
            <w:pPr>
              <w:spacing w:line="3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32" w:type="dxa"/>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3</w:t>
            </w:r>
          </w:p>
        </w:tc>
        <w:tc>
          <w:tcPr>
            <w:tcW w:w="1401" w:type="dxa"/>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专用设备</w:t>
            </w:r>
          </w:p>
        </w:tc>
        <w:tc>
          <w:tcPr>
            <w:tcW w:w="594" w:type="dxa"/>
            <w:noWrap w:val="0"/>
            <w:vAlign w:val="center"/>
          </w:tcPr>
          <w:p>
            <w:pPr>
              <w:spacing w:line="300" w:lineRule="exact"/>
              <w:jc w:val="center"/>
              <w:rPr>
                <w:rFonts w:hint="eastAsia" w:ascii="宋体" w:hAnsi="宋体" w:eastAsia="宋体" w:cs="宋体"/>
                <w:sz w:val="21"/>
                <w:szCs w:val="21"/>
              </w:rPr>
            </w:pPr>
          </w:p>
        </w:tc>
        <w:tc>
          <w:tcPr>
            <w:tcW w:w="1492" w:type="dxa"/>
            <w:noWrap w:val="0"/>
            <w:vAlign w:val="center"/>
          </w:tcPr>
          <w:p>
            <w:pPr>
              <w:spacing w:line="3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9420140.05</w:t>
            </w:r>
          </w:p>
        </w:tc>
        <w:tc>
          <w:tcPr>
            <w:tcW w:w="676" w:type="dxa"/>
            <w:noWrap w:val="0"/>
            <w:vAlign w:val="center"/>
          </w:tcPr>
          <w:p>
            <w:pPr>
              <w:spacing w:line="300" w:lineRule="exact"/>
              <w:jc w:val="center"/>
              <w:rPr>
                <w:rFonts w:hint="eastAsia" w:ascii="宋体" w:hAnsi="宋体" w:eastAsia="宋体" w:cs="宋体"/>
                <w:sz w:val="21"/>
                <w:szCs w:val="21"/>
              </w:rPr>
            </w:pPr>
          </w:p>
        </w:tc>
        <w:tc>
          <w:tcPr>
            <w:tcW w:w="736" w:type="dxa"/>
            <w:noWrap w:val="0"/>
            <w:vAlign w:val="center"/>
          </w:tcPr>
          <w:p>
            <w:pPr>
              <w:spacing w:line="300" w:lineRule="exact"/>
              <w:jc w:val="center"/>
              <w:rPr>
                <w:rFonts w:hint="eastAsia" w:ascii="宋体" w:hAnsi="宋体" w:eastAsia="宋体" w:cs="宋体"/>
                <w:sz w:val="21"/>
                <w:szCs w:val="21"/>
              </w:rPr>
            </w:pPr>
          </w:p>
        </w:tc>
        <w:tc>
          <w:tcPr>
            <w:tcW w:w="1691" w:type="dxa"/>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9420140.05</w:t>
            </w:r>
          </w:p>
        </w:tc>
        <w:tc>
          <w:tcPr>
            <w:tcW w:w="1682" w:type="dxa"/>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100%</w:t>
            </w:r>
          </w:p>
        </w:tc>
        <w:tc>
          <w:tcPr>
            <w:tcW w:w="716" w:type="dxa"/>
            <w:noWrap w:val="0"/>
            <w:vAlign w:val="center"/>
          </w:tcPr>
          <w:p>
            <w:pPr>
              <w:spacing w:line="3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32" w:type="dxa"/>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4</w:t>
            </w:r>
          </w:p>
        </w:tc>
        <w:tc>
          <w:tcPr>
            <w:tcW w:w="1401" w:type="dxa"/>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家具、用具</w:t>
            </w:r>
          </w:p>
        </w:tc>
        <w:tc>
          <w:tcPr>
            <w:tcW w:w="594" w:type="dxa"/>
            <w:noWrap w:val="0"/>
            <w:vAlign w:val="center"/>
          </w:tcPr>
          <w:p>
            <w:pPr>
              <w:spacing w:line="300" w:lineRule="exact"/>
              <w:jc w:val="center"/>
              <w:rPr>
                <w:rFonts w:hint="eastAsia" w:ascii="宋体" w:hAnsi="宋体" w:eastAsia="宋体" w:cs="宋体"/>
                <w:sz w:val="21"/>
                <w:szCs w:val="21"/>
              </w:rPr>
            </w:pPr>
          </w:p>
        </w:tc>
        <w:tc>
          <w:tcPr>
            <w:tcW w:w="1492" w:type="dxa"/>
            <w:noWrap w:val="0"/>
            <w:vAlign w:val="center"/>
          </w:tcPr>
          <w:p>
            <w:pPr>
              <w:spacing w:line="3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rPr>
              <w:t>13</w:t>
            </w:r>
            <w:r>
              <w:rPr>
                <w:rFonts w:hint="eastAsia" w:ascii="宋体" w:hAnsi="宋体" w:eastAsia="宋体" w:cs="宋体"/>
                <w:sz w:val="21"/>
                <w:szCs w:val="21"/>
                <w:lang w:val="en-US" w:eastAsia="zh-CN"/>
              </w:rPr>
              <w:t>85889.66</w:t>
            </w:r>
          </w:p>
        </w:tc>
        <w:tc>
          <w:tcPr>
            <w:tcW w:w="676" w:type="dxa"/>
            <w:noWrap w:val="0"/>
            <w:vAlign w:val="center"/>
          </w:tcPr>
          <w:p>
            <w:pPr>
              <w:spacing w:line="300" w:lineRule="exact"/>
              <w:jc w:val="center"/>
              <w:rPr>
                <w:rFonts w:hint="eastAsia" w:ascii="宋体" w:hAnsi="宋体" w:eastAsia="宋体" w:cs="宋体"/>
                <w:sz w:val="21"/>
                <w:szCs w:val="21"/>
              </w:rPr>
            </w:pPr>
          </w:p>
        </w:tc>
        <w:tc>
          <w:tcPr>
            <w:tcW w:w="736" w:type="dxa"/>
            <w:noWrap w:val="0"/>
            <w:vAlign w:val="center"/>
          </w:tcPr>
          <w:p>
            <w:pPr>
              <w:spacing w:line="300" w:lineRule="exact"/>
              <w:jc w:val="center"/>
              <w:rPr>
                <w:rFonts w:hint="eastAsia" w:ascii="宋体" w:hAnsi="宋体" w:eastAsia="宋体" w:cs="宋体"/>
                <w:sz w:val="21"/>
                <w:szCs w:val="21"/>
              </w:rPr>
            </w:pPr>
          </w:p>
        </w:tc>
        <w:tc>
          <w:tcPr>
            <w:tcW w:w="1691" w:type="dxa"/>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13</w:t>
            </w:r>
            <w:r>
              <w:rPr>
                <w:rFonts w:hint="eastAsia" w:ascii="宋体" w:hAnsi="宋体" w:eastAsia="宋体" w:cs="宋体"/>
                <w:sz w:val="21"/>
                <w:szCs w:val="21"/>
                <w:lang w:val="en-US" w:eastAsia="zh-CN"/>
              </w:rPr>
              <w:t>85889.66</w:t>
            </w:r>
          </w:p>
        </w:tc>
        <w:tc>
          <w:tcPr>
            <w:tcW w:w="1682" w:type="dxa"/>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100%</w:t>
            </w:r>
          </w:p>
        </w:tc>
        <w:tc>
          <w:tcPr>
            <w:tcW w:w="716" w:type="dxa"/>
            <w:noWrap w:val="0"/>
            <w:vAlign w:val="center"/>
          </w:tcPr>
          <w:p>
            <w:pPr>
              <w:spacing w:line="3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33" w:type="dxa"/>
            <w:gridSpan w:val="2"/>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合   计</w:t>
            </w:r>
          </w:p>
        </w:tc>
        <w:tc>
          <w:tcPr>
            <w:tcW w:w="594" w:type="dxa"/>
            <w:noWrap w:val="0"/>
            <w:vAlign w:val="center"/>
          </w:tcPr>
          <w:p>
            <w:pPr>
              <w:spacing w:line="300" w:lineRule="exact"/>
              <w:jc w:val="center"/>
              <w:rPr>
                <w:rFonts w:hint="eastAsia" w:ascii="宋体" w:hAnsi="宋体" w:eastAsia="宋体" w:cs="宋体"/>
                <w:sz w:val="21"/>
                <w:szCs w:val="21"/>
              </w:rPr>
            </w:pPr>
          </w:p>
        </w:tc>
        <w:tc>
          <w:tcPr>
            <w:tcW w:w="1492" w:type="dxa"/>
            <w:noWrap w:val="0"/>
            <w:vAlign w:val="center"/>
          </w:tcPr>
          <w:p>
            <w:pPr>
              <w:spacing w:line="3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74869572.34</w:t>
            </w:r>
          </w:p>
        </w:tc>
        <w:tc>
          <w:tcPr>
            <w:tcW w:w="676" w:type="dxa"/>
            <w:noWrap w:val="0"/>
            <w:vAlign w:val="center"/>
          </w:tcPr>
          <w:p>
            <w:pPr>
              <w:spacing w:line="300" w:lineRule="exact"/>
              <w:jc w:val="center"/>
              <w:rPr>
                <w:rFonts w:hint="eastAsia" w:ascii="宋体" w:hAnsi="宋体" w:eastAsia="宋体" w:cs="宋体"/>
                <w:sz w:val="21"/>
                <w:szCs w:val="21"/>
              </w:rPr>
            </w:pPr>
          </w:p>
        </w:tc>
        <w:tc>
          <w:tcPr>
            <w:tcW w:w="736" w:type="dxa"/>
            <w:noWrap w:val="0"/>
            <w:vAlign w:val="center"/>
          </w:tcPr>
          <w:p>
            <w:pPr>
              <w:spacing w:line="300" w:lineRule="exact"/>
              <w:jc w:val="center"/>
              <w:rPr>
                <w:rFonts w:hint="eastAsia" w:ascii="宋体" w:hAnsi="宋体" w:eastAsia="宋体" w:cs="宋体"/>
                <w:sz w:val="21"/>
                <w:szCs w:val="21"/>
              </w:rPr>
            </w:pPr>
          </w:p>
        </w:tc>
        <w:tc>
          <w:tcPr>
            <w:tcW w:w="1691" w:type="dxa"/>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74869572.34</w:t>
            </w:r>
          </w:p>
        </w:tc>
        <w:tc>
          <w:tcPr>
            <w:tcW w:w="1682" w:type="dxa"/>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100%</w:t>
            </w:r>
          </w:p>
        </w:tc>
        <w:tc>
          <w:tcPr>
            <w:tcW w:w="716" w:type="dxa"/>
            <w:noWrap w:val="0"/>
            <w:vAlign w:val="center"/>
          </w:tcPr>
          <w:p>
            <w:pPr>
              <w:spacing w:line="300" w:lineRule="exact"/>
              <w:rPr>
                <w:rFonts w:hint="eastAsia" w:ascii="宋体" w:hAnsi="宋体" w:eastAsia="宋体" w:cs="宋体"/>
                <w:sz w:val="21"/>
                <w:szCs w:val="21"/>
              </w:rPr>
            </w:pPr>
          </w:p>
        </w:tc>
      </w:tr>
    </w:tbl>
    <w:p>
      <w:pPr>
        <w:spacing w:line="530" w:lineRule="exact"/>
        <w:ind w:firstLine="480"/>
        <w:rPr>
          <w:rFonts w:hint="eastAsia" w:ascii="黑体" w:hAnsi="黑体" w:eastAsia="黑体" w:cs="黑体"/>
          <w:color w:val="000000"/>
          <w:kern w:val="0"/>
          <w:sz w:val="32"/>
          <w:szCs w:val="32"/>
          <w:lang w:val="en-US" w:eastAsia="zh-CN" w:bidi="ar-SA"/>
        </w:rPr>
      </w:pPr>
    </w:p>
    <w:p>
      <w:pPr>
        <w:spacing w:line="530" w:lineRule="exact"/>
        <w:ind w:firstLine="640" w:firstLineChars="200"/>
        <w:rPr>
          <w:rFonts w:hint="eastAsia" w:ascii="黑体" w:hAnsi="黑体" w:eastAsia="黑体" w:cs="黑体"/>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六、综合评价情况及评价结论</w:t>
      </w:r>
    </w:p>
    <w:p>
      <w:pPr>
        <w:spacing w:line="530" w:lineRule="exact"/>
        <w:ind w:firstLine="640" w:firstLineChars="20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2021年邵阳市生态环境局经费开支严格按预算执行，日常财务管理工作，实行统一核算，统一帐户，统一管理，所有的财务收支活动归口科技财务科统一管理，做到开源节流，使有限的经费发挥较优作用，基本支出保证机关正常运转，2021年“三公经费”开支控制良好，整体支出基本符合国家财经法规和财务管理制度规定以及有关专项资金管理办法的规定，资金拨付有完整的审批程序和手续，支出符合部门预算批复的用途，资金使用无截留、挤占、挪用、虚列支出、随意借用、大额现金支付等情况，重大财务事项经由集体研究决策，专项资金做到专款专用，原始凭证的取得真实有效，无超范围、超预算开支。根据邵阳市财政局《部门整体支出绩效评价指标》评分体系，讨论分析后，得分92分。</w:t>
      </w:r>
    </w:p>
    <w:p>
      <w:pPr>
        <w:spacing w:line="530" w:lineRule="exact"/>
        <w:ind w:firstLine="640" w:firstLineChars="200"/>
        <w:rPr>
          <w:rFonts w:hint="eastAsia" w:ascii="黑体" w:hAnsi="黑体" w:eastAsia="黑体" w:cs="黑体"/>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七、部门整体支出绩效情况</w:t>
      </w:r>
    </w:p>
    <w:p>
      <w:pPr>
        <w:spacing w:line="530" w:lineRule="exact"/>
        <w:ind w:firstLine="640" w:firstLineChars="20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2021年，全市上下深入贯彻落实习近平生态文明思想，践行“绿水青山就是金山银山”理念，坚决执行党中央、国务院，省委、省政府的决策部署和市委市政府工作部署，以改善生态环境质量为核心，持续推进蓝天、碧水、净土三大保卫战，狠抓生态环境问题整改，区域环境质量稳中向好。市区空气质量优良天数327天，优良率89.6% ，消除了重污染天气；9个市县空气环境质量首次全部达到二级质量标准；辖区内52个国控省控地表水断面、省市级交界断面水质和16个县级以上城市集中式饮用水水源达标率均为100%，水质均为Ⅱ类或以上；受污染耕地安全利用53.01万亩、严格管控1.74万亩，受污染耕地安全利用率100%。城步苗族自治县、邵东市分别因环境空气质量、农村环境综合整治获省政府2021年真抓实干激励表彰。</w:t>
      </w:r>
    </w:p>
    <w:p>
      <w:pPr>
        <w:spacing w:line="530" w:lineRule="exact"/>
        <w:ind w:firstLine="480"/>
        <w:rPr>
          <w:rFonts w:hint="eastAsia" w:ascii="黑体" w:hAnsi="黑体" w:eastAsia="黑体" w:cs="黑体"/>
          <w:color w:val="000000"/>
          <w:kern w:val="0"/>
          <w:sz w:val="32"/>
          <w:szCs w:val="32"/>
          <w:lang w:val="en-US" w:eastAsia="zh-CN" w:bidi="ar-SA"/>
        </w:rPr>
      </w:pPr>
    </w:p>
    <w:p>
      <w:pPr>
        <w:spacing w:line="530" w:lineRule="exact"/>
        <w:ind w:firstLine="640" w:firstLineChars="200"/>
        <w:rPr>
          <w:rFonts w:hint="eastAsia" w:ascii="黑体" w:hAnsi="黑体" w:eastAsia="黑体" w:cs="黑体"/>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八、存在的主要问题</w:t>
      </w:r>
    </w:p>
    <w:p>
      <w:pPr>
        <w:spacing w:line="530" w:lineRule="exact"/>
        <w:ind w:firstLine="640" w:firstLineChars="20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1、年初预算编制欠精准，预算与实际支出差距较大</w:t>
      </w:r>
    </w:p>
    <w:p>
      <w:pPr>
        <w:spacing w:line="530" w:lineRule="exact"/>
        <w:ind w:firstLine="48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一是总体预算与实际支出差距较大。二是“三公经费”制度建设及日常管理有待完善。</w:t>
      </w:r>
    </w:p>
    <w:p>
      <w:pPr>
        <w:spacing w:line="530" w:lineRule="exact"/>
        <w:ind w:firstLine="640" w:firstLineChars="20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2、资产管理欠规范</w:t>
      </w:r>
    </w:p>
    <w:p>
      <w:pPr>
        <w:spacing w:line="530" w:lineRule="exact"/>
        <w:ind w:firstLine="640" w:firstLineChars="20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固定资产未落实到人。</w:t>
      </w:r>
    </w:p>
    <w:p>
      <w:pPr>
        <w:spacing w:line="530" w:lineRule="exact"/>
        <w:ind w:firstLine="480"/>
        <w:rPr>
          <w:rFonts w:hint="eastAsia" w:ascii="黑体" w:hAnsi="黑体" w:eastAsia="黑体" w:cs="黑体"/>
          <w:color w:val="000000"/>
          <w:kern w:val="0"/>
          <w:sz w:val="32"/>
          <w:szCs w:val="32"/>
          <w:lang w:val="en-US" w:eastAsia="zh-CN" w:bidi="ar-SA"/>
        </w:rPr>
      </w:pPr>
    </w:p>
    <w:p>
      <w:pPr>
        <w:spacing w:line="530" w:lineRule="exact"/>
        <w:ind w:firstLine="640" w:firstLineChars="200"/>
        <w:rPr>
          <w:rFonts w:hint="eastAsia" w:ascii="黑体" w:hAnsi="黑体" w:eastAsia="黑体" w:cs="黑体"/>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九、改进措施和有关建议</w:t>
      </w:r>
    </w:p>
    <w:p>
      <w:pPr>
        <w:spacing w:line="530" w:lineRule="exact"/>
        <w:ind w:firstLine="640" w:firstLineChars="20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1、合理编制年度预算，结合以前年度预算执行情况及本年度预算收支变化因素和绩效目标需求，科学编制预算方案，保持预算执行的严肃性。强化支出计划，严格经费支出管理。在确保人员经费开支，必要的办公经费需要的前提下制定切实可行的预算支出计划，严格执行，保证计划的有效性。</w:t>
      </w:r>
    </w:p>
    <w:p>
      <w:pPr>
        <w:spacing w:line="530" w:lineRule="exact"/>
        <w:ind w:firstLine="640" w:firstLineChars="20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2、完善“三公”经费管理办法。强化报账审核手续，无公函的公务活动不予接待，无审批表的餐饮发票不予报销，菜单中不得出现与餐饮无关物品以及香烟和高档酒水等。禁止异地部门间没有特别需要的一般性学习交流、考察调研。加强公务用车管理，完善用车手续和用车流程内控制度，防范公务用车改后革既领交通补贴又违规使用公车现象发生。</w:t>
      </w:r>
    </w:p>
    <w:p>
      <w:pPr>
        <w:spacing w:line="530" w:lineRule="exact"/>
        <w:ind w:firstLine="640" w:firstLineChars="20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3、严格开支范围和标准，严格支出报销审核，严格控制国内差旅费、因公临时出国费、公务接待费、公务用车购置及运行费、会议费、培训费等支出，年度预算执行中不予追加。对各类基本支出严格按《关于规范公务员津贴补贴问题的通知》、《邵阳市市直机关差旅费管理办法》、《邵阳市市直机关会议费管理办法》、《邵阳市市直机关培训费管理办法》等文件执行。</w:t>
      </w:r>
    </w:p>
    <w:p>
      <w:pPr>
        <w:spacing w:line="530" w:lineRule="exact"/>
        <w:ind w:firstLine="640" w:firstLineChars="20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4、完善资产管理。建立和健全各项规章制度，明晰产权关系，实施产权管理，保障资产的安全和完整；完善账务处理方式，保障国有资产的安全完整，防止国有资产使用中的不当损失和浪费；对政府采购目录内项目或限额标准以上的资产，需按规定执行政府采购程序。对所占有、使用的国有资产应当每年至少清查盘点一次，做到家底清楚，账、卡、实相符，防止国有资产流失；建立严格的国有资产管理责任制，将国有资产管理责任落实到每个人。</w:t>
      </w:r>
    </w:p>
    <w:p>
      <w:pPr>
        <w:spacing w:line="530" w:lineRule="exact"/>
        <w:ind w:firstLine="480"/>
        <w:rPr>
          <w:rFonts w:hint="eastAsia" w:ascii="宋体" w:hAnsi="宋体" w:eastAsia="宋体" w:cs="黑体"/>
          <w:color w:val="000000"/>
          <w:kern w:val="0"/>
          <w:sz w:val="32"/>
          <w:szCs w:val="32"/>
          <w:lang w:val="en-US" w:eastAsia="zh-CN" w:bidi="ar-SA"/>
        </w:rPr>
      </w:pPr>
    </w:p>
    <w:p>
      <w:pPr>
        <w:spacing w:line="530" w:lineRule="exact"/>
        <w:ind w:firstLine="48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 xml:space="preserve">                               邵阳市生态环境局</w:t>
      </w:r>
    </w:p>
    <w:p>
      <w:pPr>
        <w:spacing w:line="530" w:lineRule="exact"/>
        <w:ind w:left="5668" w:leftChars="456" w:hanging="4710" w:hangingChars="1472"/>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 xml:space="preserve">                             2022年9月8日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lOTMxZjc4ZTJjMGU1MGY5ZWFiNjJmMTQxMDdkMGYifQ=="/>
  </w:docVars>
  <w:rsids>
    <w:rsidRoot w:val="71C47ED0"/>
    <w:rsid w:val="71C47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样式2"/>
    <w:basedOn w:val="1"/>
    <w:qFormat/>
    <w:uiPriority w:val="99"/>
    <w:pPr>
      <w:widowControl/>
      <w:shd w:val="clear" w:color="auto" w:fill="FFFFFF"/>
      <w:spacing w:before="100" w:beforeAutospacing="1" w:after="100" w:afterAutospacing="1"/>
      <w:ind w:left="562"/>
      <w:jc w:val="center"/>
    </w:pPr>
    <w:rPr>
      <w:rFonts w:ascii="宋体" w:hAnsi="宋体" w:cs="宋体"/>
      <w:b/>
      <w:bCs/>
    </w:rPr>
  </w:style>
  <w:style w:type="paragraph" w:customStyle="1" w:styleId="5">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2022-09-27T01:03:00Z</dcterms:created>
  <dc:creator>小懿</dc:creator>
  <cp:lastModifiedBy>小懿</cp:lastModifiedBy>
  <dcterms:modified xsi:type="dcterms:W3CDTF">2022-09-27T01:03:37Z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CD6CF98A5586426AA2802435F7BF8A47</vt:lpwstr>
  </property>
</Properties>
</file>