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1FE1">
      <w:pPr>
        <w:spacing w:after="0" w:line="360" w:lineRule="auto"/>
        <w:jc w:val="center"/>
        <w:rPr>
          <w:rFonts w:hint="eastAsia" w:ascii="宋体" w:hAnsi="宋体" w:eastAsia="宋体"/>
          <w:sz w:val="32"/>
          <w:szCs w:val="32"/>
        </w:rPr>
      </w:pPr>
      <w:bookmarkStart w:id="0" w:name="_GoBack"/>
      <w:bookmarkEnd w:id="0"/>
    </w:p>
    <w:p w14:paraId="1DE02C77">
      <w:pPr>
        <w:pStyle w:val="2"/>
        <w:rPr>
          <w:rFonts w:hint="eastAsia" w:ascii="宋体" w:hAnsi="宋体" w:eastAsia="宋体"/>
          <w:sz w:val="32"/>
          <w:szCs w:val="32"/>
        </w:rPr>
      </w:pPr>
    </w:p>
    <w:p w14:paraId="3EDC1507">
      <w:pPr>
        <w:ind w:firstLine="4160" w:firstLineChars="13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邵市环评（ 1 ）〔2025〕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0CCEA7D4">
      <w:pPr>
        <w:adjustRightInd w:val="0"/>
        <w:snapToGrid w:val="0"/>
        <w:spacing w:line="288" w:lineRule="auto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湖南比武堂家居有限公司年产8000平方米实木家具建设项目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环境影响报告表的批复</w:t>
      </w:r>
    </w:p>
    <w:p w14:paraId="3FDA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湖南比武堂家居有限公司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4D79C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你单位报送的《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湖南比武堂家居有限公司年产8000平方米实木家具建设项目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环境影响报告表》（以下简称《报告表》）以及项目申请批复的报告已收悉。经研究，现批复如下：</w:t>
      </w:r>
    </w:p>
    <w:p w14:paraId="10AE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一、基本情况</w:t>
      </w:r>
    </w:p>
    <w:p w14:paraId="7CC3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你单位拟投资200万元，在湖南省邵东市牛马司镇范家山社区范家山村（坐标：经度111度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46.789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秒，纬度27度1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26.644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秒）建设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年产8000平方米实木家具建设项目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，国民经济行业分类：C2110木质家具制造。该项目总占地面积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,租赁邵东博通包装有限公司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闲置场地进行建设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主要建设内容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1栋3层的生产厂房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包括开料区、打孔区、精加工区、雕花区、组装区、检验区、养生房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油磨区、底漆房、面漆房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烘干房、包装区、成品区及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配套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环保工程。项目建成后年产实木家具8000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。根据国家发展改革委第7号令《产业结构调整指导目录（2024年本）》，该项目符合国家产业政策要求。根据湖南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润之源环保科技有限责任公司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编制的建设项目环境影响报告表的分析结论，从环境保护的角度，同意你单位按照《报告表》确定的地点、规模、工艺、污染防治措施建设该项目。</w:t>
      </w:r>
    </w:p>
    <w:p w14:paraId="2F5B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二、在项目的建设、生产过程中，应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严格落实环评提出污染防治措施，并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严格执行环保“三同时”制度，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确保污染物达标排放，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并重点做好以下几项工作：</w:t>
      </w:r>
    </w:p>
    <w:p w14:paraId="5E76C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1、控制废水污染物排放。项目生活污水经化粪池处理后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须达到《污水综合排放标准》（GB8978-1996）三级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排放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后再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经市政污水管网排入牛马司镇污水处理厂处理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水帘柜废水经沉淀捞渣后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循环利用，不外排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9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2、强化废气污染防治。开料、钻孔、平刨、压刨、铣型等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木工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工序采用集气罩收集后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经布袋除尘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后车间无组织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排放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白磨粉尘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采用密闭打磨+水帘柜除尘后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车间无组织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排放；油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磨粉尘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采用密闭打磨+水帘柜除尘后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车间无组织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排放；调漆、喷漆、烘干工序均在密闭房间内进行，调漆、喷漆、烘干有机废气经负压收集后经水帘柜+干式过滤器+二级活性炭吸附处理至楼顶通过高20m排气筒（DA001）排放。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项目有组织废气：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调漆、喷漆、烘干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废气中的挥发性有机物执行《家具制造行业挥发性有机物排放标准》（DB43/1355-2017）中表1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最高允许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排放限值；颗粒物执行《大气污染物综合排放标准》（GB 16297-1996）表2中的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最高允许排放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浓度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及排放速率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；臭气执行《恶臭污染物排放标准》(GB14554-93)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表2恶臭污染物排放标准值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厂界无组织挥发性有机物执行《家具制造行业挥发性有机物排放标准》（DB43/1355-2017）中表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2无组织排放浓度限值；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颗粒物执行《大气污染物综合排放标准》（GB 16297-1996）表2中的无组织排放监控浓度限值；臭气执行《恶臭污染物排放标准》(GB14554-93)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表1厂界标准值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；厂区内无组织非甲烷总烃执行《挥发性有机物无组织排放控制标准》（GB37822-2019）中附录A表A.1厂区内VOCs无组织排放限值。</w:t>
      </w:r>
    </w:p>
    <w:p w14:paraId="2E7E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3、加强噪声控制管理。选用先进的低噪声设备，对高噪声设备采取减振、隔声等措施，确保厂界噪声须达到《工业企业厂界环境噪声排放标准》（GB12348-2008）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2类标准。</w:t>
      </w:r>
    </w:p>
    <w:p w14:paraId="0652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妥善处置固体废物。生活垃圾集中收集后交由环卫部门统一清运；废木料木屑、除尘粉尘、废包装材料、废砂纸等一般固废收集后暂存于一般固废暂存间，定期外售综合利用；废化学品桶、废活性炭、废漆渣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废过滤棉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、废润滑油、废油桶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油磨漆渣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含油抹布及手套等危险废物分类收集于危险废物暂存间，定期交由有资质单位处置。危废暂存间须满足《危险废物贮存污染控制标准》（GB18597-2023）的要求。</w:t>
      </w:r>
    </w:p>
    <w:p w14:paraId="1A462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强化风险防范措施。危废暂存间等环境风险单元设防风、防雨、防晒、防渗、防漏、防腐等措施；建设单位在日常生产过程中须加强对废气、废水处理设施的监督管理和运行维护，保证废气、废水处理设施正常运行，杜绝事故排放发生，确保环境安全。</w:t>
      </w:r>
    </w:p>
    <w:p w14:paraId="44ED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6、加强企业环境管理。合理布局生产设施和污染防治设施，建立健全生产与环境保护管理制度，实行清洁生产，全过程控制污染。</w:t>
      </w:r>
    </w:p>
    <w:p w14:paraId="431C2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三、项目污染物排放总量控制指标：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VOCs≤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1.08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t/a。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按照相关政策通过排污权交易方式获得排污总量。项目投入生产后，严格落实污染物总量控制制度，不得超过主要污染物排放总量控制指标。</w:t>
      </w:r>
    </w:p>
    <w:p w14:paraId="5FECC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、项目建成后，在启动生产设施或者实际排污之前，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规定办理排污许可手续。</w:t>
      </w:r>
    </w:p>
    <w:p w14:paraId="738E8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环境影响报告表经批准后，若项目的性质、规模、地点、采用的生产工艺或者防治污染、防止生态破坏的措施发生重大变动的，须重新报批该项目的环境影响报告表。自环境影响报告表批复文件批准之日起，如超过5年方决定工程开工建设的，环境影响报告表应当报我局重新审核。</w:t>
      </w:r>
    </w:p>
    <w:p w14:paraId="7D95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、按规定办理项目竣工环境保护验收手续，经验收合格后方可投入运营。</w:t>
      </w:r>
    </w:p>
    <w:p w14:paraId="5B4B7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8B00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6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邵阳市生态环境局</w:t>
      </w:r>
    </w:p>
    <w:p w14:paraId="22A06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6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1EED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 w14:paraId="3855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4CD0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抄送：牛马司镇人民政府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润之源环保科技有限责任公司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FE"/>
    <w:rsid w:val="00034BBC"/>
    <w:rsid w:val="00213067"/>
    <w:rsid w:val="002247B7"/>
    <w:rsid w:val="002843FE"/>
    <w:rsid w:val="00322A71"/>
    <w:rsid w:val="003262AC"/>
    <w:rsid w:val="00387365"/>
    <w:rsid w:val="003A24D9"/>
    <w:rsid w:val="00473F1E"/>
    <w:rsid w:val="00710FF6"/>
    <w:rsid w:val="00827D6D"/>
    <w:rsid w:val="00921C5C"/>
    <w:rsid w:val="00AC19C3"/>
    <w:rsid w:val="00AC1DFE"/>
    <w:rsid w:val="00B4644C"/>
    <w:rsid w:val="00C9441C"/>
    <w:rsid w:val="00CC0324"/>
    <w:rsid w:val="00D8030F"/>
    <w:rsid w:val="00DE37F4"/>
    <w:rsid w:val="00FE17AD"/>
    <w:rsid w:val="04A44EF6"/>
    <w:rsid w:val="0636582A"/>
    <w:rsid w:val="0AAB36B7"/>
    <w:rsid w:val="0B4F33B7"/>
    <w:rsid w:val="19DC0E99"/>
    <w:rsid w:val="1ACE2025"/>
    <w:rsid w:val="1F9312C5"/>
    <w:rsid w:val="1F9F7886"/>
    <w:rsid w:val="244D6AE3"/>
    <w:rsid w:val="2AFB7EF4"/>
    <w:rsid w:val="2EEE0998"/>
    <w:rsid w:val="2F2E3DB0"/>
    <w:rsid w:val="436332AB"/>
    <w:rsid w:val="4B0A463F"/>
    <w:rsid w:val="4D790F88"/>
    <w:rsid w:val="506348EA"/>
    <w:rsid w:val="551B39E5"/>
    <w:rsid w:val="5A2473C4"/>
    <w:rsid w:val="5DC00614"/>
    <w:rsid w:val="5E074567"/>
    <w:rsid w:val="5F917AF1"/>
    <w:rsid w:val="5FF45FC1"/>
    <w:rsid w:val="61244B8D"/>
    <w:rsid w:val="662C67E2"/>
    <w:rsid w:val="66664F1A"/>
    <w:rsid w:val="66703465"/>
    <w:rsid w:val="678A2447"/>
    <w:rsid w:val="68365A30"/>
    <w:rsid w:val="6B404763"/>
    <w:rsid w:val="6BD8099D"/>
    <w:rsid w:val="6DC0459C"/>
    <w:rsid w:val="6F414838"/>
    <w:rsid w:val="733F2DF7"/>
    <w:rsid w:val="7A85272E"/>
    <w:rsid w:val="7C483BBD"/>
    <w:rsid w:val="7CD103BA"/>
    <w:rsid w:val="7F2175A2"/>
    <w:rsid w:val="7F9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6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7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8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9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10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11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2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4">
    <w:name w:val="xl27"/>
    <w:basedOn w:val="5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15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1">
    <w:name w:val="annotation reference"/>
    <w:semiHidden/>
    <w:qFormat/>
    <w:uiPriority w:val="0"/>
    <w:rPr>
      <w:sz w:val="21"/>
    </w:rPr>
  </w:style>
  <w:style w:type="character" w:customStyle="1" w:styleId="22">
    <w:name w:val="标题 1 字符"/>
    <w:basedOn w:val="20"/>
    <w:link w:val="6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7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8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9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10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20"/>
    <w:link w:val="11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12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13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4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6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5"/>
    <w:qFormat/>
    <w:uiPriority w:val="99"/>
    <w:rPr>
      <w:sz w:val="18"/>
      <w:szCs w:val="18"/>
    </w:rPr>
  </w:style>
  <w:style w:type="paragraph" w:customStyle="1" w:styleId="42">
    <w:name w:val="文本正文"/>
    <w:basedOn w:val="1"/>
    <w:qFormat/>
    <w:uiPriority w:val="0"/>
    <w:pPr>
      <w:spacing w:after="0" w:line="360" w:lineRule="auto"/>
      <w:ind w:firstLine="480" w:firstLineChars="200"/>
      <w:jc w:val="both"/>
    </w:pPr>
    <w:rPr>
      <w:rFonts w:ascii="Times New Roman" w:hAnsi="Times New Roman" w:eastAsia="宋体" w:cs="Times New Roman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1847</Words>
  <Characters>2029</Characters>
  <Lines>44</Lines>
  <Paragraphs>16</Paragraphs>
  <TotalTime>1</TotalTime>
  <ScaleCrop>false</ScaleCrop>
  <LinksUpToDate>false</LinksUpToDate>
  <CharactersWithSpaces>2036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2025-08-29T06:24:00Z</dcterms:created>
  <dc:creator>楚龙 陈</dc:creator>
  <cp:lastModifiedBy>演示人</cp:lastModifiedBy>
  <cp:lastPrinted>2025-09-29T01:37:00Z</cp:lastPrinted>
  <dcterms:modified xsi:type="dcterms:W3CDTF">2025-12-11T01:38:21Z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eyJoZGlkIjoiYmJiZTdkNDE4ZjRkNjQxNDg1YzFlZTdlZjM1NjE4YmUiLCJ1c2VySWQiOiIyMjc3NjQ1NzUifQ==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0B7E7DFFD43A495F959EBA9C2D817F08_13</vt:lpwstr>
  </property>
</Properties>
</file>