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bookmarkStart w:id="0" w:name="_Toc4140"/>
      <w:r>
        <w:rPr>
          <w:rFonts w:hint="eastAsia" w:ascii="方正小标宋_GBK" w:eastAsia="方正小标宋_GBK"/>
          <w:bCs/>
          <w:sz w:val="72"/>
          <w:szCs w:val="72"/>
        </w:rPr>
        <w:t>建设项目环境影响报告表</w:t>
      </w:r>
      <w:bookmarkEnd w:id="0"/>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
      <w:pPr>
        <w:pStyle w:val="13"/>
      </w:pPr>
    </w:p>
    <w:p/>
    <w:p/>
    <w:p>
      <w:pPr>
        <w:pStyle w:val="13"/>
      </w:pPr>
    </w:p>
    <w:p/>
    <w:p>
      <w:pPr>
        <w:pStyle w:val="13"/>
      </w:pPr>
    </w:p>
    <w:p>
      <w:pPr>
        <w:pStyle w:val="13"/>
      </w:pPr>
    </w:p>
    <w:p>
      <w:pPr>
        <w:pStyle w:val="13"/>
      </w:pPr>
    </w:p>
    <w:p>
      <w:pPr>
        <w:pStyle w:val="13"/>
      </w:pPr>
    </w:p>
    <w:p/>
    <w:p>
      <w:pPr>
        <w:adjustRightInd w:val="0"/>
        <w:snapToGrid w:val="0"/>
        <w:spacing w:line="288" w:lineRule="auto"/>
        <w:jc w:val="center"/>
        <w:rPr>
          <w:rFonts w:ascii="仿宋_GB2312" w:eastAsia="仿宋_GB2312"/>
          <w:sz w:val="36"/>
          <w:szCs w:val="36"/>
        </w:rPr>
      </w:pPr>
    </w:p>
    <w:p>
      <w:pPr>
        <w:adjustRightInd w:val="0"/>
        <w:snapToGrid w:val="0"/>
        <w:spacing w:line="288" w:lineRule="auto"/>
        <w:jc w:val="center"/>
        <w:rPr>
          <w:rFonts w:eastAsia="仿宋_GB2312"/>
          <w:sz w:val="36"/>
          <w:szCs w:val="36"/>
        </w:rPr>
      </w:pPr>
    </w:p>
    <w:p>
      <w:pPr>
        <w:adjustRightInd w:val="0"/>
        <w:snapToGrid w:val="0"/>
        <w:spacing w:line="288" w:lineRule="auto"/>
        <w:jc w:val="both"/>
        <w:rPr>
          <w:rFonts w:eastAsia="仿宋_GB2312"/>
          <w:sz w:val="36"/>
          <w:szCs w:val="36"/>
        </w:rPr>
      </w:pPr>
      <w:r>
        <w:rPr>
          <w:rFonts w:eastAsia="仿宋_GB2312"/>
          <w:sz w:val="36"/>
          <w:szCs w:val="36"/>
        </w:rPr>
        <w:t>项目名称： 年加工1000件标识牌广告牌项目</w:t>
      </w:r>
    </w:p>
    <w:p>
      <w:pPr>
        <w:adjustRightInd w:val="0"/>
        <w:snapToGrid w:val="0"/>
        <w:spacing w:line="288" w:lineRule="auto"/>
        <w:jc w:val="center"/>
        <w:rPr>
          <w:rFonts w:eastAsia="仿宋_GB2312"/>
          <w:sz w:val="36"/>
          <w:szCs w:val="36"/>
        </w:rPr>
      </w:pPr>
      <w:r>
        <w:rPr>
          <w:rFonts w:eastAsia="仿宋_GB2312"/>
          <w:sz w:val="36"/>
          <w:szCs w:val="36"/>
        </w:rPr>
        <w:t>建设单位（盖章）：邵阳宝庆天龙标识字业广告有限公司</w:t>
      </w:r>
    </w:p>
    <w:p>
      <w:pPr>
        <w:adjustRightInd w:val="0"/>
        <w:snapToGrid w:val="0"/>
        <w:spacing w:line="288" w:lineRule="auto"/>
        <w:jc w:val="center"/>
        <w:rPr>
          <w:rFonts w:eastAsia="仿宋_GB2312"/>
          <w:sz w:val="36"/>
          <w:szCs w:val="36"/>
        </w:rPr>
      </w:pPr>
    </w:p>
    <w:p>
      <w:pPr>
        <w:adjustRightInd w:val="0"/>
        <w:snapToGrid w:val="0"/>
        <w:spacing w:line="288" w:lineRule="auto"/>
        <w:jc w:val="center"/>
        <w:rPr>
          <w:rFonts w:eastAsia="仿宋_GB2312"/>
          <w:sz w:val="36"/>
          <w:szCs w:val="36"/>
        </w:rPr>
      </w:pPr>
      <w:r>
        <w:rPr>
          <w:rFonts w:eastAsia="仿宋_GB2312"/>
          <w:sz w:val="36"/>
          <w:szCs w:val="36"/>
        </w:rPr>
        <w:t>编制日期：2023年0</w:t>
      </w:r>
      <w:r>
        <w:rPr>
          <w:rFonts w:hint="eastAsia" w:eastAsia="仿宋_GB2312"/>
          <w:sz w:val="36"/>
          <w:szCs w:val="36"/>
          <w:lang w:val="en-US" w:eastAsia="zh-CN"/>
        </w:rPr>
        <w:t>9</w:t>
      </w:r>
      <w:r>
        <w:rPr>
          <w:rFonts w:eastAsia="仿宋_GB2312"/>
          <w:sz w:val="36"/>
          <w:szCs w:val="36"/>
        </w:rPr>
        <w:t>月</w:t>
      </w:r>
    </w:p>
    <w:p>
      <w:pPr>
        <w:adjustRightInd w:val="0"/>
        <w:snapToGrid w:val="0"/>
        <w:spacing w:line="288" w:lineRule="auto"/>
        <w:ind w:firstLine="1040"/>
        <w:rPr>
          <w:rFonts w:ascii="仿宋_GB2312" w:eastAsia="仿宋_GB2312"/>
          <w:sz w:val="36"/>
          <w:szCs w:val="36"/>
          <w:u w:val="single"/>
        </w:rPr>
      </w:pPr>
      <w:bookmarkStart w:id="1"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1"/>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jc w:val="center"/>
        <w:rPr>
          <w:rFonts w:ascii="楷体_GB2312" w:eastAsia="楷体_GB2312"/>
          <w:sz w:val="36"/>
          <w:szCs w:val="36"/>
        </w:rPr>
        <w:sectPr>
          <w:footerReference r:id="rId3" w:type="default"/>
          <w:footerReference r:id="rId4" w:type="even"/>
          <w:pgSz w:w="11906" w:h="16838"/>
          <w:pgMar w:top="1701" w:right="1531" w:bottom="1701" w:left="1531" w:header="851" w:footer="1077" w:gutter="0"/>
          <w:pgNumType w:fmt="upperRoman" w:start="1"/>
          <w:cols w:space="720" w:num="1"/>
          <w:docGrid w:linePitch="312" w:charSpace="0"/>
        </w:sectPr>
      </w:pPr>
    </w:p>
    <w:p>
      <w:pPr>
        <w:spacing w:after="240" w:afterLines="100" w:line="360" w:lineRule="auto"/>
        <w:jc w:val="center"/>
        <w:rPr>
          <w:sz w:val="36"/>
          <w:szCs w:val="36"/>
        </w:rPr>
      </w:pPr>
      <w:r>
        <w:rPr>
          <w:rFonts w:ascii="宋体" w:hAnsi="宋体"/>
          <w:sz w:val="36"/>
          <w:szCs w:val="36"/>
        </w:rPr>
        <w:t>目</w:t>
      </w:r>
      <w:r>
        <w:rPr>
          <w:rFonts w:hint="eastAsia" w:ascii="宋体" w:hAnsi="宋体"/>
          <w:sz w:val="36"/>
          <w:szCs w:val="36"/>
        </w:rPr>
        <w:t xml:space="preserve"> </w:t>
      </w:r>
      <w:r>
        <w:rPr>
          <w:rFonts w:ascii="宋体" w:hAnsi="宋体"/>
          <w:sz w:val="36"/>
          <w:szCs w:val="36"/>
        </w:rPr>
        <w:t>录</w:t>
      </w:r>
    </w:p>
    <w:p>
      <w:pPr>
        <w:pStyle w:val="114"/>
        <w:tabs>
          <w:tab w:val="right" w:leader="dot" w:pos="8844"/>
        </w:tabs>
        <w:spacing w:line="360" w:lineRule="auto"/>
        <w:rPr>
          <w:sz w:val="24"/>
          <w:szCs w:val="24"/>
        </w:rPr>
      </w:pPr>
      <w:r>
        <w:rPr>
          <w:rFonts w:ascii="仿宋_GB2312" w:eastAsia="仿宋_GB2312"/>
          <w:sz w:val="24"/>
          <w:szCs w:val="24"/>
        </w:rPr>
        <w:fldChar w:fldCharType="begin"/>
      </w:r>
      <w:r>
        <w:rPr>
          <w:rFonts w:ascii="仿宋_GB2312" w:eastAsia="仿宋_GB2312"/>
          <w:sz w:val="24"/>
          <w:szCs w:val="24"/>
        </w:rPr>
        <w:instrText xml:space="preserve">TOC \o "1-1" \h \u </w:instrText>
      </w:r>
      <w:r>
        <w:rPr>
          <w:rFonts w:ascii="仿宋_GB2312" w:eastAsia="仿宋_GB2312"/>
          <w:sz w:val="24"/>
          <w:szCs w:val="24"/>
        </w:rPr>
        <w:fldChar w:fldCharType="separate"/>
      </w:r>
      <w:r>
        <w:fldChar w:fldCharType="begin"/>
      </w:r>
      <w:r>
        <w:instrText xml:space="preserve"> HYPERLINK \l "_Toc15041" </w:instrText>
      </w:r>
      <w:r>
        <w:fldChar w:fldCharType="separate"/>
      </w:r>
      <w:r>
        <w:rPr>
          <w:rFonts w:hint="eastAsia" w:ascii="黑体" w:hAnsi="黑体" w:eastAsia="黑体"/>
          <w:snapToGrid w:val="0"/>
          <w:sz w:val="24"/>
          <w:szCs w:val="24"/>
        </w:rPr>
        <w:t>一、建设项目基本情况</w:t>
      </w:r>
      <w:r>
        <w:rPr>
          <w:sz w:val="24"/>
          <w:szCs w:val="24"/>
        </w:rPr>
        <w:tab/>
      </w:r>
      <w:r>
        <w:rPr>
          <w:sz w:val="24"/>
          <w:szCs w:val="24"/>
        </w:rPr>
        <w:fldChar w:fldCharType="begin"/>
      </w:r>
      <w:r>
        <w:rPr>
          <w:sz w:val="24"/>
          <w:szCs w:val="24"/>
        </w:rPr>
        <w:instrText xml:space="preserve"> PAGEREF _Toc15041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114"/>
        <w:tabs>
          <w:tab w:val="right" w:leader="dot" w:pos="8844"/>
        </w:tabs>
        <w:spacing w:line="360" w:lineRule="auto"/>
        <w:rPr>
          <w:sz w:val="24"/>
          <w:szCs w:val="24"/>
        </w:rPr>
      </w:pPr>
      <w:r>
        <w:fldChar w:fldCharType="begin"/>
      </w:r>
      <w:r>
        <w:instrText xml:space="preserve"> HYPERLINK \l "_Toc822" </w:instrText>
      </w:r>
      <w:r>
        <w:fldChar w:fldCharType="separate"/>
      </w:r>
      <w:r>
        <w:rPr>
          <w:rFonts w:hint="eastAsia" w:ascii="黑体" w:hAnsi="黑体" w:eastAsia="黑体"/>
          <w:snapToGrid w:val="0"/>
          <w:sz w:val="24"/>
          <w:szCs w:val="24"/>
        </w:rPr>
        <w:t>二、建设项目工程分析</w:t>
      </w:r>
      <w:r>
        <w:rPr>
          <w:sz w:val="24"/>
          <w:szCs w:val="24"/>
        </w:rPr>
        <w:tab/>
      </w:r>
      <w:r>
        <w:rPr>
          <w:sz w:val="24"/>
          <w:szCs w:val="24"/>
        </w:rPr>
        <w:fldChar w:fldCharType="begin"/>
      </w:r>
      <w:r>
        <w:rPr>
          <w:sz w:val="24"/>
          <w:szCs w:val="24"/>
        </w:rPr>
        <w:instrText xml:space="preserve"> PAGEREF _Toc822 \h </w:instrText>
      </w:r>
      <w:r>
        <w:rPr>
          <w:sz w:val="24"/>
          <w:szCs w:val="24"/>
        </w:rPr>
        <w:fldChar w:fldCharType="separate"/>
      </w:r>
      <w:r>
        <w:rPr>
          <w:sz w:val="24"/>
          <w:szCs w:val="24"/>
        </w:rPr>
        <w:t>- 12 -</w:t>
      </w:r>
      <w:r>
        <w:rPr>
          <w:sz w:val="24"/>
          <w:szCs w:val="24"/>
        </w:rPr>
        <w:fldChar w:fldCharType="end"/>
      </w:r>
      <w:r>
        <w:rPr>
          <w:sz w:val="24"/>
          <w:szCs w:val="24"/>
        </w:rPr>
        <w:fldChar w:fldCharType="end"/>
      </w:r>
    </w:p>
    <w:p>
      <w:pPr>
        <w:pStyle w:val="114"/>
        <w:tabs>
          <w:tab w:val="right" w:leader="dot" w:pos="8844"/>
        </w:tabs>
        <w:spacing w:line="360" w:lineRule="auto"/>
        <w:rPr>
          <w:sz w:val="24"/>
          <w:szCs w:val="24"/>
        </w:rPr>
      </w:pPr>
      <w:r>
        <w:fldChar w:fldCharType="begin"/>
      </w:r>
      <w:r>
        <w:instrText xml:space="preserve"> HYPERLINK \l "_Toc25199" </w:instrText>
      </w:r>
      <w:r>
        <w:fldChar w:fldCharType="separate"/>
      </w:r>
      <w:r>
        <w:rPr>
          <w:rFonts w:hint="eastAsia" w:ascii="黑体" w:hAnsi="黑体" w:eastAsia="黑体"/>
          <w:snapToGrid w:val="0"/>
          <w:sz w:val="24"/>
          <w:szCs w:val="24"/>
        </w:rPr>
        <w:t>三、区域环境质量现状、环境保护目标及评价标准</w:t>
      </w:r>
      <w:r>
        <w:rPr>
          <w:sz w:val="24"/>
          <w:szCs w:val="24"/>
        </w:rPr>
        <w:tab/>
      </w:r>
      <w:r>
        <w:rPr>
          <w:sz w:val="24"/>
          <w:szCs w:val="24"/>
        </w:rPr>
        <w:fldChar w:fldCharType="begin"/>
      </w:r>
      <w:r>
        <w:rPr>
          <w:sz w:val="24"/>
          <w:szCs w:val="24"/>
        </w:rPr>
        <w:instrText xml:space="preserve"> PAGEREF _Toc25199 \h </w:instrText>
      </w:r>
      <w:r>
        <w:rPr>
          <w:sz w:val="24"/>
          <w:szCs w:val="24"/>
        </w:rPr>
        <w:fldChar w:fldCharType="separate"/>
      </w:r>
      <w:r>
        <w:rPr>
          <w:sz w:val="24"/>
          <w:szCs w:val="24"/>
        </w:rPr>
        <w:t>- 20 -</w:t>
      </w:r>
      <w:r>
        <w:rPr>
          <w:sz w:val="24"/>
          <w:szCs w:val="24"/>
        </w:rPr>
        <w:fldChar w:fldCharType="end"/>
      </w:r>
      <w:r>
        <w:rPr>
          <w:sz w:val="24"/>
          <w:szCs w:val="24"/>
        </w:rPr>
        <w:fldChar w:fldCharType="end"/>
      </w:r>
    </w:p>
    <w:p>
      <w:pPr>
        <w:pStyle w:val="114"/>
        <w:tabs>
          <w:tab w:val="right" w:leader="dot" w:pos="8844"/>
        </w:tabs>
        <w:spacing w:line="360" w:lineRule="auto"/>
        <w:rPr>
          <w:sz w:val="24"/>
          <w:szCs w:val="24"/>
        </w:rPr>
      </w:pPr>
      <w:r>
        <w:fldChar w:fldCharType="begin"/>
      </w:r>
      <w:r>
        <w:instrText xml:space="preserve"> HYPERLINK \l "_Toc25911" </w:instrText>
      </w:r>
      <w:r>
        <w:fldChar w:fldCharType="separate"/>
      </w:r>
      <w:r>
        <w:rPr>
          <w:rFonts w:hint="eastAsia" w:ascii="黑体" w:hAnsi="黑体" w:eastAsia="黑体"/>
          <w:snapToGrid w:val="0"/>
          <w:sz w:val="24"/>
          <w:szCs w:val="24"/>
        </w:rPr>
        <w:t>四、主要环境影响和保护措施</w:t>
      </w:r>
      <w:r>
        <w:rPr>
          <w:sz w:val="24"/>
          <w:szCs w:val="24"/>
        </w:rPr>
        <w:tab/>
      </w:r>
      <w:r>
        <w:rPr>
          <w:sz w:val="24"/>
          <w:szCs w:val="24"/>
        </w:rPr>
        <w:fldChar w:fldCharType="begin"/>
      </w:r>
      <w:r>
        <w:rPr>
          <w:sz w:val="24"/>
          <w:szCs w:val="24"/>
        </w:rPr>
        <w:instrText xml:space="preserve"> PAGEREF _Toc25911 \h </w:instrText>
      </w:r>
      <w:r>
        <w:rPr>
          <w:sz w:val="24"/>
          <w:szCs w:val="24"/>
        </w:rPr>
        <w:fldChar w:fldCharType="separate"/>
      </w:r>
      <w:r>
        <w:rPr>
          <w:sz w:val="24"/>
          <w:szCs w:val="24"/>
        </w:rPr>
        <w:t>- 27 -</w:t>
      </w:r>
      <w:r>
        <w:rPr>
          <w:sz w:val="24"/>
          <w:szCs w:val="24"/>
        </w:rPr>
        <w:fldChar w:fldCharType="end"/>
      </w:r>
      <w:r>
        <w:rPr>
          <w:sz w:val="24"/>
          <w:szCs w:val="24"/>
        </w:rPr>
        <w:fldChar w:fldCharType="end"/>
      </w:r>
    </w:p>
    <w:p>
      <w:pPr>
        <w:pStyle w:val="114"/>
        <w:tabs>
          <w:tab w:val="right" w:leader="dot" w:pos="8844"/>
        </w:tabs>
        <w:spacing w:line="360" w:lineRule="auto"/>
        <w:rPr>
          <w:sz w:val="24"/>
          <w:szCs w:val="24"/>
        </w:rPr>
      </w:pPr>
      <w:r>
        <w:fldChar w:fldCharType="begin"/>
      </w:r>
      <w:r>
        <w:instrText xml:space="preserve"> HYPERLINK \l "_Toc31826" </w:instrText>
      </w:r>
      <w:r>
        <w:fldChar w:fldCharType="separate"/>
      </w:r>
      <w:r>
        <w:rPr>
          <w:rFonts w:hint="eastAsia" w:ascii="黑体" w:hAnsi="黑体" w:eastAsia="黑体"/>
          <w:snapToGrid w:val="0"/>
          <w:sz w:val="24"/>
          <w:szCs w:val="24"/>
        </w:rPr>
        <w:t>五、环境保护措施监督检查清单</w:t>
      </w:r>
      <w:r>
        <w:rPr>
          <w:sz w:val="24"/>
          <w:szCs w:val="24"/>
        </w:rPr>
        <w:tab/>
      </w:r>
      <w:r>
        <w:rPr>
          <w:sz w:val="24"/>
          <w:szCs w:val="24"/>
        </w:rPr>
        <w:fldChar w:fldCharType="begin"/>
      </w:r>
      <w:r>
        <w:rPr>
          <w:sz w:val="24"/>
          <w:szCs w:val="24"/>
        </w:rPr>
        <w:instrText xml:space="preserve"> PAGEREF _Toc31826 \h </w:instrText>
      </w:r>
      <w:r>
        <w:rPr>
          <w:sz w:val="24"/>
          <w:szCs w:val="24"/>
        </w:rPr>
        <w:fldChar w:fldCharType="separate"/>
      </w:r>
      <w:r>
        <w:rPr>
          <w:sz w:val="24"/>
          <w:szCs w:val="24"/>
        </w:rPr>
        <w:t>- 50 -</w:t>
      </w:r>
      <w:r>
        <w:rPr>
          <w:sz w:val="24"/>
          <w:szCs w:val="24"/>
        </w:rPr>
        <w:fldChar w:fldCharType="end"/>
      </w:r>
      <w:r>
        <w:rPr>
          <w:sz w:val="24"/>
          <w:szCs w:val="24"/>
        </w:rPr>
        <w:fldChar w:fldCharType="end"/>
      </w:r>
    </w:p>
    <w:p>
      <w:pPr>
        <w:pStyle w:val="114"/>
        <w:tabs>
          <w:tab w:val="right" w:leader="dot" w:pos="8844"/>
        </w:tabs>
        <w:spacing w:line="360" w:lineRule="auto"/>
        <w:rPr>
          <w:sz w:val="24"/>
          <w:szCs w:val="24"/>
        </w:rPr>
      </w:pPr>
      <w:r>
        <w:fldChar w:fldCharType="begin"/>
      </w:r>
      <w:r>
        <w:instrText xml:space="preserve"> HYPERLINK \l "_Toc8841" </w:instrText>
      </w:r>
      <w:r>
        <w:fldChar w:fldCharType="separate"/>
      </w:r>
      <w:r>
        <w:rPr>
          <w:rFonts w:hint="eastAsia" w:ascii="黑体" w:hAnsi="黑体" w:eastAsia="黑体"/>
          <w:snapToGrid w:val="0"/>
          <w:sz w:val="24"/>
          <w:szCs w:val="24"/>
        </w:rPr>
        <w:t>六、结论</w:t>
      </w:r>
      <w:r>
        <w:rPr>
          <w:sz w:val="24"/>
          <w:szCs w:val="24"/>
        </w:rPr>
        <w:tab/>
      </w:r>
      <w:r>
        <w:rPr>
          <w:sz w:val="24"/>
          <w:szCs w:val="24"/>
        </w:rPr>
        <w:fldChar w:fldCharType="begin"/>
      </w:r>
      <w:r>
        <w:rPr>
          <w:sz w:val="24"/>
          <w:szCs w:val="24"/>
        </w:rPr>
        <w:instrText xml:space="preserve"> PAGEREF _Toc8841 \h </w:instrText>
      </w:r>
      <w:r>
        <w:rPr>
          <w:sz w:val="24"/>
          <w:szCs w:val="24"/>
        </w:rPr>
        <w:fldChar w:fldCharType="separate"/>
      </w:r>
      <w:r>
        <w:rPr>
          <w:sz w:val="24"/>
          <w:szCs w:val="24"/>
        </w:rPr>
        <w:t>- 54 -</w:t>
      </w:r>
      <w:r>
        <w:rPr>
          <w:sz w:val="24"/>
          <w:szCs w:val="24"/>
        </w:rPr>
        <w:fldChar w:fldCharType="end"/>
      </w:r>
      <w:r>
        <w:rPr>
          <w:sz w:val="24"/>
          <w:szCs w:val="24"/>
        </w:rPr>
        <w:fldChar w:fldCharType="end"/>
      </w:r>
    </w:p>
    <w:p>
      <w:pPr>
        <w:pStyle w:val="114"/>
        <w:tabs>
          <w:tab w:val="right" w:leader="dot" w:pos="8844"/>
        </w:tabs>
        <w:spacing w:line="360" w:lineRule="auto"/>
        <w:rPr>
          <w:sz w:val="24"/>
          <w:szCs w:val="24"/>
        </w:rPr>
      </w:pPr>
      <w:r>
        <w:fldChar w:fldCharType="begin"/>
      </w:r>
      <w:r>
        <w:instrText xml:space="preserve"> HYPERLINK \l "_Toc26113" </w:instrText>
      </w:r>
      <w:r>
        <w:fldChar w:fldCharType="separate"/>
      </w:r>
      <w:r>
        <w:rPr>
          <w:rFonts w:hint="eastAsia" w:ascii="黑体" w:hAnsi="黑体" w:eastAsia="黑体"/>
          <w:snapToGrid w:val="0"/>
          <w:sz w:val="24"/>
          <w:szCs w:val="24"/>
        </w:rPr>
        <w:t>附表</w:t>
      </w:r>
      <w:r>
        <w:rPr>
          <w:sz w:val="24"/>
          <w:szCs w:val="24"/>
        </w:rPr>
        <w:tab/>
      </w:r>
      <w:r>
        <w:rPr>
          <w:sz w:val="24"/>
          <w:szCs w:val="24"/>
        </w:rPr>
        <w:fldChar w:fldCharType="begin"/>
      </w:r>
      <w:r>
        <w:rPr>
          <w:sz w:val="24"/>
          <w:szCs w:val="24"/>
        </w:rPr>
        <w:instrText xml:space="preserve"> PAGEREF _Toc26113 \h </w:instrText>
      </w:r>
      <w:r>
        <w:rPr>
          <w:sz w:val="24"/>
          <w:szCs w:val="24"/>
        </w:rPr>
        <w:fldChar w:fldCharType="separate"/>
      </w:r>
      <w:r>
        <w:rPr>
          <w:sz w:val="24"/>
          <w:szCs w:val="24"/>
        </w:rPr>
        <w:t>- 55 -</w:t>
      </w:r>
      <w:r>
        <w:rPr>
          <w:sz w:val="24"/>
          <w:szCs w:val="24"/>
        </w:rPr>
        <w:fldChar w:fldCharType="end"/>
      </w:r>
      <w:r>
        <w:rPr>
          <w:sz w:val="24"/>
          <w:szCs w:val="24"/>
        </w:rPr>
        <w:fldChar w:fldCharType="end"/>
      </w:r>
    </w:p>
    <w:p>
      <w:pPr>
        <w:pStyle w:val="114"/>
        <w:tabs>
          <w:tab w:val="right" w:leader="dot" w:pos="8844"/>
        </w:tabs>
        <w:spacing w:line="360" w:lineRule="auto"/>
        <w:rPr>
          <w:sz w:val="24"/>
          <w:szCs w:val="24"/>
        </w:rPr>
      </w:pPr>
      <w:r>
        <w:fldChar w:fldCharType="begin"/>
      </w:r>
      <w:r>
        <w:instrText xml:space="preserve"> HYPERLINK \l "_Toc20275" </w:instrText>
      </w:r>
      <w:r>
        <w:fldChar w:fldCharType="separate"/>
      </w:r>
      <w:r>
        <w:rPr>
          <w:rFonts w:hint="eastAsia" w:ascii="方正小标宋_GBK" w:hAnsi="黑体" w:eastAsia="方正小标宋_GBK"/>
          <w:snapToGrid w:val="0"/>
          <w:sz w:val="24"/>
          <w:szCs w:val="24"/>
        </w:rPr>
        <w:t>建设项目污染物排放量汇总表</w:t>
      </w:r>
      <w:r>
        <w:rPr>
          <w:sz w:val="24"/>
          <w:szCs w:val="24"/>
        </w:rPr>
        <w:tab/>
      </w:r>
      <w:r>
        <w:rPr>
          <w:sz w:val="24"/>
          <w:szCs w:val="24"/>
        </w:rPr>
        <w:fldChar w:fldCharType="begin"/>
      </w:r>
      <w:r>
        <w:rPr>
          <w:sz w:val="24"/>
          <w:szCs w:val="24"/>
        </w:rPr>
        <w:instrText xml:space="preserve"> PAGEREF _Toc20275 \h </w:instrText>
      </w:r>
      <w:r>
        <w:rPr>
          <w:sz w:val="24"/>
          <w:szCs w:val="24"/>
        </w:rPr>
        <w:fldChar w:fldCharType="separate"/>
      </w:r>
      <w:r>
        <w:rPr>
          <w:sz w:val="24"/>
          <w:szCs w:val="24"/>
        </w:rPr>
        <w:t>- 55 -</w:t>
      </w:r>
      <w:r>
        <w:rPr>
          <w:sz w:val="24"/>
          <w:szCs w:val="24"/>
        </w:rPr>
        <w:fldChar w:fldCharType="end"/>
      </w:r>
      <w:r>
        <w:rPr>
          <w:sz w:val="24"/>
          <w:szCs w:val="24"/>
        </w:rPr>
        <w:fldChar w:fldCharType="end"/>
      </w:r>
    </w:p>
    <w:p>
      <w:pPr>
        <w:spacing w:line="360" w:lineRule="auto"/>
      </w:pPr>
      <w:r>
        <w:rPr>
          <w:rFonts w:ascii="仿宋_GB2312" w:eastAsia="仿宋_GB2312"/>
          <w:sz w:val="24"/>
        </w:rPr>
        <w:fldChar w:fldCharType="end"/>
      </w:r>
    </w:p>
    <w:p/>
    <w:p>
      <w:pPr>
        <w:adjustRightInd w:val="0"/>
        <w:snapToGrid w:val="0"/>
        <w:spacing w:line="360" w:lineRule="auto"/>
        <w:rPr>
          <w:b/>
          <w:bCs/>
          <w:color w:val="auto"/>
          <w:sz w:val="24"/>
          <w:szCs w:val="36"/>
          <w:highlight w:val="none"/>
        </w:rPr>
      </w:pPr>
      <w:r>
        <w:rPr>
          <w:rFonts w:hint="eastAsia"/>
          <w:b/>
          <w:bCs/>
          <w:color w:val="auto"/>
          <w:sz w:val="24"/>
          <w:szCs w:val="36"/>
          <w:highlight w:val="none"/>
        </w:rPr>
        <w:t>附件：</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附件1 环评委托书</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附件2 厂房租赁合同</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附件3 营业执照</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附件4 关于陈家桥镇原种场熊家桥砖厂内小微企业发展专题调度会议备忘录</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附件5 原熊家桥砖厂建设用地项目呈报说明书</w:t>
      </w:r>
    </w:p>
    <w:p>
      <w:pPr>
        <w:adjustRightInd w:val="0"/>
        <w:snapToGrid w:val="0"/>
        <w:spacing w:line="360" w:lineRule="auto"/>
        <w:ind w:firstLine="480" w:firstLineChars="200"/>
        <w:rPr>
          <w:rFonts w:hint="default" w:eastAsia="宋体"/>
          <w:color w:val="auto"/>
          <w:sz w:val="24"/>
          <w:szCs w:val="36"/>
          <w:highlight w:val="none"/>
          <w:lang w:val="en-US" w:eastAsia="zh-CN"/>
        </w:rPr>
      </w:pPr>
      <w:r>
        <w:rPr>
          <w:rFonts w:hint="eastAsia"/>
          <w:color w:val="auto"/>
          <w:sz w:val="24"/>
          <w:szCs w:val="36"/>
          <w:highlight w:val="none"/>
          <w:lang w:eastAsia="zh-CN"/>
        </w:rPr>
        <w:t>附件</w:t>
      </w:r>
      <w:r>
        <w:rPr>
          <w:rFonts w:hint="eastAsia"/>
          <w:color w:val="auto"/>
          <w:sz w:val="24"/>
          <w:szCs w:val="36"/>
          <w:highlight w:val="none"/>
          <w:lang w:val="en-US" w:eastAsia="zh-CN"/>
        </w:rPr>
        <w:t>6 原熊家桥页岩砖厂用地审查意见</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附件</w:t>
      </w:r>
      <w:r>
        <w:rPr>
          <w:rFonts w:hint="eastAsia"/>
          <w:color w:val="auto"/>
          <w:sz w:val="24"/>
          <w:szCs w:val="36"/>
          <w:highlight w:val="none"/>
          <w:lang w:val="en-US" w:eastAsia="zh-CN"/>
        </w:rPr>
        <w:t>7</w:t>
      </w:r>
      <w:r>
        <w:rPr>
          <w:rFonts w:hint="eastAsia"/>
          <w:color w:val="auto"/>
          <w:sz w:val="24"/>
          <w:szCs w:val="36"/>
          <w:highlight w:val="none"/>
        </w:rPr>
        <w:t xml:space="preserve"> 稀释剂MSDS报告</w:t>
      </w:r>
    </w:p>
    <w:p>
      <w:pPr>
        <w:adjustRightInd w:val="0"/>
        <w:snapToGrid w:val="0"/>
        <w:spacing w:line="360" w:lineRule="auto"/>
        <w:ind w:firstLine="480" w:firstLineChars="200"/>
        <w:rPr>
          <w:rFonts w:hint="eastAsia"/>
          <w:color w:val="auto"/>
          <w:sz w:val="24"/>
          <w:szCs w:val="36"/>
          <w:highlight w:val="none"/>
        </w:rPr>
      </w:pPr>
      <w:r>
        <w:rPr>
          <w:rFonts w:hint="eastAsia"/>
          <w:color w:val="auto"/>
          <w:sz w:val="24"/>
          <w:szCs w:val="36"/>
          <w:highlight w:val="none"/>
        </w:rPr>
        <w:t>附件</w:t>
      </w:r>
      <w:r>
        <w:rPr>
          <w:rFonts w:hint="eastAsia"/>
          <w:color w:val="auto"/>
          <w:sz w:val="24"/>
          <w:szCs w:val="36"/>
          <w:highlight w:val="none"/>
          <w:lang w:val="en-US" w:eastAsia="zh-CN"/>
        </w:rPr>
        <w:t>8</w:t>
      </w:r>
      <w:r>
        <w:rPr>
          <w:rFonts w:hint="eastAsia"/>
          <w:color w:val="auto"/>
          <w:sz w:val="24"/>
          <w:szCs w:val="36"/>
          <w:highlight w:val="none"/>
        </w:rPr>
        <w:t>评审意见</w:t>
      </w:r>
    </w:p>
    <w:p>
      <w:pPr>
        <w:adjustRightInd w:val="0"/>
        <w:snapToGrid w:val="0"/>
        <w:spacing w:line="360" w:lineRule="auto"/>
        <w:ind w:firstLine="480" w:firstLineChars="200"/>
        <w:rPr>
          <w:rFonts w:hint="eastAsia"/>
          <w:color w:val="auto"/>
          <w:sz w:val="24"/>
          <w:szCs w:val="36"/>
          <w:highlight w:val="none"/>
          <w:lang w:val="en-US" w:eastAsia="zh-CN"/>
        </w:rPr>
      </w:pPr>
      <w:r>
        <w:rPr>
          <w:rFonts w:hint="eastAsia"/>
          <w:color w:val="auto"/>
          <w:sz w:val="24"/>
          <w:szCs w:val="36"/>
          <w:highlight w:val="none"/>
          <w:lang w:eastAsia="zh-CN"/>
        </w:rPr>
        <w:t>附件</w:t>
      </w:r>
      <w:r>
        <w:rPr>
          <w:rFonts w:hint="eastAsia"/>
          <w:color w:val="auto"/>
          <w:sz w:val="24"/>
          <w:szCs w:val="36"/>
          <w:highlight w:val="none"/>
          <w:lang w:val="en-US" w:eastAsia="zh-CN"/>
        </w:rPr>
        <w:t>9 复核意见</w:t>
      </w:r>
    </w:p>
    <w:p>
      <w:pPr>
        <w:adjustRightInd w:val="0"/>
        <w:snapToGrid w:val="0"/>
        <w:spacing w:line="360" w:lineRule="auto"/>
        <w:ind w:firstLine="480" w:firstLineChars="200"/>
        <w:rPr>
          <w:rFonts w:hint="default" w:eastAsia="宋体"/>
          <w:color w:val="auto"/>
          <w:sz w:val="24"/>
          <w:szCs w:val="36"/>
          <w:highlight w:val="none"/>
          <w:lang w:val="en-US" w:eastAsia="zh-CN"/>
        </w:rPr>
      </w:pPr>
      <w:r>
        <w:rPr>
          <w:rFonts w:hint="eastAsia"/>
          <w:color w:val="auto"/>
          <w:sz w:val="24"/>
          <w:szCs w:val="36"/>
          <w:highlight w:val="none"/>
          <w:lang w:val="en-US" w:eastAsia="zh-CN"/>
        </w:rPr>
        <w:t>附件10 监测报告</w:t>
      </w:r>
    </w:p>
    <w:p>
      <w:pPr>
        <w:adjustRightInd w:val="0"/>
        <w:snapToGrid w:val="0"/>
        <w:spacing w:line="360" w:lineRule="auto"/>
        <w:rPr>
          <w:b/>
          <w:bCs/>
          <w:color w:val="auto"/>
          <w:sz w:val="24"/>
          <w:szCs w:val="36"/>
          <w:highlight w:val="none"/>
        </w:rPr>
      </w:pPr>
      <w:r>
        <w:rPr>
          <w:rFonts w:hint="eastAsia"/>
          <w:b/>
          <w:bCs/>
          <w:color w:val="auto"/>
          <w:sz w:val="24"/>
          <w:szCs w:val="36"/>
          <w:highlight w:val="none"/>
        </w:rPr>
        <w:t>附图：</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附图1 项目地理位置图</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附图2 项目平面布置图</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附图3 项目周边环境保护目标图</w:t>
      </w:r>
    </w:p>
    <w:p>
      <w:pPr>
        <w:adjustRightInd w:val="0"/>
        <w:snapToGrid w:val="0"/>
        <w:spacing w:line="360" w:lineRule="auto"/>
        <w:ind w:firstLine="480" w:firstLineChars="200"/>
        <w:rPr>
          <w:color w:val="auto"/>
          <w:sz w:val="24"/>
          <w:szCs w:val="36"/>
          <w:highlight w:val="none"/>
        </w:rPr>
      </w:pPr>
      <w:r>
        <w:rPr>
          <w:rFonts w:hint="eastAsia"/>
          <w:color w:val="auto"/>
          <w:sz w:val="24"/>
          <w:szCs w:val="36"/>
          <w:highlight w:val="none"/>
        </w:rPr>
        <w:t>附图4 监测布点图</w:t>
      </w:r>
    </w:p>
    <w:p>
      <w:pPr>
        <w:adjustRightInd w:val="0"/>
        <w:snapToGrid w:val="0"/>
        <w:spacing w:line="288" w:lineRule="auto"/>
        <w:ind w:firstLine="1040"/>
        <w:rPr>
          <w:color w:val="auto"/>
          <w:highlight w:val="none"/>
        </w:rPr>
        <w:sectPr>
          <w:pgSz w:w="11906" w:h="16838"/>
          <w:pgMar w:top="1701" w:right="1531" w:bottom="1701" w:left="1531" w:header="851" w:footer="1077" w:gutter="0"/>
          <w:pgNumType w:fmt="upperRoman" w:start="1"/>
          <w:cols w:space="720" w:num="1"/>
          <w:docGrid w:linePitch="312" w:charSpace="0"/>
        </w:sectPr>
      </w:pPr>
    </w:p>
    <w:p>
      <w:pPr>
        <w:pStyle w:val="21"/>
        <w:jc w:val="center"/>
        <w:outlineLvl w:val="0"/>
        <w:rPr>
          <w:rFonts w:ascii="黑体" w:hAnsi="黑体" w:eastAsia="黑体"/>
          <w:snapToGrid w:val="0"/>
          <w:color w:val="auto"/>
          <w:sz w:val="30"/>
          <w:szCs w:val="30"/>
          <w:highlight w:val="none"/>
        </w:rPr>
      </w:pPr>
      <w:bookmarkStart w:id="2" w:name="_Toc15041"/>
      <w:r>
        <w:rPr>
          <w:rFonts w:hint="eastAsia" w:ascii="黑体" w:hAnsi="黑体" w:eastAsia="黑体"/>
          <w:snapToGrid w:val="0"/>
          <w:color w:val="auto"/>
          <w:sz w:val="30"/>
          <w:szCs w:val="30"/>
          <w:highlight w:val="none"/>
        </w:rPr>
        <w:t>一、建设项目基本情况</w:t>
      </w:r>
      <w:bookmarkEnd w:id="2"/>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33"/>
        <w:gridCol w:w="2786"/>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建设项目名称</w:t>
            </w:r>
          </w:p>
        </w:tc>
        <w:tc>
          <w:tcPr>
            <w:tcW w:w="7637" w:type="dxa"/>
            <w:gridSpan w:val="3"/>
            <w:vAlign w:val="center"/>
          </w:tcPr>
          <w:p>
            <w:pPr>
              <w:adjustRightInd w:val="0"/>
              <w:snapToGrid w:val="0"/>
              <w:jc w:val="center"/>
              <w:rPr>
                <w:color w:val="auto"/>
                <w:sz w:val="24"/>
                <w:highlight w:val="none"/>
              </w:rPr>
            </w:pPr>
            <w:r>
              <w:rPr>
                <w:rFonts w:hint="eastAsia"/>
                <w:color w:val="auto"/>
                <w:sz w:val="24"/>
                <w:highlight w:val="none"/>
              </w:rPr>
              <w:t>年加工1000件标识牌广告牌项目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项目代码</w:t>
            </w:r>
          </w:p>
        </w:tc>
        <w:tc>
          <w:tcPr>
            <w:tcW w:w="7637" w:type="dxa"/>
            <w:gridSpan w:val="3"/>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建设单位联系人</w:t>
            </w:r>
          </w:p>
        </w:tc>
        <w:tc>
          <w:tcPr>
            <w:tcW w:w="278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徐干强</w:t>
            </w:r>
          </w:p>
        </w:tc>
        <w:tc>
          <w:tcPr>
            <w:tcW w:w="2212"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联系方式</w:t>
            </w:r>
          </w:p>
        </w:tc>
        <w:tc>
          <w:tcPr>
            <w:tcW w:w="2639" w:type="dxa"/>
            <w:vAlign w:val="center"/>
          </w:tcPr>
          <w:p>
            <w:pPr>
              <w:adjustRightInd w:val="0"/>
              <w:snapToGrid w:val="0"/>
              <w:jc w:val="center"/>
              <w:rPr>
                <w:color w:val="auto"/>
                <w:sz w:val="24"/>
                <w:highlight w:val="none"/>
              </w:rPr>
            </w:pPr>
            <w:r>
              <w:rPr>
                <w:rFonts w:hint="eastAsia"/>
                <w:color w:val="auto"/>
                <w:sz w:val="24"/>
                <w:highlight w:val="none"/>
              </w:rPr>
              <w:t>13337399516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建设地点</w:t>
            </w:r>
          </w:p>
        </w:tc>
        <w:tc>
          <w:tcPr>
            <w:tcW w:w="7637" w:type="dxa"/>
            <w:gridSpan w:val="3"/>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湖南省邵阳市北塔区陈家桥乡原熊家桥页岩砖厂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地理坐标</w:t>
            </w:r>
          </w:p>
        </w:tc>
        <w:tc>
          <w:tcPr>
            <w:tcW w:w="7637" w:type="dxa"/>
            <w:gridSpan w:val="3"/>
            <w:vAlign w:val="center"/>
          </w:tcPr>
          <w:p>
            <w:pPr>
              <w:jc w:val="center"/>
              <w:rPr>
                <w:rFonts w:ascii="宋体" w:hAnsi="宋体" w:cs="宋体"/>
                <w:color w:val="auto"/>
                <w:sz w:val="24"/>
                <w:highlight w:val="none"/>
              </w:rPr>
            </w:pPr>
            <w:r>
              <w:rPr>
                <w:color w:val="auto"/>
                <w:sz w:val="24"/>
                <w:highlight w:val="none"/>
              </w:rPr>
              <w:t>（111度</w:t>
            </w:r>
            <w:r>
              <w:rPr>
                <w:rFonts w:hint="eastAsia"/>
                <w:color w:val="auto"/>
                <w:sz w:val="24"/>
                <w:highlight w:val="none"/>
              </w:rPr>
              <w:t>25</w:t>
            </w:r>
            <w:r>
              <w:rPr>
                <w:color w:val="auto"/>
                <w:sz w:val="24"/>
                <w:highlight w:val="none"/>
              </w:rPr>
              <w:t>分</w:t>
            </w:r>
            <w:r>
              <w:rPr>
                <w:rFonts w:hint="eastAsia"/>
                <w:color w:val="auto"/>
                <w:sz w:val="24"/>
                <w:highlight w:val="none"/>
              </w:rPr>
              <w:t>31.70</w:t>
            </w:r>
            <w:r>
              <w:rPr>
                <w:color w:val="auto"/>
                <w:sz w:val="24"/>
                <w:highlight w:val="none"/>
              </w:rPr>
              <w:t>秒，27度</w:t>
            </w:r>
            <w:r>
              <w:rPr>
                <w:rFonts w:hint="eastAsia"/>
                <w:color w:val="auto"/>
                <w:sz w:val="24"/>
                <w:highlight w:val="none"/>
              </w:rPr>
              <w:t>16</w:t>
            </w:r>
            <w:r>
              <w:rPr>
                <w:color w:val="auto"/>
                <w:sz w:val="24"/>
                <w:highlight w:val="none"/>
              </w:rPr>
              <w:t>分</w:t>
            </w:r>
            <w:r>
              <w:rPr>
                <w:rFonts w:hint="eastAsia"/>
                <w:color w:val="auto"/>
                <w:sz w:val="24"/>
                <w:highlight w:val="none"/>
              </w:rPr>
              <w:t>09.11</w:t>
            </w:r>
            <w:r>
              <w:rPr>
                <w:color w:val="auto"/>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233" w:type="dxa"/>
            <w:tcMar>
              <w:top w:w="16" w:type="dxa"/>
              <w:left w:w="16" w:type="dxa"/>
              <w:right w:w="16" w:type="dxa"/>
            </w:tcMar>
            <w:vAlign w:val="center"/>
          </w:tcPr>
          <w:p>
            <w:pPr>
              <w:adjustRightInd w:val="0"/>
              <w:snapToGrid w:val="0"/>
              <w:jc w:val="center"/>
              <w:rPr>
                <w:color w:val="auto"/>
                <w:sz w:val="24"/>
                <w:highlight w:val="none"/>
              </w:rPr>
            </w:pPr>
            <w:r>
              <w:rPr>
                <w:color w:val="auto"/>
                <w:sz w:val="24"/>
                <w:highlight w:val="none"/>
              </w:rPr>
              <w:t>国民经济</w:t>
            </w:r>
          </w:p>
          <w:p>
            <w:pPr>
              <w:adjustRightInd w:val="0"/>
              <w:snapToGrid w:val="0"/>
              <w:jc w:val="center"/>
              <w:rPr>
                <w:color w:val="auto"/>
                <w:sz w:val="24"/>
                <w:highlight w:val="none"/>
              </w:rPr>
            </w:pPr>
            <w:r>
              <w:rPr>
                <w:color w:val="auto"/>
                <w:sz w:val="24"/>
                <w:highlight w:val="none"/>
              </w:rPr>
              <w:t>行业类别</w:t>
            </w:r>
          </w:p>
        </w:tc>
        <w:tc>
          <w:tcPr>
            <w:tcW w:w="2786" w:type="dxa"/>
            <w:vAlign w:val="center"/>
          </w:tcPr>
          <w:p>
            <w:pPr>
              <w:adjustRightInd w:val="0"/>
              <w:snapToGrid w:val="0"/>
              <w:jc w:val="center"/>
              <w:rPr>
                <w:color w:val="auto"/>
                <w:sz w:val="24"/>
                <w:highlight w:val="none"/>
              </w:rPr>
            </w:pPr>
            <w:r>
              <w:rPr>
                <w:color w:val="auto"/>
                <w:sz w:val="24"/>
                <w:highlight w:val="none"/>
              </w:rPr>
              <w:t>C</w:t>
            </w:r>
            <w:r>
              <w:rPr>
                <w:rFonts w:hint="eastAsia"/>
                <w:color w:val="auto"/>
                <w:sz w:val="24"/>
                <w:highlight w:val="none"/>
              </w:rPr>
              <w:t>33金属制品</w:t>
            </w:r>
            <w:r>
              <w:rPr>
                <w:color w:val="auto"/>
                <w:sz w:val="24"/>
                <w:highlight w:val="none"/>
              </w:rPr>
              <w:t>业</w:t>
            </w:r>
            <w:r>
              <w:rPr>
                <w:rFonts w:hint="eastAsia"/>
                <w:color w:val="auto"/>
                <w:sz w:val="24"/>
                <w:highlight w:val="none"/>
              </w:rPr>
              <w:t>3311金属结构</w:t>
            </w:r>
            <w:r>
              <w:rPr>
                <w:color w:val="auto"/>
                <w:sz w:val="24"/>
                <w:highlight w:val="none"/>
              </w:rPr>
              <w:t>制造</w:t>
            </w:r>
          </w:p>
        </w:tc>
        <w:tc>
          <w:tcPr>
            <w:tcW w:w="2212" w:type="dxa"/>
            <w:vAlign w:val="center"/>
          </w:tcPr>
          <w:p>
            <w:pPr>
              <w:adjustRightInd w:val="0"/>
              <w:snapToGrid w:val="0"/>
              <w:jc w:val="center"/>
              <w:rPr>
                <w:rFonts w:ascii="宋体" w:hAnsi="宋体" w:cs="宋体"/>
                <w:color w:val="auto"/>
                <w:sz w:val="24"/>
                <w:highlight w:val="none"/>
              </w:rPr>
            </w:pPr>
            <w:bookmarkStart w:id="3" w:name="_Hlk49843745"/>
            <w:r>
              <w:rPr>
                <w:rFonts w:hint="eastAsia" w:ascii="宋体" w:hAnsi="宋体" w:cs="宋体"/>
                <w:color w:val="auto"/>
                <w:sz w:val="24"/>
                <w:highlight w:val="none"/>
              </w:rPr>
              <w:t>建设项目</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行业类别</w:t>
            </w:r>
            <w:bookmarkEnd w:id="3"/>
          </w:p>
        </w:tc>
        <w:tc>
          <w:tcPr>
            <w:tcW w:w="2639" w:type="dxa"/>
            <w:vAlign w:val="center"/>
          </w:tcPr>
          <w:p>
            <w:pPr>
              <w:adjustRightInd w:val="0"/>
              <w:snapToGrid w:val="0"/>
              <w:jc w:val="center"/>
              <w:rPr>
                <w:color w:val="auto"/>
                <w:sz w:val="24"/>
                <w:highlight w:val="none"/>
              </w:rPr>
            </w:pPr>
            <w:r>
              <w:rPr>
                <w:rFonts w:hint="eastAsia"/>
                <w:color w:val="auto"/>
                <w:sz w:val="24"/>
                <w:highlight w:val="none"/>
              </w:rPr>
              <w:t>三十、金属制品业33-结构性金属制品制造331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建设性质</w:t>
            </w:r>
          </w:p>
        </w:tc>
        <w:tc>
          <w:tcPr>
            <w:tcW w:w="2786"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新建（迁建）</w:t>
            </w:r>
          </w:p>
          <w:p>
            <w:pPr>
              <w:jc w:val="left"/>
              <w:rPr>
                <w:rFonts w:ascii="宋体" w:hAnsi="宋体" w:cs="宋体"/>
                <w:color w:val="auto"/>
                <w:sz w:val="24"/>
                <w:highlight w:val="none"/>
              </w:rPr>
            </w:pPr>
            <w:r>
              <w:rPr>
                <w:rFonts w:hint="eastAsia" w:ascii="宋体" w:hAnsi="宋体" w:cs="宋体"/>
                <w:color w:val="auto"/>
                <w:sz w:val="24"/>
                <w:highlight w:val="none"/>
              </w:rPr>
              <w:t>□改建</w:t>
            </w:r>
          </w:p>
          <w:p>
            <w:pPr>
              <w:jc w:val="left"/>
              <w:rPr>
                <w:rFonts w:ascii="宋体" w:hAnsi="宋体" w:cs="宋体"/>
                <w:color w:val="auto"/>
                <w:sz w:val="24"/>
                <w:highlight w:val="none"/>
              </w:rPr>
            </w:pPr>
            <w:r>
              <w:rPr>
                <w:rFonts w:hint="eastAsia" w:ascii="宋体" w:hAnsi="宋体" w:cs="宋体"/>
                <w:color w:val="auto"/>
                <w:sz w:val="24"/>
                <w:highlight w:val="none"/>
              </w:rPr>
              <w:t>□扩建</w:t>
            </w:r>
          </w:p>
          <w:p>
            <w:pPr>
              <w:jc w:val="left"/>
              <w:rPr>
                <w:rFonts w:ascii="宋体" w:hAnsi="宋体" w:cs="宋体"/>
                <w:color w:val="auto"/>
                <w:sz w:val="24"/>
                <w:highlight w:val="none"/>
              </w:rPr>
            </w:pPr>
            <w:r>
              <w:rPr>
                <w:rFonts w:hint="eastAsia" w:ascii="宋体" w:hAnsi="宋体" w:cs="宋体"/>
                <w:color w:val="auto"/>
                <w:sz w:val="24"/>
                <w:highlight w:val="none"/>
              </w:rPr>
              <w:t>□技术改造</w:t>
            </w:r>
          </w:p>
        </w:tc>
        <w:tc>
          <w:tcPr>
            <w:tcW w:w="2212"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建设项目</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申报情形</w:t>
            </w:r>
          </w:p>
        </w:tc>
        <w:tc>
          <w:tcPr>
            <w:tcW w:w="2639" w:type="dxa"/>
            <w:vAlign w:val="center"/>
          </w:tcPr>
          <w:p>
            <w:pPr>
              <w:jc w:val="left"/>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首次申报项目</w:t>
            </w:r>
          </w:p>
          <w:p>
            <w:pPr>
              <w:jc w:val="left"/>
              <w:rPr>
                <w:rFonts w:ascii="宋体" w:hAnsi="宋体" w:cs="宋体"/>
                <w:color w:val="auto"/>
                <w:sz w:val="24"/>
                <w:highlight w:val="none"/>
              </w:rPr>
            </w:pPr>
            <w:r>
              <w:rPr>
                <w:rFonts w:hint="eastAsia" w:ascii="宋体" w:hAnsi="宋体" w:cs="宋体"/>
                <w:color w:val="auto"/>
                <w:sz w:val="24"/>
                <w:highlight w:val="none"/>
              </w:rPr>
              <w:t>□不予批准后再次申报项目</w:t>
            </w:r>
          </w:p>
          <w:p>
            <w:pPr>
              <w:jc w:val="left"/>
              <w:rPr>
                <w:rFonts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超五年重新审核项目</w:t>
            </w:r>
          </w:p>
          <w:p>
            <w:pPr>
              <w:jc w:val="left"/>
              <w:rPr>
                <w:rFonts w:ascii="宋体" w:hAnsi="宋体" w:cs="宋体"/>
                <w:color w:val="auto"/>
                <w:sz w:val="24"/>
                <w:highlight w:val="none"/>
              </w:rPr>
            </w:pPr>
            <w:r>
              <w:rPr>
                <w:rFonts w:hint="eastAsia" w:ascii="宋体" w:hAnsi="宋体" w:cs="宋体"/>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项目审批（核准</w:t>
            </w:r>
            <w:r>
              <w:rPr>
                <w:rFonts w:ascii="宋体" w:hAnsi="宋体" w:cs="宋体"/>
                <w:color w:val="auto"/>
                <w:sz w:val="24"/>
                <w:highlight w:val="none"/>
              </w:rPr>
              <w:t>/</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备案）部门（选填）</w:t>
            </w:r>
          </w:p>
        </w:tc>
        <w:tc>
          <w:tcPr>
            <w:tcW w:w="278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无</w:t>
            </w:r>
          </w:p>
        </w:tc>
        <w:tc>
          <w:tcPr>
            <w:tcW w:w="2212"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项目审批（核准</w:t>
            </w:r>
            <w:r>
              <w:rPr>
                <w:rFonts w:ascii="宋体" w:hAnsi="宋体" w:cs="宋体"/>
                <w:color w:val="auto"/>
                <w:sz w:val="24"/>
                <w:highlight w:val="none"/>
              </w:rPr>
              <w:t>/</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备案）文号（选填）</w:t>
            </w:r>
          </w:p>
        </w:tc>
        <w:tc>
          <w:tcPr>
            <w:tcW w:w="2639"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总投资（万元）</w:t>
            </w:r>
          </w:p>
        </w:tc>
        <w:tc>
          <w:tcPr>
            <w:tcW w:w="2786" w:type="dxa"/>
            <w:vAlign w:val="center"/>
          </w:tcPr>
          <w:p>
            <w:pPr>
              <w:adjustRightInd w:val="0"/>
              <w:snapToGrid w:val="0"/>
              <w:jc w:val="center"/>
              <w:rPr>
                <w:color w:val="auto"/>
                <w:sz w:val="24"/>
                <w:highlight w:val="none"/>
              </w:rPr>
            </w:pPr>
            <w:r>
              <w:rPr>
                <w:rFonts w:hint="eastAsia"/>
                <w:color w:val="auto"/>
                <w:sz w:val="24"/>
                <w:highlight w:val="none"/>
              </w:rPr>
              <w:t>100</w:t>
            </w:r>
          </w:p>
        </w:tc>
        <w:tc>
          <w:tcPr>
            <w:tcW w:w="2212"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环保投资（万元）</w:t>
            </w:r>
          </w:p>
        </w:tc>
        <w:tc>
          <w:tcPr>
            <w:tcW w:w="2639" w:type="dxa"/>
            <w:vAlign w:val="center"/>
          </w:tcPr>
          <w:p>
            <w:pPr>
              <w:adjustRightInd w:val="0"/>
              <w:snapToGrid w:val="0"/>
              <w:jc w:val="center"/>
              <w:rPr>
                <w:color w:val="auto"/>
                <w:sz w:val="24"/>
                <w:highlight w:val="none"/>
              </w:rPr>
            </w:pPr>
            <w:r>
              <w:rPr>
                <w:rFonts w:hint="eastAsia"/>
                <w:color w:val="auto"/>
                <w:sz w:val="24"/>
                <w:highlight w:val="none"/>
              </w:rPr>
              <w:t>19.5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环保投资占比（</w:t>
            </w:r>
            <w:r>
              <w:rPr>
                <w:rFonts w:ascii="宋体" w:hAnsi="宋体" w:cs="宋体"/>
                <w:color w:val="auto"/>
                <w:sz w:val="24"/>
                <w:highlight w:val="none"/>
              </w:rPr>
              <w:t>%</w:t>
            </w:r>
            <w:r>
              <w:rPr>
                <w:rFonts w:hint="eastAsia" w:ascii="宋体" w:hAnsi="宋体" w:cs="宋体"/>
                <w:color w:val="auto"/>
                <w:sz w:val="24"/>
                <w:highlight w:val="none"/>
              </w:rPr>
              <w:t>）</w:t>
            </w:r>
          </w:p>
        </w:tc>
        <w:tc>
          <w:tcPr>
            <w:tcW w:w="2786" w:type="dxa"/>
            <w:vAlign w:val="center"/>
          </w:tcPr>
          <w:p>
            <w:pPr>
              <w:adjustRightInd w:val="0"/>
              <w:snapToGrid w:val="0"/>
              <w:jc w:val="center"/>
              <w:rPr>
                <w:color w:val="auto"/>
                <w:sz w:val="24"/>
                <w:highlight w:val="none"/>
              </w:rPr>
            </w:pPr>
            <w:r>
              <w:rPr>
                <w:rFonts w:hint="eastAsia"/>
                <w:color w:val="auto"/>
                <w:sz w:val="24"/>
                <w:highlight w:val="none"/>
              </w:rPr>
              <w:t>19.5</w:t>
            </w:r>
          </w:p>
        </w:tc>
        <w:tc>
          <w:tcPr>
            <w:tcW w:w="2212"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施工工期</w:t>
            </w:r>
          </w:p>
        </w:tc>
        <w:tc>
          <w:tcPr>
            <w:tcW w:w="2639" w:type="dxa"/>
            <w:vAlign w:val="center"/>
          </w:tcPr>
          <w:p>
            <w:pPr>
              <w:adjustRightInd w:val="0"/>
              <w:snapToGrid w:val="0"/>
              <w:jc w:val="center"/>
              <w:rPr>
                <w:color w:val="auto"/>
                <w:sz w:val="24"/>
                <w:highlight w:val="none"/>
              </w:rPr>
            </w:pPr>
            <w:r>
              <w:rPr>
                <w:rFonts w:hint="eastAsia"/>
                <w:color w:val="auto"/>
                <w:sz w:val="24"/>
                <w:highlight w:val="none"/>
                <w:lang w:val="en-US" w:eastAsia="zh-CN"/>
              </w:rPr>
              <w:t>3</w:t>
            </w:r>
            <w:r>
              <w:rPr>
                <w:rFonts w:hint="eastAsia"/>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33" w:type="dxa"/>
            <w:tcMar>
              <w:top w:w="16" w:type="dxa"/>
              <w:left w:w="16" w:type="dxa"/>
              <w:right w:w="16" w:type="dxa"/>
            </w:tcMar>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是否开工建设</w:t>
            </w:r>
          </w:p>
        </w:tc>
        <w:tc>
          <w:tcPr>
            <w:tcW w:w="2786" w:type="dxa"/>
            <w:vAlign w:val="center"/>
          </w:tcPr>
          <w:p>
            <w:pPr>
              <w:adjustRightInd w:val="0"/>
              <w:snapToGrid w:val="0"/>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否</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sym w:font="Wingdings 2" w:char="00A3"/>
            </w:r>
            <w:r>
              <w:rPr>
                <w:rFonts w:hint="eastAsia" w:ascii="宋体" w:hAnsi="宋体" w:cs="宋体"/>
                <w:color w:val="auto"/>
                <w:sz w:val="24"/>
                <w:highlight w:val="none"/>
              </w:rPr>
              <w:t>是：</w:t>
            </w:r>
          </w:p>
        </w:tc>
        <w:tc>
          <w:tcPr>
            <w:tcW w:w="2212" w:type="dxa"/>
            <w:tcMar>
              <w:top w:w="16" w:type="dxa"/>
              <w:left w:w="16" w:type="dxa"/>
              <w:right w:w="16" w:type="dxa"/>
            </w:tcMar>
            <w:vAlign w:val="center"/>
          </w:tcPr>
          <w:p>
            <w:pPr>
              <w:adjustRightInd w:val="0"/>
              <w:snapToGrid w:val="0"/>
              <w:jc w:val="center"/>
              <w:rPr>
                <w:rFonts w:ascii="宋体" w:hAnsi="宋体" w:cs="宋体"/>
                <w:color w:val="auto"/>
                <w:spacing w:val="-6"/>
                <w:sz w:val="24"/>
                <w:highlight w:val="none"/>
              </w:rPr>
            </w:pPr>
            <w:r>
              <w:rPr>
                <w:rFonts w:hint="eastAsia" w:ascii="宋体" w:hAnsi="宋体" w:cs="宋体"/>
                <w:color w:val="auto"/>
                <w:spacing w:val="-6"/>
                <w:sz w:val="24"/>
                <w:highlight w:val="none"/>
              </w:rPr>
              <w:t>用地（用海）</w:t>
            </w:r>
          </w:p>
          <w:p>
            <w:pPr>
              <w:adjustRightInd w:val="0"/>
              <w:snapToGrid w:val="0"/>
              <w:jc w:val="center"/>
              <w:rPr>
                <w:rFonts w:ascii="宋体" w:hAnsi="宋体" w:cs="宋体"/>
                <w:color w:val="auto"/>
                <w:sz w:val="24"/>
                <w:highlight w:val="none"/>
              </w:rPr>
            </w:pPr>
            <w:r>
              <w:rPr>
                <w:rFonts w:hint="eastAsia" w:ascii="宋体" w:hAnsi="宋体" w:cs="宋体"/>
                <w:color w:val="auto"/>
                <w:spacing w:val="-6"/>
                <w:sz w:val="24"/>
                <w:highlight w:val="none"/>
              </w:rPr>
              <w:t>面积（</w:t>
            </w:r>
            <w:r>
              <w:rPr>
                <w:rFonts w:ascii="宋体" w:hAnsi="宋体" w:cs="宋体"/>
                <w:color w:val="auto"/>
                <w:spacing w:val="-6"/>
                <w:sz w:val="24"/>
                <w:highlight w:val="none"/>
              </w:rPr>
              <w:t>m</w:t>
            </w:r>
            <w:r>
              <w:rPr>
                <w:rFonts w:ascii="宋体" w:hAnsi="宋体" w:cs="宋体"/>
                <w:color w:val="auto"/>
                <w:spacing w:val="-6"/>
                <w:sz w:val="24"/>
                <w:highlight w:val="none"/>
                <w:vertAlign w:val="superscript"/>
              </w:rPr>
              <w:t>2</w:t>
            </w:r>
            <w:r>
              <w:rPr>
                <w:rFonts w:hint="eastAsia" w:ascii="宋体" w:hAnsi="宋体" w:cs="宋体"/>
                <w:color w:val="auto"/>
                <w:spacing w:val="-6"/>
                <w:sz w:val="24"/>
                <w:highlight w:val="none"/>
              </w:rPr>
              <w:t>）</w:t>
            </w:r>
          </w:p>
        </w:tc>
        <w:tc>
          <w:tcPr>
            <w:tcW w:w="2639" w:type="dxa"/>
            <w:vAlign w:val="center"/>
          </w:tcPr>
          <w:p>
            <w:pPr>
              <w:adjustRightInd w:val="0"/>
              <w:snapToGrid w:val="0"/>
              <w:jc w:val="center"/>
              <w:rPr>
                <w:color w:val="auto"/>
                <w:sz w:val="24"/>
                <w:highlight w:val="none"/>
              </w:rPr>
            </w:pPr>
            <w:r>
              <w:rPr>
                <w:rFonts w:hint="eastAsia"/>
                <w:color w:val="auto"/>
                <w:sz w:val="24"/>
                <w:highlight w:val="none"/>
              </w:rPr>
              <w:t>1112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33" w:type="dxa"/>
            <w:vAlign w:val="center"/>
          </w:tcPr>
          <w:p>
            <w:pPr>
              <w:autoSpaceDE w:val="0"/>
              <w:autoSpaceDN w:val="0"/>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专项评价设置情况</w:t>
            </w:r>
          </w:p>
        </w:tc>
        <w:tc>
          <w:tcPr>
            <w:tcW w:w="7637" w:type="dxa"/>
            <w:gridSpan w:val="3"/>
            <w:vAlign w:val="center"/>
          </w:tcPr>
          <w:p>
            <w:pPr>
              <w:autoSpaceDE w:val="0"/>
              <w:autoSpaceDN w:val="0"/>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33" w:type="dxa"/>
            <w:vAlign w:val="center"/>
          </w:tcPr>
          <w:p>
            <w:pPr>
              <w:autoSpaceDE w:val="0"/>
              <w:autoSpaceDN w:val="0"/>
              <w:adjustRightInd w:val="0"/>
              <w:snapToGrid w:val="0"/>
              <w:jc w:val="center"/>
              <w:rPr>
                <w:rFonts w:ascii="宋体" w:hAnsi="宋体" w:cs="宋体"/>
                <w:color w:val="auto"/>
                <w:kern w:val="0"/>
                <w:sz w:val="24"/>
                <w:highlight w:val="none"/>
              </w:rPr>
            </w:pPr>
            <w:r>
              <w:rPr>
                <w:rFonts w:hint="eastAsia" w:ascii="宋体" w:hAnsi="宋体" w:cs="宋体"/>
                <w:color w:val="auto"/>
                <w:sz w:val="24"/>
                <w:highlight w:val="none"/>
              </w:rPr>
              <w:t>规划情况</w:t>
            </w:r>
          </w:p>
        </w:tc>
        <w:tc>
          <w:tcPr>
            <w:tcW w:w="7637" w:type="dxa"/>
            <w:gridSpan w:val="3"/>
            <w:vAlign w:val="center"/>
          </w:tcPr>
          <w:p>
            <w:pPr>
              <w:autoSpaceDE w:val="0"/>
              <w:autoSpaceDN w:val="0"/>
              <w:adjustRightInd w:val="0"/>
              <w:snapToGrid w:val="0"/>
              <w:jc w:val="center"/>
              <w:rPr>
                <w:rFonts w:ascii="宋体" w:hAnsi="宋体" w:cs="宋体"/>
                <w:color w:val="auto"/>
                <w:kern w:val="0"/>
                <w:sz w:val="24"/>
                <w:highlight w:val="none"/>
              </w:rPr>
            </w:pPr>
            <w:r>
              <w:rPr>
                <w:rFonts w:hint="eastAsia" w:cs="宋体"/>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3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规划环境影响</w:t>
            </w:r>
          </w:p>
          <w:p>
            <w:pPr>
              <w:adjustRightInd w:val="0"/>
              <w:snapToGrid w:val="0"/>
              <w:jc w:val="center"/>
              <w:rPr>
                <w:rFonts w:ascii="宋体" w:hAnsi="宋体" w:cs="宋体"/>
                <w:color w:val="auto"/>
                <w:kern w:val="0"/>
                <w:sz w:val="24"/>
                <w:highlight w:val="none"/>
              </w:rPr>
            </w:pPr>
            <w:r>
              <w:rPr>
                <w:rFonts w:hint="eastAsia" w:ascii="宋体" w:hAnsi="宋体" w:cs="宋体"/>
                <w:color w:val="auto"/>
                <w:sz w:val="24"/>
                <w:highlight w:val="none"/>
              </w:rPr>
              <w:t>评价情况</w:t>
            </w:r>
          </w:p>
        </w:tc>
        <w:tc>
          <w:tcPr>
            <w:tcW w:w="7637" w:type="dxa"/>
            <w:gridSpan w:val="3"/>
            <w:vAlign w:val="center"/>
          </w:tcPr>
          <w:p>
            <w:pPr>
              <w:autoSpaceDE w:val="0"/>
              <w:autoSpaceDN w:val="0"/>
              <w:adjustRightInd w:val="0"/>
              <w:snapToGrid w:val="0"/>
              <w:jc w:val="center"/>
              <w:rPr>
                <w:rFonts w:ascii="宋体" w:hAnsi="宋体" w:cs="宋体"/>
                <w:color w:val="auto"/>
                <w:kern w:val="0"/>
                <w:sz w:val="24"/>
                <w:highlight w:val="none"/>
              </w:rPr>
            </w:pPr>
            <w:r>
              <w:rPr>
                <w:rFonts w:hint="eastAsia" w:hAnsi="宋体"/>
                <w:snapToGrid w:val="0"/>
                <w:color w:val="auto"/>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33" w:type="dxa"/>
            <w:vAlign w:val="center"/>
          </w:tcPr>
          <w:p>
            <w:pPr>
              <w:autoSpaceDE w:val="0"/>
              <w:autoSpaceDN w:val="0"/>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规划及规划环境</w:t>
            </w:r>
          </w:p>
          <w:p>
            <w:pPr>
              <w:autoSpaceDE w:val="0"/>
              <w:autoSpaceDN w:val="0"/>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影响评价符合性分析</w:t>
            </w:r>
          </w:p>
        </w:tc>
        <w:tc>
          <w:tcPr>
            <w:tcW w:w="7637" w:type="dxa"/>
            <w:gridSpan w:val="3"/>
            <w:vAlign w:val="center"/>
          </w:tcPr>
          <w:p>
            <w:pPr>
              <w:topLinePunct/>
              <w:jc w:val="center"/>
              <w:rPr>
                <w:rFonts w:ascii="宋体" w:hAnsi="宋体" w:cs="宋体"/>
                <w:color w:val="auto"/>
                <w:kern w:val="0"/>
                <w:sz w:val="24"/>
                <w:highlight w:val="none"/>
              </w:rPr>
            </w:pPr>
            <w:r>
              <w:rPr>
                <w:rFonts w:hint="eastAsia"/>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7" w:hRule="atLeast"/>
          <w:jc w:val="center"/>
        </w:trPr>
        <w:tc>
          <w:tcPr>
            <w:tcW w:w="1233" w:type="dxa"/>
            <w:vAlign w:val="center"/>
          </w:tcPr>
          <w:p>
            <w:pPr>
              <w:autoSpaceDE w:val="0"/>
              <w:autoSpaceDN w:val="0"/>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其他符合性分析</w:t>
            </w:r>
          </w:p>
        </w:tc>
        <w:tc>
          <w:tcPr>
            <w:tcW w:w="7637" w:type="dxa"/>
            <w:gridSpan w:val="3"/>
            <w:vAlign w:val="center"/>
          </w:tcPr>
          <w:p>
            <w:pPr>
              <w:spacing w:line="360" w:lineRule="auto"/>
              <w:rPr>
                <w:rFonts w:eastAsiaTheme="minorEastAsia"/>
                <w:b/>
                <w:color w:val="auto"/>
                <w:sz w:val="24"/>
                <w:highlight w:val="none"/>
                <w:lang w:val="en-GB"/>
              </w:rPr>
            </w:pPr>
            <w:bookmarkStart w:id="4" w:name="_Toc63350185"/>
            <w:r>
              <w:rPr>
                <w:rFonts w:hint="eastAsia" w:eastAsiaTheme="minorEastAsia"/>
                <w:b/>
                <w:color w:val="auto"/>
                <w:sz w:val="24"/>
                <w:highlight w:val="none"/>
                <w:lang w:val="en-GB"/>
              </w:rPr>
              <w:t>1、产业政策符合性分析</w:t>
            </w:r>
          </w:p>
          <w:p>
            <w:pPr>
              <w:autoSpaceDE w:val="0"/>
              <w:autoSpaceDN w:val="0"/>
              <w:adjustRightInd w:val="0"/>
              <w:spacing w:line="360" w:lineRule="auto"/>
              <w:ind w:firstLine="480" w:firstLineChars="200"/>
              <w:rPr>
                <w:color w:val="auto"/>
                <w:sz w:val="24"/>
                <w:highlight w:val="none"/>
              </w:rPr>
            </w:pPr>
            <w:r>
              <w:rPr>
                <w:rFonts w:hint="eastAsia"/>
                <w:color w:val="auto"/>
                <w:sz w:val="24"/>
                <w:highlight w:val="none"/>
              </w:rPr>
              <w:t>本项目工艺设备、产品等均不属于《产业结构调整指导目录》（2021修改）中限制类和淘汰类范畴。因此，项目符合国家产业政策要求。</w:t>
            </w:r>
          </w:p>
          <w:p>
            <w:pPr>
              <w:spacing w:line="360" w:lineRule="auto"/>
              <w:rPr>
                <w:color w:val="auto"/>
                <w:sz w:val="24"/>
                <w:highlight w:val="none"/>
              </w:rPr>
            </w:pPr>
            <w:r>
              <w:rPr>
                <w:rFonts w:hint="eastAsia" w:eastAsiaTheme="minorEastAsia"/>
                <w:b/>
                <w:color w:val="auto"/>
                <w:sz w:val="24"/>
                <w:highlight w:val="none"/>
                <w:lang w:val="en-GB"/>
              </w:rPr>
              <w:t>2</w:t>
            </w:r>
            <w:r>
              <w:rPr>
                <w:rFonts w:hAnsiTheme="minorEastAsia" w:eastAsiaTheme="minorEastAsia"/>
                <w:b/>
                <w:color w:val="auto"/>
                <w:sz w:val="24"/>
                <w:highlight w:val="none"/>
                <w:lang w:val="en-GB"/>
              </w:rPr>
              <w:t>、</w:t>
            </w:r>
            <w:r>
              <w:rPr>
                <w:rFonts w:hint="eastAsia" w:eastAsiaTheme="minorEastAsia"/>
                <w:b/>
                <w:color w:val="auto"/>
                <w:sz w:val="24"/>
                <w:highlight w:val="none"/>
              </w:rPr>
              <w:t>选址可行性分析</w:t>
            </w:r>
          </w:p>
          <w:p>
            <w:pPr>
              <w:spacing w:line="360" w:lineRule="auto"/>
              <w:ind w:firstLine="480" w:firstLineChars="200"/>
              <w:rPr>
                <w:color w:val="auto"/>
                <w:sz w:val="24"/>
                <w:highlight w:val="none"/>
              </w:rPr>
            </w:pPr>
            <w:r>
              <w:rPr>
                <w:rFonts w:hint="eastAsia"/>
                <w:color w:val="auto"/>
                <w:sz w:val="24"/>
                <w:highlight w:val="none"/>
              </w:rPr>
              <w:t>原熊家桥页岩砖厂已</w:t>
            </w:r>
            <w:r>
              <w:rPr>
                <w:rFonts w:hint="eastAsia"/>
                <w:color w:val="auto"/>
                <w:sz w:val="24"/>
                <w:highlight w:val="none"/>
                <w:lang w:eastAsia="zh-CN"/>
              </w:rPr>
              <w:t>关停</w:t>
            </w:r>
            <w:r>
              <w:rPr>
                <w:rFonts w:hint="eastAsia"/>
                <w:color w:val="auto"/>
                <w:sz w:val="24"/>
                <w:highlight w:val="none"/>
              </w:rPr>
              <w:t>多年，</w:t>
            </w:r>
            <w:r>
              <w:rPr>
                <w:rFonts w:hint="eastAsia"/>
                <w:color w:val="auto"/>
                <w:sz w:val="24"/>
                <w:highlight w:val="none"/>
                <w:lang w:eastAsia="zh-CN"/>
              </w:rPr>
              <w:t>但相关用地手续齐全，现已拆除原砖厂厂房，新建了钢架结构厂房。</w:t>
            </w:r>
            <w:r>
              <w:rPr>
                <w:rFonts w:hint="eastAsia"/>
                <w:color w:val="auto"/>
                <w:sz w:val="24"/>
                <w:highlight w:val="none"/>
              </w:rPr>
              <w:t>邵阳宝庆天龙标识字业广告有限公司租赁</w:t>
            </w:r>
            <w:r>
              <w:rPr>
                <w:rFonts w:hint="eastAsia"/>
                <w:color w:val="auto"/>
                <w:sz w:val="24"/>
                <w:highlight w:val="none"/>
                <w:lang w:eastAsia="zh-CN"/>
              </w:rPr>
              <w:t>该厂新建厂房</w:t>
            </w:r>
            <w:r>
              <w:rPr>
                <w:rFonts w:hint="eastAsia"/>
                <w:color w:val="auto"/>
                <w:sz w:val="24"/>
                <w:highlight w:val="none"/>
              </w:rPr>
              <w:t>1112m</w:t>
            </w:r>
            <w:r>
              <w:rPr>
                <w:rFonts w:hint="eastAsia"/>
                <w:color w:val="auto"/>
                <w:sz w:val="24"/>
                <w:highlight w:val="none"/>
                <w:vertAlign w:val="superscript"/>
              </w:rPr>
              <w:t>2</w:t>
            </w:r>
            <w:r>
              <w:rPr>
                <w:rFonts w:hint="eastAsia" w:ascii="宋体" w:hAnsi="宋体" w:cs="宋体"/>
                <w:color w:val="auto"/>
                <w:sz w:val="24"/>
                <w:highlight w:val="none"/>
              </w:rPr>
              <w:t>。</w:t>
            </w:r>
            <w:r>
              <w:rPr>
                <w:rFonts w:hint="eastAsia"/>
                <w:color w:val="auto"/>
                <w:sz w:val="24"/>
                <w:highlight w:val="none"/>
              </w:rPr>
              <w:t>根据《关于加快推进产业园区改革和创新发展的实施意见》（湘政办发[2018]15号）、《关于进一步规范和加强产业园区生态环境管理的通知》(湘环发[2020]27号)中“</w:t>
            </w:r>
            <w:r>
              <w:rPr>
                <w:rFonts w:hint="eastAsia" w:ascii="宋体" w:hAnsi="宋体" w:cs="宋体"/>
                <w:color w:val="auto"/>
                <w:sz w:val="24"/>
                <w:highlight w:val="none"/>
                <w:shd w:val="clear" w:color="auto" w:fill="FFFFFF"/>
              </w:rPr>
              <w:t>积极引导园区外工业项目向园区集聚发展，除矿产资源、能源开发等对选址有特殊要求的项目外，新上工业项目应当安排在省级及以上工业园区”</w:t>
            </w:r>
            <w:r>
              <w:rPr>
                <w:rFonts w:hint="eastAsia"/>
                <w:color w:val="auto"/>
                <w:highlight w:val="none"/>
              </w:rPr>
              <w:t>。</w:t>
            </w:r>
            <w:r>
              <w:rPr>
                <w:rFonts w:hint="eastAsia" w:ascii="宋体" w:hAnsi="宋体" w:cs="宋体"/>
                <w:color w:val="auto"/>
                <w:sz w:val="24"/>
                <w:highlight w:val="none"/>
              </w:rPr>
              <w:t>根据邵阳市北塔区人民</w:t>
            </w:r>
            <w:r>
              <w:rPr>
                <w:color w:val="auto"/>
                <w:sz w:val="24"/>
                <w:highlight w:val="none"/>
              </w:rPr>
              <w:t>政府于2023年7月26日的</w:t>
            </w:r>
            <w:r>
              <w:rPr>
                <w:rFonts w:hint="eastAsia" w:ascii="宋体" w:hAnsi="宋体" w:cs="宋体"/>
                <w:color w:val="auto"/>
                <w:sz w:val="24"/>
                <w:highlight w:val="none"/>
              </w:rPr>
              <w:t>“关于陈家桥镇原种场熊家桥砖厂内微小企业发展专题调度会议备忘录”（详情见附件），秉着优化全区营商环境的目的，区人民政府原则上支持本项目入驻原邵阳市北塔区陈家桥乡原熊家桥页岩砖厂；根据原熊家桥页岩砖厂用地项目呈报说明书及原熊家桥页岩砖厂用地审查意见</w:t>
            </w:r>
            <w:r>
              <w:rPr>
                <w:rStyle w:val="31"/>
                <w:rFonts w:hint="eastAsia"/>
                <w:color w:val="auto"/>
                <w:sz w:val="24"/>
                <w:szCs w:val="24"/>
                <w:highlight w:val="none"/>
                <w:lang w:eastAsia="zh-CN"/>
              </w:rPr>
              <w:t>（</w:t>
            </w:r>
            <w:r>
              <w:rPr>
                <w:rFonts w:hint="eastAsia"/>
                <w:color w:val="auto"/>
                <w:sz w:val="24"/>
                <w:szCs w:val="24"/>
                <w:highlight w:val="none"/>
              </w:rPr>
              <w:t>邵北自资呈【2022】6号</w:t>
            </w:r>
            <w:r>
              <w:rPr>
                <w:rStyle w:val="31"/>
                <w:rFonts w:hint="eastAsia"/>
                <w:color w:val="auto"/>
                <w:sz w:val="24"/>
                <w:szCs w:val="24"/>
                <w:highlight w:val="none"/>
                <w:lang w:eastAsia="zh-CN"/>
              </w:rPr>
              <w:t>）</w:t>
            </w:r>
            <w:r>
              <w:rPr>
                <w:rFonts w:hint="eastAsia" w:ascii="宋体" w:hAnsi="宋体" w:cs="宋体"/>
                <w:color w:val="auto"/>
                <w:sz w:val="24"/>
                <w:szCs w:val="24"/>
                <w:highlight w:val="none"/>
              </w:rPr>
              <w:t>，</w:t>
            </w:r>
            <w:r>
              <w:rPr>
                <w:rFonts w:hint="eastAsia" w:ascii="宋体" w:hAnsi="宋体" w:cs="宋体"/>
                <w:color w:val="auto"/>
                <w:sz w:val="24"/>
                <w:highlight w:val="none"/>
              </w:rPr>
              <w:t>本项目所在地属于工业用地（详情见附件），所以本项目用地可行</w:t>
            </w:r>
            <w:r>
              <w:rPr>
                <w:color w:val="auto"/>
                <w:sz w:val="24"/>
                <w:highlight w:val="none"/>
              </w:rPr>
              <w:t>。</w:t>
            </w:r>
          </w:p>
          <w:p>
            <w:pPr>
              <w:spacing w:line="360" w:lineRule="auto"/>
              <w:ind w:firstLine="480" w:firstLineChars="200"/>
              <w:rPr>
                <w:rFonts w:eastAsiaTheme="minorEastAsia"/>
                <w:b/>
                <w:color w:val="auto"/>
                <w:sz w:val="24"/>
                <w:highlight w:val="none"/>
                <w:lang w:val="en-GB"/>
              </w:rPr>
            </w:pPr>
            <w:r>
              <w:rPr>
                <w:rFonts w:hint="eastAsia"/>
                <w:color w:val="auto"/>
                <w:sz w:val="24"/>
                <w:highlight w:val="none"/>
              </w:rPr>
              <w:t>根据现场调查，邵阳宝庆天龙标识字业广告有限公司周边500m有少量居民点，无</w:t>
            </w:r>
            <w:r>
              <w:rPr>
                <w:color w:val="auto"/>
                <w:sz w:val="24"/>
                <w:highlight w:val="none"/>
              </w:rPr>
              <w:t>自然保护区、风景名胜区、饮用水水源保护区</w:t>
            </w:r>
            <w:r>
              <w:rPr>
                <w:rFonts w:hint="eastAsia"/>
                <w:color w:val="auto"/>
                <w:sz w:val="24"/>
                <w:highlight w:val="none"/>
              </w:rPr>
              <w:t>、森林公园及文物保护单位</w:t>
            </w:r>
            <w:r>
              <w:rPr>
                <w:color w:val="auto"/>
                <w:sz w:val="24"/>
                <w:highlight w:val="none"/>
              </w:rPr>
              <w:t>等环境敏感目标</w:t>
            </w:r>
            <w:r>
              <w:rPr>
                <w:rFonts w:hint="eastAsia"/>
                <w:color w:val="auto"/>
                <w:sz w:val="24"/>
                <w:highlight w:val="none"/>
              </w:rPr>
              <w:t>。本项目生产规模较小，使用的油性油漆量为0.26t/a，水性油漆为0.18t/a，粉末涂料为0.2t/a，使用量较少，所以排放的挥发性有机物很少，</w:t>
            </w:r>
            <w:r>
              <w:rPr>
                <w:color w:val="auto"/>
                <w:sz w:val="24"/>
                <w:highlight w:val="none"/>
              </w:rPr>
              <w:t>在采取有效的污染防治措施的前提下，废气</w:t>
            </w:r>
            <w:r>
              <w:rPr>
                <w:rFonts w:hint="eastAsia"/>
                <w:color w:val="auto"/>
                <w:sz w:val="24"/>
                <w:highlight w:val="none"/>
              </w:rPr>
              <w:t>、</w:t>
            </w:r>
            <w:r>
              <w:rPr>
                <w:color w:val="auto"/>
                <w:sz w:val="24"/>
                <w:highlight w:val="none"/>
              </w:rPr>
              <w:t>和噪声能达标排放，固废</w:t>
            </w:r>
            <w:r>
              <w:rPr>
                <w:rFonts w:hint="eastAsia"/>
                <w:color w:val="auto"/>
                <w:sz w:val="24"/>
                <w:highlight w:val="none"/>
              </w:rPr>
              <w:t>能得到妥善处置，不会改变周边环境功能区划，</w:t>
            </w:r>
            <w:r>
              <w:rPr>
                <w:color w:val="auto"/>
                <w:sz w:val="24"/>
                <w:highlight w:val="none"/>
              </w:rPr>
              <w:t>对周围环境和周边居民影响</w:t>
            </w:r>
            <w:r>
              <w:rPr>
                <w:rFonts w:hint="eastAsia"/>
                <w:color w:val="auto"/>
                <w:sz w:val="24"/>
                <w:highlight w:val="none"/>
              </w:rPr>
              <w:t>很</w:t>
            </w:r>
            <w:r>
              <w:rPr>
                <w:color w:val="auto"/>
                <w:sz w:val="24"/>
                <w:highlight w:val="none"/>
              </w:rPr>
              <w:t>小，</w:t>
            </w:r>
            <w:r>
              <w:rPr>
                <w:rFonts w:hint="eastAsia"/>
                <w:color w:val="auto"/>
                <w:sz w:val="24"/>
                <w:highlight w:val="none"/>
              </w:rPr>
              <w:t>综上，</w:t>
            </w:r>
            <w:r>
              <w:rPr>
                <w:color w:val="auto"/>
                <w:sz w:val="24"/>
                <w:highlight w:val="none"/>
              </w:rPr>
              <w:t>从环保角度考虑，</w:t>
            </w:r>
            <w:r>
              <w:rPr>
                <w:rFonts w:hint="eastAsia"/>
                <w:color w:val="auto"/>
                <w:sz w:val="24"/>
                <w:highlight w:val="none"/>
              </w:rPr>
              <w:t>项目</w:t>
            </w:r>
            <w:r>
              <w:rPr>
                <w:color w:val="auto"/>
                <w:sz w:val="24"/>
                <w:highlight w:val="none"/>
              </w:rPr>
              <w:t>选址</w:t>
            </w:r>
            <w:r>
              <w:rPr>
                <w:rFonts w:hint="eastAsia"/>
                <w:color w:val="auto"/>
                <w:sz w:val="24"/>
                <w:highlight w:val="none"/>
              </w:rPr>
              <w:t>可行</w:t>
            </w:r>
            <w:r>
              <w:rPr>
                <w:color w:val="auto"/>
                <w:sz w:val="24"/>
                <w:highlight w:val="none"/>
              </w:rPr>
              <w:t>。</w:t>
            </w:r>
          </w:p>
          <w:p>
            <w:pPr>
              <w:spacing w:line="360" w:lineRule="auto"/>
              <w:rPr>
                <w:color w:val="auto"/>
                <w:sz w:val="24"/>
                <w:highlight w:val="none"/>
              </w:rPr>
            </w:pPr>
            <w:r>
              <w:rPr>
                <w:rFonts w:hint="eastAsia" w:hAnsiTheme="minorEastAsia" w:eastAsiaTheme="minorEastAsia"/>
                <w:b/>
                <w:color w:val="auto"/>
                <w:sz w:val="24"/>
                <w:highlight w:val="none"/>
              </w:rPr>
              <w:t>3</w:t>
            </w:r>
            <w:r>
              <w:rPr>
                <w:rFonts w:hAnsiTheme="minorEastAsia" w:eastAsiaTheme="minorEastAsia"/>
                <w:b/>
                <w:color w:val="auto"/>
                <w:sz w:val="24"/>
                <w:highlight w:val="none"/>
                <w:lang w:val="en-GB"/>
              </w:rPr>
              <w:t>、</w:t>
            </w:r>
            <w:r>
              <w:rPr>
                <w:b/>
                <w:color w:val="auto"/>
                <w:sz w:val="24"/>
                <w:highlight w:val="none"/>
                <w:lang w:val="en-GB"/>
              </w:rPr>
              <w:t>“</w:t>
            </w:r>
            <w:r>
              <w:rPr>
                <w:rFonts w:hAnsi="宋体"/>
                <w:b/>
                <w:color w:val="auto"/>
                <w:sz w:val="24"/>
                <w:highlight w:val="none"/>
                <w:lang w:val="en-GB"/>
              </w:rPr>
              <w:t>三线一单</w:t>
            </w:r>
            <w:r>
              <w:rPr>
                <w:b/>
                <w:color w:val="auto"/>
                <w:sz w:val="24"/>
                <w:highlight w:val="none"/>
                <w:lang w:val="en-GB"/>
              </w:rPr>
              <w:t>”</w:t>
            </w:r>
            <w:r>
              <w:rPr>
                <w:rFonts w:hAnsi="宋体"/>
                <w:b/>
                <w:color w:val="auto"/>
                <w:sz w:val="24"/>
                <w:highlight w:val="none"/>
                <w:lang w:val="en-GB"/>
              </w:rPr>
              <w:t>相符性</w:t>
            </w:r>
            <w:bookmarkEnd w:id="4"/>
          </w:p>
          <w:p>
            <w:pPr>
              <w:spacing w:line="360" w:lineRule="auto"/>
              <w:rPr>
                <w:b/>
                <w:color w:val="auto"/>
                <w:sz w:val="24"/>
                <w:highlight w:val="none"/>
                <w:lang w:val="en-GB"/>
              </w:rPr>
            </w:pPr>
            <w:r>
              <w:rPr>
                <w:rFonts w:hint="eastAsia" w:eastAsiaTheme="minorEastAsia"/>
                <w:b/>
                <w:color w:val="auto"/>
                <w:sz w:val="24"/>
                <w:highlight w:val="none"/>
              </w:rPr>
              <w:t>3</w:t>
            </w:r>
            <w:r>
              <w:rPr>
                <w:rFonts w:hint="eastAsia" w:eastAsiaTheme="minorEastAsia"/>
                <w:b/>
                <w:color w:val="auto"/>
                <w:sz w:val="24"/>
                <w:highlight w:val="none"/>
                <w:lang w:val="en-GB"/>
              </w:rPr>
              <w:t>.1</w:t>
            </w:r>
            <w:r>
              <w:rPr>
                <w:rFonts w:hint="eastAsia"/>
                <w:b/>
                <w:color w:val="auto"/>
                <w:sz w:val="24"/>
                <w:highlight w:val="none"/>
                <w:lang w:val="en-GB"/>
              </w:rPr>
              <w:t>生态保护红线</w:t>
            </w:r>
          </w:p>
          <w:p>
            <w:pPr>
              <w:widowControl/>
              <w:spacing w:line="360" w:lineRule="auto"/>
              <w:ind w:firstLine="480" w:firstLineChars="200"/>
              <w:jc w:val="left"/>
              <w:rPr>
                <w:color w:val="auto"/>
                <w:sz w:val="24"/>
                <w:highlight w:val="none"/>
              </w:rPr>
            </w:pPr>
            <w:r>
              <w:rPr>
                <w:rFonts w:hint="eastAsia"/>
                <w:color w:val="auto"/>
                <w:sz w:val="24"/>
                <w:highlight w:val="none"/>
              </w:rPr>
              <w:t>本项目位于邵阳市北塔区陈家桥乡原熊家桥页岩砖厂，对照《湖南省人民政府关于实施“三线一单” 生态环境分区管控的意见》（湘政发〔2020〕12号）及《</w:t>
            </w:r>
            <w:r>
              <w:rPr>
                <w:color w:val="auto"/>
                <w:sz w:val="24"/>
                <w:highlight w:val="none"/>
              </w:rPr>
              <w:t>邵阳市人民政府关于实施“三线一单”生态环境分区管控意见</w:t>
            </w:r>
            <w:r>
              <w:rPr>
                <w:rFonts w:hint="eastAsia"/>
                <w:color w:val="auto"/>
                <w:sz w:val="24"/>
                <w:highlight w:val="none"/>
              </w:rPr>
              <w:t>》</w:t>
            </w:r>
            <w:r>
              <w:rPr>
                <w:color w:val="auto"/>
                <w:sz w:val="24"/>
                <w:highlight w:val="none"/>
              </w:rPr>
              <w:t>（邵阳市政发[2020]10号）</w:t>
            </w:r>
            <w:r>
              <w:rPr>
                <w:rFonts w:hint="eastAsia"/>
                <w:color w:val="auto"/>
                <w:sz w:val="24"/>
                <w:highlight w:val="none"/>
              </w:rPr>
              <w:t>等文件可知，陈家桥乡属于重点管控单元，经济产业布局为畜牧、农副食品加工、造纸、酒和饮料制造、纺织、服装、食品、木材加工和木(竹、藤、草)制品、家具制造、印刷、非金属矿物制品、压延加工、金属制品、物流、新型建材、羽(毛)绒加工、制鞋、废弃资源综合利用、机械和电子加工、轻工业、生物医疗、发制品、皮革制造、机动车修理等。本项目属于金属制品制造，符合产业布局。</w:t>
            </w:r>
          </w:p>
          <w:p>
            <w:pPr>
              <w:widowControl/>
              <w:spacing w:line="360" w:lineRule="auto"/>
              <w:ind w:firstLine="480" w:firstLineChars="200"/>
              <w:jc w:val="left"/>
              <w:rPr>
                <w:color w:val="auto"/>
                <w:sz w:val="24"/>
                <w:highlight w:val="none"/>
              </w:rPr>
            </w:pPr>
            <w:r>
              <w:rPr>
                <w:color w:val="auto"/>
                <w:sz w:val="24"/>
                <w:highlight w:val="none"/>
              </w:rPr>
              <w:t>①生态保护红线</w:t>
            </w:r>
            <w:r>
              <w:rPr>
                <w:color w:val="auto"/>
                <w:sz w:val="24"/>
                <w:highlight w:val="none"/>
              </w:rPr>
              <w:tab/>
            </w:r>
          </w:p>
          <w:p>
            <w:pPr>
              <w:widowControl/>
              <w:spacing w:line="360" w:lineRule="auto"/>
              <w:ind w:firstLine="480" w:firstLineChars="200"/>
              <w:jc w:val="left"/>
              <w:rPr>
                <w:color w:val="auto"/>
                <w:sz w:val="24"/>
                <w:highlight w:val="none"/>
              </w:rPr>
            </w:pPr>
            <w:r>
              <w:rPr>
                <w:rFonts w:hint="eastAsia"/>
                <w:color w:val="auto"/>
                <w:sz w:val="24"/>
                <w:highlight w:val="none"/>
              </w:rPr>
              <w:t>根据《湖南省“三线一单”生态环境总体管控要求暨省级以上产业园区生态环境准入清单》（2020年11月发布）中湖南省“三线一单”生态环境总体管控要求：生态保护红线是生态空间范围内具有特殊重要生态功能、必须强制性严格保护的区域。生态保护红线内，自然保护地核心保护区原则上禁止人为活动，其他区域严格禁止开发性、生产性建设活动，在符合现行法律法规前提下，除国家重大战略项目外，仅允许对生态功能不造成破坏的有限人为活动；生态保护红线内的国家公园、自然保护区、风景名胜区、森林公园、地质公园、世界自然遗产、湿地公园、石漠公园、饮用水水源保护区等各类自然保护地还应执行现有法律、法规、规章及自然资源部、国家林业和草原局《关于做好自然保护区范围及功能分区优化调整前期工作的函》等相关规定；国家公园和自然保护区实行分区管控，原则上核心保护区内禁止人为活动，一般控制区内限制人为活动。</w:t>
            </w:r>
          </w:p>
          <w:p>
            <w:pPr>
              <w:widowControl/>
              <w:spacing w:line="360" w:lineRule="auto"/>
              <w:ind w:firstLine="480" w:firstLineChars="200"/>
              <w:jc w:val="left"/>
              <w:rPr>
                <w:color w:val="auto"/>
                <w:sz w:val="24"/>
                <w:highlight w:val="none"/>
              </w:rPr>
            </w:pPr>
            <w:r>
              <w:rPr>
                <w:rFonts w:hint="eastAsia"/>
                <w:color w:val="auto"/>
                <w:sz w:val="24"/>
                <w:highlight w:val="none"/>
              </w:rPr>
              <w:t>项目拟建地位于邵阳市北塔区陈家桥乡原熊家桥页岩砖厂，周边无</w:t>
            </w:r>
            <w:r>
              <w:rPr>
                <w:color w:val="auto"/>
                <w:sz w:val="24"/>
                <w:highlight w:val="none"/>
              </w:rPr>
              <w:t>自然保护区、风景名胜区、饮用水水源保护区</w:t>
            </w:r>
            <w:r>
              <w:rPr>
                <w:rFonts w:hint="eastAsia"/>
                <w:color w:val="auto"/>
                <w:sz w:val="24"/>
                <w:highlight w:val="none"/>
              </w:rPr>
              <w:t>、森林公园及文物保护单位</w:t>
            </w:r>
            <w:r>
              <w:rPr>
                <w:color w:val="auto"/>
                <w:sz w:val="24"/>
                <w:highlight w:val="none"/>
              </w:rPr>
              <w:t>等环境敏感目标</w:t>
            </w:r>
            <w:r>
              <w:rPr>
                <w:rFonts w:hint="eastAsia"/>
                <w:color w:val="auto"/>
                <w:sz w:val="24"/>
                <w:highlight w:val="none"/>
              </w:rPr>
              <w:t>，不在邵阳市生态红线范围内。因此，项目符合生态保护红线要求。</w:t>
            </w:r>
            <w:bookmarkStart w:id="20" w:name="_GoBack"/>
            <w:bookmarkEnd w:id="20"/>
          </w:p>
          <w:p>
            <w:pPr>
              <w:widowControl/>
              <w:spacing w:line="360" w:lineRule="auto"/>
              <w:ind w:firstLine="480" w:firstLineChars="200"/>
              <w:jc w:val="left"/>
              <w:rPr>
                <w:color w:val="auto"/>
                <w:sz w:val="24"/>
                <w:highlight w:val="none"/>
              </w:rPr>
            </w:pPr>
            <w:r>
              <w:rPr>
                <w:color w:val="auto"/>
                <w:sz w:val="24"/>
                <w:highlight w:val="none"/>
              </w:rPr>
              <w:t>②环境质量底线</w:t>
            </w:r>
          </w:p>
          <w:p>
            <w:pPr>
              <w:widowControl/>
              <w:spacing w:line="360" w:lineRule="auto"/>
              <w:ind w:firstLine="480" w:firstLineChars="200"/>
              <w:jc w:val="left"/>
              <w:rPr>
                <w:color w:val="auto"/>
                <w:sz w:val="24"/>
                <w:highlight w:val="none"/>
              </w:rPr>
            </w:pPr>
            <w:r>
              <w:rPr>
                <w:rFonts w:hint="eastAsia"/>
                <w:color w:val="auto"/>
                <w:sz w:val="24"/>
                <w:highlight w:val="none"/>
              </w:rPr>
              <w:t>项目所在区域地表水环境、声环境均符合相应功能区的标准限值，大气环境中特征因子TVOC能满足《环境影响评价技术导则 大气环境》（HJ2.2-2018）附录D中表D.1规定的限值要求；TSP能满足《环境空气质量标准》（GB3095-2012）及修改清单中二级标准限值；本项目主要大气污染因子为粉尘、VOCs，厂房封闭式生产，在产污环节设置集气罩收集废气，再经UV光解+活性炭处理后通过15m排气筒排放，处理后对环境影响不大；生活污水经化粪池处理后用作农肥和绿化，无生产废水外排，对环境影响不大。因此，本项目建设符合区域环境质量底线</w:t>
            </w:r>
            <w:r>
              <w:rPr>
                <w:color w:val="auto"/>
                <w:sz w:val="24"/>
                <w:highlight w:val="none"/>
              </w:rPr>
              <w:t>。</w:t>
            </w:r>
          </w:p>
          <w:p>
            <w:pPr>
              <w:widowControl/>
              <w:spacing w:line="360" w:lineRule="auto"/>
              <w:ind w:firstLine="480" w:firstLineChars="200"/>
              <w:jc w:val="left"/>
              <w:rPr>
                <w:color w:val="auto"/>
                <w:sz w:val="24"/>
                <w:highlight w:val="none"/>
              </w:rPr>
            </w:pPr>
            <w:r>
              <w:rPr>
                <w:color w:val="auto"/>
                <w:sz w:val="24"/>
                <w:highlight w:val="none"/>
              </w:rPr>
              <w:t>③资源利用上线</w:t>
            </w:r>
          </w:p>
          <w:p>
            <w:pPr>
              <w:pStyle w:val="23"/>
              <w:snapToGrid w:val="0"/>
              <w:spacing w:after="0" w:line="360" w:lineRule="auto"/>
              <w:ind w:firstLine="400" w:firstLineChars="200"/>
              <w:rPr>
                <w:color w:val="auto"/>
                <w:sz w:val="24"/>
                <w:highlight w:val="none"/>
              </w:rPr>
            </w:pPr>
            <w:r>
              <w:rPr>
                <w:color w:val="auto"/>
                <w:sz w:val="24"/>
                <w:highlight w:val="none"/>
              </w:rPr>
              <w:t xml:space="preserve"> </w:t>
            </w:r>
            <w:r>
              <w:rPr>
                <w:rFonts w:hint="eastAsia" w:ascii="Times New Roman" w:hAnsi="Times New Roman" w:eastAsia="宋体" w:cs="Times New Roman"/>
                <w:color w:val="auto"/>
                <w:spacing w:val="0"/>
                <w:sz w:val="24"/>
                <w:szCs w:val="24"/>
                <w:highlight w:val="none"/>
              </w:rPr>
              <w:t>项目生产过程中所用的资源主要为水、电等，项目用水来源为自来水，用水量很小，能够满足项目的新鲜水使用要求；用电由市政电网供应，能够满足本项目的用电要求；项目租赁原熊家桥页岩砖厂</w:t>
            </w:r>
            <w:r>
              <w:rPr>
                <w:rFonts w:hint="eastAsia" w:ascii="Times New Roman" w:hAnsi="Times New Roman" w:eastAsia="宋体" w:cs="Times New Roman"/>
                <w:color w:val="auto"/>
                <w:spacing w:val="0"/>
                <w:sz w:val="24"/>
                <w:szCs w:val="24"/>
                <w:highlight w:val="none"/>
                <w:lang w:eastAsia="zh-CN"/>
              </w:rPr>
              <w:t>现有厂房</w:t>
            </w:r>
            <w:r>
              <w:rPr>
                <w:rFonts w:hint="eastAsia" w:ascii="Times New Roman" w:hAnsi="Times New Roman" w:eastAsia="宋体" w:cs="Times New Roman"/>
                <w:color w:val="auto"/>
                <w:spacing w:val="0"/>
                <w:sz w:val="24"/>
                <w:szCs w:val="24"/>
                <w:highlight w:val="none"/>
              </w:rPr>
              <w:t>，不占用新的土地资源。项目资源消耗量相对区域资源利用总量很少，不会突破资源利用上线。</w:t>
            </w:r>
            <w:r>
              <w:rPr>
                <w:color w:val="auto"/>
                <w:sz w:val="24"/>
                <w:highlight w:val="none"/>
              </w:rPr>
              <w:t xml:space="preserve">                                                                                                                                                                                                                                                                                                                                                                                                                                                                                                                                                   </w:t>
            </w:r>
          </w:p>
          <w:p>
            <w:pPr>
              <w:spacing w:line="360" w:lineRule="auto"/>
              <w:ind w:firstLine="480" w:firstLineChars="200"/>
              <w:rPr>
                <w:bCs/>
                <w:color w:val="auto"/>
                <w:sz w:val="24"/>
                <w:highlight w:val="none"/>
                <w:lang w:val="en-GB"/>
              </w:rPr>
            </w:pPr>
            <w:r>
              <w:rPr>
                <w:rFonts w:hint="eastAsia" w:eastAsiaTheme="minorEastAsia"/>
                <w:bCs/>
                <w:color w:val="auto"/>
                <w:sz w:val="24"/>
                <w:highlight w:val="none"/>
              </w:rPr>
              <w:t>④</w:t>
            </w:r>
            <w:r>
              <w:rPr>
                <w:bCs/>
                <w:color w:val="auto"/>
                <w:sz w:val="24"/>
                <w:highlight w:val="none"/>
                <w:lang w:val="en-GB"/>
              </w:rPr>
              <w:t>环境准入负面清单</w:t>
            </w:r>
          </w:p>
          <w:p>
            <w:pPr>
              <w:topLinePunct/>
              <w:spacing w:line="360" w:lineRule="auto"/>
              <w:ind w:firstLine="480" w:firstLineChars="200"/>
              <w:rPr>
                <w:color w:val="auto"/>
                <w:sz w:val="24"/>
                <w:highlight w:val="none"/>
                <w:lang w:val="zh-CN"/>
              </w:rPr>
            </w:pPr>
            <w:r>
              <w:rPr>
                <w:rFonts w:hint="eastAsia"/>
                <w:color w:val="auto"/>
                <w:kern w:val="0"/>
                <w:sz w:val="24"/>
                <w:highlight w:val="none"/>
              </w:rPr>
              <w:t>对照《国家发展改革委商务部关于印发〈市场准入负面清单（2020年版）〉的通知》中的产业准入负面清单以及《湖南省新增19个国家重点生态功能区产业准入负面清单（试行）》（湘发改规划〔2018〕972号）中的产业准入负面清单，本项目不属于负面清单限制产业，符合生态环境准入清单要求相关要求。</w:t>
            </w:r>
          </w:p>
          <w:p>
            <w:pPr>
              <w:topLinePunct/>
              <w:spacing w:line="360" w:lineRule="auto"/>
              <w:ind w:firstLine="480" w:firstLineChars="200"/>
              <w:rPr>
                <w:color w:val="auto"/>
                <w:kern w:val="0"/>
                <w:sz w:val="24"/>
                <w:highlight w:val="none"/>
              </w:rPr>
            </w:pPr>
            <w:r>
              <w:rPr>
                <w:rFonts w:hint="eastAsia"/>
                <w:color w:val="auto"/>
                <w:kern w:val="0"/>
                <w:sz w:val="24"/>
                <w:highlight w:val="none"/>
              </w:rPr>
              <w:t>对照《邵阳市人民政府关于实施“三线一单”生态环境分区管控意见》（邵市政发[2020]10号）</w:t>
            </w:r>
            <w:r>
              <w:rPr>
                <w:rFonts w:hint="eastAsia"/>
                <w:color w:val="auto"/>
                <w:sz w:val="24"/>
                <w:highlight w:val="none"/>
              </w:rPr>
              <w:t>中</w:t>
            </w:r>
            <w:r>
              <w:rPr>
                <w:rFonts w:hint="eastAsia" w:ascii="宋体" w:hAnsi="宋体"/>
                <w:color w:val="auto"/>
                <w:sz w:val="24"/>
                <w:highlight w:val="none"/>
              </w:rPr>
              <w:t>邵阳市北塔区陈家桥乡</w:t>
            </w:r>
            <w:r>
              <w:rPr>
                <w:rFonts w:hint="eastAsia" w:ascii="宋体" w:hAnsi="宋体" w:cs="宋体"/>
                <w:color w:val="auto"/>
                <w:sz w:val="24"/>
                <w:highlight w:val="none"/>
              </w:rPr>
              <w:t>管控单元（属于</w:t>
            </w:r>
            <w:r>
              <w:rPr>
                <w:rFonts w:hint="eastAsia" w:ascii="宋体" w:hAnsi="宋体"/>
                <w:color w:val="auto"/>
                <w:sz w:val="24"/>
                <w:highlight w:val="none"/>
              </w:rPr>
              <w:t>重点管控单元，环境管控单元编码</w:t>
            </w:r>
            <w:r>
              <w:rPr>
                <w:color w:val="auto"/>
                <w:sz w:val="24"/>
                <w:highlight w:val="none"/>
              </w:rPr>
              <w:t>ZH4305</w:t>
            </w:r>
            <w:r>
              <w:rPr>
                <w:rFonts w:hint="eastAsia"/>
                <w:color w:val="auto"/>
                <w:sz w:val="24"/>
                <w:highlight w:val="none"/>
              </w:rPr>
              <w:t>112</w:t>
            </w:r>
            <w:r>
              <w:rPr>
                <w:color w:val="auto"/>
                <w:sz w:val="24"/>
                <w:highlight w:val="none"/>
              </w:rPr>
              <w:t>000</w:t>
            </w:r>
            <w:r>
              <w:rPr>
                <w:rFonts w:hint="eastAsia"/>
                <w:color w:val="auto"/>
                <w:sz w:val="24"/>
                <w:highlight w:val="none"/>
              </w:rPr>
              <w:t>1</w:t>
            </w:r>
            <w:r>
              <w:rPr>
                <w:rFonts w:hint="eastAsia" w:ascii="宋体" w:hAnsi="宋体" w:cs="宋体"/>
                <w:color w:val="auto"/>
                <w:sz w:val="24"/>
                <w:highlight w:val="none"/>
              </w:rPr>
              <w:t>）</w:t>
            </w:r>
            <w:r>
              <w:rPr>
                <w:rFonts w:hint="eastAsia"/>
                <w:color w:val="auto"/>
                <w:kern w:val="0"/>
                <w:sz w:val="24"/>
                <w:highlight w:val="none"/>
              </w:rPr>
              <w:t>，本项目与其相符合。</w:t>
            </w:r>
          </w:p>
          <w:p>
            <w:pPr>
              <w:topLinePunct/>
              <w:jc w:val="center"/>
              <w:rPr>
                <w:b/>
                <w:bCs/>
                <w:color w:val="auto"/>
                <w:kern w:val="0"/>
                <w:sz w:val="24"/>
                <w:highlight w:val="none"/>
              </w:rPr>
            </w:pPr>
            <w:r>
              <w:rPr>
                <w:rFonts w:hint="eastAsia"/>
                <w:b/>
                <w:bCs/>
                <w:color w:val="auto"/>
                <w:kern w:val="0"/>
                <w:sz w:val="24"/>
                <w:highlight w:val="none"/>
              </w:rPr>
              <w:t>表1-1 项目与邵阳市“三线一单”生态环境分区管控意见相符性分析</w:t>
            </w:r>
          </w:p>
          <w:tbl>
            <w:tblPr>
              <w:tblStyle w:val="25"/>
              <w:tblW w:w="497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486"/>
              <w:gridCol w:w="4244"/>
              <w:gridCol w:w="2195"/>
              <w:gridCol w:w="4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86" w:type="dxa"/>
                  <w:shd w:val="clear" w:color="auto" w:fill="auto"/>
                  <w:vAlign w:val="center"/>
                </w:tcPr>
                <w:p>
                  <w:pPr>
                    <w:topLinePunct/>
                    <w:jc w:val="center"/>
                    <w:rPr>
                      <w:color w:val="auto"/>
                      <w:kern w:val="0"/>
                      <w:szCs w:val="21"/>
                      <w:highlight w:val="none"/>
                    </w:rPr>
                  </w:pPr>
                  <w:r>
                    <w:rPr>
                      <w:color w:val="auto"/>
                      <w:kern w:val="0"/>
                      <w:szCs w:val="21"/>
                      <w:highlight w:val="none"/>
                    </w:rPr>
                    <w:t>管控领域</w:t>
                  </w:r>
                </w:p>
              </w:tc>
              <w:tc>
                <w:tcPr>
                  <w:tcW w:w="4246" w:type="dxa"/>
                  <w:shd w:val="clear" w:color="auto" w:fill="auto"/>
                  <w:vAlign w:val="center"/>
                </w:tcPr>
                <w:p>
                  <w:pPr>
                    <w:topLinePunct/>
                    <w:jc w:val="center"/>
                    <w:rPr>
                      <w:color w:val="auto"/>
                      <w:kern w:val="0"/>
                      <w:szCs w:val="21"/>
                      <w:highlight w:val="none"/>
                    </w:rPr>
                  </w:pPr>
                  <w:r>
                    <w:rPr>
                      <w:color w:val="auto"/>
                      <w:kern w:val="0"/>
                      <w:szCs w:val="21"/>
                      <w:highlight w:val="none"/>
                    </w:rPr>
                    <w:t>环境准入及管控要求</w:t>
                  </w:r>
                </w:p>
              </w:tc>
              <w:tc>
                <w:tcPr>
                  <w:tcW w:w="2196" w:type="dxa"/>
                  <w:shd w:val="clear" w:color="auto" w:fill="auto"/>
                  <w:vAlign w:val="center"/>
                </w:tcPr>
                <w:p>
                  <w:pPr>
                    <w:topLinePunct/>
                    <w:jc w:val="center"/>
                    <w:rPr>
                      <w:color w:val="auto"/>
                      <w:kern w:val="0"/>
                      <w:szCs w:val="21"/>
                      <w:highlight w:val="none"/>
                    </w:rPr>
                  </w:pPr>
                  <w:r>
                    <w:rPr>
                      <w:color w:val="auto"/>
                      <w:kern w:val="0"/>
                      <w:szCs w:val="21"/>
                      <w:highlight w:val="none"/>
                    </w:rPr>
                    <w:t>本项目情况</w:t>
                  </w:r>
                </w:p>
              </w:tc>
              <w:tc>
                <w:tcPr>
                  <w:tcW w:w="454" w:type="dxa"/>
                  <w:shd w:val="clear" w:color="auto" w:fill="auto"/>
                  <w:vAlign w:val="center"/>
                </w:tcPr>
                <w:p>
                  <w:pPr>
                    <w:topLinePunct/>
                    <w:jc w:val="center"/>
                    <w:rPr>
                      <w:color w:val="auto"/>
                      <w:kern w:val="0"/>
                      <w:szCs w:val="21"/>
                      <w:highlight w:val="none"/>
                    </w:rPr>
                  </w:pPr>
                  <w:r>
                    <w:rPr>
                      <w:color w:val="auto"/>
                      <w:kern w:val="0"/>
                      <w:szCs w:val="21"/>
                      <w:highlight w:val="none"/>
                    </w:rPr>
                    <w:t>相符性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139" w:hRule="atLeast"/>
                <w:jc w:val="center"/>
              </w:trPr>
              <w:tc>
                <w:tcPr>
                  <w:tcW w:w="486" w:type="dxa"/>
                  <w:shd w:val="clear" w:color="auto" w:fill="auto"/>
                  <w:vAlign w:val="center"/>
                </w:tcPr>
                <w:p>
                  <w:pPr>
                    <w:topLinePunct/>
                    <w:jc w:val="center"/>
                    <w:rPr>
                      <w:color w:val="auto"/>
                      <w:kern w:val="0"/>
                      <w:szCs w:val="21"/>
                      <w:highlight w:val="none"/>
                    </w:rPr>
                  </w:pPr>
                  <w:r>
                    <w:rPr>
                      <w:color w:val="auto"/>
                      <w:szCs w:val="21"/>
                      <w:highlight w:val="none"/>
                    </w:rPr>
                    <w:t>空间布局约束</w:t>
                  </w:r>
                </w:p>
              </w:tc>
              <w:tc>
                <w:tcPr>
                  <w:tcW w:w="4246" w:type="dxa"/>
                  <w:shd w:val="clear" w:color="auto" w:fill="auto"/>
                  <w:vAlign w:val="center"/>
                </w:tcPr>
                <w:p>
                  <w:pPr>
                    <w:topLinePunc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1）优先发展废弃物综合利用、机械加工、农副产品加工等生态产业；</w:t>
                  </w:r>
                </w:p>
                <w:p>
                  <w:pPr>
                    <w:topLinePunc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2）在城市主干道两侧100米范围内、资江北岸岸线200米范围内的区域，禁止新增石材加工企业；</w:t>
                  </w:r>
                </w:p>
                <w:p>
                  <w:pPr>
                    <w:topLinePunc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3）以湘窖酒业为依托，发展酒文化小镇；茶元头街道以茶元、沐三丹霞地貌为核心建设桃花文旅小镇；重点建设陈家桥集镇、兴隆集镇；积极推进乡村旅游开发；</w:t>
                  </w:r>
                </w:p>
                <w:p>
                  <w:pPr>
                    <w:topLinePunct/>
                    <w:rPr>
                      <w:color w:val="auto"/>
                      <w:szCs w:val="21"/>
                      <w:highlight w:val="none"/>
                    </w:rPr>
                  </w:pPr>
                  <w:r>
                    <w:rPr>
                      <w:rFonts w:hint="eastAsia"/>
                      <w:color w:val="auto"/>
                      <w:szCs w:val="21"/>
                      <w:highlight w:val="none"/>
                    </w:rPr>
                    <w:t>（1.4）执行市级空间布局约束相关要求，并与自然资源空间布局对接，重点关注红线/饮用水水源保护区/水环境优先保护区/大气环境受体敏感点重点管控区/大气环境布局敏感重点管控区。</w:t>
                  </w:r>
                </w:p>
                <w:p>
                  <w:pPr>
                    <w:topLinePunct/>
                    <w:rPr>
                      <w:color w:val="auto"/>
                      <w:szCs w:val="21"/>
                      <w:highlight w:val="none"/>
                    </w:rPr>
                  </w:pPr>
                  <w:r>
                    <w:rPr>
                      <w:rFonts w:hint="eastAsia"/>
                      <w:color w:val="auto"/>
                      <w:szCs w:val="21"/>
                      <w:highlight w:val="none"/>
                    </w:rPr>
                    <w:t>（1.5）城市规划区禁止新建烧制建筑用砖厂，城市规划区以外符合政策、予以保留的烧制砖瓦厂要使用低硫分的燃料，并全面配套建设烟气脱硫除尘设施，原料、燃料要密闭储存或采取防风、抑尘、降尘等措施；</w:t>
                  </w:r>
                </w:p>
                <w:p>
                  <w:pPr>
                    <w:topLinePunct/>
                    <w:rPr>
                      <w:color w:val="auto"/>
                      <w:szCs w:val="21"/>
                      <w:highlight w:val="none"/>
                    </w:rPr>
                  </w:pPr>
                  <w:r>
                    <w:rPr>
                      <w:rFonts w:hint="eastAsia"/>
                      <w:color w:val="auto"/>
                      <w:szCs w:val="21"/>
                      <w:highlight w:val="none"/>
                    </w:rPr>
                    <w:t>（1.6）推广城市智能交通管理，积极推进错峰上下班，鼓励绿色出行，实施公共交通优先，提高绿色交通出行比例，鼓励新能源汽车和共享单车推广使用，加强城区重型载货车辆交通管控，减少重型载货车辆穿行主城区。</w:t>
                  </w:r>
                </w:p>
                <w:p>
                  <w:pPr>
                    <w:topLinePunct/>
                    <w:rPr>
                      <w:color w:val="auto"/>
                      <w:kern w:val="0"/>
                      <w:szCs w:val="21"/>
                      <w:highlight w:val="none"/>
                    </w:rPr>
                  </w:pPr>
                  <w:r>
                    <w:rPr>
                      <w:rFonts w:hint="eastAsia"/>
                      <w:color w:val="auto"/>
                      <w:szCs w:val="21"/>
                      <w:highlight w:val="none"/>
                    </w:rPr>
                    <w:t>（1.7）整合资源，建立一个集食品生产，加工，销售为一体的食品工业城</w:t>
                  </w:r>
                </w:p>
              </w:tc>
              <w:tc>
                <w:tcPr>
                  <w:tcW w:w="2196" w:type="dxa"/>
                  <w:shd w:val="clear" w:color="auto" w:fill="auto"/>
                  <w:vAlign w:val="center"/>
                </w:tcPr>
                <w:p>
                  <w:pPr>
                    <w:topLinePunct/>
                    <w:rPr>
                      <w:color w:val="auto"/>
                      <w:szCs w:val="21"/>
                      <w:highlight w:val="none"/>
                    </w:rPr>
                  </w:pPr>
                  <w:r>
                    <w:rPr>
                      <w:color w:val="auto"/>
                      <w:szCs w:val="21"/>
                      <w:highlight w:val="none"/>
                    </w:rPr>
                    <w:t>（1.1）项目</w:t>
                  </w:r>
                  <w:r>
                    <w:rPr>
                      <w:rFonts w:hint="eastAsia"/>
                      <w:color w:val="auto"/>
                      <w:szCs w:val="21"/>
                      <w:highlight w:val="none"/>
                    </w:rPr>
                    <w:t>不涉及</w:t>
                  </w:r>
                  <w:r>
                    <w:rPr>
                      <w:color w:val="auto"/>
                      <w:szCs w:val="21"/>
                      <w:highlight w:val="none"/>
                    </w:rPr>
                    <w:t>；</w:t>
                  </w:r>
                </w:p>
                <w:p>
                  <w:pPr>
                    <w:topLinePunct/>
                    <w:rPr>
                      <w:color w:val="auto"/>
                      <w:szCs w:val="21"/>
                      <w:highlight w:val="none"/>
                    </w:rPr>
                  </w:pPr>
                  <w:r>
                    <w:rPr>
                      <w:rFonts w:hint="eastAsia"/>
                      <w:color w:val="auto"/>
                      <w:szCs w:val="21"/>
                      <w:highlight w:val="none"/>
                    </w:rPr>
                    <w:t>（1.2）</w:t>
                  </w:r>
                  <w:r>
                    <w:rPr>
                      <w:rFonts w:hint="eastAsia"/>
                      <w:color w:val="auto"/>
                      <w:kern w:val="0"/>
                      <w:szCs w:val="21"/>
                      <w:highlight w:val="none"/>
                    </w:rPr>
                    <w:t>本项目不属于石材加工企业</w:t>
                  </w:r>
                  <w:r>
                    <w:rPr>
                      <w:rFonts w:hint="eastAsia"/>
                      <w:color w:val="auto"/>
                      <w:szCs w:val="21"/>
                      <w:highlight w:val="none"/>
                    </w:rPr>
                    <w:t>；</w:t>
                  </w:r>
                </w:p>
                <w:p>
                  <w:pPr>
                    <w:topLinePunct/>
                    <w:rPr>
                      <w:color w:val="auto"/>
                      <w:szCs w:val="21"/>
                      <w:highlight w:val="none"/>
                    </w:rPr>
                  </w:pPr>
                  <w:r>
                    <w:rPr>
                      <w:rFonts w:hint="eastAsia"/>
                      <w:color w:val="auto"/>
                      <w:szCs w:val="21"/>
                      <w:highlight w:val="none"/>
                    </w:rPr>
                    <w:t>（1.3）本项目不涉及；</w:t>
                  </w:r>
                </w:p>
                <w:p>
                  <w:pPr>
                    <w:topLinePunct/>
                    <w:rPr>
                      <w:color w:val="auto"/>
                      <w:szCs w:val="21"/>
                      <w:highlight w:val="none"/>
                    </w:rPr>
                  </w:pPr>
                  <w:r>
                    <w:rPr>
                      <w:rFonts w:hint="eastAsia"/>
                      <w:color w:val="auto"/>
                      <w:szCs w:val="21"/>
                      <w:highlight w:val="none"/>
                    </w:rPr>
                    <w:t>（1.4）项目不涉及红线/饮用水水源保护区/水环境优先保护区/大气环境受体敏感点重点管控区/大气环境布局敏感重点管控区等区域；</w:t>
                  </w:r>
                </w:p>
                <w:p>
                  <w:pPr>
                    <w:topLinePunct/>
                    <w:rPr>
                      <w:color w:val="auto"/>
                      <w:szCs w:val="21"/>
                      <w:highlight w:val="none"/>
                    </w:rPr>
                  </w:pPr>
                  <w:r>
                    <w:rPr>
                      <w:rFonts w:hint="eastAsia"/>
                      <w:color w:val="auto"/>
                      <w:szCs w:val="21"/>
                      <w:highlight w:val="none"/>
                    </w:rPr>
                    <w:t>（1.5）本项目不属于砖厂；</w:t>
                  </w:r>
                </w:p>
                <w:p>
                  <w:pPr>
                    <w:topLinePunct/>
                    <w:rPr>
                      <w:color w:val="auto"/>
                      <w:kern w:val="0"/>
                      <w:szCs w:val="21"/>
                      <w:highlight w:val="none"/>
                    </w:rPr>
                  </w:pPr>
                  <w:r>
                    <w:rPr>
                      <w:rFonts w:hint="eastAsia"/>
                      <w:color w:val="auto"/>
                      <w:szCs w:val="21"/>
                      <w:highlight w:val="none"/>
                    </w:rPr>
                    <w:t>（1.6）本项目不涉及；（1.7）本项目为金属制品业，符合北塔区经济产业布局。</w:t>
                  </w:r>
                </w:p>
              </w:tc>
              <w:tc>
                <w:tcPr>
                  <w:tcW w:w="454" w:type="dxa"/>
                  <w:shd w:val="clear" w:color="auto" w:fill="auto"/>
                  <w:vAlign w:val="center"/>
                </w:tcPr>
                <w:p>
                  <w:pPr>
                    <w:topLinePunct/>
                    <w:jc w:val="center"/>
                    <w:rPr>
                      <w:color w:val="auto"/>
                      <w:kern w:val="0"/>
                      <w:szCs w:val="21"/>
                      <w:highlight w:val="none"/>
                    </w:rPr>
                  </w:pPr>
                  <w:r>
                    <w:rPr>
                      <w:color w:val="auto"/>
                      <w:kern w:val="0"/>
                      <w:szCs w:val="21"/>
                      <w:highlight w:val="none"/>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86" w:type="dxa"/>
                  <w:shd w:val="clear" w:color="auto" w:fill="auto"/>
                  <w:vAlign w:val="center"/>
                </w:tcPr>
                <w:p>
                  <w:pPr>
                    <w:topLinePunct/>
                    <w:jc w:val="center"/>
                    <w:rPr>
                      <w:color w:val="auto"/>
                      <w:kern w:val="0"/>
                      <w:szCs w:val="21"/>
                      <w:highlight w:val="none"/>
                    </w:rPr>
                  </w:pPr>
                  <w:r>
                    <w:rPr>
                      <w:color w:val="auto"/>
                      <w:kern w:val="0"/>
                      <w:szCs w:val="21"/>
                      <w:highlight w:val="none"/>
                    </w:rPr>
                    <w:t>污染物排放管控</w:t>
                  </w:r>
                </w:p>
              </w:tc>
              <w:tc>
                <w:tcPr>
                  <w:tcW w:w="4246" w:type="dxa"/>
                  <w:shd w:val="clear" w:color="auto" w:fill="auto"/>
                  <w:vAlign w:val="center"/>
                </w:tcPr>
                <w:p>
                  <w:pPr>
                    <w:topLinePunct/>
                    <w:rPr>
                      <w:color w:val="auto"/>
                      <w:szCs w:val="21"/>
                      <w:highlight w:val="none"/>
                    </w:rPr>
                  </w:pPr>
                  <w:r>
                    <w:rPr>
                      <w:rFonts w:hint="eastAsia"/>
                      <w:color w:val="auto"/>
                      <w:szCs w:val="21"/>
                      <w:highlight w:val="none"/>
                    </w:rPr>
                    <w:t>（</w:t>
                  </w:r>
                  <w:r>
                    <w:rPr>
                      <w:color w:val="auto"/>
                      <w:szCs w:val="21"/>
                      <w:highlight w:val="none"/>
                    </w:rPr>
                    <w:t>2.1</w:t>
                  </w:r>
                  <w:r>
                    <w:rPr>
                      <w:rFonts w:hint="eastAsia"/>
                      <w:color w:val="auto"/>
                      <w:szCs w:val="21"/>
                      <w:highlight w:val="none"/>
                    </w:rPr>
                    <w:t>）加快推进辖区内印刷行业的VOCs治理，确保达标排放。</w:t>
                  </w:r>
                </w:p>
                <w:p>
                  <w:pPr>
                    <w:topLinePunct/>
                    <w:rPr>
                      <w:color w:val="auto"/>
                      <w:szCs w:val="21"/>
                      <w:highlight w:val="none"/>
                    </w:rPr>
                  </w:pPr>
                  <w:r>
                    <w:rPr>
                      <w:rFonts w:hint="eastAsia"/>
                      <w:color w:val="auto"/>
                      <w:szCs w:val="21"/>
                      <w:highlight w:val="none"/>
                    </w:rPr>
                    <w:t>（</w:t>
                  </w:r>
                  <w:r>
                    <w:rPr>
                      <w:color w:val="auto"/>
                      <w:szCs w:val="21"/>
                      <w:highlight w:val="none"/>
                    </w:rPr>
                    <w:t>2.2</w:t>
                  </w:r>
                  <w:r>
                    <w:rPr>
                      <w:rFonts w:hint="eastAsia"/>
                      <w:color w:val="auto"/>
                      <w:szCs w:val="21"/>
                      <w:highlight w:val="none"/>
                    </w:rPr>
                    <w:t>）推动工业污染源稳定达标排放。</w:t>
                  </w:r>
                </w:p>
                <w:p>
                  <w:pPr>
                    <w:topLinePunct/>
                    <w:rPr>
                      <w:color w:val="auto"/>
                      <w:szCs w:val="21"/>
                      <w:highlight w:val="none"/>
                    </w:rPr>
                  </w:pPr>
                  <w:r>
                    <w:rPr>
                      <w:rFonts w:hint="eastAsia"/>
                      <w:color w:val="auto"/>
                      <w:szCs w:val="21"/>
                      <w:highlight w:val="none"/>
                    </w:rPr>
                    <w:t>（2.3）加强农村生活垃圾规范化处置，完善垃圾收集运转设施；</w:t>
                  </w:r>
                </w:p>
                <w:p>
                  <w:pPr>
                    <w:topLinePunc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4）提高城镇生活废水、垃圾的收集、处置效率。</w:t>
                  </w:r>
                </w:p>
                <w:p>
                  <w:pPr>
                    <w:topLinePunct/>
                    <w:rPr>
                      <w:color w:val="auto"/>
                      <w:szCs w:val="21"/>
                      <w:highlight w:val="none"/>
                    </w:rPr>
                  </w:pPr>
                  <w:r>
                    <w:rPr>
                      <w:rFonts w:hint="eastAsia"/>
                      <w:color w:val="auto"/>
                      <w:szCs w:val="21"/>
                      <w:highlight w:val="none"/>
                    </w:rPr>
                    <w:t>（2.</w:t>
                  </w:r>
                  <w:r>
                    <w:rPr>
                      <w:color w:val="auto"/>
                      <w:szCs w:val="21"/>
                      <w:highlight w:val="none"/>
                    </w:rPr>
                    <w:t>5</w:t>
                  </w:r>
                  <w:r>
                    <w:rPr>
                      <w:rFonts w:hint="eastAsia"/>
                      <w:color w:val="auto"/>
                      <w:szCs w:val="21"/>
                      <w:highlight w:val="none"/>
                    </w:rPr>
                    <w:t>）执行市级污染物排放管控相关要求，重点关注大气环境高排放重点管控区。</w:t>
                  </w:r>
                </w:p>
                <w:p>
                  <w:pPr>
                    <w:topLinePunct/>
                    <w:rPr>
                      <w:color w:val="auto"/>
                      <w:szCs w:val="21"/>
                      <w:highlight w:val="none"/>
                    </w:rPr>
                  </w:pPr>
                  <w:r>
                    <w:rPr>
                      <w:rFonts w:hint="eastAsia"/>
                      <w:color w:val="auto"/>
                      <w:szCs w:val="21"/>
                      <w:highlight w:val="none"/>
                    </w:rPr>
                    <w:t>（2.6）提高秸秆综合利用率，全面禁止农作物秸秆露天焚烧。</w:t>
                  </w:r>
                </w:p>
                <w:p>
                  <w:pPr>
                    <w:topLinePunct/>
                    <w:rPr>
                      <w:color w:val="auto"/>
                      <w:szCs w:val="21"/>
                      <w:highlight w:val="none"/>
                    </w:rPr>
                  </w:pPr>
                  <w:r>
                    <w:rPr>
                      <w:rFonts w:hint="eastAsia"/>
                      <w:color w:val="auto"/>
                      <w:szCs w:val="21"/>
                      <w:highlight w:val="none"/>
                    </w:rPr>
                    <w:t>（2.7）加强城镇污水处理设施及配套管网建设。</w:t>
                  </w:r>
                </w:p>
                <w:p>
                  <w:pPr>
                    <w:topLinePunct/>
                    <w:rPr>
                      <w:color w:val="auto"/>
                      <w:szCs w:val="21"/>
                      <w:highlight w:val="none"/>
                    </w:rPr>
                  </w:pPr>
                  <w:r>
                    <w:rPr>
                      <w:rFonts w:hint="eastAsia"/>
                      <w:color w:val="auto"/>
                      <w:szCs w:val="21"/>
                      <w:highlight w:val="none"/>
                    </w:rPr>
                    <w:t>（2.8）严格禁养区管理，禁养区内禁止新建畜禽规模养殖场（小区）和养殖专业户，加快推进畜禽养殖场（小区）配套建设粪便污水贮存、处理、利用设施，全面推动畜禽养殖废弃物资源化利用，散养密集区要实行畜禽粪便污水分户收集、集中处理利用，全面规范河流、水库等天然水域养殖行为，禁止天然水域投肥养殖，大力推进水厂养殖绿色发展。</w:t>
                  </w:r>
                </w:p>
              </w:tc>
              <w:tc>
                <w:tcPr>
                  <w:tcW w:w="2196" w:type="dxa"/>
                  <w:shd w:val="clear" w:color="auto" w:fill="auto"/>
                  <w:vAlign w:val="center"/>
                </w:tcPr>
                <w:p>
                  <w:pPr>
                    <w:topLinePunct/>
                    <w:rPr>
                      <w:color w:val="auto"/>
                      <w:szCs w:val="21"/>
                      <w:highlight w:val="none"/>
                    </w:rPr>
                  </w:pPr>
                  <w:r>
                    <w:rPr>
                      <w:rFonts w:hint="eastAsia"/>
                      <w:color w:val="auto"/>
                      <w:szCs w:val="21"/>
                      <w:highlight w:val="none"/>
                    </w:rPr>
                    <w:t>（2.1）本项目VOCs经收集后使UV光解+活性炭吸附后，通过15m排气筒排放</w:t>
                  </w:r>
                  <w:r>
                    <w:rPr>
                      <w:color w:val="auto"/>
                      <w:szCs w:val="21"/>
                      <w:highlight w:val="none"/>
                    </w:rPr>
                    <w:t>；</w:t>
                  </w:r>
                </w:p>
                <w:p>
                  <w:pPr>
                    <w:topLinePunct/>
                    <w:rPr>
                      <w:color w:val="auto"/>
                      <w:szCs w:val="21"/>
                      <w:highlight w:val="none"/>
                    </w:rPr>
                  </w:pPr>
                  <w:r>
                    <w:rPr>
                      <w:color w:val="auto"/>
                      <w:szCs w:val="21"/>
                      <w:highlight w:val="none"/>
                    </w:rPr>
                    <w:t>（2.2）</w:t>
                  </w:r>
                  <w:r>
                    <w:rPr>
                      <w:rFonts w:hint="eastAsia"/>
                      <w:color w:val="auto"/>
                      <w:szCs w:val="21"/>
                      <w:highlight w:val="none"/>
                    </w:rPr>
                    <w:t>本项目污染物在采取一定环保措施后可达标排放</w:t>
                  </w:r>
                  <w:r>
                    <w:rPr>
                      <w:color w:val="auto"/>
                      <w:szCs w:val="21"/>
                      <w:highlight w:val="none"/>
                    </w:rPr>
                    <w:t>；</w:t>
                  </w:r>
                </w:p>
                <w:p>
                  <w:pPr>
                    <w:topLinePunct/>
                    <w:rPr>
                      <w:color w:val="auto"/>
                      <w:szCs w:val="21"/>
                      <w:highlight w:val="none"/>
                    </w:rPr>
                  </w:pPr>
                  <w:r>
                    <w:rPr>
                      <w:color w:val="auto"/>
                      <w:szCs w:val="21"/>
                      <w:highlight w:val="none"/>
                    </w:rPr>
                    <w:t>（2.3）</w:t>
                  </w:r>
                  <w:r>
                    <w:rPr>
                      <w:rFonts w:hint="eastAsia"/>
                      <w:color w:val="auto"/>
                      <w:szCs w:val="21"/>
                      <w:highlight w:val="none"/>
                    </w:rPr>
                    <w:t>项目生活垃圾收集由环卫部门每天清运</w:t>
                  </w:r>
                  <w:r>
                    <w:rPr>
                      <w:color w:val="auto"/>
                      <w:szCs w:val="21"/>
                      <w:highlight w:val="none"/>
                    </w:rPr>
                    <w:t>；</w:t>
                  </w:r>
                </w:p>
                <w:p>
                  <w:pPr>
                    <w:topLinePunct/>
                    <w:rPr>
                      <w:color w:val="auto"/>
                      <w:szCs w:val="21"/>
                      <w:highlight w:val="none"/>
                    </w:rPr>
                  </w:pPr>
                  <w:r>
                    <w:rPr>
                      <w:color w:val="auto"/>
                      <w:szCs w:val="21"/>
                      <w:highlight w:val="none"/>
                    </w:rPr>
                    <w:t>（2.4）项目生活污水经化粪池处理后</w:t>
                  </w:r>
                  <w:r>
                    <w:rPr>
                      <w:rFonts w:hint="eastAsia"/>
                      <w:color w:val="auto"/>
                      <w:szCs w:val="21"/>
                      <w:highlight w:val="none"/>
                    </w:rPr>
                    <w:t>用作农肥</w:t>
                  </w:r>
                  <w:r>
                    <w:rPr>
                      <w:color w:val="auto"/>
                      <w:szCs w:val="21"/>
                      <w:highlight w:val="none"/>
                    </w:rPr>
                    <w:t>，生活垃圾由环卫部门</w:t>
                  </w:r>
                  <w:r>
                    <w:rPr>
                      <w:rFonts w:hint="eastAsia"/>
                      <w:color w:val="auto"/>
                      <w:szCs w:val="21"/>
                      <w:highlight w:val="none"/>
                    </w:rPr>
                    <w:t>每天</w:t>
                  </w:r>
                  <w:r>
                    <w:rPr>
                      <w:color w:val="auto"/>
                      <w:szCs w:val="21"/>
                      <w:highlight w:val="none"/>
                    </w:rPr>
                    <w:t>清运；</w:t>
                  </w:r>
                </w:p>
                <w:p>
                  <w:pPr>
                    <w:topLinePunct/>
                    <w:rPr>
                      <w:color w:val="auto"/>
                      <w:szCs w:val="21"/>
                      <w:highlight w:val="none"/>
                    </w:rPr>
                  </w:pPr>
                  <w:r>
                    <w:rPr>
                      <w:color w:val="auto"/>
                      <w:szCs w:val="21"/>
                      <w:highlight w:val="none"/>
                    </w:rPr>
                    <w:t>（2.5）项目污染物排放按市级管控要求执行；</w:t>
                  </w:r>
                </w:p>
                <w:p>
                  <w:pPr>
                    <w:topLinePunct/>
                    <w:rPr>
                      <w:color w:val="auto"/>
                      <w:szCs w:val="21"/>
                      <w:highlight w:val="none"/>
                    </w:rPr>
                  </w:pPr>
                  <w:r>
                    <w:rPr>
                      <w:color w:val="auto"/>
                      <w:szCs w:val="21"/>
                      <w:highlight w:val="none"/>
                    </w:rPr>
                    <w:t>（2.6）项目</w:t>
                  </w:r>
                  <w:r>
                    <w:rPr>
                      <w:rFonts w:hint="eastAsia"/>
                      <w:color w:val="auto"/>
                      <w:szCs w:val="21"/>
                      <w:highlight w:val="none"/>
                    </w:rPr>
                    <w:t>不涉及</w:t>
                  </w:r>
                  <w:r>
                    <w:rPr>
                      <w:color w:val="auto"/>
                      <w:szCs w:val="21"/>
                      <w:highlight w:val="none"/>
                    </w:rPr>
                    <w:t>；</w:t>
                  </w:r>
                </w:p>
                <w:p>
                  <w:pPr>
                    <w:topLinePunct/>
                    <w:rPr>
                      <w:color w:val="auto"/>
                      <w:szCs w:val="21"/>
                      <w:highlight w:val="none"/>
                    </w:rPr>
                  </w:pPr>
                  <w:r>
                    <w:rPr>
                      <w:color w:val="auto"/>
                      <w:szCs w:val="21"/>
                      <w:highlight w:val="none"/>
                    </w:rPr>
                    <w:t>（2.7）项目不涉及；</w:t>
                  </w:r>
                </w:p>
                <w:p>
                  <w:pPr>
                    <w:topLinePunct/>
                    <w:rPr>
                      <w:color w:val="auto"/>
                      <w:szCs w:val="21"/>
                      <w:highlight w:val="none"/>
                    </w:rPr>
                  </w:pPr>
                  <w:r>
                    <w:rPr>
                      <w:color w:val="auto"/>
                      <w:szCs w:val="21"/>
                      <w:highlight w:val="none"/>
                    </w:rPr>
                    <w:t>（2.8）项目不涉及。</w:t>
                  </w:r>
                </w:p>
              </w:tc>
              <w:tc>
                <w:tcPr>
                  <w:tcW w:w="454" w:type="dxa"/>
                  <w:shd w:val="clear" w:color="auto" w:fill="auto"/>
                  <w:vAlign w:val="center"/>
                </w:tcPr>
                <w:p>
                  <w:pPr>
                    <w:topLinePunct/>
                    <w:jc w:val="center"/>
                    <w:rPr>
                      <w:color w:val="auto"/>
                      <w:kern w:val="0"/>
                      <w:szCs w:val="21"/>
                      <w:highlight w:val="none"/>
                    </w:rPr>
                  </w:pPr>
                  <w:r>
                    <w:rPr>
                      <w:color w:val="auto"/>
                      <w:kern w:val="0"/>
                      <w:szCs w:val="21"/>
                      <w:highlight w:val="none"/>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86" w:type="dxa"/>
                  <w:shd w:val="clear" w:color="auto" w:fill="auto"/>
                  <w:vAlign w:val="center"/>
                </w:tcPr>
                <w:p>
                  <w:pPr>
                    <w:topLinePunct/>
                    <w:jc w:val="center"/>
                    <w:rPr>
                      <w:color w:val="auto"/>
                      <w:kern w:val="0"/>
                      <w:szCs w:val="21"/>
                      <w:highlight w:val="none"/>
                    </w:rPr>
                  </w:pPr>
                  <w:r>
                    <w:rPr>
                      <w:color w:val="auto"/>
                      <w:kern w:val="0"/>
                      <w:szCs w:val="21"/>
                      <w:highlight w:val="none"/>
                    </w:rPr>
                    <w:t>环境风险防控</w:t>
                  </w:r>
                </w:p>
              </w:tc>
              <w:tc>
                <w:tcPr>
                  <w:tcW w:w="4246" w:type="dxa"/>
                  <w:shd w:val="clear" w:color="auto" w:fill="auto"/>
                  <w:vAlign w:val="center"/>
                </w:tcPr>
                <w:p>
                  <w:pPr>
                    <w:topLinePunct/>
                    <w:rPr>
                      <w:color w:val="auto"/>
                      <w:szCs w:val="21"/>
                      <w:highlight w:val="none"/>
                    </w:rPr>
                  </w:pPr>
                  <w:r>
                    <w:rPr>
                      <w:rFonts w:hint="eastAsia"/>
                      <w:color w:val="auto"/>
                      <w:szCs w:val="21"/>
                      <w:highlight w:val="none"/>
                    </w:rPr>
                    <w:t>（</w:t>
                  </w:r>
                  <w:r>
                    <w:rPr>
                      <w:color w:val="auto"/>
                      <w:szCs w:val="21"/>
                      <w:highlight w:val="none"/>
                    </w:rPr>
                    <w:t>3.1</w:t>
                  </w:r>
                  <w:r>
                    <w:rPr>
                      <w:rFonts w:hint="eastAsia"/>
                      <w:color w:val="auto"/>
                      <w:szCs w:val="21"/>
                      <w:highlight w:val="none"/>
                    </w:rPr>
                    <w:t>）开展不达标企业（个体经营户）整治清零行动。</w:t>
                  </w:r>
                </w:p>
                <w:p>
                  <w:pPr>
                    <w:topLinePunct/>
                    <w:rPr>
                      <w:color w:val="auto"/>
                      <w:szCs w:val="21"/>
                      <w:highlight w:val="none"/>
                    </w:rPr>
                  </w:pPr>
                  <w:r>
                    <w:rPr>
                      <w:rFonts w:hint="eastAsia"/>
                      <w:color w:val="auto"/>
                      <w:szCs w:val="21"/>
                      <w:highlight w:val="none"/>
                    </w:rPr>
                    <w:t>（</w:t>
                  </w:r>
                  <w:r>
                    <w:rPr>
                      <w:color w:val="auto"/>
                      <w:szCs w:val="21"/>
                      <w:highlight w:val="none"/>
                    </w:rPr>
                    <w:t>3.2</w:t>
                  </w:r>
                  <w:r>
                    <w:rPr>
                      <w:rFonts w:hint="eastAsia"/>
                      <w:color w:val="auto"/>
                      <w:szCs w:val="21"/>
                      <w:highlight w:val="none"/>
                    </w:rPr>
                    <w:t>）加强污染地块整治。</w:t>
                  </w:r>
                </w:p>
                <w:p>
                  <w:pPr>
                    <w:topLinePunct/>
                    <w:rPr>
                      <w:color w:val="auto"/>
                      <w:szCs w:val="21"/>
                      <w:highlight w:val="none"/>
                    </w:rPr>
                  </w:pPr>
                  <w:r>
                    <w:rPr>
                      <w:rFonts w:hint="eastAsia"/>
                      <w:color w:val="auto"/>
                      <w:szCs w:val="21"/>
                      <w:highlight w:val="none"/>
                    </w:rPr>
                    <w:t>（3.3）执行市级环境风险防控相关要求，重点关注农用地污染风险重点管控区/农用地优先保护区/其他土壤重点管控区/土壤污染风险一般管控区。</w:t>
                  </w:r>
                </w:p>
                <w:p>
                  <w:pPr>
                    <w:topLinePunct/>
                    <w:rPr>
                      <w:color w:val="auto"/>
                      <w:szCs w:val="21"/>
                      <w:highlight w:val="none"/>
                    </w:rPr>
                  </w:pPr>
                  <w:r>
                    <w:rPr>
                      <w:rFonts w:hint="eastAsia"/>
                      <w:color w:val="auto"/>
                      <w:szCs w:val="21"/>
                      <w:highlight w:val="none"/>
                    </w:rPr>
                    <w:t>（3.4）严格限制高VOCs排放建设项目；推进源头管控，使用低（无）VOCs含量的原辅材料，减少VOCs产生量；强化末端治理。加强表面涂装、包装印刷、家具制造行业及沥青搅拌站VOCs达标排放综合治理，市城市建成区内禁止新建沥青搅拌站。</w:t>
                  </w:r>
                </w:p>
                <w:p>
                  <w:pPr>
                    <w:topLinePunct/>
                    <w:rPr>
                      <w:color w:val="auto"/>
                      <w:szCs w:val="21"/>
                      <w:highlight w:val="none"/>
                    </w:rPr>
                  </w:pPr>
                  <w:r>
                    <w:rPr>
                      <w:rFonts w:hint="eastAsia"/>
                      <w:color w:val="auto"/>
                      <w:szCs w:val="21"/>
                      <w:highlight w:val="none"/>
                    </w:rPr>
                    <w:t>（3.5）制定和完善突发环境事件应急预案。落实责任主体，明确预警预报与响应程序、应急处置及保障措施等内容，依法及时公布预警信息。工业企业要依据国家相关规定，进一步加强风险防控与突发环境事件应急处置能力。</w:t>
                  </w:r>
                </w:p>
              </w:tc>
              <w:tc>
                <w:tcPr>
                  <w:tcW w:w="2196" w:type="dxa"/>
                  <w:shd w:val="clear" w:color="auto" w:fill="auto"/>
                  <w:vAlign w:val="center"/>
                </w:tcPr>
                <w:p>
                  <w:pPr>
                    <w:topLinePunct/>
                    <w:rPr>
                      <w:color w:val="auto"/>
                      <w:szCs w:val="21"/>
                      <w:highlight w:val="none"/>
                    </w:rPr>
                  </w:pPr>
                  <w:r>
                    <w:rPr>
                      <w:color w:val="auto"/>
                      <w:szCs w:val="21"/>
                      <w:highlight w:val="none"/>
                    </w:rPr>
                    <w:t>（3.1）</w:t>
                  </w:r>
                  <w:r>
                    <w:rPr>
                      <w:rFonts w:hint="eastAsia"/>
                      <w:color w:val="auto"/>
                      <w:szCs w:val="21"/>
                      <w:highlight w:val="none"/>
                    </w:rPr>
                    <w:t>本项目为新建项目，经采取的一系列环保措施后，污染物可达标排放</w:t>
                  </w:r>
                  <w:r>
                    <w:rPr>
                      <w:color w:val="auto"/>
                      <w:szCs w:val="21"/>
                      <w:highlight w:val="none"/>
                    </w:rPr>
                    <w:t>；</w:t>
                  </w:r>
                </w:p>
                <w:p>
                  <w:pPr>
                    <w:topLinePunct/>
                    <w:rPr>
                      <w:color w:val="auto"/>
                      <w:szCs w:val="21"/>
                      <w:highlight w:val="none"/>
                    </w:rPr>
                  </w:pPr>
                  <w:r>
                    <w:rPr>
                      <w:color w:val="auto"/>
                      <w:szCs w:val="21"/>
                      <w:highlight w:val="none"/>
                    </w:rPr>
                    <w:t>（3.2）项目不涉及；</w:t>
                  </w:r>
                </w:p>
                <w:p>
                  <w:pPr>
                    <w:topLinePunct/>
                    <w:rPr>
                      <w:color w:val="auto"/>
                      <w:szCs w:val="21"/>
                      <w:highlight w:val="none"/>
                    </w:rPr>
                  </w:pPr>
                  <w:r>
                    <w:rPr>
                      <w:color w:val="auto"/>
                      <w:szCs w:val="21"/>
                      <w:highlight w:val="none"/>
                    </w:rPr>
                    <w:t>（3.3）</w:t>
                  </w:r>
                  <w:r>
                    <w:rPr>
                      <w:rFonts w:hint="eastAsia"/>
                      <w:color w:val="auto"/>
                      <w:szCs w:val="21"/>
                      <w:highlight w:val="none"/>
                    </w:rPr>
                    <w:t>项目不涉及</w:t>
                  </w:r>
                  <w:r>
                    <w:rPr>
                      <w:color w:val="auto"/>
                      <w:szCs w:val="21"/>
                      <w:highlight w:val="none"/>
                    </w:rPr>
                    <w:t>；</w:t>
                  </w:r>
                </w:p>
                <w:p>
                  <w:pPr>
                    <w:topLinePunct/>
                    <w:rPr>
                      <w:color w:val="auto"/>
                      <w:szCs w:val="21"/>
                      <w:highlight w:val="none"/>
                    </w:rPr>
                  </w:pPr>
                  <w:r>
                    <w:rPr>
                      <w:color w:val="auto"/>
                      <w:szCs w:val="21"/>
                      <w:highlight w:val="none"/>
                    </w:rPr>
                    <w:t>（3.4）</w:t>
                  </w:r>
                  <w:r>
                    <w:rPr>
                      <w:rFonts w:hint="eastAsia"/>
                      <w:color w:val="auto"/>
                      <w:szCs w:val="21"/>
                      <w:highlight w:val="none"/>
                    </w:rPr>
                    <w:t>本项目使用VOCs含量低的油漆作为原料，</w:t>
                  </w:r>
                  <w:r>
                    <w:rPr>
                      <w:color w:val="auto"/>
                      <w:kern w:val="20"/>
                      <w:szCs w:val="21"/>
                      <w:highlight w:val="none"/>
                    </w:rPr>
                    <w:t>项目</w:t>
                  </w:r>
                  <w:r>
                    <w:rPr>
                      <w:rFonts w:hint="eastAsia"/>
                      <w:bCs/>
                      <w:color w:val="auto"/>
                      <w:szCs w:val="21"/>
                      <w:highlight w:val="none"/>
                    </w:rPr>
                    <w:t>设置密闭式水帘喷漆房</w:t>
                  </w:r>
                  <w:r>
                    <w:rPr>
                      <w:color w:val="auto"/>
                      <w:kern w:val="20"/>
                      <w:szCs w:val="21"/>
                      <w:highlight w:val="none"/>
                    </w:rPr>
                    <w:t>，</w:t>
                  </w:r>
                  <w:r>
                    <w:rPr>
                      <w:rFonts w:hint="eastAsia"/>
                      <w:color w:val="auto"/>
                      <w:kern w:val="20"/>
                      <w:szCs w:val="21"/>
                      <w:highlight w:val="none"/>
                    </w:rPr>
                    <w:t>喷漆过程在喷漆房内进行，喷漆废气经水喷淋后与烘干废气、丝网印刷废气一起采用UV光解活性炭一体化设备处理，再经15m排气筒达标排放</w:t>
                  </w:r>
                  <w:r>
                    <w:rPr>
                      <w:rFonts w:hint="eastAsia"/>
                      <w:color w:val="auto"/>
                      <w:szCs w:val="21"/>
                      <w:highlight w:val="none"/>
                    </w:rPr>
                    <w:t>，可有效降低污染物对环境的影响。</w:t>
                  </w:r>
                </w:p>
                <w:p>
                  <w:pPr>
                    <w:topLinePunct/>
                    <w:rPr>
                      <w:color w:val="auto"/>
                      <w:szCs w:val="21"/>
                      <w:highlight w:val="none"/>
                    </w:rPr>
                  </w:pPr>
                  <w:r>
                    <w:rPr>
                      <w:rFonts w:hint="eastAsia"/>
                      <w:color w:val="auto"/>
                      <w:szCs w:val="21"/>
                      <w:highlight w:val="none"/>
                    </w:rPr>
                    <w:t>（3.5）本环评不涉及。</w:t>
                  </w:r>
                </w:p>
                <w:p>
                  <w:pPr>
                    <w:topLinePunct/>
                    <w:rPr>
                      <w:color w:val="auto"/>
                      <w:kern w:val="0"/>
                      <w:szCs w:val="21"/>
                      <w:highlight w:val="none"/>
                    </w:rPr>
                  </w:pPr>
                </w:p>
              </w:tc>
              <w:tc>
                <w:tcPr>
                  <w:tcW w:w="454" w:type="dxa"/>
                  <w:shd w:val="clear" w:color="auto" w:fill="auto"/>
                  <w:vAlign w:val="center"/>
                </w:tcPr>
                <w:p>
                  <w:pPr>
                    <w:topLinePunct/>
                    <w:jc w:val="center"/>
                    <w:rPr>
                      <w:color w:val="auto"/>
                      <w:kern w:val="0"/>
                      <w:szCs w:val="21"/>
                      <w:highlight w:val="none"/>
                    </w:rPr>
                  </w:pPr>
                  <w:r>
                    <w:rPr>
                      <w:color w:val="auto"/>
                      <w:kern w:val="0"/>
                      <w:szCs w:val="21"/>
                      <w:highlight w:val="none"/>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jc w:val="center"/>
              </w:trPr>
              <w:tc>
                <w:tcPr>
                  <w:tcW w:w="486" w:type="dxa"/>
                  <w:shd w:val="clear" w:color="auto" w:fill="auto"/>
                  <w:vAlign w:val="center"/>
                </w:tcPr>
                <w:p>
                  <w:pPr>
                    <w:topLinePunct/>
                    <w:jc w:val="center"/>
                    <w:rPr>
                      <w:color w:val="auto"/>
                      <w:kern w:val="0"/>
                      <w:szCs w:val="21"/>
                      <w:highlight w:val="none"/>
                    </w:rPr>
                  </w:pPr>
                  <w:r>
                    <w:rPr>
                      <w:color w:val="auto"/>
                      <w:kern w:val="0"/>
                      <w:szCs w:val="21"/>
                      <w:highlight w:val="none"/>
                    </w:rPr>
                    <w:t>资源开发效率要求</w:t>
                  </w:r>
                </w:p>
              </w:tc>
              <w:tc>
                <w:tcPr>
                  <w:tcW w:w="4246" w:type="dxa"/>
                  <w:shd w:val="clear" w:color="auto" w:fill="auto"/>
                  <w:vAlign w:val="center"/>
                </w:tcPr>
                <w:p>
                  <w:pPr>
                    <w:topLinePunct/>
                    <w:rPr>
                      <w:color w:val="auto"/>
                      <w:szCs w:val="21"/>
                      <w:highlight w:val="none"/>
                    </w:rPr>
                  </w:pPr>
                  <w:r>
                    <w:rPr>
                      <w:rFonts w:hint="eastAsia"/>
                      <w:color w:val="auto"/>
                      <w:szCs w:val="21"/>
                      <w:highlight w:val="none"/>
                    </w:rPr>
                    <w:t>（</w:t>
                  </w:r>
                  <w:r>
                    <w:rPr>
                      <w:color w:val="auto"/>
                      <w:szCs w:val="21"/>
                      <w:highlight w:val="none"/>
                    </w:rPr>
                    <w:t>4.1</w:t>
                  </w:r>
                  <w:r>
                    <w:rPr>
                      <w:rFonts w:hint="eastAsia"/>
                      <w:color w:val="auto"/>
                      <w:szCs w:val="21"/>
                      <w:highlight w:val="none"/>
                    </w:rPr>
                    <w:t>）降低单位GDP能耗，积极配合推进“气化邵阳”工程和特高压直流输电工程建设，减少原煤消耗，提高天然气在一次性能用消费结构中的占比。</w:t>
                  </w:r>
                </w:p>
                <w:p>
                  <w:pPr>
                    <w:topLinePunct/>
                    <w:rPr>
                      <w:color w:val="auto"/>
                      <w:szCs w:val="21"/>
                      <w:highlight w:val="none"/>
                    </w:rPr>
                  </w:pPr>
                  <w:r>
                    <w:rPr>
                      <w:rFonts w:hint="eastAsia"/>
                      <w:color w:val="auto"/>
                      <w:szCs w:val="21"/>
                      <w:highlight w:val="none"/>
                    </w:rPr>
                    <w:t>（</w:t>
                  </w:r>
                  <w:r>
                    <w:rPr>
                      <w:color w:val="auto"/>
                      <w:szCs w:val="21"/>
                      <w:highlight w:val="none"/>
                    </w:rPr>
                    <w:t>4.2</w:t>
                  </w:r>
                  <w:r>
                    <w:rPr>
                      <w:rFonts w:hint="eastAsia"/>
                      <w:color w:val="auto"/>
                      <w:szCs w:val="21"/>
                      <w:highlight w:val="none"/>
                    </w:rPr>
                    <w:t>）推动油品提质升级。</w:t>
                  </w:r>
                </w:p>
                <w:p>
                  <w:pPr>
                    <w:topLinePunct/>
                    <w:rPr>
                      <w:color w:val="auto"/>
                      <w:kern w:val="0"/>
                      <w:szCs w:val="21"/>
                      <w:highlight w:val="none"/>
                    </w:rPr>
                  </w:pPr>
                  <w:r>
                    <w:rPr>
                      <w:rFonts w:hint="eastAsia"/>
                      <w:color w:val="auto"/>
                      <w:szCs w:val="21"/>
                      <w:highlight w:val="none"/>
                    </w:rPr>
                    <w:t>（4.3）执行市级资源开发效率相关要求。</w:t>
                  </w:r>
                </w:p>
              </w:tc>
              <w:tc>
                <w:tcPr>
                  <w:tcW w:w="2196" w:type="dxa"/>
                  <w:shd w:val="clear" w:color="auto" w:fill="auto"/>
                  <w:vAlign w:val="center"/>
                </w:tcPr>
                <w:p>
                  <w:pPr>
                    <w:topLinePunct/>
                    <w:rPr>
                      <w:color w:val="auto"/>
                      <w:szCs w:val="21"/>
                      <w:highlight w:val="none"/>
                    </w:rPr>
                  </w:pPr>
                  <w:r>
                    <w:rPr>
                      <w:rFonts w:hint="eastAsia"/>
                      <w:color w:val="auto"/>
                      <w:szCs w:val="21"/>
                      <w:highlight w:val="none"/>
                    </w:rPr>
                    <w:t>（4.1）本项目主要使用电能；</w:t>
                  </w:r>
                </w:p>
                <w:p>
                  <w:pPr>
                    <w:topLinePunct/>
                    <w:rPr>
                      <w:color w:val="auto"/>
                      <w:szCs w:val="21"/>
                      <w:highlight w:val="none"/>
                    </w:rPr>
                  </w:pPr>
                  <w:r>
                    <w:rPr>
                      <w:rFonts w:hint="eastAsia"/>
                      <w:color w:val="auto"/>
                      <w:szCs w:val="21"/>
                      <w:highlight w:val="none"/>
                    </w:rPr>
                    <w:t>（4.2）项目不涉及；</w:t>
                  </w:r>
                </w:p>
                <w:p>
                  <w:pPr>
                    <w:topLinePunct/>
                    <w:rPr>
                      <w:color w:val="auto"/>
                      <w:kern w:val="0"/>
                      <w:szCs w:val="21"/>
                      <w:highlight w:val="none"/>
                    </w:rPr>
                  </w:pPr>
                  <w:r>
                    <w:rPr>
                      <w:rFonts w:hint="eastAsia"/>
                      <w:color w:val="auto"/>
                      <w:szCs w:val="21"/>
                      <w:highlight w:val="none"/>
                    </w:rPr>
                    <w:t>（4.3）项目不涉及。</w:t>
                  </w:r>
                </w:p>
              </w:tc>
              <w:tc>
                <w:tcPr>
                  <w:tcW w:w="454" w:type="dxa"/>
                  <w:shd w:val="clear" w:color="auto" w:fill="auto"/>
                  <w:vAlign w:val="center"/>
                </w:tcPr>
                <w:p>
                  <w:pPr>
                    <w:topLinePunct/>
                    <w:jc w:val="center"/>
                    <w:rPr>
                      <w:color w:val="auto"/>
                      <w:kern w:val="0"/>
                      <w:szCs w:val="21"/>
                      <w:highlight w:val="none"/>
                    </w:rPr>
                  </w:pPr>
                  <w:r>
                    <w:rPr>
                      <w:color w:val="auto"/>
                      <w:kern w:val="0"/>
                      <w:szCs w:val="21"/>
                      <w:highlight w:val="none"/>
                    </w:rPr>
                    <w:t>相符</w:t>
                  </w:r>
                </w:p>
              </w:tc>
            </w:tr>
          </w:tbl>
          <w:p>
            <w:pPr>
              <w:pStyle w:val="23"/>
              <w:snapToGrid w:val="0"/>
              <w:spacing w:after="0" w:line="360" w:lineRule="auto"/>
              <w:ind w:firstLine="480" w:firstLineChars="200"/>
              <w:rPr>
                <w:rFonts w:ascii="Times New Roman" w:hAnsi="Times New Roman" w:eastAsia="宋体" w:cs="Times New Roman"/>
                <w:color w:val="auto"/>
                <w:spacing w:val="0"/>
                <w:sz w:val="24"/>
                <w:szCs w:val="24"/>
                <w:highlight w:val="none"/>
              </w:rPr>
            </w:pPr>
            <w:r>
              <w:rPr>
                <w:rFonts w:hint="eastAsia" w:ascii="Times New Roman" w:hAnsi="Times New Roman" w:eastAsia="宋体" w:cs="Times New Roman"/>
                <w:color w:val="auto"/>
                <w:spacing w:val="0"/>
                <w:sz w:val="24"/>
                <w:szCs w:val="24"/>
                <w:highlight w:val="none"/>
              </w:rPr>
              <w:t>由上表可知，项目符合环境准入负面清单要求。</w:t>
            </w:r>
          </w:p>
          <w:p>
            <w:pPr>
              <w:spacing w:line="360" w:lineRule="auto"/>
              <w:rPr>
                <w:rFonts w:eastAsiaTheme="minorEastAsia"/>
                <w:b/>
                <w:color w:val="auto"/>
                <w:sz w:val="24"/>
                <w:highlight w:val="none"/>
                <w:lang w:val="en-GB"/>
              </w:rPr>
            </w:pPr>
            <w:r>
              <w:rPr>
                <w:rFonts w:hint="eastAsia" w:eastAsiaTheme="minorEastAsia"/>
                <w:b/>
                <w:color w:val="auto"/>
                <w:sz w:val="24"/>
                <w:highlight w:val="none"/>
              </w:rPr>
              <w:t>4</w:t>
            </w:r>
            <w:r>
              <w:rPr>
                <w:rFonts w:hint="eastAsia" w:eastAsiaTheme="minorEastAsia"/>
                <w:b/>
                <w:color w:val="auto"/>
                <w:sz w:val="24"/>
                <w:highlight w:val="none"/>
                <w:lang w:val="en-GB"/>
              </w:rPr>
              <w:t>、与《</w:t>
            </w:r>
            <w:r>
              <w:rPr>
                <w:rFonts w:eastAsiaTheme="minorEastAsia"/>
                <w:b/>
                <w:color w:val="auto"/>
                <w:sz w:val="24"/>
                <w:highlight w:val="none"/>
                <w:lang w:val="en-GB"/>
              </w:rPr>
              <w:t>202</w:t>
            </w:r>
            <w:r>
              <w:rPr>
                <w:rFonts w:hint="eastAsia" w:eastAsiaTheme="minorEastAsia"/>
                <w:b/>
                <w:color w:val="auto"/>
                <w:sz w:val="24"/>
                <w:highlight w:val="none"/>
              </w:rPr>
              <w:t>0</w:t>
            </w:r>
            <w:r>
              <w:rPr>
                <w:rFonts w:hint="eastAsia" w:eastAsiaTheme="minorEastAsia"/>
                <w:b/>
                <w:color w:val="auto"/>
                <w:sz w:val="24"/>
                <w:highlight w:val="none"/>
                <w:lang w:val="en-GB"/>
              </w:rPr>
              <w:t>年挥发性有机物治理攻坚方案》（环大气〔</w:t>
            </w:r>
            <w:r>
              <w:rPr>
                <w:rFonts w:eastAsiaTheme="minorEastAsia"/>
                <w:b/>
                <w:color w:val="auto"/>
                <w:sz w:val="24"/>
                <w:highlight w:val="none"/>
                <w:lang w:val="en-GB"/>
              </w:rPr>
              <w:t>2020</w:t>
            </w:r>
            <w:r>
              <w:rPr>
                <w:rFonts w:hint="eastAsia" w:eastAsiaTheme="minorEastAsia"/>
                <w:b/>
                <w:color w:val="auto"/>
                <w:sz w:val="24"/>
                <w:highlight w:val="none"/>
                <w:lang w:val="en-GB"/>
              </w:rPr>
              <w:t>〕</w:t>
            </w:r>
            <w:r>
              <w:rPr>
                <w:rFonts w:eastAsiaTheme="minorEastAsia"/>
                <w:b/>
                <w:color w:val="auto"/>
                <w:sz w:val="24"/>
                <w:highlight w:val="none"/>
                <w:lang w:val="en-GB"/>
              </w:rPr>
              <w:t xml:space="preserve">33 </w:t>
            </w:r>
            <w:r>
              <w:rPr>
                <w:rFonts w:hint="eastAsia" w:eastAsiaTheme="minorEastAsia"/>
                <w:b/>
                <w:color w:val="auto"/>
                <w:sz w:val="24"/>
                <w:highlight w:val="none"/>
                <w:lang w:val="en-GB"/>
              </w:rPr>
              <w:t>号）的相符性分析</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本项目与</w:t>
            </w:r>
            <w:r>
              <w:rPr>
                <w:rFonts w:hint="eastAsia"/>
                <w:color w:val="auto"/>
                <w:sz w:val="24"/>
                <w:highlight w:val="none"/>
                <w:lang w:val="en-GB"/>
              </w:rPr>
              <w:t>《202</w:t>
            </w:r>
            <w:r>
              <w:rPr>
                <w:rFonts w:hint="eastAsia"/>
                <w:color w:val="auto"/>
                <w:sz w:val="24"/>
                <w:highlight w:val="none"/>
              </w:rPr>
              <w:t>0</w:t>
            </w:r>
            <w:r>
              <w:rPr>
                <w:rFonts w:hint="eastAsia"/>
                <w:color w:val="auto"/>
                <w:sz w:val="24"/>
                <w:highlight w:val="none"/>
                <w:lang w:val="en-GB"/>
              </w:rPr>
              <w:t>年挥发性有机物治理攻坚方案》（环大气〔2020〕33 号）</w:t>
            </w:r>
            <w:r>
              <w:rPr>
                <w:rFonts w:hint="eastAsia"/>
                <w:color w:val="auto"/>
                <w:sz w:val="24"/>
                <w:highlight w:val="none"/>
              </w:rPr>
              <w:t>符合性分析见下表。</w:t>
            </w:r>
          </w:p>
          <w:p>
            <w:pPr>
              <w:jc w:val="center"/>
              <w:rPr>
                <w:rFonts w:hAnsi="宋体"/>
                <w:b/>
                <w:color w:val="auto"/>
                <w:sz w:val="24"/>
                <w:highlight w:val="none"/>
              </w:rPr>
            </w:pPr>
            <w:r>
              <w:rPr>
                <w:rFonts w:hint="eastAsia" w:hAnsi="宋体"/>
                <w:b/>
                <w:color w:val="auto"/>
                <w:sz w:val="24"/>
                <w:highlight w:val="none"/>
              </w:rPr>
              <w:t>表1-2 与《</w:t>
            </w:r>
            <w:r>
              <w:rPr>
                <w:rFonts w:hAnsi="宋体"/>
                <w:b/>
                <w:color w:val="auto"/>
                <w:sz w:val="24"/>
                <w:highlight w:val="none"/>
              </w:rPr>
              <w:t>202</w:t>
            </w:r>
            <w:r>
              <w:rPr>
                <w:rFonts w:hint="eastAsia" w:hAnsi="宋体"/>
                <w:b/>
                <w:color w:val="auto"/>
                <w:sz w:val="24"/>
                <w:highlight w:val="none"/>
              </w:rPr>
              <w:t>0年挥发性有机物治理攻坚方案》相符性分析</w:t>
            </w:r>
          </w:p>
          <w:tbl>
            <w:tblPr>
              <w:tblStyle w:val="25"/>
              <w:tblW w:w="6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3840"/>
              <w:gridCol w:w="134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exact"/>
                <w:jc w:val="center"/>
              </w:trPr>
              <w:tc>
                <w:tcPr>
                  <w:tcW w:w="451" w:type="dxa"/>
                  <w:tcBorders>
                    <w:tl2br w:val="nil"/>
                    <w:tr2bl w:val="nil"/>
                  </w:tcBorders>
                  <w:vAlign w:val="center"/>
                </w:tcPr>
                <w:p>
                  <w:pPr>
                    <w:pStyle w:val="60"/>
                    <w:kinsoku w:val="0"/>
                    <w:overflowPunct w:val="0"/>
                    <w:snapToGrid w:val="0"/>
                    <w:jc w:val="center"/>
                    <w:rPr>
                      <w:rFonts w:ascii="Times New Roman" w:hAnsi="Times New Roman" w:cs="Times New Roman"/>
                      <w:color w:val="auto"/>
                      <w:sz w:val="21"/>
                      <w:szCs w:val="21"/>
                      <w:highlight w:val="none"/>
                    </w:rPr>
                  </w:pPr>
                  <w:r>
                    <w:rPr>
                      <w:rFonts w:ascii="Times New Roman" w:hAnsi="Times New Roman" w:cs="Times New Roman"/>
                      <w:bCs/>
                      <w:color w:val="auto"/>
                      <w:sz w:val="21"/>
                      <w:szCs w:val="21"/>
                      <w:highlight w:val="none"/>
                    </w:rPr>
                    <w:t>序号</w:t>
                  </w:r>
                </w:p>
              </w:tc>
              <w:tc>
                <w:tcPr>
                  <w:tcW w:w="3840" w:type="dxa"/>
                  <w:tcBorders>
                    <w:tl2br w:val="nil"/>
                    <w:tr2bl w:val="nil"/>
                  </w:tcBorders>
                  <w:vAlign w:val="center"/>
                </w:tcPr>
                <w:p>
                  <w:pPr>
                    <w:pStyle w:val="60"/>
                    <w:kinsoku w:val="0"/>
                    <w:overflowPunct w:val="0"/>
                    <w:snapToGrid w:val="0"/>
                    <w:jc w:val="center"/>
                    <w:rPr>
                      <w:rFonts w:ascii="Times New Roman" w:hAnsi="Times New Roman" w:cs="Times New Roman"/>
                      <w:color w:val="auto"/>
                      <w:sz w:val="21"/>
                      <w:szCs w:val="21"/>
                      <w:highlight w:val="none"/>
                    </w:rPr>
                  </w:pPr>
                  <w:r>
                    <w:rPr>
                      <w:rFonts w:ascii="Times New Roman" w:hAnsi="Times New Roman" w:cs="Times New Roman"/>
                      <w:bCs/>
                      <w:color w:val="auto"/>
                      <w:sz w:val="21"/>
                      <w:szCs w:val="21"/>
                      <w:highlight w:val="none"/>
                    </w:rPr>
                    <w:t>要求</w:t>
                  </w:r>
                </w:p>
              </w:tc>
              <w:tc>
                <w:tcPr>
                  <w:tcW w:w="1345" w:type="dxa"/>
                  <w:tcBorders>
                    <w:tl2br w:val="nil"/>
                    <w:tr2bl w:val="nil"/>
                  </w:tcBorders>
                  <w:vAlign w:val="center"/>
                </w:tcPr>
                <w:p>
                  <w:pPr>
                    <w:pStyle w:val="60"/>
                    <w:kinsoku w:val="0"/>
                    <w:overflowPunct w:val="0"/>
                    <w:snapToGrid w:val="0"/>
                    <w:jc w:val="center"/>
                    <w:rPr>
                      <w:rFonts w:ascii="Times New Roman" w:hAnsi="Times New Roman" w:cs="Times New Roman"/>
                      <w:color w:val="auto"/>
                      <w:sz w:val="21"/>
                      <w:szCs w:val="21"/>
                      <w:highlight w:val="none"/>
                    </w:rPr>
                  </w:pPr>
                  <w:r>
                    <w:rPr>
                      <w:rFonts w:ascii="Times New Roman" w:hAnsi="Times New Roman" w:cs="Times New Roman"/>
                      <w:bCs/>
                      <w:color w:val="auto"/>
                      <w:sz w:val="21"/>
                      <w:szCs w:val="21"/>
                      <w:highlight w:val="none"/>
                    </w:rPr>
                    <w:t>本项目情况</w:t>
                  </w:r>
                </w:p>
              </w:tc>
              <w:tc>
                <w:tcPr>
                  <w:tcW w:w="708" w:type="dxa"/>
                  <w:tcBorders>
                    <w:tl2br w:val="nil"/>
                    <w:tr2bl w:val="nil"/>
                  </w:tcBorders>
                  <w:vAlign w:val="center"/>
                </w:tcPr>
                <w:p>
                  <w:pPr>
                    <w:pStyle w:val="60"/>
                    <w:kinsoku w:val="0"/>
                    <w:overflowPunct w:val="0"/>
                    <w:snapToGrid w:val="0"/>
                    <w:jc w:val="center"/>
                    <w:rPr>
                      <w:rFonts w:ascii="Times New Roman" w:hAnsi="Times New Roman" w:cs="Times New Roman"/>
                      <w:color w:val="auto"/>
                      <w:sz w:val="21"/>
                      <w:szCs w:val="21"/>
                      <w:highlight w:val="none"/>
                    </w:rPr>
                  </w:pPr>
                  <w:r>
                    <w:rPr>
                      <w:rFonts w:ascii="Times New Roman" w:hAnsi="Times New Roman" w:cs="Times New Roman"/>
                      <w:bCs/>
                      <w:color w:val="auto"/>
                      <w:sz w:val="21"/>
                      <w:szCs w:val="21"/>
                      <w:highlight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1" w:hRule="exact"/>
                <w:jc w:val="center"/>
              </w:trPr>
              <w:tc>
                <w:tcPr>
                  <w:tcW w:w="451" w:type="dxa"/>
                  <w:tcBorders>
                    <w:tl2br w:val="nil"/>
                    <w:tr2bl w:val="nil"/>
                  </w:tcBorders>
                  <w:vAlign w:val="center"/>
                </w:tcPr>
                <w:p>
                  <w:pPr>
                    <w:snapToGrid w:val="0"/>
                    <w:jc w:val="center"/>
                    <w:rPr>
                      <w:color w:val="auto"/>
                      <w:szCs w:val="21"/>
                      <w:highlight w:val="none"/>
                    </w:rPr>
                  </w:pPr>
                </w:p>
                <w:p>
                  <w:pPr>
                    <w:snapToGrid w:val="0"/>
                    <w:jc w:val="center"/>
                    <w:rPr>
                      <w:color w:val="auto"/>
                      <w:szCs w:val="21"/>
                      <w:highlight w:val="none"/>
                    </w:rPr>
                  </w:pPr>
                  <w:r>
                    <w:rPr>
                      <w:color w:val="auto"/>
                      <w:szCs w:val="21"/>
                      <w:highlight w:val="none"/>
                    </w:rPr>
                    <w:t>1</w:t>
                  </w:r>
                </w:p>
              </w:tc>
              <w:tc>
                <w:tcPr>
                  <w:tcW w:w="3840" w:type="dxa"/>
                  <w:tcBorders>
                    <w:tl2br w:val="nil"/>
                    <w:tr2bl w:val="nil"/>
                  </w:tcBorders>
                  <w:vAlign w:val="center"/>
                </w:tcPr>
                <w:p>
                  <w:pPr>
                    <w:pStyle w:val="60"/>
                    <w:kinsoku w:val="0"/>
                    <w:overflowPunct w:val="0"/>
                    <w:snapToGrid w:val="0"/>
                    <w:jc w:val="center"/>
                    <w:rPr>
                      <w:rFonts w:ascii="Times New Roman" w:hAnsi="Times New Roman" w:cs="Times New Roman"/>
                      <w:bCs/>
                      <w:color w:val="auto"/>
                      <w:kern w:val="2"/>
                      <w:sz w:val="21"/>
                      <w:szCs w:val="21"/>
                      <w:highlight w:val="none"/>
                      <w:lang w:eastAsia="zh-CN"/>
                    </w:rPr>
                  </w:pPr>
                  <w:r>
                    <w:rPr>
                      <w:rFonts w:ascii="Times New Roman" w:cs="Times New Roman"/>
                      <w:bCs/>
                      <w:color w:val="auto"/>
                      <w:kern w:val="2"/>
                      <w:sz w:val="21"/>
                      <w:szCs w:val="21"/>
                      <w:highlight w:val="none"/>
                      <w:lang w:eastAsia="zh-CN"/>
                    </w:rPr>
                    <w:t>大力推进低（无）</w:t>
                  </w:r>
                  <w:r>
                    <w:rPr>
                      <w:rFonts w:ascii="Times New Roman" w:hAnsi="Times New Roman" w:cs="Times New Roman"/>
                      <w:bCs/>
                      <w:color w:val="auto"/>
                      <w:kern w:val="2"/>
                      <w:sz w:val="21"/>
                      <w:szCs w:val="21"/>
                      <w:highlight w:val="none"/>
                      <w:lang w:eastAsia="zh-CN"/>
                    </w:rPr>
                    <w:t xml:space="preserve">VOCs </w:t>
                  </w:r>
                  <w:r>
                    <w:rPr>
                      <w:rFonts w:ascii="Times New Roman" w:cs="Times New Roman"/>
                      <w:bCs/>
                      <w:color w:val="auto"/>
                      <w:kern w:val="2"/>
                      <w:sz w:val="21"/>
                      <w:szCs w:val="21"/>
                      <w:highlight w:val="none"/>
                      <w:lang w:eastAsia="zh-CN"/>
                    </w:rPr>
                    <w:t>含量原辅材料替代。将全面使用符合国家要求的低</w:t>
                  </w:r>
                  <w:r>
                    <w:rPr>
                      <w:rFonts w:ascii="Times New Roman" w:hAnsi="Times New Roman" w:cs="Times New Roman"/>
                      <w:bCs/>
                      <w:color w:val="auto"/>
                      <w:kern w:val="2"/>
                      <w:sz w:val="21"/>
                      <w:szCs w:val="21"/>
                      <w:highlight w:val="none"/>
                      <w:lang w:eastAsia="zh-CN"/>
                    </w:rPr>
                    <w:t>VOCs</w:t>
                  </w:r>
                  <w:r>
                    <w:rPr>
                      <w:rFonts w:ascii="Times New Roman" w:cs="Times New Roman"/>
                      <w:bCs/>
                      <w:color w:val="auto"/>
                      <w:kern w:val="2"/>
                      <w:sz w:val="21"/>
                      <w:szCs w:val="21"/>
                      <w:highlight w:val="none"/>
                      <w:lang w:eastAsia="zh-CN"/>
                    </w:rPr>
                    <w:t>含量原辅材料的企业纳入正面清单和政府绿色采购清单。企业应建立原辅材料台账，记录</w:t>
                  </w:r>
                  <w:r>
                    <w:rPr>
                      <w:rFonts w:ascii="Times New Roman" w:hAnsi="Times New Roman" w:cs="Times New Roman"/>
                      <w:bCs/>
                      <w:color w:val="auto"/>
                      <w:kern w:val="2"/>
                      <w:sz w:val="21"/>
                      <w:szCs w:val="21"/>
                      <w:highlight w:val="none"/>
                      <w:lang w:eastAsia="zh-CN"/>
                    </w:rPr>
                    <w:t>VOCs</w:t>
                  </w:r>
                  <w:r>
                    <w:rPr>
                      <w:rFonts w:ascii="Times New Roman" w:cs="Times New Roman"/>
                      <w:bCs/>
                      <w:color w:val="auto"/>
                      <w:kern w:val="2"/>
                      <w:sz w:val="21"/>
                      <w:szCs w:val="21"/>
                      <w:highlight w:val="none"/>
                      <w:lang w:eastAsia="zh-CN"/>
                    </w:rPr>
                    <w:t>原辅材料名称、成分、</w:t>
                  </w:r>
                  <w:r>
                    <w:rPr>
                      <w:rFonts w:ascii="Times New Roman" w:hAnsi="Times New Roman" w:cs="Times New Roman"/>
                      <w:bCs/>
                      <w:color w:val="auto"/>
                      <w:kern w:val="2"/>
                      <w:sz w:val="21"/>
                      <w:szCs w:val="21"/>
                      <w:highlight w:val="none"/>
                      <w:lang w:eastAsia="zh-CN"/>
                    </w:rPr>
                    <w:t xml:space="preserve">VOCs </w:t>
                  </w:r>
                  <w:r>
                    <w:rPr>
                      <w:rFonts w:ascii="Times New Roman" w:cs="Times New Roman"/>
                      <w:bCs/>
                      <w:color w:val="auto"/>
                      <w:kern w:val="2"/>
                      <w:sz w:val="21"/>
                      <w:szCs w:val="21"/>
                      <w:highlight w:val="none"/>
                      <w:lang w:eastAsia="zh-CN"/>
                    </w:rPr>
                    <w:t>含量、采购量、使用量、库存量、回收方式、回收量等信息，并保存相关证明材料。采用符合国家有关低</w:t>
                  </w:r>
                  <w:r>
                    <w:rPr>
                      <w:rFonts w:ascii="Times New Roman" w:hAnsi="Times New Roman" w:cs="Times New Roman"/>
                      <w:bCs/>
                      <w:color w:val="auto"/>
                      <w:kern w:val="2"/>
                      <w:sz w:val="21"/>
                      <w:szCs w:val="21"/>
                      <w:highlight w:val="none"/>
                      <w:lang w:eastAsia="zh-CN"/>
                    </w:rPr>
                    <w:t>VOCs</w:t>
                  </w:r>
                  <w:r>
                    <w:rPr>
                      <w:rFonts w:ascii="Times New Roman" w:cs="Times New Roman"/>
                      <w:bCs/>
                      <w:color w:val="auto"/>
                      <w:kern w:val="2"/>
                      <w:sz w:val="21"/>
                      <w:szCs w:val="21"/>
                      <w:highlight w:val="none"/>
                      <w:lang w:eastAsia="zh-CN"/>
                    </w:rPr>
                    <w:t>含量产品规定的涂料、油墨、胶粘剂等，排放浓度稳定达标且排放速率满足相关规定的，相应生产工序可不要求建设末端治理设施。</w:t>
                  </w:r>
                </w:p>
              </w:tc>
              <w:tc>
                <w:tcPr>
                  <w:tcW w:w="1345" w:type="dxa"/>
                  <w:tcBorders>
                    <w:tl2br w:val="nil"/>
                    <w:tr2bl w:val="nil"/>
                  </w:tcBorders>
                  <w:vAlign w:val="center"/>
                </w:tcPr>
                <w:p>
                  <w:pPr>
                    <w:pStyle w:val="60"/>
                    <w:kinsoku w:val="0"/>
                    <w:overflowPunct w:val="0"/>
                    <w:snapToGrid w:val="0"/>
                    <w:jc w:val="center"/>
                    <w:rPr>
                      <w:rFonts w:ascii="Times New Roman" w:hAnsi="Times New Roman" w:cs="Times New Roman"/>
                      <w:bCs/>
                      <w:color w:val="auto"/>
                      <w:kern w:val="2"/>
                      <w:sz w:val="21"/>
                      <w:szCs w:val="21"/>
                      <w:highlight w:val="none"/>
                      <w:lang w:eastAsia="zh-CN"/>
                    </w:rPr>
                  </w:pPr>
                  <w:r>
                    <w:rPr>
                      <w:rFonts w:hint="eastAsia" w:ascii="Times New Roman" w:hAnsi="Times New Roman" w:cs="Times New Roman"/>
                      <w:bCs/>
                      <w:color w:val="auto"/>
                      <w:kern w:val="2"/>
                      <w:sz w:val="21"/>
                      <w:szCs w:val="21"/>
                      <w:highlight w:val="none"/>
                      <w:lang w:eastAsia="zh-CN"/>
                    </w:rPr>
                    <w:t>项目</w:t>
                  </w:r>
                  <w:r>
                    <w:rPr>
                      <w:rFonts w:ascii="Times New Roman" w:hAnsi="Times New Roman" w:cs="Times New Roman"/>
                      <w:color w:val="auto"/>
                      <w:sz w:val="21"/>
                      <w:szCs w:val="21"/>
                      <w:highlight w:val="none"/>
                      <w:lang w:eastAsia="zh-CN"/>
                    </w:rPr>
                    <w:t>使用的油性油漆量为0.26t/a，水性油漆为0.18t/a，粉末涂料为0.2t/a</w:t>
                  </w:r>
                  <w:r>
                    <w:rPr>
                      <w:rFonts w:ascii="Times New Roman" w:hAnsi="Times New Roman" w:cs="Times New Roman"/>
                      <w:bCs/>
                      <w:color w:val="auto"/>
                      <w:kern w:val="2"/>
                      <w:sz w:val="21"/>
                      <w:szCs w:val="21"/>
                      <w:highlight w:val="none"/>
                      <w:lang w:eastAsia="zh-CN"/>
                    </w:rPr>
                    <w:t>，使用量非常小，且为符合国家质</w:t>
                  </w:r>
                  <w:r>
                    <w:rPr>
                      <w:rFonts w:hint="eastAsia" w:ascii="Times New Roman" w:hAnsi="Times New Roman" w:cs="Times New Roman"/>
                      <w:bCs/>
                      <w:color w:val="auto"/>
                      <w:kern w:val="2"/>
                      <w:sz w:val="21"/>
                      <w:szCs w:val="21"/>
                      <w:highlight w:val="none"/>
                      <w:lang w:eastAsia="zh-CN"/>
                    </w:rPr>
                    <w:t>量标准的油漆，对其使用过程建立台账，并相应的产VOCs生产工序建设了末端治理设施。</w:t>
                  </w:r>
                </w:p>
              </w:tc>
              <w:tc>
                <w:tcPr>
                  <w:tcW w:w="708" w:type="dxa"/>
                  <w:tcBorders>
                    <w:tl2br w:val="nil"/>
                    <w:tr2bl w:val="nil"/>
                  </w:tcBorders>
                  <w:vAlign w:val="center"/>
                </w:tcPr>
                <w:p>
                  <w:pPr>
                    <w:pStyle w:val="60"/>
                    <w:kinsoku w:val="0"/>
                    <w:overflowPunct w:val="0"/>
                    <w:snapToGrid w:val="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6" w:hRule="exact"/>
                <w:jc w:val="center"/>
              </w:trPr>
              <w:tc>
                <w:tcPr>
                  <w:tcW w:w="451" w:type="dxa"/>
                  <w:tcBorders>
                    <w:tl2br w:val="nil"/>
                    <w:tr2bl w:val="nil"/>
                  </w:tcBorders>
                  <w:vAlign w:val="center"/>
                </w:tcPr>
                <w:p>
                  <w:pPr>
                    <w:snapToGrid w:val="0"/>
                    <w:jc w:val="center"/>
                    <w:rPr>
                      <w:color w:val="auto"/>
                      <w:szCs w:val="21"/>
                      <w:highlight w:val="none"/>
                    </w:rPr>
                  </w:pPr>
                  <w:r>
                    <w:rPr>
                      <w:color w:val="auto"/>
                      <w:szCs w:val="21"/>
                      <w:highlight w:val="none"/>
                    </w:rPr>
                    <w:t>2</w:t>
                  </w:r>
                </w:p>
              </w:tc>
              <w:tc>
                <w:tcPr>
                  <w:tcW w:w="3840" w:type="dxa"/>
                  <w:tcBorders>
                    <w:tl2br w:val="nil"/>
                    <w:tr2bl w:val="nil"/>
                  </w:tcBorders>
                  <w:vAlign w:val="center"/>
                </w:tcPr>
                <w:p>
                  <w:pPr>
                    <w:pStyle w:val="60"/>
                    <w:kinsoku w:val="0"/>
                    <w:overflowPunct w:val="0"/>
                    <w:snapToGrid w:val="0"/>
                    <w:jc w:val="center"/>
                    <w:rPr>
                      <w:rFonts w:ascii="Times New Roman" w:hAnsi="Times New Roman" w:cs="Times New Roman"/>
                      <w:bCs/>
                      <w:color w:val="auto"/>
                      <w:kern w:val="2"/>
                      <w:sz w:val="21"/>
                      <w:szCs w:val="21"/>
                      <w:highlight w:val="none"/>
                      <w:lang w:eastAsia="zh-CN"/>
                    </w:rPr>
                  </w:pPr>
                  <w:r>
                    <w:rPr>
                      <w:rFonts w:ascii="Times New Roman" w:cs="Times New Roman"/>
                      <w:bCs/>
                      <w:color w:val="auto"/>
                      <w:kern w:val="2"/>
                      <w:sz w:val="21"/>
                      <w:szCs w:val="21"/>
                      <w:highlight w:val="none"/>
                      <w:lang w:eastAsia="zh-CN"/>
                    </w:rPr>
                    <w:t>企业在无组织排放排查整治过程中，在保证安全的前提下，加强含</w:t>
                  </w:r>
                  <w:r>
                    <w:rPr>
                      <w:rFonts w:ascii="Times New Roman" w:hAnsi="Times New Roman" w:cs="Times New Roman"/>
                      <w:bCs/>
                      <w:color w:val="auto"/>
                      <w:kern w:val="2"/>
                      <w:sz w:val="21"/>
                      <w:szCs w:val="21"/>
                      <w:highlight w:val="none"/>
                      <w:lang w:eastAsia="zh-CN"/>
                    </w:rPr>
                    <w:t>VOCs</w:t>
                  </w:r>
                  <w:r>
                    <w:rPr>
                      <w:rFonts w:ascii="Times New Roman" w:cs="Times New Roman"/>
                      <w:bCs/>
                      <w:color w:val="auto"/>
                      <w:kern w:val="2"/>
                      <w:sz w:val="21"/>
                      <w:szCs w:val="21"/>
                      <w:highlight w:val="none"/>
                      <w:lang w:eastAsia="zh-CN"/>
                    </w:rPr>
                    <w:t>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w:t>
                  </w:r>
                  <w:r>
                    <w:rPr>
                      <w:rFonts w:ascii="Times New Roman" w:hAnsi="Times New Roman" w:cs="Times New Roman"/>
                      <w:bCs/>
                      <w:color w:val="auto"/>
                      <w:kern w:val="2"/>
                      <w:sz w:val="21"/>
                      <w:szCs w:val="21"/>
                      <w:highlight w:val="none"/>
                      <w:lang w:eastAsia="zh-CN"/>
                    </w:rPr>
                    <w:t>VOCs</w:t>
                  </w:r>
                  <w:r>
                    <w:rPr>
                      <w:rFonts w:ascii="Times New Roman" w:cs="Times New Roman"/>
                      <w:bCs/>
                      <w:color w:val="auto"/>
                      <w:kern w:val="2"/>
                      <w:sz w:val="21"/>
                      <w:szCs w:val="21"/>
                      <w:highlight w:val="none"/>
                      <w:lang w:eastAsia="zh-CN"/>
                    </w:rPr>
                    <w:t>物料的包装容器、含</w:t>
                  </w:r>
                  <w:r>
                    <w:rPr>
                      <w:rFonts w:ascii="Times New Roman" w:hAnsi="Times New Roman" w:cs="Times New Roman"/>
                      <w:bCs/>
                      <w:color w:val="auto"/>
                      <w:kern w:val="2"/>
                      <w:sz w:val="21"/>
                      <w:szCs w:val="21"/>
                      <w:highlight w:val="none"/>
                      <w:lang w:eastAsia="zh-CN"/>
                    </w:rPr>
                    <w:t>VOCs</w:t>
                  </w:r>
                  <w:r>
                    <w:rPr>
                      <w:rFonts w:ascii="Times New Roman" w:cs="Times New Roman"/>
                      <w:bCs/>
                      <w:color w:val="auto"/>
                      <w:kern w:val="2"/>
                      <w:sz w:val="21"/>
                      <w:szCs w:val="21"/>
                      <w:highlight w:val="none"/>
                      <w:lang w:eastAsia="zh-CN"/>
                    </w:rPr>
                    <w:t>废料（渣、液）、废吸附剂等通过加盖、封装等方式密闭，妥善存放，不得随意丢弃，</w:t>
                  </w:r>
                  <w:r>
                    <w:rPr>
                      <w:rFonts w:ascii="Times New Roman" w:hAnsi="Times New Roman" w:cs="Times New Roman"/>
                      <w:bCs/>
                      <w:color w:val="auto"/>
                      <w:kern w:val="2"/>
                      <w:sz w:val="21"/>
                      <w:szCs w:val="21"/>
                      <w:highlight w:val="none"/>
                      <w:lang w:eastAsia="zh-CN"/>
                    </w:rPr>
                    <w:t>7</w:t>
                  </w:r>
                  <w:r>
                    <w:rPr>
                      <w:rFonts w:ascii="Times New Roman" w:cs="Times New Roman"/>
                      <w:bCs/>
                      <w:color w:val="auto"/>
                      <w:kern w:val="2"/>
                      <w:sz w:val="21"/>
                      <w:szCs w:val="21"/>
                      <w:highlight w:val="none"/>
                      <w:lang w:eastAsia="zh-CN"/>
                    </w:rPr>
                    <w:t>月</w:t>
                  </w:r>
                  <w:r>
                    <w:rPr>
                      <w:rFonts w:ascii="Times New Roman" w:hAnsi="Times New Roman" w:cs="Times New Roman"/>
                      <w:bCs/>
                      <w:color w:val="auto"/>
                      <w:kern w:val="2"/>
                      <w:sz w:val="21"/>
                      <w:szCs w:val="21"/>
                      <w:highlight w:val="none"/>
                      <w:lang w:eastAsia="zh-CN"/>
                    </w:rPr>
                    <w:t>15</w:t>
                  </w:r>
                  <w:r>
                    <w:rPr>
                      <w:rFonts w:ascii="Times New Roman" w:cs="Times New Roman"/>
                      <w:bCs/>
                      <w:color w:val="auto"/>
                      <w:kern w:val="2"/>
                      <w:sz w:val="21"/>
                      <w:szCs w:val="21"/>
                      <w:highlight w:val="none"/>
                      <w:lang w:eastAsia="zh-CN"/>
                    </w:rPr>
                    <w:t>日前集中清运一次，交有资质的单位处置；处置单位在贮存、清洗、破碎等环节应按要求对</w:t>
                  </w:r>
                  <w:r>
                    <w:rPr>
                      <w:rFonts w:ascii="Times New Roman" w:hAnsi="Times New Roman" w:cs="Times New Roman"/>
                      <w:bCs/>
                      <w:color w:val="auto"/>
                      <w:kern w:val="2"/>
                      <w:sz w:val="21"/>
                      <w:szCs w:val="21"/>
                      <w:highlight w:val="none"/>
                      <w:lang w:eastAsia="zh-CN"/>
                    </w:rPr>
                    <w:t xml:space="preserve">VOCs </w:t>
                  </w:r>
                  <w:r>
                    <w:rPr>
                      <w:rFonts w:ascii="Times New Roman" w:cs="Times New Roman"/>
                      <w:bCs/>
                      <w:color w:val="auto"/>
                      <w:kern w:val="2"/>
                      <w:sz w:val="21"/>
                      <w:szCs w:val="21"/>
                      <w:highlight w:val="none"/>
                      <w:lang w:eastAsia="zh-CN"/>
                    </w:rPr>
                    <w:t>无组织排放废气进行收集、处理。</w:t>
                  </w:r>
                </w:p>
              </w:tc>
              <w:tc>
                <w:tcPr>
                  <w:tcW w:w="1345" w:type="dxa"/>
                  <w:tcBorders>
                    <w:tl2br w:val="nil"/>
                    <w:tr2bl w:val="nil"/>
                  </w:tcBorders>
                  <w:vAlign w:val="center"/>
                </w:tcPr>
                <w:p>
                  <w:pPr>
                    <w:pStyle w:val="60"/>
                    <w:kinsoku w:val="0"/>
                    <w:overflowPunct w:val="0"/>
                    <w:snapToGrid w:val="0"/>
                    <w:jc w:val="center"/>
                    <w:rPr>
                      <w:rFonts w:ascii="Times New Roman" w:hAnsi="Times New Roman" w:cs="Times New Roman"/>
                      <w:bCs/>
                      <w:color w:val="auto"/>
                      <w:kern w:val="2"/>
                      <w:sz w:val="21"/>
                      <w:szCs w:val="21"/>
                      <w:highlight w:val="none"/>
                      <w:lang w:eastAsia="zh-CN"/>
                    </w:rPr>
                  </w:pPr>
                  <w:r>
                    <w:rPr>
                      <w:rFonts w:hint="eastAsia" w:ascii="Times New Roman" w:hAnsi="Times New Roman" w:cs="Times New Roman"/>
                      <w:bCs/>
                      <w:color w:val="auto"/>
                      <w:kern w:val="2"/>
                      <w:sz w:val="21"/>
                      <w:szCs w:val="21"/>
                      <w:highlight w:val="none"/>
                      <w:lang w:eastAsia="zh-CN"/>
                    </w:rPr>
                    <w:t>项目VOCs主要来自项目使用的油漆，油漆存放专门的油漆存放区，喷漆过程在密闭空间中进行，可实现VOCs的有效收集</w:t>
                  </w:r>
                  <w:r>
                    <w:rPr>
                      <w:rFonts w:hint="eastAsia" w:ascii="Times New Roman" w:cs="Times New Roman"/>
                      <w:bCs/>
                      <w:color w:val="auto"/>
                      <w:kern w:val="2"/>
                      <w:sz w:val="21"/>
                      <w:szCs w:val="21"/>
                      <w:highlight w:val="none"/>
                      <w:lang w:eastAsia="zh-CN"/>
                    </w:rPr>
                    <w:t>。油漆桶、废机油、漆渣、废活性炭暂存于危废暂存间，定期交由资质单位处置。</w:t>
                  </w:r>
                </w:p>
              </w:tc>
              <w:tc>
                <w:tcPr>
                  <w:tcW w:w="708" w:type="dxa"/>
                  <w:tcBorders>
                    <w:tl2br w:val="nil"/>
                    <w:tr2bl w:val="nil"/>
                  </w:tcBorders>
                  <w:vAlign w:val="center"/>
                </w:tcPr>
                <w:p>
                  <w:pPr>
                    <w:pStyle w:val="60"/>
                    <w:kinsoku w:val="0"/>
                    <w:overflowPunct w:val="0"/>
                    <w:snapToGrid w:val="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451" w:type="dxa"/>
                  <w:tcBorders>
                    <w:tl2br w:val="nil"/>
                    <w:tr2bl w:val="nil"/>
                  </w:tcBorders>
                  <w:vAlign w:val="center"/>
                </w:tcPr>
                <w:p>
                  <w:pPr>
                    <w:snapToGrid w:val="0"/>
                    <w:jc w:val="center"/>
                    <w:rPr>
                      <w:color w:val="auto"/>
                      <w:szCs w:val="21"/>
                      <w:highlight w:val="none"/>
                    </w:rPr>
                  </w:pPr>
                  <w:r>
                    <w:rPr>
                      <w:color w:val="auto"/>
                      <w:szCs w:val="21"/>
                      <w:highlight w:val="none"/>
                    </w:rPr>
                    <w:t>3</w:t>
                  </w:r>
                </w:p>
              </w:tc>
              <w:tc>
                <w:tcPr>
                  <w:tcW w:w="3840" w:type="dxa"/>
                  <w:tcBorders>
                    <w:tl2br w:val="nil"/>
                    <w:tr2bl w:val="nil"/>
                  </w:tcBorders>
                  <w:vAlign w:val="center"/>
                </w:tcPr>
                <w:p>
                  <w:pPr>
                    <w:snapToGrid w:val="0"/>
                    <w:jc w:val="center"/>
                    <w:rPr>
                      <w:color w:val="auto"/>
                      <w:szCs w:val="21"/>
                      <w:highlight w:val="none"/>
                    </w:rPr>
                  </w:pPr>
                  <w:r>
                    <w:rPr>
                      <w:bCs/>
                      <w:color w:val="auto"/>
                      <w:szCs w:val="21"/>
                      <w:highlight w:val="none"/>
                    </w:rPr>
                    <w:t>企业新建治污设施或对现有治污设施实施造，应依据排放废气特征、VOCs组分及浓度、生产工况等，合理选择治理技术，对治理难度大、单一治理工艺难以稳定达标的，要采用多种技术的组合工艺。采用活性炭吸附技术的，应选择碘值不低于 800 毫克/克的活性炭，并按设计要求足量添加、及时更换；各地要督促行政区域内采用一次性活性炭吸附技术的企业按期更换活性炭，对于长期未进行更换的，于7月底前全部更换一次，并将废旧活性炭交有资质的单位处理处置，记录更换时间和使用量。</w:t>
                  </w:r>
                </w:p>
              </w:tc>
              <w:tc>
                <w:tcPr>
                  <w:tcW w:w="1345" w:type="dxa"/>
                  <w:tcBorders>
                    <w:tl2br w:val="nil"/>
                    <w:tr2bl w:val="nil"/>
                  </w:tcBorders>
                  <w:vAlign w:val="center"/>
                </w:tcPr>
                <w:p>
                  <w:pPr>
                    <w:pStyle w:val="60"/>
                    <w:kinsoku w:val="0"/>
                    <w:overflowPunct w:val="0"/>
                    <w:snapToGrid w:val="0"/>
                    <w:jc w:val="center"/>
                    <w:rPr>
                      <w:rFonts w:ascii="Times New Roman" w:hAnsi="Times New Roman" w:cs="Times New Roman"/>
                      <w:bCs/>
                      <w:color w:val="auto"/>
                      <w:kern w:val="2"/>
                      <w:sz w:val="21"/>
                      <w:szCs w:val="21"/>
                      <w:highlight w:val="none"/>
                      <w:lang w:eastAsia="zh-CN"/>
                    </w:rPr>
                  </w:pPr>
                  <w:r>
                    <w:rPr>
                      <w:color w:val="auto"/>
                      <w:kern w:val="20"/>
                      <w:sz w:val="21"/>
                      <w:szCs w:val="21"/>
                      <w:highlight w:val="none"/>
                      <w:lang w:eastAsia="zh-CN"/>
                    </w:rPr>
                    <w:t>项目</w:t>
                  </w:r>
                  <w:r>
                    <w:rPr>
                      <w:rFonts w:hint="eastAsia"/>
                      <w:bCs/>
                      <w:color w:val="auto"/>
                      <w:sz w:val="21"/>
                      <w:szCs w:val="21"/>
                      <w:highlight w:val="none"/>
                      <w:lang w:eastAsia="zh-CN"/>
                    </w:rPr>
                    <w:t>设置密闭式水帘喷漆房</w:t>
                  </w:r>
                  <w:r>
                    <w:rPr>
                      <w:color w:val="auto"/>
                      <w:kern w:val="20"/>
                      <w:sz w:val="21"/>
                      <w:szCs w:val="21"/>
                      <w:highlight w:val="none"/>
                      <w:lang w:eastAsia="zh-CN"/>
                    </w:rPr>
                    <w:t>，</w:t>
                  </w:r>
                  <w:r>
                    <w:rPr>
                      <w:rFonts w:hint="eastAsia"/>
                      <w:color w:val="auto"/>
                      <w:kern w:val="20"/>
                      <w:sz w:val="21"/>
                      <w:szCs w:val="21"/>
                      <w:highlight w:val="none"/>
                      <w:lang w:eastAsia="zh-CN"/>
                    </w:rPr>
                    <w:t>喷漆过程在喷漆房内进行，喷漆废气经水喷淋后与烘干废气、丝网印刷废气一起采用UV光解活性炭一体化设备处理，再经15m排气筒达标排放</w:t>
                  </w:r>
                  <w:r>
                    <w:rPr>
                      <w:color w:val="auto"/>
                      <w:kern w:val="20"/>
                      <w:sz w:val="21"/>
                      <w:szCs w:val="21"/>
                      <w:highlight w:val="none"/>
                      <w:lang w:eastAsia="zh-CN"/>
                    </w:rPr>
                    <w:t>。</w:t>
                  </w:r>
                  <w:r>
                    <w:rPr>
                      <w:rFonts w:ascii="Times New Roman" w:cs="Times New Roman"/>
                      <w:bCs/>
                      <w:color w:val="auto"/>
                      <w:kern w:val="2"/>
                      <w:sz w:val="21"/>
                      <w:szCs w:val="21"/>
                      <w:highlight w:val="none"/>
                      <w:lang w:eastAsia="zh-CN"/>
                    </w:rPr>
                    <w:t>并定期更换废活性炭，记录更换时间和使用量</w:t>
                  </w:r>
                  <w:r>
                    <w:rPr>
                      <w:rFonts w:hint="eastAsia" w:ascii="Times New Roman" w:cs="Times New Roman"/>
                      <w:bCs/>
                      <w:color w:val="auto"/>
                      <w:kern w:val="2"/>
                      <w:sz w:val="21"/>
                      <w:szCs w:val="21"/>
                      <w:highlight w:val="none"/>
                      <w:lang w:eastAsia="zh-CN"/>
                    </w:rPr>
                    <w:t>。废活性炭、漆渣暂存于危废暂存间，定期交由资质单位处置。</w:t>
                  </w:r>
                </w:p>
              </w:tc>
              <w:tc>
                <w:tcPr>
                  <w:tcW w:w="708" w:type="dxa"/>
                  <w:tcBorders>
                    <w:tl2br w:val="nil"/>
                    <w:tr2bl w:val="nil"/>
                  </w:tcBorders>
                  <w:vAlign w:val="center"/>
                </w:tcPr>
                <w:p>
                  <w:pPr>
                    <w:pStyle w:val="60"/>
                    <w:kinsoku w:val="0"/>
                    <w:overflowPunct w:val="0"/>
                    <w:snapToGrid w:val="0"/>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相符</w:t>
                  </w:r>
                </w:p>
              </w:tc>
            </w:tr>
          </w:tbl>
          <w:p>
            <w:pPr>
              <w:pStyle w:val="23"/>
              <w:snapToGrid w:val="0"/>
              <w:spacing w:after="0" w:line="360" w:lineRule="auto"/>
              <w:ind w:firstLine="480" w:firstLineChars="200"/>
              <w:rPr>
                <w:b/>
                <w:color w:val="auto"/>
                <w:sz w:val="24"/>
                <w:szCs w:val="24"/>
                <w:highlight w:val="none"/>
              </w:rPr>
            </w:pPr>
            <w:r>
              <w:rPr>
                <w:rFonts w:hint="eastAsia" w:ascii="Times New Roman" w:hAnsi="Times New Roman" w:eastAsia="宋体" w:cs="Times New Roman"/>
                <w:color w:val="auto"/>
                <w:spacing w:val="0"/>
                <w:sz w:val="24"/>
                <w:szCs w:val="24"/>
                <w:highlight w:val="none"/>
              </w:rPr>
              <w:t>由上表可知，项目符合《2020年挥发性有机物治理攻坚方案》（环大气〔2020〕33 号）中相关要求。</w:t>
            </w:r>
          </w:p>
          <w:p>
            <w:pPr>
              <w:autoSpaceDE w:val="0"/>
              <w:autoSpaceDN w:val="0"/>
              <w:adjustRightInd w:val="0"/>
              <w:spacing w:line="360" w:lineRule="auto"/>
              <w:rPr>
                <w:b/>
                <w:color w:val="auto"/>
                <w:sz w:val="24"/>
                <w:highlight w:val="none"/>
              </w:rPr>
            </w:pPr>
            <w:r>
              <w:rPr>
                <w:rFonts w:hint="eastAsia"/>
                <w:b/>
                <w:color w:val="auto"/>
                <w:sz w:val="24"/>
                <w:highlight w:val="none"/>
              </w:rPr>
              <w:t>5、与《重点行业挥发性有机物治理方案》相符性分析</w:t>
            </w:r>
          </w:p>
          <w:p>
            <w:pPr>
              <w:autoSpaceDE w:val="0"/>
              <w:autoSpaceDN w:val="0"/>
              <w:adjustRightInd w:val="0"/>
              <w:spacing w:line="360" w:lineRule="auto"/>
              <w:ind w:firstLine="480" w:firstLineChars="200"/>
              <w:rPr>
                <w:b/>
                <w:color w:val="auto"/>
                <w:sz w:val="24"/>
                <w:highlight w:val="none"/>
              </w:rPr>
            </w:pPr>
            <w:r>
              <w:rPr>
                <w:rFonts w:hint="eastAsia"/>
                <w:color w:val="auto"/>
                <w:sz w:val="24"/>
                <w:highlight w:val="none"/>
              </w:rPr>
              <w:t>本项目与《重点行业挥发性有机物治理方案》符合性分析见下表。</w:t>
            </w:r>
          </w:p>
          <w:p>
            <w:pPr>
              <w:widowControl/>
              <w:jc w:val="center"/>
              <w:rPr>
                <w:rFonts w:hAnsi="宋体"/>
                <w:b/>
                <w:color w:val="auto"/>
                <w:kern w:val="0"/>
                <w:sz w:val="24"/>
                <w:highlight w:val="none"/>
              </w:rPr>
            </w:pPr>
            <w:r>
              <w:rPr>
                <w:rFonts w:hint="eastAsia" w:hAnsi="宋体"/>
                <w:b/>
                <w:color w:val="auto"/>
                <w:kern w:val="0"/>
                <w:sz w:val="24"/>
                <w:highlight w:val="none"/>
              </w:rPr>
              <w:t>表</w:t>
            </w:r>
            <w:r>
              <w:rPr>
                <w:rFonts w:hAnsi="宋体"/>
                <w:b/>
                <w:color w:val="auto"/>
                <w:kern w:val="0"/>
                <w:sz w:val="24"/>
                <w:highlight w:val="none"/>
              </w:rPr>
              <w:t>1</w:t>
            </w:r>
            <w:r>
              <w:rPr>
                <w:rFonts w:hint="eastAsia" w:hAnsi="宋体"/>
                <w:b/>
                <w:color w:val="auto"/>
                <w:kern w:val="0"/>
                <w:sz w:val="24"/>
                <w:highlight w:val="none"/>
              </w:rPr>
              <w:t>-3 《重点行业挥发性有机物治理方案》相关要求的相符性分析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5"/>
              <w:gridCol w:w="4040"/>
              <w:gridCol w:w="190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 w:hRule="atLeast"/>
                <w:jc w:val="center"/>
              </w:trPr>
              <w:tc>
                <w:tcPr>
                  <w:tcW w:w="401" w:type="pct"/>
                  <w:vAlign w:val="center"/>
                </w:tcPr>
                <w:p>
                  <w:pPr>
                    <w:jc w:val="center"/>
                    <w:rPr>
                      <w:bCs/>
                      <w:snapToGrid w:val="0"/>
                      <w:color w:val="auto"/>
                      <w:kern w:val="21"/>
                      <w:szCs w:val="21"/>
                      <w:highlight w:val="none"/>
                    </w:rPr>
                  </w:pPr>
                  <w:r>
                    <w:rPr>
                      <w:bCs/>
                      <w:snapToGrid w:val="0"/>
                      <w:color w:val="auto"/>
                      <w:kern w:val="21"/>
                      <w:szCs w:val="21"/>
                      <w:highlight w:val="none"/>
                    </w:rPr>
                    <w:t>序号</w:t>
                  </w:r>
                </w:p>
              </w:tc>
              <w:tc>
                <w:tcPr>
                  <w:tcW w:w="2725" w:type="pct"/>
                  <w:vAlign w:val="center"/>
                </w:tcPr>
                <w:p>
                  <w:pPr>
                    <w:jc w:val="center"/>
                    <w:rPr>
                      <w:bCs/>
                      <w:snapToGrid w:val="0"/>
                      <w:color w:val="auto"/>
                      <w:kern w:val="21"/>
                      <w:szCs w:val="21"/>
                      <w:highlight w:val="none"/>
                    </w:rPr>
                  </w:pPr>
                  <w:r>
                    <w:rPr>
                      <w:rFonts w:hint="eastAsia"/>
                      <w:bCs/>
                      <w:snapToGrid w:val="0"/>
                      <w:color w:val="auto"/>
                      <w:kern w:val="21"/>
                      <w:szCs w:val="21"/>
                      <w:highlight w:val="none"/>
                    </w:rPr>
                    <w:t>政策要求</w:t>
                  </w:r>
                </w:p>
              </w:tc>
              <w:tc>
                <w:tcPr>
                  <w:tcW w:w="1282" w:type="pct"/>
                  <w:vAlign w:val="center"/>
                </w:tcPr>
                <w:p>
                  <w:pPr>
                    <w:jc w:val="center"/>
                    <w:rPr>
                      <w:bCs/>
                      <w:snapToGrid w:val="0"/>
                      <w:color w:val="auto"/>
                      <w:kern w:val="21"/>
                      <w:szCs w:val="21"/>
                      <w:highlight w:val="none"/>
                    </w:rPr>
                  </w:pPr>
                  <w:r>
                    <w:rPr>
                      <w:bCs/>
                      <w:snapToGrid w:val="0"/>
                      <w:color w:val="auto"/>
                      <w:kern w:val="21"/>
                      <w:szCs w:val="21"/>
                      <w:highlight w:val="none"/>
                    </w:rPr>
                    <w:t>本项目情况</w:t>
                  </w:r>
                </w:p>
              </w:tc>
              <w:tc>
                <w:tcPr>
                  <w:tcW w:w="591" w:type="pct"/>
                  <w:vAlign w:val="center"/>
                </w:tcPr>
                <w:p>
                  <w:pPr>
                    <w:jc w:val="center"/>
                    <w:rPr>
                      <w:bCs/>
                      <w:snapToGrid w:val="0"/>
                      <w:color w:val="auto"/>
                      <w:kern w:val="21"/>
                      <w:szCs w:val="21"/>
                      <w:highlight w:val="none"/>
                    </w:rPr>
                  </w:pPr>
                  <w:r>
                    <w:rPr>
                      <w:bCs/>
                      <w:snapToGrid w:val="0"/>
                      <w:color w:val="auto"/>
                      <w:kern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01" w:type="pct"/>
                  <w:vAlign w:val="center"/>
                </w:tcPr>
                <w:p>
                  <w:pPr>
                    <w:jc w:val="center"/>
                    <w:rPr>
                      <w:snapToGrid w:val="0"/>
                      <w:color w:val="auto"/>
                      <w:kern w:val="21"/>
                      <w:szCs w:val="21"/>
                      <w:highlight w:val="none"/>
                    </w:rPr>
                  </w:pPr>
                  <w:r>
                    <w:rPr>
                      <w:snapToGrid w:val="0"/>
                      <w:color w:val="auto"/>
                      <w:kern w:val="21"/>
                      <w:szCs w:val="21"/>
                      <w:highlight w:val="none"/>
                    </w:rPr>
                    <w:t>1</w:t>
                  </w:r>
                </w:p>
              </w:tc>
              <w:tc>
                <w:tcPr>
                  <w:tcW w:w="2725" w:type="pct"/>
                  <w:vAlign w:val="center"/>
                </w:tcPr>
                <w:p>
                  <w:pPr>
                    <w:rPr>
                      <w:snapToGrid w:val="0"/>
                      <w:color w:val="auto"/>
                      <w:kern w:val="21"/>
                      <w:szCs w:val="21"/>
                      <w:highlight w:val="none"/>
                    </w:rPr>
                  </w:pPr>
                  <w:r>
                    <w:rPr>
                      <w:snapToGrid w:val="0"/>
                      <w:color w:val="auto"/>
                      <w:kern w:val="21"/>
                      <w:szCs w:val="21"/>
                      <w:highlight w:val="none"/>
                    </w:rPr>
                    <w:t>大力推进源头替代。通过使用水性、粉末、高固体分、无溶剂、辐射固化等低VOCs含量的涂料，水性、辐射固化、植物基等低VOC含量的胶粘剂，以及低VOCs含量、低反应活性的清洗剂等，替代溶剂型涂料、油墨、胶粘剂、清洗剂等，从源头减少VOCs产生。</w:t>
                  </w:r>
                  <w:r>
                    <w:rPr>
                      <w:rFonts w:hint="eastAsia"/>
                      <w:snapToGrid w:val="0"/>
                      <w:color w:val="auto"/>
                      <w:kern w:val="21"/>
                      <w:szCs w:val="21"/>
                      <w:highlight w:val="none"/>
                    </w:rPr>
                    <w:t>……</w:t>
                  </w:r>
                  <w:r>
                    <w:rPr>
                      <w:snapToGrid w:val="0"/>
                      <w:color w:val="auto"/>
                      <w:kern w:val="21"/>
                      <w:szCs w:val="21"/>
                      <w:highlight w:val="none"/>
                    </w:rPr>
                    <w:t>企业应大力推广使用低VOCs含量</w:t>
                  </w:r>
                  <w:r>
                    <w:rPr>
                      <w:color w:val="auto"/>
                      <w:highlight w:val="none"/>
                    </w:rPr>
                    <w:fldChar w:fldCharType="begin"/>
                  </w:r>
                  <w:r>
                    <w:rPr>
                      <w:color w:val="auto"/>
                      <w:highlight w:val="none"/>
                    </w:rPr>
                    <w:instrText xml:space="preserve"> HYPERLINK "https://baike.baidu.com/item/%E6%9C%A8%E5%99%A8%E6%B6%82%E6%96%99/400152" \t "https://baike.baidu.com/item/%E9%87%8D%E7%82%B9%E8%A1%8C%E4%B8%9A%E6%8C%A5%E5%8F%91%E6%80%A7%E6%9C%89%E6%9C%BA%E7%89%A9%E7%BB%BC%E5%90%88%E6%B2%BB%E7%90%86%E6%96%B9%E6%A1%88/_blank" </w:instrText>
                  </w:r>
                  <w:r>
                    <w:rPr>
                      <w:color w:val="auto"/>
                      <w:highlight w:val="none"/>
                    </w:rPr>
                    <w:fldChar w:fldCharType="separate"/>
                  </w:r>
                  <w:r>
                    <w:rPr>
                      <w:snapToGrid w:val="0"/>
                      <w:color w:val="auto"/>
                      <w:kern w:val="21"/>
                      <w:szCs w:val="21"/>
                      <w:highlight w:val="none"/>
                    </w:rPr>
                    <w:t>木器涂料</w:t>
                  </w:r>
                  <w:r>
                    <w:rPr>
                      <w:snapToGrid w:val="0"/>
                      <w:color w:val="auto"/>
                      <w:kern w:val="21"/>
                      <w:szCs w:val="21"/>
                      <w:highlight w:val="none"/>
                    </w:rPr>
                    <w:fldChar w:fldCharType="end"/>
                  </w:r>
                  <w:r>
                    <w:rPr>
                      <w:snapToGrid w:val="0"/>
                      <w:color w:val="auto"/>
                      <w:kern w:val="21"/>
                      <w:szCs w:val="21"/>
                      <w:highlight w:val="none"/>
                    </w:rPr>
                    <w:t>、车辆涂料、机械设备涂料、</w:t>
                  </w:r>
                  <w:r>
                    <w:rPr>
                      <w:color w:val="auto"/>
                      <w:highlight w:val="none"/>
                    </w:rPr>
                    <w:fldChar w:fldCharType="begin"/>
                  </w:r>
                  <w:r>
                    <w:rPr>
                      <w:color w:val="auto"/>
                      <w:highlight w:val="none"/>
                    </w:rPr>
                    <w:instrText xml:space="preserve"> HYPERLINK "https://baike.baidu.com/item/%E9%9B%86%E8%A3%85%E7%AE%B1%E6%B6%82%E6%96%99/11038889" \t "https://baike.baidu.com/item/%E9%87%8D%E7%82%B9%E8%A1%8C%E4%B8%9A%E6%8C%A5%E5%8F%91%E6%80%A7%E6%9C%89%E6%9C%BA%E7%89%A9%E7%BB%BC%E5%90%88%E6%B2%BB%E7%90%86%E6%96%B9%E6%A1%88/_blank" </w:instrText>
                  </w:r>
                  <w:r>
                    <w:rPr>
                      <w:color w:val="auto"/>
                      <w:highlight w:val="none"/>
                    </w:rPr>
                    <w:fldChar w:fldCharType="separate"/>
                  </w:r>
                  <w:r>
                    <w:rPr>
                      <w:snapToGrid w:val="0"/>
                      <w:color w:val="auto"/>
                      <w:kern w:val="21"/>
                      <w:szCs w:val="21"/>
                      <w:highlight w:val="none"/>
                    </w:rPr>
                    <w:t>集装箱涂料</w:t>
                  </w:r>
                  <w:r>
                    <w:rPr>
                      <w:snapToGrid w:val="0"/>
                      <w:color w:val="auto"/>
                      <w:kern w:val="21"/>
                      <w:szCs w:val="21"/>
                      <w:highlight w:val="none"/>
                    </w:rPr>
                    <w:fldChar w:fldCharType="end"/>
                  </w:r>
                  <w:r>
                    <w:rPr>
                      <w:snapToGrid w:val="0"/>
                      <w:color w:val="auto"/>
                      <w:kern w:val="21"/>
                      <w:szCs w:val="21"/>
                      <w:highlight w:val="none"/>
                    </w:rPr>
                    <w:t>以及建筑物和构筑物防护涂料等，在技术成熟的行业，推广使用低VOCs含量油墨和胶粘剂，重点区域到2020年年底前基本完成。鼓励加快低VOCs含量涂料、油墨、胶粘剂等研发和生产。</w:t>
                  </w:r>
                </w:p>
                <w:p>
                  <w:pPr>
                    <w:rPr>
                      <w:snapToGrid w:val="0"/>
                      <w:color w:val="auto"/>
                      <w:kern w:val="21"/>
                      <w:szCs w:val="21"/>
                      <w:highlight w:val="none"/>
                    </w:rPr>
                  </w:pPr>
                  <w:r>
                    <w:rPr>
                      <w:snapToGrid w:val="0"/>
                      <w:color w:val="auto"/>
                      <w:kern w:val="21"/>
                      <w:szCs w:val="21"/>
                      <w:highlight w:val="none"/>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r>
                    <w:rPr>
                      <w:rFonts w:hint="eastAsia"/>
                      <w:snapToGrid w:val="0"/>
                      <w:color w:val="auto"/>
                      <w:kern w:val="21"/>
                      <w:szCs w:val="21"/>
                      <w:highlight w:val="none"/>
                    </w:rPr>
                    <w:t>。</w:t>
                  </w:r>
                </w:p>
              </w:tc>
              <w:tc>
                <w:tcPr>
                  <w:tcW w:w="1282" w:type="pct"/>
                  <w:vAlign w:val="center"/>
                </w:tcPr>
                <w:p>
                  <w:pPr>
                    <w:jc w:val="left"/>
                    <w:rPr>
                      <w:snapToGrid w:val="0"/>
                      <w:color w:val="auto"/>
                      <w:kern w:val="21"/>
                      <w:szCs w:val="21"/>
                      <w:highlight w:val="none"/>
                    </w:rPr>
                  </w:pPr>
                  <w:r>
                    <w:rPr>
                      <w:snapToGrid w:val="0"/>
                      <w:color w:val="auto"/>
                      <w:kern w:val="21"/>
                      <w:szCs w:val="21"/>
                      <w:highlight w:val="none"/>
                    </w:rPr>
                    <w:t>本项目</w:t>
                  </w:r>
                  <w:r>
                    <w:rPr>
                      <w:rFonts w:hint="eastAsia"/>
                      <w:color w:val="auto"/>
                      <w:kern w:val="20"/>
                      <w:szCs w:val="21"/>
                      <w:highlight w:val="none"/>
                    </w:rPr>
                    <w:t>使用</w:t>
                  </w:r>
                  <w:r>
                    <w:rPr>
                      <w:rFonts w:hint="eastAsia"/>
                      <w:bCs/>
                      <w:color w:val="auto"/>
                      <w:szCs w:val="21"/>
                      <w:highlight w:val="none"/>
                    </w:rPr>
                    <w:t>符合国家质量标准和环境标志产品认证的油漆</w:t>
                  </w:r>
                  <w:r>
                    <w:rPr>
                      <w:snapToGrid w:val="0"/>
                      <w:color w:val="auto"/>
                      <w:kern w:val="21"/>
                      <w:szCs w:val="21"/>
                      <w:highlight w:val="none"/>
                    </w:rPr>
                    <w:t>，从源头减少VOCs产生</w:t>
                  </w:r>
                  <w:r>
                    <w:rPr>
                      <w:rFonts w:hint="eastAsia"/>
                      <w:snapToGrid w:val="0"/>
                      <w:color w:val="auto"/>
                      <w:kern w:val="21"/>
                      <w:szCs w:val="21"/>
                      <w:highlight w:val="none"/>
                    </w:rPr>
                    <w:t>；同时在相应的产VOCs生产工序建设了</w:t>
                  </w:r>
                  <w:r>
                    <w:rPr>
                      <w:rFonts w:hint="eastAsia"/>
                      <w:color w:val="auto"/>
                      <w:kern w:val="20"/>
                      <w:szCs w:val="21"/>
                      <w:highlight w:val="none"/>
                    </w:rPr>
                    <w:t>UV光解活性炭一体化设备用于处理含VOCs废气</w:t>
                  </w:r>
                  <w:r>
                    <w:rPr>
                      <w:rFonts w:hint="eastAsia"/>
                      <w:snapToGrid w:val="0"/>
                      <w:color w:val="auto"/>
                      <w:kern w:val="21"/>
                      <w:szCs w:val="21"/>
                      <w:highlight w:val="none"/>
                    </w:rPr>
                    <w:t>。</w:t>
                  </w:r>
                </w:p>
              </w:tc>
              <w:tc>
                <w:tcPr>
                  <w:tcW w:w="591" w:type="pct"/>
                  <w:vAlign w:val="center"/>
                </w:tcPr>
                <w:p>
                  <w:pPr>
                    <w:jc w:val="center"/>
                    <w:rPr>
                      <w:snapToGrid w:val="0"/>
                      <w:color w:val="auto"/>
                      <w:kern w:val="21"/>
                      <w:szCs w:val="21"/>
                      <w:highlight w:val="none"/>
                    </w:rPr>
                  </w:pPr>
                  <w:r>
                    <w:rPr>
                      <w:snapToGrid w:val="0"/>
                      <w:color w:val="auto"/>
                      <w:kern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7" w:hRule="atLeast"/>
                <w:jc w:val="center"/>
              </w:trPr>
              <w:tc>
                <w:tcPr>
                  <w:tcW w:w="401" w:type="pct"/>
                  <w:vAlign w:val="center"/>
                </w:tcPr>
                <w:p>
                  <w:pPr>
                    <w:jc w:val="center"/>
                    <w:rPr>
                      <w:color w:val="auto"/>
                      <w:kern w:val="21"/>
                      <w:szCs w:val="21"/>
                      <w:highlight w:val="none"/>
                    </w:rPr>
                  </w:pPr>
                  <w:r>
                    <w:rPr>
                      <w:color w:val="auto"/>
                      <w:kern w:val="21"/>
                      <w:szCs w:val="21"/>
                      <w:highlight w:val="none"/>
                    </w:rPr>
                    <w:t>2</w:t>
                  </w:r>
                </w:p>
              </w:tc>
              <w:tc>
                <w:tcPr>
                  <w:tcW w:w="2725" w:type="pct"/>
                  <w:vAlign w:val="center"/>
                </w:tcPr>
                <w:p>
                  <w:pPr>
                    <w:rPr>
                      <w:snapToGrid w:val="0"/>
                      <w:color w:val="auto"/>
                      <w:kern w:val="21"/>
                      <w:szCs w:val="21"/>
                      <w:highlight w:val="none"/>
                    </w:rPr>
                  </w:pPr>
                  <w:r>
                    <w:rPr>
                      <w:snapToGrid w:val="0"/>
                      <w:color w:val="auto"/>
                      <w:kern w:val="21"/>
                      <w:szCs w:val="21"/>
                      <w:highlight w:val="none"/>
                    </w:rPr>
                    <w:t>全面加强无组织排放控制。重点对含VOCs物料（包括含VOCs原辅材料、含VOCs产品、含VOCs废料及有机聚合物材料等）储存、转移和输送、设备与管线组件泄漏、敞开液面逸散以及工艺过程等五类排放源实施管控，通过采取设备与场所密闭、工艺改进、废气有效收集等措施，削减VOCs无组织排放。</w:t>
                  </w:r>
                </w:p>
              </w:tc>
              <w:tc>
                <w:tcPr>
                  <w:tcW w:w="1282" w:type="pct"/>
                  <w:vAlign w:val="center"/>
                </w:tcPr>
                <w:p>
                  <w:pPr>
                    <w:jc w:val="left"/>
                    <w:rPr>
                      <w:snapToGrid w:val="0"/>
                      <w:color w:val="auto"/>
                      <w:kern w:val="21"/>
                      <w:szCs w:val="21"/>
                      <w:highlight w:val="none"/>
                    </w:rPr>
                  </w:pPr>
                  <w:r>
                    <w:rPr>
                      <w:snapToGrid w:val="0"/>
                      <w:color w:val="auto"/>
                      <w:kern w:val="21"/>
                      <w:szCs w:val="21"/>
                      <w:highlight w:val="none"/>
                      <w:lang w:val="zh-CN"/>
                    </w:rPr>
                    <w:t>本项目使用VOCs物料密封储存，</w:t>
                  </w:r>
                  <w:r>
                    <w:rPr>
                      <w:rFonts w:hint="eastAsia"/>
                      <w:snapToGrid w:val="0"/>
                      <w:color w:val="auto"/>
                      <w:kern w:val="21"/>
                      <w:szCs w:val="21"/>
                      <w:highlight w:val="none"/>
                    </w:rPr>
                    <w:t>喷漆在密闭喷漆房内进行，</w:t>
                  </w:r>
                  <w:r>
                    <w:rPr>
                      <w:snapToGrid w:val="0"/>
                      <w:color w:val="auto"/>
                      <w:kern w:val="21"/>
                      <w:szCs w:val="21"/>
                      <w:highlight w:val="none"/>
                      <w:lang w:val="zh-CN"/>
                    </w:rPr>
                    <w:t>有机废气</w:t>
                  </w:r>
                  <w:r>
                    <w:rPr>
                      <w:rFonts w:hint="eastAsia"/>
                      <w:snapToGrid w:val="0"/>
                      <w:color w:val="auto"/>
                      <w:kern w:val="21"/>
                      <w:szCs w:val="21"/>
                      <w:highlight w:val="none"/>
                    </w:rPr>
                    <w:t>经</w:t>
                  </w:r>
                  <w:r>
                    <w:rPr>
                      <w:snapToGrid w:val="0"/>
                      <w:color w:val="auto"/>
                      <w:kern w:val="21"/>
                      <w:szCs w:val="21"/>
                      <w:highlight w:val="none"/>
                      <w:lang w:val="zh-CN"/>
                    </w:rPr>
                    <w:t>收集</w:t>
                  </w:r>
                  <w:r>
                    <w:rPr>
                      <w:rFonts w:hint="eastAsia"/>
                      <w:snapToGrid w:val="0"/>
                      <w:color w:val="auto"/>
                      <w:kern w:val="21"/>
                      <w:szCs w:val="21"/>
                      <w:highlight w:val="none"/>
                    </w:rPr>
                    <w:t>处理</w:t>
                  </w:r>
                  <w:r>
                    <w:rPr>
                      <w:snapToGrid w:val="0"/>
                      <w:color w:val="auto"/>
                      <w:kern w:val="21"/>
                      <w:szCs w:val="21"/>
                      <w:highlight w:val="none"/>
                      <w:lang w:val="zh-CN"/>
                    </w:rPr>
                    <w:t>后通过</w:t>
                  </w:r>
                  <w:r>
                    <w:rPr>
                      <w:rFonts w:hint="eastAsia"/>
                      <w:snapToGrid w:val="0"/>
                      <w:color w:val="auto"/>
                      <w:kern w:val="21"/>
                      <w:szCs w:val="21"/>
                      <w:highlight w:val="none"/>
                    </w:rPr>
                    <w:t>15m排气筒</w:t>
                  </w:r>
                  <w:r>
                    <w:rPr>
                      <w:snapToGrid w:val="0"/>
                      <w:color w:val="auto"/>
                      <w:kern w:val="21"/>
                      <w:szCs w:val="21"/>
                      <w:highlight w:val="none"/>
                      <w:lang w:val="zh-CN"/>
                    </w:rPr>
                    <w:t>排放</w:t>
                  </w:r>
                  <w:r>
                    <w:rPr>
                      <w:rFonts w:hint="eastAsia"/>
                      <w:snapToGrid w:val="0"/>
                      <w:color w:val="auto"/>
                      <w:kern w:val="21"/>
                      <w:szCs w:val="21"/>
                      <w:highlight w:val="none"/>
                      <w:lang w:val="zh-CN"/>
                    </w:rPr>
                    <w:t>，</w:t>
                  </w:r>
                  <w:r>
                    <w:rPr>
                      <w:snapToGrid w:val="0"/>
                      <w:color w:val="auto"/>
                      <w:kern w:val="21"/>
                      <w:szCs w:val="21"/>
                      <w:highlight w:val="none"/>
                    </w:rPr>
                    <w:t>严格控制VOCs废气无组织排放。</w:t>
                  </w:r>
                </w:p>
              </w:tc>
              <w:tc>
                <w:tcPr>
                  <w:tcW w:w="591" w:type="pct"/>
                  <w:vAlign w:val="center"/>
                </w:tcPr>
                <w:p>
                  <w:pPr>
                    <w:jc w:val="center"/>
                    <w:rPr>
                      <w:snapToGrid w:val="0"/>
                      <w:color w:val="auto"/>
                      <w:kern w:val="21"/>
                      <w:szCs w:val="21"/>
                      <w:highlight w:val="none"/>
                    </w:rPr>
                  </w:pPr>
                  <w:r>
                    <w:rPr>
                      <w:snapToGrid w:val="0"/>
                      <w:color w:val="auto"/>
                      <w:kern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01" w:type="pct"/>
                  <w:vAlign w:val="center"/>
                </w:tcPr>
                <w:p>
                  <w:pPr>
                    <w:jc w:val="center"/>
                    <w:rPr>
                      <w:color w:val="auto"/>
                      <w:kern w:val="21"/>
                      <w:szCs w:val="21"/>
                      <w:highlight w:val="none"/>
                    </w:rPr>
                  </w:pPr>
                  <w:r>
                    <w:rPr>
                      <w:color w:val="auto"/>
                      <w:kern w:val="21"/>
                      <w:szCs w:val="21"/>
                      <w:highlight w:val="none"/>
                    </w:rPr>
                    <w:t>3</w:t>
                  </w:r>
                </w:p>
              </w:tc>
              <w:tc>
                <w:tcPr>
                  <w:tcW w:w="2725" w:type="pct"/>
                  <w:vAlign w:val="center"/>
                </w:tcPr>
                <w:p>
                  <w:pPr>
                    <w:rPr>
                      <w:snapToGrid w:val="0"/>
                      <w:color w:val="auto"/>
                      <w:kern w:val="21"/>
                      <w:szCs w:val="21"/>
                      <w:highlight w:val="none"/>
                    </w:rPr>
                  </w:pPr>
                  <w:r>
                    <w:rPr>
                      <w:snapToGrid w:val="0"/>
                      <w:color w:val="auto"/>
                      <w:kern w:val="21"/>
                      <w:szCs w:val="21"/>
                      <w:highlight w:val="none"/>
                    </w:rPr>
                    <w:t>推进建设适宜高效的治污设施。企业新建治污设施或对现有治污设施实施改造，应依据排放废气的浓度、组分、风量，温度、湿度、压力，以及生产工艺等，合理选择治理技术。鼓励企业采用多种技术的组合工艺，提高VOCs治理效率。</w:t>
                  </w:r>
                </w:p>
              </w:tc>
              <w:tc>
                <w:tcPr>
                  <w:tcW w:w="1282" w:type="pct"/>
                  <w:vAlign w:val="center"/>
                </w:tcPr>
                <w:p>
                  <w:pPr>
                    <w:jc w:val="left"/>
                    <w:rPr>
                      <w:snapToGrid w:val="0"/>
                      <w:color w:val="auto"/>
                      <w:kern w:val="21"/>
                      <w:szCs w:val="21"/>
                      <w:highlight w:val="none"/>
                    </w:rPr>
                  </w:pPr>
                  <w:r>
                    <w:rPr>
                      <w:snapToGrid w:val="0"/>
                      <w:color w:val="auto"/>
                      <w:kern w:val="21"/>
                      <w:szCs w:val="21"/>
                      <w:highlight w:val="none"/>
                    </w:rPr>
                    <w:t>本项目</w:t>
                  </w:r>
                  <w:r>
                    <w:rPr>
                      <w:rFonts w:hint="eastAsia"/>
                      <w:snapToGrid w:val="0"/>
                      <w:color w:val="auto"/>
                      <w:kern w:val="21"/>
                      <w:szCs w:val="21"/>
                      <w:highlight w:val="none"/>
                    </w:rPr>
                    <w:t>采用</w:t>
                  </w:r>
                  <w:r>
                    <w:rPr>
                      <w:rFonts w:hint="eastAsia"/>
                      <w:color w:val="auto"/>
                      <w:kern w:val="20"/>
                      <w:szCs w:val="21"/>
                      <w:highlight w:val="none"/>
                    </w:rPr>
                    <w:t>UV光解活性炭一体化设备</w:t>
                  </w:r>
                  <w:r>
                    <w:rPr>
                      <w:rFonts w:hint="eastAsia"/>
                      <w:snapToGrid w:val="0"/>
                      <w:color w:val="auto"/>
                      <w:kern w:val="21"/>
                      <w:szCs w:val="21"/>
                      <w:highlight w:val="none"/>
                    </w:rPr>
                    <w:t>处理有机废气，提高了</w:t>
                  </w:r>
                  <w:r>
                    <w:rPr>
                      <w:snapToGrid w:val="0"/>
                      <w:color w:val="auto"/>
                      <w:kern w:val="21"/>
                      <w:szCs w:val="21"/>
                      <w:highlight w:val="none"/>
                    </w:rPr>
                    <w:t>VOCs处理效率。</w:t>
                  </w:r>
                </w:p>
              </w:tc>
              <w:tc>
                <w:tcPr>
                  <w:tcW w:w="591" w:type="pct"/>
                  <w:vAlign w:val="center"/>
                </w:tcPr>
                <w:p>
                  <w:pPr>
                    <w:jc w:val="center"/>
                    <w:rPr>
                      <w:snapToGrid w:val="0"/>
                      <w:color w:val="auto"/>
                      <w:kern w:val="21"/>
                      <w:szCs w:val="21"/>
                      <w:highlight w:val="none"/>
                    </w:rPr>
                  </w:pPr>
                  <w:r>
                    <w:rPr>
                      <w:snapToGrid w:val="0"/>
                      <w:color w:val="auto"/>
                      <w:kern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01" w:type="pct"/>
                  <w:vAlign w:val="center"/>
                </w:tcPr>
                <w:p>
                  <w:pPr>
                    <w:jc w:val="center"/>
                    <w:rPr>
                      <w:snapToGrid w:val="0"/>
                      <w:color w:val="auto"/>
                      <w:kern w:val="21"/>
                      <w:szCs w:val="21"/>
                      <w:highlight w:val="none"/>
                    </w:rPr>
                  </w:pPr>
                  <w:r>
                    <w:rPr>
                      <w:snapToGrid w:val="0"/>
                      <w:color w:val="auto"/>
                      <w:kern w:val="21"/>
                      <w:szCs w:val="21"/>
                      <w:highlight w:val="none"/>
                    </w:rPr>
                    <w:t>4</w:t>
                  </w:r>
                </w:p>
              </w:tc>
              <w:tc>
                <w:tcPr>
                  <w:tcW w:w="2725" w:type="pct"/>
                  <w:vAlign w:val="center"/>
                </w:tcPr>
                <w:p>
                  <w:pPr>
                    <w:rPr>
                      <w:snapToGrid w:val="0"/>
                      <w:color w:val="auto"/>
                      <w:kern w:val="21"/>
                      <w:szCs w:val="21"/>
                      <w:highlight w:val="none"/>
                    </w:rPr>
                  </w:pPr>
                  <w:r>
                    <w:rPr>
                      <w:snapToGrid w:val="0"/>
                      <w:color w:val="auto"/>
                      <w:kern w:val="21"/>
                      <w:szCs w:val="21"/>
                      <w:highlight w:val="none"/>
                    </w:rPr>
                    <w:t>深入实施精细化管控。各地应围绕当地环境空气质量改善要求，根据O</w:t>
                  </w:r>
                  <w:r>
                    <w:rPr>
                      <w:snapToGrid w:val="0"/>
                      <w:color w:val="auto"/>
                      <w:kern w:val="21"/>
                      <w:szCs w:val="21"/>
                      <w:highlight w:val="none"/>
                      <w:vertAlign w:val="subscript"/>
                    </w:rPr>
                    <w:t>3</w:t>
                  </w:r>
                  <w:r>
                    <w:rPr>
                      <w:snapToGrid w:val="0"/>
                      <w:color w:val="auto"/>
                      <w:kern w:val="21"/>
                      <w:szCs w:val="21"/>
                      <w:highlight w:val="none"/>
                    </w:rPr>
                    <w:t>、PM</w:t>
                  </w:r>
                  <w:r>
                    <w:rPr>
                      <w:snapToGrid w:val="0"/>
                      <w:color w:val="auto"/>
                      <w:kern w:val="21"/>
                      <w:szCs w:val="21"/>
                      <w:highlight w:val="none"/>
                      <w:vertAlign w:val="subscript"/>
                    </w:rPr>
                    <w:t>2.5</w:t>
                  </w:r>
                  <w:r>
                    <w:rPr>
                      <w:snapToGrid w:val="0"/>
                      <w:color w:val="auto"/>
                      <w:kern w:val="21"/>
                      <w:szCs w:val="21"/>
                      <w:highlight w:val="none"/>
                    </w:rPr>
                    <w:t>来源解析，结合行业污染排放特征和VOCs物质光化学反应活性等，确定本地区VOCs控制的重点行业和重点污染物，兼顾恶臭污染物和有毒有害物质控制等，提出有效管控方案，提高VOCs治理的精准性、针对性和有效性。推行“一厂一策”制度，重点区域应组织本地VOCs排放量较大的企业开展“一厂一策”方案编制工作。加强企业运行管理，企业应系统梳理VOCs排放主要环节和工序，包括启停机、检维修作业等，制定具体操作规程，落实到具体责任人。健全内部考核制度。建立管理台账，记录企业生产和治污设施运行的关键参数，在线监控参数要确保能够实时调取，相关台账记录至少保存三年。</w:t>
                  </w:r>
                </w:p>
              </w:tc>
              <w:tc>
                <w:tcPr>
                  <w:tcW w:w="1282" w:type="pct"/>
                  <w:vAlign w:val="center"/>
                </w:tcPr>
                <w:p>
                  <w:pPr>
                    <w:jc w:val="left"/>
                    <w:rPr>
                      <w:snapToGrid w:val="0"/>
                      <w:color w:val="auto"/>
                      <w:kern w:val="21"/>
                      <w:szCs w:val="21"/>
                      <w:highlight w:val="none"/>
                    </w:rPr>
                  </w:pPr>
                  <w:r>
                    <w:rPr>
                      <w:snapToGrid w:val="0"/>
                      <w:color w:val="auto"/>
                      <w:kern w:val="21"/>
                      <w:szCs w:val="21"/>
                      <w:highlight w:val="none"/>
                    </w:rPr>
                    <w:t>本项目</w:t>
                  </w:r>
                  <w:r>
                    <w:rPr>
                      <w:color w:val="auto"/>
                      <w:kern w:val="20"/>
                      <w:szCs w:val="21"/>
                      <w:highlight w:val="none"/>
                    </w:rPr>
                    <w:t>项目</w:t>
                  </w:r>
                  <w:r>
                    <w:rPr>
                      <w:rFonts w:hint="eastAsia"/>
                      <w:bCs/>
                      <w:color w:val="auto"/>
                      <w:szCs w:val="21"/>
                      <w:highlight w:val="none"/>
                    </w:rPr>
                    <w:t>设置密闭式水帘喷漆房</w:t>
                  </w:r>
                  <w:r>
                    <w:rPr>
                      <w:color w:val="auto"/>
                      <w:kern w:val="20"/>
                      <w:szCs w:val="21"/>
                      <w:highlight w:val="none"/>
                    </w:rPr>
                    <w:t>，</w:t>
                  </w:r>
                  <w:r>
                    <w:rPr>
                      <w:rFonts w:hint="eastAsia"/>
                      <w:color w:val="auto"/>
                      <w:kern w:val="20"/>
                      <w:szCs w:val="21"/>
                      <w:highlight w:val="none"/>
                    </w:rPr>
                    <w:t>喷漆过程在喷漆房内进行，喷漆废气经水喷淋后与烘干废气、丝网印刷废气一起采用UV光解活性炭一体化设备处理，再经15m排气筒达标排放</w:t>
                  </w:r>
                  <w:r>
                    <w:rPr>
                      <w:color w:val="auto"/>
                      <w:kern w:val="20"/>
                      <w:szCs w:val="21"/>
                      <w:highlight w:val="none"/>
                    </w:rPr>
                    <w:t>。</w:t>
                  </w:r>
                  <w:r>
                    <w:rPr>
                      <w:snapToGrid w:val="0"/>
                      <w:color w:val="auto"/>
                      <w:kern w:val="21"/>
                      <w:szCs w:val="21"/>
                      <w:highlight w:val="none"/>
                    </w:rPr>
                    <w:t>项目能够有效控制VOCs物质排放</w:t>
                  </w:r>
                  <w:r>
                    <w:rPr>
                      <w:rFonts w:hint="eastAsia"/>
                      <w:snapToGrid w:val="0"/>
                      <w:color w:val="auto"/>
                      <w:kern w:val="21"/>
                      <w:szCs w:val="21"/>
                      <w:highlight w:val="none"/>
                    </w:rPr>
                    <w:t>。</w:t>
                  </w:r>
                  <w:r>
                    <w:rPr>
                      <w:snapToGrid w:val="0"/>
                      <w:color w:val="auto"/>
                      <w:kern w:val="21"/>
                      <w:szCs w:val="21"/>
                      <w:highlight w:val="none"/>
                    </w:rPr>
                    <w:t>项目建成后</w:t>
                  </w:r>
                  <w:r>
                    <w:rPr>
                      <w:rFonts w:hint="eastAsia"/>
                      <w:snapToGrid w:val="0"/>
                      <w:color w:val="auto"/>
                      <w:kern w:val="21"/>
                      <w:szCs w:val="21"/>
                      <w:highlight w:val="none"/>
                    </w:rPr>
                    <w:t>，企业将按要求</w:t>
                  </w:r>
                  <w:r>
                    <w:rPr>
                      <w:snapToGrid w:val="0"/>
                      <w:color w:val="auto"/>
                      <w:kern w:val="21"/>
                      <w:szCs w:val="21"/>
                      <w:highlight w:val="none"/>
                    </w:rPr>
                    <w:t>建立</w:t>
                  </w:r>
                  <w:r>
                    <w:rPr>
                      <w:rFonts w:hint="eastAsia"/>
                      <w:snapToGrid w:val="0"/>
                      <w:color w:val="auto"/>
                      <w:kern w:val="21"/>
                      <w:szCs w:val="21"/>
                      <w:highlight w:val="none"/>
                    </w:rPr>
                    <w:t>健全</w:t>
                  </w:r>
                  <w:r>
                    <w:rPr>
                      <w:snapToGrid w:val="0"/>
                      <w:color w:val="auto"/>
                      <w:kern w:val="21"/>
                      <w:szCs w:val="21"/>
                      <w:highlight w:val="none"/>
                    </w:rPr>
                    <w:t>环境管理制度，建立管理台账。</w:t>
                  </w:r>
                </w:p>
              </w:tc>
              <w:tc>
                <w:tcPr>
                  <w:tcW w:w="591" w:type="pct"/>
                  <w:vAlign w:val="center"/>
                </w:tcPr>
                <w:p>
                  <w:pPr>
                    <w:jc w:val="center"/>
                    <w:rPr>
                      <w:snapToGrid w:val="0"/>
                      <w:color w:val="auto"/>
                      <w:kern w:val="21"/>
                      <w:szCs w:val="21"/>
                      <w:highlight w:val="none"/>
                    </w:rPr>
                  </w:pPr>
                  <w:r>
                    <w:rPr>
                      <w:snapToGrid w:val="0"/>
                      <w:color w:val="auto"/>
                      <w:kern w:val="21"/>
                      <w:szCs w:val="21"/>
                      <w:highlight w:val="none"/>
                    </w:rPr>
                    <w:t>符合</w:t>
                  </w:r>
                </w:p>
              </w:tc>
            </w:tr>
          </w:tbl>
          <w:p>
            <w:pPr>
              <w:autoSpaceDE w:val="0"/>
              <w:autoSpaceDN w:val="0"/>
              <w:adjustRightInd w:val="0"/>
              <w:spacing w:line="360" w:lineRule="auto"/>
              <w:ind w:firstLine="480" w:firstLineChars="200"/>
              <w:rPr>
                <w:b/>
                <w:color w:val="auto"/>
                <w:sz w:val="24"/>
                <w:highlight w:val="none"/>
              </w:rPr>
            </w:pPr>
            <w:r>
              <w:rPr>
                <w:rFonts w:hint="eastAsia"/>
                <w:color w:val="auto"/>
                <w:sz w:val="24"/>
                <w:highlight w:val="none"/>
              </w:rPr>
              <w:t>由上表可知，项目符合《重点行业挥发性有机物治理方案》中相关要求</w:t>
            </w:r>
            <w:r>
              <w:rPr>
                <w:color w:val="auto"/>
                <w:sz w:val="24"/>
                <w:highlight w:val="none"/>
              </w:rPr>
              <w:t>。</w:t>
            </w:r>
          </w:p>
          <w:p>
            <w:pPr>
              <w:autoSpaceDE w:val="0"/>
              <w:autoSpaceDN w:val="0"/>
              <w:adjustRightInd w:val="0"/>
              <w:spacing w:line="360" w:lineRule="auto"/>
              <w:rPr>
                <w:b/>
                <w:color w:val="auto"/>
                <w:sz w:val="24"/>
                <w:highlight w:val="none"/>
              </w:rPr>
            </w:pPr>
            <w:r>
              <w:rPr>
                <w:rFonts w:hint="eastAsia"/>
                <w:b/>
                <w:color w:val="auto"/>
                <w:sz w:val="24"/>
                <w:highlight w:val="none"/>
              </w:rPr>
              <w:t>6、与《挥发性有机物（VOCs）污染防治技术政策》相符性分析</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本项目与《挥发性有机物（VOCs）污染防治技术政策》符合性分析见下表。</w:t>
            </w:r>
          </w:p>
          <w:p>
            <w:pPr>
              <w:widowControl/>
              <w:snapToGrid w:val="0"/>
              <w:jc w:val="center"/>
              <w:rPr>
                <w:b/>
                <w:color w:val="auto"/>
                <w:szCs w:val="21"/>
                <w:highlight w:val="none"/>
              </w:rPr>
            </w:pPr>
            <w:r>
              <w:rPr>
                <w:b/>
                <w:color w:val="auto"/>
                <w:szCs w:val="21"/>
                <w:highlight w:val="none"/>
              </w:rPr>
              <w:t>表</w:t>
            </w:r>
            <w:r>
              <w:rPr>
                <w:rFonts w:hint="eastAsia"/>
                <w:b/>
                <w:color w:val="auto"/>
                <w:szCs w:val="21"/>
                <w:highlight w:val="none"/>
              </w:rPr>
              <w:t>1</w:t>
            </w:r>
            <w:r>
              <w:rPr>
                <w:b/>
                <w:color w:val="auto"/>
                <w:szCs w:val="21"/>
                <w:highlight w:val="none"/>
              </w:rPr>
              <w:t>-</w:t>
            </w:r>
            <w:r>
              <w:rPr>
                <w:rFonts w:hint="eastAsia"/>
                <w:b/>
                <w:color w:val="auto"/>
                <w:szCs w:val="21"/>
                <w:highlight w:val="none"/>
              </w:rPr>
              <w:t>4</w:t>
            </w:r>
            <w:r>
              <w:rPr>
                <w:b/>
                <w:color w:val="auto"/>
                <w:szCs w:val="21"/>
                <w:highlight w:val="none"/>
              </w:rPr>
              <w:t xml:space="preserve"> 与《挥发性有机物（VOCs）污染防治技术政策》</w:t>
            </w:r>
            <w:r>
              <w:rPr>
                <w:rFonts w:hint="eastAsia"/>
                <w:b/>
                <w:color w:val="auto"/>
                <w:szCs w:val="21"/>
                <w:highlight w:val="none"/>
              </w:rPr>
              <w:t>对比</w:t>
            </w:r>
            <w:r>
              <w:rPr>
                <w:b/>
                <w:color w:val="auto"/>
                <w:szCs w:val="21"/>
                <w:highlight w:val="none"/>
              </w:rPr>
              <w:t>表</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08"/>
              <w:gridCol w:w="3054"/>
              <w:gridCol w:w="1992"/>
              <w:gridCol w:w="5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8" w:hRule="atLeast"/>
                <w:jc w:val="center"/>
              </w:trPr>
              <w:tc>
                <w:tcPr>
                  <w:tcW w:w="608" w:type="dxa"/>
                  <w:tcBorders>
                    <w:tl2br w:val="nil"/>
                    <w:tr2bl w:val="nil"/>
                  </w:tcBorders>
                  <w:vAlign w:val="center"/>
                </w:tcPr>
                <w:p>
                  <w:pPr>
                    <w:topLinePunct/>
                    <w:jc w:val="center"/>
                    <w:rPr>
                      <w:color w:val="auto"/>
                      <w:kern w:val="20"/>
                      <w:szCs w:val="21"/>
                      <w:highlight w:val="none"/>
                    </w:rPr>
                  </w:pPr>
                  <w:r>
                    <w:rPr>
                      <w:color w:val="auto"/>
                      <w:kern w:val="20"/>
                      <w:szCs w:val="21"/>
                      <w:highlight w:val="none"/>
                    </w:rPr>
                    <w:t>控制项目</w:t>
                  </w:r>
                </w:p>
              </w:tc>
              <w:tc>
                <w:tcPr>
                  <w:tcW w:w="3054" w:type="dxa"/>
                  <w:tcBorders>
                    <w:tl2br w:val="nil"/>
                    <w:tr2bl w:val="nil"/>
                  </w:tcBorders>
                  <w:vAlign w:val="center"/>
                </w:tcPr>
                <w:p>
                  <w:pPr>
                    <w:topLinePunct/>
                    <w:jc w:val="center"/>
                    <w:rPr>
                      <w:color w:val="auto"/>
                      <w:kern w:val="20"/>
                      <w:szCs w:val="21"/>
                      <w:highlight w:val="none"/>
                    </w:rPr>
                  </w:pPr>
                  <w:r>
                    <w:rPr>
                      <w:color w:val="auto"/>
                      <w:kern w:val="20"/>
                      <w:szCs w:val="21"/>
                      <w:highlight w:val="none"/>
                    </w:rPr>
                    <w:t>挥发性有机（VOCs）污染防治技术政策</w:t>
                  </w:r>
                </w:p>
              </w:tc>
              <w:tc>
                <w:tcPr>
                  <w:tcW w:w="1992" w:type="dxa"/>
                  <w:tcBorders>
                    <w:tl2br w:val="nil"/>
                    <w:tr2bl w:val="nil"/>
                  </w:tcBorders>
                  <w:vAlign w:val="center"/>
                </w:tcPr>
                <w:p>
                  <w:pPr>
                    <w:topLinePunct/>
                    <w:jc w:val="center"/>
                    <w:rPr>
                      <w:color w:val="auto"/>
                      <w:kern w:val="20"/>
                      <w:szCs w:val="21"/>
                      <w:highlight w:val="none"/>
                    </w:rPr>
                  </w:pPr>
                  <w:r>
                    <w:rPr>
                      <w:color w:val="auto"/>
                      <w:kern w:val="20"/>
                      <w:szCs w:val="21"/>
                      <w:highlight w:val="none"/>
                    </w:rPr>
                    <w:t>拟建项目情况</w:t>
                  </w:r>
                </w:p>
              </w:tc>
              <w:tc>
                <w:tcPr>
                  <w:tcW w:w="584" w:type="dxa"/>
                  <w:tcBorders>
                    <w:tl2br w:val="nil"/>
                    <w:tr2bl w:val="nil"/>
                  </w:tcBorders>
                  <w:vAlign w:val="center"/>
                </w:tcPr>
                <w:p>
                  <w:pPr>
                    <w:topLinePunct/>
                    <w:jc w:val="center"/>
                    <w:rPr>
                      <w:color w:val="auto"/>
                      <w:kern w:val="20"/>
                      <w:szCs w:val="21"/>
                      <w:highlight w:val="none"/>
                    </w:rPr>
                  </w:pPr>
                  <w:r>
                    <w:rPr>
                      <w:color w:val="auto"/>
                      <w:kern w:val="20"/>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608" w:type="dxa"/>
                  <w:vMerge w:val="restart"/>
                  <w:tcBorders>
                    <w:tl2br w:val="nil"/>
                    <w:tr2bl w:val="nil"/>
                  </w:tcBorders>
                  <w:vAlign w:val="center"/>
                </w:tcPr>
                <w:p>
                  <w:pPr>
                    <w:topLinePunct/>
                    <w:jc w:val="center"/>
                    <w:rPr>
                      <w:color w:val="auto"/>
                      <w:kern w:val="20"/>
                      <w:szCs w:val="21"/>
                      <w:highlight w:val="none"/>
                    </w:rPr>
                  </w:pPr>
                  <w:r>
                    <w:rPr>
                      <w:color w:val="auto"/>
                      <w:kern w:val="20"/>
                      <w:szCs w:val="21"/>
                      <w:highlight w:val="none"/>
                    </w:rPr>
                    <w:t>源头和过程控制</w:t>
                  </w:r>
                </w:p>
              </w:tc>
              <w:tc>
                <w:tcPr>
                  <w:tcW w:w="3054" w:type="dxa"/>
                  <w:tcBorders>
                    <w:tl2br w:val="nil"/>
                    <w:tr2bl w:val="nil"/>
                  </w:tcBorders>
                  <w:vAlign w:val="center"/>
                </w:tcPr>
                <w:p>
                  <w:pPr>
                    <w:topLinePunct/>
                    <w:jc w:val="left"/>
                    <w:rPr>
                      <w:color w:val="auto"/>
                      <w:kern w:val="20"/>
                      <w:szCs w:val="21"/>
                      <w:highlight w:val="none"/>
                    </w:rPr>
                  </w:pPr>
                  <w:r>
                    <w:rPr>
                      <w:color w:val="auto"/>
                      <w:kern w:val="20"/>
                      <w:szCs w:val="21"/>
                      <w:highlight w:val="none"/>
                    </w:rPr>
                    <w:t>鼓励使用通过环境标志产品认证的环保型涂料、油墨、胶粘剂和清洗剂</w:t>
                  </w:r>
                </w:p>
              </w:tc>
              <w:tc>
                <w:tcPr>
                  <w:tcW w:w="1992" w:type="dxa"/>
                  <w:vMerge w:val="restart"/>
                  <w:tcBorders>
                    <w:tl2br w:val="nil"/>
                    <w:tr2bl w:val="nil"/>
                  </w:tcBorders>
                  <w:vAlign w:val="center"/>
                </w:tcPr>
                <w:p>
                  <w:pPr>
                    <w:topLinePunct/>
                    <w:jc w:val="left"/>
                    <w:rPr>
                      <w:color w:val="auto"/>
                      <w:kern w:val="20"/>
                      <w:szCs w:val="21"/>
                      <w:highlight w:val="none"/>
                    </w:rPr>
                  </w:pPr>
                  <w:r>
                    <w:rPr>
                      <w:color w:val="auto"/>
                      <w:kern w:val="20"/>
                      <w:szCs w:val="21"/>
                      <w:highlight w:val="none"/>
                    </w:rPr>
                    <w:t>项目</w:t>
                  </w:r>
                  <w:r>
                    <w:rPr>
                      <w:rFonts w:hint="eastAsia"/>
                      <w:color w:val="auto"/>
                      <w:kern w:val="20"/>
                      <w:szCs w:val="21"/>
                      <w:highlight w:val="none"/>
                    </w:rPr>
                    <w:t>使用</w:t>
                  </w:r>
                  <w:r>
                    <w:rPr>
                      <w:rFonts w:hint="eastAsia"/>
                      <w:bCs/>
                      <w:color w:val="auto"/>
                      <w:szCs w:val="21"/>
                      <w:highlight w:val="none"/>
                    </w:rPr>
                    <w:t>符合国家质量标准和环境标志产品认证的油漆</w:t>
                  </w:r>
                  <w:r>
                    <w:rPr>
                      <w:rFonts w:hint="eastAsia"/>
                      <w:color w:val="auto"/>
                      <w:kern w:val="20"/>
                      <w:szCs w:val="21"/>
                      <w:highlight w:val="none"/>
                    </w:rPr>
                    <w:t>。</w:t>
                  </w:r>
                </w:p>
                <w:p>
                  <w:pPr>
                    <w:topLinePunct/>
                    <w:jc w:val="left"/>
                    <w:rPr>
                      <w:color w:val="auto"/>
                      <w:kern w:val="20"/>
                      <w:szCs w:val="21"/>
                      <w:highlight w:val="none"/>
                    </w:rPr>
                  </w:pPr>
                  <w:r>
                    <w:rPr>
                      <w:color w:val="auto"/>
                      <w:kern w:val="20"/>
                      <w:szCs w:val="21"/>
                      <w:highlight w:val="none"/>
                    </w:rPr>
                    <w:t>项目</w:t>
                  </w:r>
                  <w:r>
                    <w:rPr>
                      <w:rFonts w:hint="eastAsia"/>
                      <w:bCs/>
                      <w:color w:val="auto"/>
                      <w:szCs w:val="21"/>
                      <w:highlight w:val="none"/>
                    </w:rPr>
                    <w:t>设置密闭式水帘喷漆房</w:t>
                  </w:r>
                  <w:r>
                    <w:rPr>
                      <w:color w:val="auto"/>
                      <w:kern w:val="20"/>
                      <w:szCs w:val="21"/>
                      <w:highlight w:val="none"/>
                    </w:rPr>
                    <w:t>，</w:t>
                  </w:r>
                  <w:r>
                    <w:rPr>
                      <w:rFonts w:hint="eastAsia"/>
                      <w:color w:val="auto"/>
                      <w:kern w:val="20"/>
                      <w:szCs w:val="21"/>
                      <w:highlight w:val="none"/>
                    </w:rPr>
                    <w:t>喷漆过程在喷漆房内进行，喷漆废气经水喷淋后与烘干废气、丝网印刷废气一起采用UV光解活性炭一体化设备处理，再经15m排气筒达标排放</w:t>
                  </w:r>
                  <w:r>
                    <w:rPr>
                      <w:color w:val="auto"/>
                      <w:kern w:val="20"/>
                      <w:szCs w:val="21"/>
                      <w:highlight w:val="none"/>
                    </w:rPr>
                    <w:t>。</w:t>
                  </w:r>
                </w:p>
              </w:tc>
              <w:tc>
                <w:tcPr>
                  <w:tcW w:w="584" w:type="dxa"/>
                  <w:tcBorders>
                    <w:tl2br w:val="nil"/>
                    <w:tr2bl w:val="nil"/>
                  </w:tcBorders>
                  <w:vAlign w:val="center"/>
                </w:tcPr>
                <w:p>
                  <w:pPr>
                    <w:topLinePunct/>
                    <w:jc w:val="center"/>
                    <w:rPr>
                      <w:color w:val="auto"/>
                      <w:kern w:val="20"/>
                      <w:szCs w:val="21"/>
                      <w:highlight w:val="none"/>
                    </w:rPr>
                  </w:pPr>
                  <w:r>
                    <w:rPr>
                      <w:color w:val="auto"/>
                      <w:kern w:val="20"/>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608" w:type="dxa"/>
                  <w:vMerge w:val="continue"/>
                  <w:tcBorders>
                    <w:tl2br w:val="nil"/>
                    <w:tr2bl w:val="nil"/>
                  </w:tcBorders>
                  <w:vAlign w:val="center"/>
                </w:tcPr>
                <w:p>
                  <w:pPr>
                    <w:topLinePunct/>
                    <w:jc w:val="center"/>
                    <w:rPr>
                      <w:color w:val="auto"/>
                      <w:kern w:val="20"/>
                      <w:szCs w:val="21"/>
                      <w:highlight w:val="none"/>
                    </w:rPr>
                  </w:pPr>
                </w:p>
              </w:tc>
              <w:tc>
                <w:tcPr>
                  <w:tcW w:w="3054" w:type="dxa"/>
                  <w:tcBorders>
                    <w:tl2br w:val="nil"/>
                    <w:tr2bl w:val="nil"/>
                  </w:tcBorders>
                  <w:vAlign w:val="center"/>
                </w:tcPr>
                <w:p>
                  <w:pPr>
                    <w:topLinePunct/>
                    <w:jc w:val="left"/>
                    <w:rPr>
                      <w:color w:val="auto"/>
                      <w:kern w:val="20"/>
                      <w:szCs w:val="21"/>
                      <w:highlight w:val="none"/>
                    </w:rPr>
                  </w:pPr>
                  <w:r>
                    <w:rPr>
                      <w:color w:val="auto"/>
                      <w:kern w:val="20"/>
                      <w:szCs w:val="21"/>
                      <w:highlight w:val="none"/>
                    </w:rPr>
                    <w:t>根据涂装工艺的不同，鼓励使用水性涂料、高固份涂料、、紫外光固化（UV）涂料等环保型涂料；推广采用静电喷涂、淋涂、辊涂、浸涂等效率较高的涂装工艺；应尽量避免无VOCs净化、回收措施的露天喷涂作业</w:t>
                  </w:r>
                </w:p>
              </w:tc>
              <w:tc>
                <w:tcPr>
                  <w:tcW w:w="1992" w:type="dxa"/>
                  <w:vMerge w:val="continue"/>
                  <w:tcBorders>
                    <w:tl2br w:val="nil"/>
                    <w:tr2bl w:val="nil"/>
                  </w:tcBorders>
                  <w:vAlign w:val="center"/>
                </w:tcPr>
                <w:p>
                  <w:pPr>
                    <w:topLinePunct/>
                    <w:jc w:val="left"/>
                    <w:rPr>
                      <w:color w:val="auto"/>
                      <w:kern w:val="20"/>
                      <w:szCs w:val="21"/>
                      <w:highlight w:val="none"/>
                    </w:rPr>
                  </w:pPr>
                </w:p>
              </w:tc>
              <w:tc>
                <w:tcPr>
                  <w:tcW w:w="584" w:type="dxa"/>
                  <w:tcBorders>
                    <w:tl2br w:val="nil"/>
                    <w:tr2bl w:val="nil"/>
                  </w:tcBorders>
                  <w:vAlign w:val="center"/>
                </w:tcPr>
                <w:p>
                  <w:pPr>
                    <w:topLinePunct/>
                    <w:jc w:val="center"/>
                    <w:rPr>
                      <w:color w:val="auto"/>
                      <w:kern w:val="20"/>
                      <w:szCs w:val="21"/>
                      <w:highlight w:val="none"/>
                    </w:rPr>
                  </w:pPr>
                  <w:r>
                    <w:rPr>
                      <w:color w:val="auto"/>
                      <w:kern w:val="20"/>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8" w:hRule="atLeast"/>
                <w:jc w:val="center"/>
              </w:trPr>
              <w:tc>
                <w:tcPr>
                  <w:tcW w:w="608" w:type="dxa"/>
                  <w:vMerge w:val="continue"/>
                  <w:tcBorders>
                    <w:tl2br w:val="nil"/>
                    <w:tr2bl w:val="nil"/>
                  </w:tcBorders>
                  <w:vAlign w:val="center"/>
                </w:tcPr>
                <w:p>
                  <w:pPr>
                    <w:topLinePunct/>
                    <w:jc w:val="center"/>
                    <w:rPr>
                      <w:color w:val="auto"/>
                      <w:kern w:val="20"/>
                      <w:szCs w:val="21"/>
                      <w:highlight w:val="none"/>
                    </w:rPr>
                  </w:pPr>
                </w:p>
              </w:tc>
              <w:tc>
                <w:tcPr>
                  <w:tcW w:w="3054" w:type="dxa"/>
                  <w:tcBorders>
                    <w:tl2br w:val="nil"/>
                    <w:tr2bl w:val="nil"/>
                  </w:tcBorders>
                  <w:vAlign w:val="center"/>
                </w:tcPr>
                <w:p>
                  <w:pPr>
                    <w:topLinePunct/>
                    <w:jc w:val="left"/>
                    <w:rPr>
                      <w:color w:val="auto"/>
                      <w:kern w:val="20"/>
                      <w:szCs w:val="21"/>
                      <w:highlight w:val="none"/>
                    </w:rPr>
                  </w:pPr>
                  <w:r>
                    <w:rPr>
                      <w:color w:val="auto"/>
                      <w:kern w:val="20"/>
                      <w:szCs w:val="21"/>
                      <w:highlight w:val="none"/>
                    </w:rPr>
                    <w:t>含VOCs产品的使用过程中，应采取废气收集措施，提高废气收集效率，减少废气的无组织排放与逸散，并对收集后的废气进行回收或处理后达标排放。</w:t>
                  </w:r>
                </w:p>
              </w:tc>
              <w:tc>
                <w:tcPr>
                  <w:tcW w:w="1992" w:type="dxa"/>
                  <w:vMerge w:val="continue"/>
                  <w:tcBorders>
                    <w:tl2br w:val="nil"/>
                    <w:tr2bl w:val="nil"/>
                  </w:tcBorders>
                  <w:vAlign w:val="center"/>
                </w:tcPr>
                <w:p>
                  <w:pPr>
                    <w:topLinePunct/>
                    <w:jc w:val="left"/>
                    <w:rPr>
                      <w:color w:val="auto"/>
                      <w:kern w:val="20"/>
                      <w:szCs w:val="21"/>
                      <w:highlight w:val="none"/>
                    </w:rPr>
                  </w:pPr>
                </w:p>
              </w:tc>
              <w:tc>
                <w:tcPr>
                  <w:tcW w:w="584" w:type="dxa"/>
                  <w:tcBorders>
                    <w:tl2br w:val="nil"/>
                    <w:tr2bl w:val="nil"/>
                  </w:tcBorders>
                  <w:vAlign w:val="center"/>
                </w:tcPr>
                <w:p>
                  <w:pPr>
                    <w:topLinePunct/>
                    <w:jc w:val="center"/>
                    <w:rPr>
                      <w:color w:val="auto"/>
                      <w:kern w:val="20"/>
                      <w:szCs w:val="21"/>
                      <w:highlight w:val="none"/>
                    </w:rPr>
                  </w:pPr>
                  <w:r>
                    <w:rPr>
                      <w:color w:val="auto"/>
                      <w:kern w:val="20"/>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0" w:hRule="atLeast"/>
                <w:jc w:val="center"/>
              </w:trPr>
              <w:tc>
                <w:tcPr>
                  <w:tcW w:w="608" w:type="dxa"/>
                  <w:tcBorders>
                    <w:tl2br w:val="nil"/>
                    <w:tr2bl w:val="nil"/>
                  </w:tcBorders>
                  <w:vAlign w:val="center"/>
                </w:tcPr>
                <w:p>
                  <w:pPr>
                    <w:topLinePunct/>
                    <w:jc w:val="center"/>
                    <w:rPr>
                      <w:color w:val="auto"/>
                      <w:kern w:val="20"/>
                      <w:szCs w:val="21"/>
                      <w:highlight w:val="none"/>
                    </w:rPr>
                  </w:pPr>
                  <w:r>
                    <w:rPr>
                      <w:color w:val="auto"/>
                      <w:kern w:val="20"/>
                      <w:szCs w:val="21"/>
                      <w:highlight w:val="none"/>
                    </w:rPr>
                    <w:t>末端治理与综合利用</w:t>
                  </w:r>
                </w:p>
              </w:tc>
              <w:tc>
                <w:tcPr>
                  <w:tcW w:w="3054" w:type="dxa"/>
                  <w:tcBorders>
                    <w:tl2br w:val="nil"/>
                    <w:tr2bl w:val="nil"/>
                  </w:tcBorders>
                  <w:vAlign w:val="center"/>
                </w:tcPr>
                <w:p>
                  <w:pPr>
                    <w:topLinePunct/>
                    <w:jc w:val="left"/>
                    <w:rPr>
                      <w:color w:val="auto"/>
                      <w:kern w:val="20"/>
                      <w:szCs w:val="21"/>
                      <w:highlight w:val="none"/>
                    </w:rPr>
                  </w:pPr>
                  <w:r>
                    <w:rPr>
                      <w:color w:val="auto"/>
                      <w:kern w:val="20"/>
                      <w:szCs w:val="21"/>
                      <w:highlight w:val="none"/>
                    </w:rPr>
                    <w:t>对于含低浓度VOCs 的废气，有回收价值时可采用吸附技术、吸收技术对有机溶剂回收后达标排放；不宜回收时，可采用吸附浓缩燃烧技术、生物技术、吸收技术、等离子体技术或紫外光高级氧化技术等净化后达标排放。</w:t>
                  </w:r>
                </w:p>
              </w:tc>
              <w:tc>
                <w:tcPr>
                  <w:tcW w:w="1992" w:type="dxa"/>
                  <w:vMerge w:val="continue"/>
                  <w:tcBorders>
                    <w:tl2br w:val="nil"/>
                    <w:tr2bl w:val="nil"/>
                  </w:tcBorders>
                  <w:vAlign w:val="center"/>
                </w:tcPr>
                <w:p>
                  <w:pPr>
                    <w:autoSpaceDE w:val="0"/>
                    <w:autoSpaceDN w:val="0"/>
                    <w:adjustRightInd w:val="0"/>
                    <w:jc w:val="left"/>
                    <w:rPr>
                      <w:color w:val="auto"/>
                      <w:kern w:val="20"/>
                      <w:szCs w:val="21"/>
                      <w:highlight w:val="none"/>
                    </w:rPr>
                  </w:pPr>
                </w:p>
              </w:tc>
              <w:tc>
                <w:tcPr>
                  <w:tcW w:w="584" w:type="dxa"/>
                  <w:tcBorders>
                    <w:tl2br w:val="nil"/>
                    <w:tr2bl w:val="nil"/>
                  </w:tcBorders>
                  <w:vAlign w:val="center"/>
                </w:tcPr>
                <w:p>
                  <w:pPr>
                    <w:topLinePunct/>
                    <w:jc w:val="center"/>
                    <w:rPr>
                      <w:color w:val="auto"/>
                      <w:kern w:val="20"/>
                      <w:szCs w:val="21"/>
                      <w:highlight w:val="none"/>
                    </w:rPr>
                  </w:pPr>
                  <w:r>
                    <w:rPr>
                      <w:color w:val="auto"/>
                      <w:kern w:val="20"/>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608" w:type="dxa"/>
                  <w:vMerge w:val="restart"/>
                  <w:tcBorders>
                    <w:tl2br w:val="nil"/>
                    <w:tr2bl w:val="nil"/>
                  </w:tcBorders>
                  <w:vAlign w:val="center"/>
                </w:tcPr>
                <w:p>
                  <w:pPr>
                    <w:topLinePunct/>
                    <w:jc w:val="center"/>
                    <w:rPr>
                      <w:color w:val="auto"/>
                      <w:kern w:val="20"/>
                      <w:szCs w:val="21"/>
                      <w:highlight w:val="none"/>
                    </w:rPr>
                  </w:pPr>
                  <w:r>
                    <w:rPr>
                      <w:color w:val="auto"/>
                      <w:kern w:val="20"/>
                      <w:szCs w:val="21"/>
                      <w:highlight w:val="none"/>
                    </w:rPr>
                    <w:t>运行与监测</w:t>
                  </w:r>
                </w:p>
              </w:tc>
              <w:tc>
                <w:tcPr>
                  <w:tcW w:w="3054" w:type="dxa"/>
                  <w:tcBorders>
                    <w:tl2br w:val="nil"/>
                    <w:tr2bl w:val="nil"/>
                  </w:tcBorders>
                  <w:vAlign w:val="center"/>
                </w:tcPr>
                <w:p>
                  <w:pPr>
                    <w:topLinePunct/>
                    <w:jc w:val="left"/>
                    <w:rPr>
                      <w:color w:val="auto"/>
                      <w:kern w:val="20"/>
                      <w:szCs w:val="21"/>
                      <w:highlight w:val="none"/>
                    </w:rPr>
                  </w:pPr>
                  <w:r>
                    <w:rPr>
                      <w:color w:val="auto"/>
                      <w:kern w:val="20"/>
                      <w:szCs w:val="21"/>
                      <w:highlight w:val="none"/>
                    </w:rPr>
                    <w:t>鼓励企业自行开展VOCs 监测，并及时主动向当地环保行政主管部门报送监测结果。</w:t>
                  </w:r>
                </w:p>
              </w:tc>
              <w:tc>
                <w:tcPr>
                  <w:tcW w:w="1992" w:type="dxa"/>
                  <w:tcBorders>
                    <w:tl2br w:val="nil"/>
                    <w:tr2bl w:val="nil"/>
                  </w:tcBorders>
                  <w:vAlign w:val="center"/>
                </w:tcPr>
                <w:p>
                  <w:pPr>
                    <w:topLinePunct/>
                    <w:jc w:val="left"/>
                    <w:rPr>
                      <w:color w:val="auto"/>
                      <w:kern w:val="20"/>
                      <w:szCs w:val="21"/>
                      <w:highlight w:val="none"/>
                    </w:rPr>
                  </w:pPr>
                  <w:r>
                    <w:rPr>
                      <w:color w:val="auto"/>
                      <w:kern w:val="20"/>
                      <w:szCs w:val="21"/>
                      <w:highlight w:val="none"/>
                    </w:rPr>
                    <w:t>项目</w:t>
                  </w:r>
                  <w:r>
                    <w:rPr>
                      <w:rFonts w:hint="eastAsia"/>
                      <w:color w:val="auto"/>
                      <w:kern w:val="20"/>
                      <w:szCs w:val="21"/>
                      <w:highlight w:val="none"/>
                    </w:rPr>
                    <w:t>建成后，</w:t>
                  </w:r>
                  <w:r>
                    <w:rPr>
                      <w:color w:val="auto"/>
                      <w:kern w:val="20"/>
                      <w:szCs w:val="21"/>
                      <w:highlight w:val="none"/>
                    </w:rPr>
                    <w:t>企业自行开展VOCs 监测，并向当地环保部门报送监测结果</w:t>
                  </w:r>
                  <w:r>
                    <w:rPr>
                      <w:rFonts w:hint="eastAsia"/>
                      <w:color w:val="auto"/>
                      <w:kern w:val="20"/>
                      <w:szCs w:val="21"/>
                      <w:highlight w:val="none"/>
                    </w:rPr>
                    <w:t>。</w:t>
                  </w:r>
                </w:p>
              </w:tc>
              <w:tc>
                <w:tcPr>
                  <w:tcW w:w="584" w:type="dxa"/>
                  <w:tcBorders>
                    <w:tl2br w:val="nil"/>
                    <w:tr2bl w:val="nil"/>
                  </w:tcBorders>
                  <w:vAlign w:val="center"/>
                </w:tcPr>
                <w:p>
                  <w:pPr>
                    <w:topLinePunct/>
                    <w:jc w:val="center"/>
                    <w:rPr>
                      <w:color w:val="auto"/>
                      <w:kern w:val="20"/>
                      <w:szCs w:val="21"/>
                      <w:highlight w:val="none"/>
                    </w:rPr>
                  </w:pPr>
                  <w:r>
                    <w:rPr>
                      <w:color w:val="auto"/>
                      <w:kern w:val="20"/>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1" w:hRule="atLeast"/>
                <w:jc w:val="center"/>
              </w:trPr>
              <w:tc>
                <w:tcPr>
                  <w:tcW w:w="608" w:type="dxa"/>
                  <w:vMerge w:val="continue"/>
                  <w:tcBorders>
                    <w:tl2br w:val="nil"/>
                    <w:tr2bl w:val="nil"/>
                  </w:tcBorders>
                  <w:vAlign w:val="center"/>
                </w:tcPr>
                <w:p>
                  <w:pPr>
                    <w:topLinePunct/>
                    <w:jc w:val="center"/>
                    <w:rPr>
                      <w:color w:val="auto"/>
                      <w:kern w:val="20"/>
                      <w:szCs w:val="21"/>
                      <w:highlight w:val="none"/>
                    </w:rPr>
                  </w:pPr>
                </w:p>
              </w:tc>
              <w:tc>
                <w:tcPr>
                  <w:tcW w:w="3054" w:type="dxa"/>
                  <w:tcBorders>
                    <w:tl2br w:val="nil"/>
                    <w:tr2bl w:val="nil"/>
                  </w:tcBorders>
                  <w:vAlign w:val="center"/>
                </w:tcPr>
                <w:p>
                  <w:pPr>
                    <w:topLinePunct/>
                    <w:jc w:val="center"/>
                    <w:rPr>
                      <w:color w:val="auto"/>
                      <w:kern w:val="20"/>
                      <w:szCs w:val="21"/>
                      <w:highlight w:val="none"/>
                    </w:rPr>
                  </w:pPr>
                  <w:r>
                    <w:rPr>
                      <w:color w:val="auto"/>
                      <w:kern w:val="20"/>
                      <w:szCs w:val="21"/>
                      <w:highlight w:val="none"/>
                    </w:rPr>
                    <w:t>采用吸附回收（浓缩）、催化燃烧、热力焚烧、等离子体等方法进行末端治理时，应编制本单位事故火灾、爆炸等应急救援预案，配备应急救援人员和器材，并开展应急演练。</w:t>
                  </w:r>
                </w:p>
              </w:tc>
              <w:tc>
                <w:tcPr>
                  <w:tcW w:w="1992" w:type="dxa"/>
                  <w:tcBorders>
                    <w:tl2br w:val="nil"/>
                    <w:tr2bl w:val="nil"/>
                  </w:tcBorders>
                  <w:vAlign w:val="center"/>
                </w:tcPr>
                <w:p>
                  <w:pPr>
                    <w:topLinePunct/>
                    <w:jc w:val="left"/>
                    <w:rPr>
                      <w:color w:val="auto"/>
                      <w:kern w:val="20"/>
                      <w:szCs w:val="21"/>
                      <w:highlight w:val="none"/>
                    </w:rPr>
                  </w:pPr>
                  <w:r>
                    <w:rPr>
                      <w:rFonts w:hint="eastAsia"/>
                      <w:color w:val="auto"/>
                      <w:kern w:val="20"/>
                      <w:szCs w:val="21"/>
                      <w:highlight w:val="none"/>
                    </w:rPr>
                    <w:t>项目有机</w:t>
                  </w:r>
                  <w:r>
                    <w:rPr>
                      <w:color w:val="auto"/>
                      <w:kern w:val="20"/>
                      <w:szCs w:val="21"/>
                      <w:highlight w:val="none"/>
                    </w:rPr>
                    <w:t>废气采用</w:t>
                  </w:r>
                  <w:r>
                    <w:rPr>
                      <w:rFonts w:hint="eastAsia"/>
                      <w:color w:val="auto"/>
                      <w:kern w:val="20"/>
                      <w:szCs w:val="21"/>
                      <w:highlight w:val="none"/>
                    </w:rPr>
                    <w:t>UV光解活性炭一体化设备</w:t>
                  </w:r>
                  <w:r>
                    <w:rPr>
                      <w:color w:val="auto"/>
                      <w:kern w:val="20"/>
                      <w:szCs w:val="21"/>
                      <w:highlight w:val="none"/>
                    </w:rPr>
                    <w:t>处理，</w:t>
                  </w:r>
                  <w:r>
                    <w:rPr>
                      <w:rFonts w:hint="eastAsia"/>
                      <w:color w:val="auto"/>
                      <w:kern w:val="20"/>
                      <w:szCs w:val="21"/>
                      <w:highlight w:val="none"/>
                    </w:rPr>
                    <w:t>项目</w:t>
                  </w:r>
                  <w:r>
                    <w:rPr>
                      <w:color w:val="auto"/>
                      <w:kern w:val="20"/>
                      <w:szCs w:val="21"/>
                      <w:highlight w:val="none"/>
                    </w:rPr>
                    <w:t>需编制本单位</w:t>
                  </w:r>
                  <w:r>
                    <w:rPr>
                      <w:rFonts w:hint="eastAsia"/>
                      <w:color w:val="auto"/>
                      <w:kern w:val="20"/>
                      <w:szCs w:val="21"/>
                      <w:highlight w:val="none"/>
                    </w:rPr>
                    <w:t>突发环境事件应急预案。</w:t>
                  </w:r>
                </w:p>
              </w:tc>
              <w:tc>
                <w:tcPr>
                  <w:tcW w:w="584" w:type="dxa"/>
                  <w:tcBorders>
                    <w:tl2br w:val="nil"/>
                    <w:tr2bl w:val="nil"/>
                  </w:tcBorders>
                  <w:vAlign w:val="center"/>
                </w:tcPr>
                <w:p>
                  <w:pPr>
                    <w:topLinePunct/>
                    <w:jc w:val="center"/>
                    <w:rPr>
                      <w:color w:val="auto"/>
                      <w:kern w:val="20"/>
                      <w:szCs w:val="21"/>
                      <w:highlight w:val="none"/>
                    </w:rPr>
                  </w:pPr>
                  <w:r>
                    <w:rPr>
                      <w:color w:val="auto"/>
                      <w:kern w:val="20"/>
                      <w:szCs w:val="21"/>
                      <w:highlight w:val="none"/>
                    </w:rPr>
                    <w:t>符合</w:t>
                  </w:r>
                </w:p>
              </w:tc>
            </w:tr>
          </w:tbl>
          <w:p>
            <w:pPr>
              <w:pStyle w:val="23"/>
              <w:snapToGrid w:val="0"/>
              <w:spacing w:after="0" w:line="360" w:lineRule="auto"/>
              <w:ind w:firstLine="480" w:firstLineChars="200"/>
              <w:rPr>
                <w:rFonts w:ascii="Times New Roman" w:hAnsi="Times New Roman" w:eastAsia="宋体" w:cs="Times New Roman"/>
                <w:color w:val="auto"/>
                <w:spacing w:val="0"/>
                <w:sz w:val="24"/>
                <w:szCs w:val="24"/>
                <w:highlight w:val="none"/>
              </w:rPr>
            </w:pPr>
            <w:r>
              <w:rPr>
                <w:rFonts w:hint="eastAsia" w:ascii="Times New Roman" w:hAnsi="Times New Roman" w:eastAsia="宋体" w:cs="Times New Roman"/>
                <w:color w:val="auto"/>
                <w:spacing w:val="0"/>
                <w:sz w:val="24"/>
                <w:szCs w:val="24"/>
                <w:highlight w:val="none"/>
              </w:rPr>
              <w:t>由上表可知，项目符合《挥发性有机物（VOCs）污染防治技术政策》中相关要求。</w:t>
            </w:r>
          </w:p>
          <w:p>
            <w:pPr>
              <w:autoSpaceDE w:val="0"/>
              <w:autoSpaceDN w:val="0"/>
              <w:adjustRightInd w:val="0"/>
              <w:spacing w:line="360" w:lineRule="auto"/>
              <w:rPr>
                <w:b/>
                <w:color w:val="auto"/>
                <w:sz w:val="24"/>
                <w:highlight w:val="none"/>
              </w:rPr>
            </w:pPr>
            <w:r>
              <w:rPr>
                <w:rFonts w:hint="eastAsia"/>
                <w:b/>
                <w:color w:val="auto"/>
                <w:sz w:val="24"/>
                <w:highlight w:val="none"/>
              </w:rPr>
              <w:t>7、与《挥发性有机物无组织排放控制标准》(GB37822-2019)相符性分析</w:t>
            </w:r>
          </w:p>
          <w:p>
            <w:pPr>
              <w:pStyle w:val="23"/>
              <w:snapToGrid w:val="0"/>
              <w:spacing w:after="0" w:line="360" w:lineRule="auto"/>
              <w:ind w:firstLine="480" w:firstLineChars="200"/>
              <w:rPr>
                <w:rFonts w:ascii="Times New Roman" w:hAnsi="Times New Roman" w:eastAsia="宋体" w:cs="Times New Roman"/>
                <w:color w:val="auto"/>
                <w:spacing w:val="0"/>
                <w:sz w:val="24"/>
                <w:szCs w:val="24"/>
                <w:highlight w:val="none"/>
              </w:rPr>
            </w:pPr>
            <w:r>
              <w:rPr>
                <w:rFonts w:hint="eastAsia" w:ascii="Times New Roman" w:hAnsi="Times New Roman" w:eastAsia="宋体"/>
                <w:color w:val="auto"/>
                <w:spacing w:val="0"/>
                <w:sz w:val="24"/>
                <w:szCs w:val="24"/>
                <w:highlight w:val="none"/>
              </w:rPr>
              <w:t>本项目与《挥发性有机物无组织排放控制标准》(GB37822-2019)符合性分析见下表</w:t>
            </w:r>
          </w:p>
          <w:p>
            <w:pPr>
              <w:widowControl/>
              <w:jc w:val="center"/>
              <w:rPr>
                <w:rFonts w:hAnsi="宋体"/>
                <w:b/>
                <w:color w:val="auto"/>
                <w:kern w:val="0"/>
                <w:szCs w:val="21"/>
                <w:highlight w:val="none"/>
              </w:rPr>
            </w:pPr>
            <w:r>
              <w:rPr>
                <w:rFonts w:hAnsi="宋体"/>
                <w:b/>
                <w:color w:val="auto"/>
                <w:kern w:val="0"/>
                <w:szCs w:val="21"/>
                <w:highlight w:val="none"/>
              </w:rPr>
              <w:t>表1-</w:t>
            </w:r>
            <w:r>
              <w:rPr>
                <w:rFonts w:hint="eastAsia" w:hAnsi="宋体"/>
                <w:b/>
                <w:color w:val="auto"/>
                <w:kern w:val="0"/>
                <w:szCs w:val="21"/>
                <w:highlight w:val="none"/>
              </w:rPr>
              <w:t>5 项目与《</w:t>
            </w:r>
            <w:r>
              <w:rPr>
                <w:rFonts w:hAnsi="宋体"/>
                <w:b/>
                <w:color w:val="auto"/>
                <w:kern w:val="0"/>
                <w:szCs w:val="21"/>
                <w:highlight w:val="none"/>
              </w:rPr>
              <w:t>挥发性有机物无组织排放控制标准》</w:t>
            </w:r>
            <w:r>
              <w:rPr>
                <w:rFonts w:hint="eastAsia" w:ascii="宋体" w:hAnsi="宋体"/>
                <w:b/>
                <w:color w:val="auto"/>
                <w:kern w:val="0"/>
                <w:szCs w:val="21"/>
                <w:highlight w:val="none"/>
              </w:rPr>
              <w:t>(</w:t>
            </w:r>
            <w:r>
              <w:rPr>
                <w:b/>
                <w:color w:val="auto"/>
                <w:kern w:val="0"/>
                <w:szCs w:val="21"/>
                <w:highlight w:val="none"/>
              </w:rPr>
              <w:t>GB37822-2019</w:t>
            </w:r>
            <w:r>
              <w:rPr>
                <w:rFonts w:hint="eastAsia" w:ascii="宋体" w:hAnsi="宋体"/>
                <w:b/>
                <w:color w:val="auto"/>
                <w:kern w:val="0"/>
                <w:szCs w:val="21"/>
                <w:highlight w:val="none"/>
              </w:rPr>
              <w:t>)</w:t>
            </w:r>
            <w:r>
              <w:rPr>
                <w:rFonts w:hint="eastAsia" w:hAnsi="宋体"/>
                <w:b/>
                <w:color w:val="auto"/>
                <w:kern w:val="0"/>
                <w:szCs w:val="21"/>
                <w:highlight w:val="none"/>
              </w:rPr>
              <w:t>相符性分析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98"/>
              <w:gridCol w:w="3477"/>
              <w:gridCol w:w="235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8"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控制项目</w:t>
                  </w:r>
                </w:p>
              </w:tc>
              <w:tc>
                <w:tcPr>
                  <w:tcW w:w="2345"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GB37822-2019标准要求</w:t>
                  </w:r>
                </w:p>
              </w:tc>
              <w:tc>
                <w:tcPr>
                  <w:tcW w:w="1590"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本项目情况</w:t>
                  </w:r>
                </w:p>
              </w:tc>
              <w:tc>
                <w:tcPr>
                  <w:tcW w:w="525"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0" w:hRule="atLeast"/>
                <w:jc w:val="center"/>
              </w:trPr>
              <w:tc>
                <w:tcPr>
                  <w:tcW w:w="538"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VOCs物料的储存</w:t>
                  </w:r>
                </w:p>
              </w:tc>
              <w:tc>
                <w:tcPr>
                  <w:tcW w:w="2345" w:type="pct"/>
                  <w:tcBorders>
                    <w:tl2br w:val="nil"/>
                    <w:tr2bl w:val="nil"/>
                  </w:tcBorders>
                  <w:vAlign w:val="center"/>
                </w:tcPr>
                <w:p>
                  <w:pPr>
                    <w:rPr>
                      <w:bCs/>
                      <w:snapToGrid w:val="0"/>
                      <w:color w:val="auto"/>
                      <w:kern w:val="21"/>
                      <w:szCs w:val="21"/>
                      <w:highlight w:val="none"/>
                    </w:rPr>
                  </w:pPr>
                  <w:r>
                    <w:rPr>
                      <w:bCs/>
                      <w:snapToGrid w:val="0"/>
                      <w:color w:val="auto"/>
                      <w:kern w:val="21"/>
                      <w:szCs w:val="21"/>
                      <w:highlight w:val="none"/>
                    </w:rPr>
                    <w:t>（1）VOCs物料应储存于密闭的容器、包装袋、储罐、储库和料仓中。</w:t>
                  </w:r>
                </w:p>
                <w:p>
                  <w:pPr>
                    <w:rPr>
                      <w:bCs/>
                      <w:snapToGrid w:val="0"/>
                      <w:color w:val="auto"/>
                      <w:kern w:val="21"/>
                      <w:szCs w:val="21"/>
                      <w:highlight w:val="none"/>
                    </w:rPr>
                  </w:pPr>
                  <w:r>
                    <w:rPr>
                      <w:bCs/>
                      <w:snapToGrid w:val="0"/>
                      <w:color w:val="auto"/>
                      <w:kern w:val="21"/>
                      <w:szCs w:val="21"/>
                      <w:highlight w:val="none"/>
                    </w:rPr>
                    <w:t>（2）盛装VOCs物料的容器或包装袋应存放于室内，或设置有雨棚、遮阳和防渗设施的专用场地。容器或包装袋在非取用状态时应加盖、封口，保持密闭。</w:t>
                  </w:r>
                </w:p>
              </w:tc>
              <w:tc>
                <w:tcPr>
                  <w:tcW w:w="1590" w:type="pct"/>
                  <w:tcBorders>
                    <w:tl2br w:val="nil"/>
                    <w:tr2bl w:val="nil"/>
                  </w:tcBorders>
                  <w:vAlign w:val="center"/>
                </w:tcPr>
                <w:p>
                  <w:pPr>
                    <w:rPr>
                      <w:bCs/>
                      <w:snapToGrid w:val="0"/>
                      <w:color w:val="auto"/>
                      <w:kern w:val="21"/>
                      <w:szCs w:val="21"/>
                      <w:highlight w:val="none"/>
                    </w:rPr>
                  </w:pPr>
                  <w:r>
                    <w:rPr>
                      <w:bCs/>
                      <w:snapToGrid w:val="0"/>
                      <w:color w:val="auto"/>
                      <w:kern w:val="21"/>
                      <w:szCs w:val="21"/>
                      <w:highlight w:val="none"/>
                    </w:rPr>
                    <w:t>本项目VOCs物料</w:t>
                  </w:r>
                  <w:r>
                    <w:rPr>
                      <w:rFonts w:hint="eastAsia"/>
                      <w:bCs/>
                      <w:snapToGrid w:val="0"/>
                      <w:color w:val="auto"/>
                      <w:kern w:val="21"/>
                      <w:szCs w:val="21"/>
                      <w:highlight w:val="none"/>
                    </w:rPr>
                    <w:t>采用密封容器盛装，存放</w:t>
                  </w:r>
                  <w:r>
                    <w:rPr>
                      <w:bCs/>
                      <w:snapToGrid w:val="0"/>
                      <w:color w:val="auto"/>
                      <w:kern w:val="21"/>
                      <w:szCs w:val="21"/>
                      <w:highlight w:val="none"/>
                    </w:rPr>
                    <w:t>于原辅材料存放区，非取用状态时加盖</w:t>
                  </w:r>
                  <w:r>
                    <w:rPr>
                      <w:rFonts w:hint="eastAsia"/>
                      <w:bCs/>
                      <w:snapToGrid w:val="0"/>
                      <w:color w:val="auto"/>
                      <w:kern w:val="21"/>
                      <w:szCs w:val="21"/>
                      <w:highlight w:val="none"/>
                    </w:rPr>
                    <w:t>保持</w:t>
                  </w:r>
                  <w:r>
                    <w:rPr>
                      <w:bCs/>
                      <w:snapToGrid w:val="0"/>
                      <w:color w:val="auto"/>
                      <w:kern w:val="21"/>
                      <w:szCs w:val="21"/>
                      <w:highlight w:val="none"/>
                    </w:rPr>
                    <w:t>密闭。</w:t>
                  </w:r>
                </w:p>
              </w:tc>
              <w:tc>
                <w:tcPr>
                  <w:tcW w:w="525"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8" w:type="pct"/>
                  <w:tcBorders>
                    <w:tl2br w:val="nil"/>
                    <w:tr2bl w:val="nil"/>
                  </w:tcBorders>
                  <w:vAlign w:val="center"/>
                </w:tcPr>
                <w:p>
                  <w:pPr>
                    <w:jc w:val="center"/>
                    <w:rPr>
                      <w:bCs/>
                      <w:color w:val="auto"/>
                      <w:kern w:val="21"/>
                      <w:szCs w:val="21"/>
                      <w:highlight w:val="none"/>
                    </w:rPr>
                  </w:pPr>
                  <w:r>
                    <w:rPr>
                      <w:bCs/>
                      <w:color w:val="auto"/>
                      <w:kern w:val="21"/>
                      <w:szCs w:val="21"/>
                      <w:highlight w:val="none"/>
                    </w:rPr>
                    <w:t>VOCs物料的转移和输送</w:t>
                  </w:r>
                </w:p>
              </w:tc>
              <w:tc>
                <w:tcPr>
                  <w:tcW w:w="2345" w:type="pct"/>
                  <w:tcBorders>
                    <w:tl2br w:val="nil"/>
                    <w:tr2bl w:val="nil"/>
                  </w:tcBorders>
                  <w:vAlign w:val="center"/>
                </w:tcPr>
                <w:p>
                  <w:pPr>
                    <w:rPr>
                      <w:bCs/>
                      <w:snapToGrid w:val="0"/>
                      <w:color w:val="auto"/>
                      <w:kern w:val="21"/>
                      <w:szCs w:val="21"/>
                      <w:highlight w:val="none"/>
                    </w:rPr>
                  </w:pPr>
                  <w:r>
                    <w:rPr>
                      <w:bCs/>
                      <w:snapToGrid w:val="0"/>
                      <w:color w:val="auto"/>
                      <w:kern w:val="21"/>
                      <w:szCs w:val="21"/>
                      <w:highlight w:val="none"/>
                    </w:rPr>
                    <w:t>（1）液态VOCs物料应采用密闭管道输送，非管道输送方式转移则应采用密闭容器、罐车。</w:t>
                  </w:r>
                </w:p>
                <w:p>
                  <w:pPr>
                    <w:rPr>
                      <w:bCs/>
                      <w:snapToGrid w:val="0"/>
                      <w:color w:val="auto"/>
                      <w:kern w:val="21"/>
                      <w:szCs w:val="21"/>
                      <w:highlight w:val="none"/>
                    </w:rPr>
                  </w:pPr>
                  <w:r>
                    <w:rPr>
                      <w:bCs/>
                      <w:snapToGrid w:val="0"/>
                      <w:color w:val="auto"/>
                      <w:kern w:val="21"/>
                      <w:szCs w:val="21"/>
                      <w:highlight w:val="none"/>
                    </w:rPr>
                    <w:t>（2）粉状、粒状VOCs物料应采用气力输送设备、管状带式输送机、螺旋输送机等密闭输送方式。或者采用密闭的包装袋、容器或罐车进行物料转移。</w:t>
                  </w:r>
                </w:p>
              </w:tc>
              <w:tc>
                <w:tcPr>
                  <w:tcW w:w="1590" w:type="pct"/>
                  <w:tcBorders>
                    <w:tl2br w:val="nil"/>
                    <w:tr2bl w:val="nil"/>
                  </w:tcBorders>
                  <w:vAlign w:val="center"/>
                </w:tcPr>
                <w:p>
                  <w:pPr>
                    <w:rPr>
                      <w:bCs/>
                      <w:snapToGrid w:val="0"/>
                      <w:color w:val="auto"/>
                      <w:kern w:val="21"/>
                      <w:szCs w:val="21"/>
                      <w:highlight w:val="none"/>
                    </w:rPr>
                  </w:pPr>
                  <w:r>
                    <w:rPr>
                      <w:bCs/>
                      <w:snapToGrid w:val="0"/>
                      <w:color w:val="auto"/>
                      <w:kern w:val="21"/>
                      <w:szCs w:val="21"/>
                      <w:highlight w:val="none"/>
                    </w:rPr>
                    <w:t>本项目液态VOCs物料</w:t>
                  </w:r>
                  <w:r>
                    <w:rPr>
                      <w:rFonts w:hint="eastAsia"/>
                      <w:bCs/>
                      <w:snapToGrid w:val="0"/>
                      <w:color w:val="auto"/>
                      <w:kern w:val="21"/>
                      <w:szCs w:val="21"/>
                      <w:highlight w:val="none"/>
                    </w:rPr>
                    <w:t>在专门的油漆房密闭储存</w:t>
                  </w:r>
                  <w:r>
                    <w:rPr>
                      <w:bCs/>
                      <w:snapToGrid w:val="0"/>
                      <w:color w:val="auto"/>
                      <w:kern w:val="21"/>
                      <w:szCs w:val="21"/>
                      <w:highlight w:val="none"/>
                    </w:rPr>
                    <w:t>。</w:t>
                  </w:r>
                </w:p>
              </w:tc>
              <w:tc>
                <w:tcPr>
                  <w:tcW w:w="525"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8" w:type="pct"/>
                  <w:tcBorders>
                    <w:tl2br w:val="nil"/>
                    <w:tr2bl w:val="nil"/>
                  </w:tcBorders>
                  <w:vAlign w:val="center"/>
                </w:tcPr>
                <w:p>
                  <w:pPr>
                    <w:jc w:val="center"/>
                    <w:rPr>
                      <w:bCs/>
                      <w:color w:val="auto"/>
                      <w:kern w:val="21"/>
                      <w:szCs w:val="21"/>
                      <w:highlight w:val="none"/>
                    </w:rPr>
                  </w:pPr>
                  <w:r>
                    <w:rPr>
                      <w:bCs/>
                      <w:color w:val="auto"/>
                      <w:kern w:val="21"/>
                      <w:szCs w:val="21"/>
                      <w:highlight w:val="none"/>
                    </w:rPr>
                    <w:t>工艺过程的VOCs控制</w:t>
                  </w:r>
                </w:p>
              </w:tc>
              <w:tc>
                <w:tcPr>
                  <w:tcW w:w="2345" w:type="pct"/>
                  <w:tcBorders>
                    <w:tl2br w:val="nil"/>
                    <w:tr2bl w:val="nil"/>
                  </w:tcBorders>
                  <w:vAlign w:val="center"/>
                </w:tcPr>
                <w:p>
                  <w:pPr>
                    <w:rPr>
                      <w:bCs/>
                      <w:snapToGrid w:val="0"/>
                      <w:color w:val="auto"/>
                      <w:kern w:val="21"/>
                      <w:szCs w:val="21"/>
                      <w:highlight w:val="none"/>
                    </w:rPr>
                  </w:pPr>
                  <w:r>
                    <w:rPr>
                      <w:bCs/>
                      <w:snapToGrid w:val="0"/>
                      <w:color w:val="auto"/>
                      <w:kern w:val="21"/>
                      <w:szCs w:val="21"/>
                      <w:highlight w:val="none"/>
                    </w:rPr>
                    <w:t>（1）VOCs质量占比大于等于10%的含VOCs产品，其使用过程应采取密闭设备或在密闭空间内操作，废气应排至VOCs废气收集处理系统；无法密闭的，应采取局部气体收集措施。</w:t>
                  </w:r>
                </w:p>
                <w:p>
                  <w:pPr>
                    <w:rPr>
                      <w:bCs/>
                      <w:snapToGrid w:val="0"/>
                      <w:color w:val="auto"/>
                      <w:kern w:val="21"/>
                      <w:szCs w:val="21"/>
                      <w:highlight w:val="none"/>
                    </w:rPr>
                  </w:pPr>
                  <w:r>
                    <w:rPr>
                      <w:bCs/>
                      <w:snapToGrid w:val="0"/>
                      <w:color w:val="auto"/>
                      <w:kern w:val="21"/>
                      <w:szCs w:val="21"/>
                      <w:highlight w:val="none"/>
                    </w:rPr>
                    <w:t>（2）有机聚合物产品用于制品生产的过程，应采取密闭设备或在密闭空间内操作，废气应排至VOCs废气收集处理系统；无法密闭的，应采取局部气体收集措施。</w:t>
                  </w:r>
                </w:p>
              </w:tc>
              <w:tc>
                <w:tcPr>
                  <w:tcW w:w="1590" w:type="pct"/>
                  <w:tcBorders>
                    <w:tl2br w:val="nil"/>
                    <w:tr2bl w:val="nil"/>
                  </w:tcBorders>
                  <w:vAlign w:val="center"/>
                </w:tcPr>
                <w:p>
                  <w:pPr>
                    <w:rPr>
                      <w:bCs/>
                      <w:snapToGrid w:val="0"/>
                      <w:color w:val="auto"/>
                      <w:kern w:val="21"/>
                      <w:szCs w:val="21"/>
                      <w:highlight w:val="none"/>
                    </w:rPr>
                  </w:pPr>
                  <w:r>
                    <w:rPr>
                      <w:color w:val="auto"/>
                      <w:kern w:val="20"/>
                      <w:szCs w:val="21"/>
                      <w:highlight w:val="none"/>
                    </w:rPr>
                    <w:t>项目</w:t>
                  </w:r>
                  <w:r>
                    <w:rPr>
                      <w:rFonts w:hint="eastAsia"/>
                      <w:bCs/>
                      <w:color w:val="auto"/>
                      <w:szCs w:val="21"/>
                      <w:highlight w:val="none"/>
                    </w:rPr>
                    <w:t>设置密闭式水帘喷漆房</w:t>
                  </w:r>
                  <w:r>
                    <w:rPr>
                      <w:color w:val="auto"/>
                      <w:kern w:val="20"/>
                      <w:szCs w:val="21"/>
                      <w:highlight w:val="none"/>
                    </w:rPr>
                    <w:t>，</w:t>
                  </w:r>
                  <w:r>
                    <w:rPr>
                      <w:rFonts w:hint="eastAsia"/>
                      <w:color w:val="auto"/>
                      <w:kern w:val="20"/>
                      <w:szCs w:val="21"/>
                      <w:highlight w:val="none"/>
                    </w:rPr>
                    <w:t>喷漆过程在喷漆房内进行，喷漆废气经水喷淋后与烘干废气、丝网印刷废气一起采用UV光解活性炭一体化设备处理，再经15m排气筒达标排放</w:t>
                  </w:r>
                  <w:r>
                    <w:rPr>
                      <w:color w:val="auto"/>
                      <w:kern w:val="20"/>
                      <w:szCs w:val="21"/>
                      <w:highlight w:val="none"/>
                    </w:rPr>
                    <w:t>。</w:t>
                  </w:r>
                </w:p>
              </w:tc>
              <w:tc>
                <w:tcPr>
                  <w:tcW w:w="525"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38"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VOCs收集和处理系统</w:t>
                  </w:r>
                </w:p>
              </w:tc>
              <w:tc>
                <w:tcPr>
                  <w:tcW w:w="2345" w:type="pct"/>
                  <w:tcBorders>
                    <w:tl2br w:val="nil"/>
                    <w:tr2bl w:val="nil"/>
                  </w:tcBorders>
                  <w:vAlign w:val="center"/>
                </w:tcPr>
                <w:p>
                  <w:pPr>
                    <w:rPr>
                      <w:bCs/>
                      <w:snapToGrid w:val="0"/>
                      <w:color w:val="auto"/>
                      <w:kern w:val="21"/>
                      <w:szCs w:val="21"/>
                      <w:highlight w:val="none"/>
                    </w:rPr>
                  </w:pPr>
                  <w:r>
                    <w:rPr>
                      <w:bCs/>
                      <w:snapToGrid w:val="0"/>
                      <w:color w:val="auto"/>
                      <w:kern w:val="21"/>
                      <w:szCs w:val="21"/>
                      <w:highlight w:val="none"/>
                    </w:rPr>
                    <w:t>（1）废气收集系统集气罩的设置应符合GB/T16758的规定，废气输送管道应密闭。</w:t>
                  </w:r>
                </w:p>
                <w:p>
                  <w:pPr>
                    <w:rPr>
                      <w:bCs/>
                      <w:snapToGrid w:val="0"/>
                      <w:color w:val="auto"/>
                      <w:kern w:val="21"/>
                      <w:szCs w:val="21"/>
                      <w:highlight w:val="none"/>
                    </w:rPr>
                  </w:pPr>
                  <w:r>
                    <w:rPr>
                      <w:bCs/>
                      <w:snapToGrid w:val="0"/>
                      <w:color w:val="auto"/>
                      <w:kern w:val="21"/>
                      <w:szCs w:val="21"/>
                      <w:highlight w:val="none"/>
                    </w:rPr>
                    <w:t>（2）重点地区，NMHC初始排放速率≥2.0kg/h时，VOCs处理效率不低于80%。</w:t>
                  </w:r>
                </w:p>
                <w:p>
                  <w:pPr>
                    <w:rPr>
                      <w:bCs/>
                      <w:snapToGrid w:val="0"/>
                      <w:color w:val="auto"/>
                      <w:kern w:val="21"/>
                      <w:szCs w:val="21"/>
                      <w:highlight w:val="none"/>
                    </w:rPr>
                  </w:pPr>
                  <w:r>
                    <w:rPr>
                      <w:bCs/>
                      <w:snapToGrid w:val="0"/>
                      <w:color w:val="auto"/>
                      <w:kern w:val="21"/>
                      <w:szCs w:val="21"/>
                      <w:highlight w:val="none"/>
                    </w:rPr>
                    <w:t>（3）排气筒高度不得低于15m。</w:t>
                  </w:r>
                </w:p>
              </w:tc>
              <w:tc>
                <w:tcPr>
                  <w:tcW w:w="1590" w:type="pct"/>
                  <w:tcBorders>
                    <w:tl2br w:val="nil"/>
                    <w:tr2bl w:val="nil"/>
                  </w:tcBorders>
                  <w:vAlign w:val="center"/>
                </w:tcPr>
                <w:p>
                  <w:pPr>
                    <w:rPr>
                      <w:bCs/>
                      <w:snapToGrid w:val="0"/>
                      <w:color w:val="auto"/>
                      <w:kern w:val="21"/>
                      <w:szCs w:val="21"/>
                      <w:highlight w:val="none"/>
                    </w:rPr>
                  </w:pPr>
                  <w:r>
                    <w:rPr>
                      <w:bCs/>
                      <w:snapToGrid w:val="0"/>
                      <w:color w:val="auto"/>
                      <w:kern w:val="21"/>
                      <w:szCs w:val="21"/>
                      <w:highlight w:val="none"/>
                    </w:rPr>
                    <w:t>本项目集气罩设置符合规定，废气输送管道密闭。项目NMHC初始排放速率远小于2.0kg/h。项目</w:t>
                  </w:r>
                  <w:r>
                    <w:rPr>
                      <w:rFonts w:hint="eastAsia"/>
                      <w:bCs/>
                      <w:snapToGrid w:val="0"/>
                      <w:color w:val="auto"/>
                      <w:kern w:val="21"/>
                      <w:szCs w:val="21"/>
                      <w:highlight w:val="none"/>
                    </w:rPr>
                    <w:t>排气</w:t>
                  </w:r>
                  <w:r>
                    <w:rPr>
                      <w:rFonts w:hint="eastAsia"/>
                      <w:bCs/>
                      <w:snapToGrid w:val="0"/>
                      <w:color w:val="auto"/>
                      <w:kern w:val="21"/>
                      <w:szCs w:val="21"/>
                      <w:highlight w:val="none"/>
                      <w:lang w:eastAsia="zh-CN"/>
                    </w:rPr>
                    <w:t>筒</w:t>
                  </w:r>
                  <w:r>
                    <w:rPr>
                      <w:bCs/>
                      <w:snapToGrid w:val="0"/>
                      <w:color w:val="auto"/>
                      <w:kern w:val="21"/>
                      <w:szCs w:val="21"/>
                      <w:highlight w:val="none"/>
                    </w:rPr>
                    <w:t>高度</w:t>
                  </w:r>
                  <w:r>
                    <w:rPr>
                      <w:rFonts w:hint="eastAsia"/>
                      <w:bCs/>
                      <w:snapToGrid w:val="0"/>
                      <w:color w:val="auto"/>
                      <w:kern w:val="21"/>
                      <w:szCs w:val="21"/>
                      <w:highlight w:val="none"/>
                    </w:rPr>
                    <w:t>为</w:t>
                  </w:r>
                  <w:r>
                    <w:rPr>
                      <w:rFonts w:hint="eastAsia"/>
                      <w:bCs/>
                      <w:snapToGrid w:val="0"/>
                      <w:color w:val="auto"/>
                      <w:kern w:val="21"/>
                      <w:szCs w:val="21"/>
                      <w:highlight w:val="none"/>
                      <w:lang w:val="en-US" w:eastAsia="zh-CN"/>
                    </w:rPr>
                    <w:t>15</w:t>
                  </w:r>
                  <w:r>
                    <w:rPr>
                      <w:bCs/>
                      <w:snapToGrid w:val="0"/>
                      <w:color w:val="auto"/>
                      <w:kern w:val="21"/>
                      <w:szCs w:val="21"/>
                      <w:highlight w:val="none"/>
                    </w:rPr>
                    <w:t>m。</w:t>
                  </w:r>
                </w:p>
              </w:tc>
              <w:tc>
                <w:tcPr>
                  <w:tcW w:w="525" w:type="pct"/>
                  <w:tcBorders>
                    <w:tl2br w:val="nil"/>
                    <w:tr2bl w:val="nil"/>
                  </w:tcBorders>
                  <w:vAlign w:val="center"/>
                </w:tcPr>
                <w:p>
                  <w:pPr>
                    <w:jc w:val="center"/>
                    <w:rPr>
                      <w:bCs/>
                      <w:snapToGrid w:val="0"/>
                      <w:color w:val="auto"/>
                      <w:kern w:val="21"/>
                      <w:szCs w:val="21"/>
                      <w:highlight w:val="none"/>
                    </w:rPr>
                  </w:pPr>
                  <w:r>
                    <w:rPr>
                      <w:bCs/>
                      <w:snapToGrid w:val="0"/>
                      <w:color w:val="auto"/>
                      <w:kern w:val="21"/>
                      <w:szCs w:val="21"/>
                      <w:highlight w:val="none"/>
                    </w:rPr>
                    <w:t>相符</w:t>
                  </w:r>
                </w:p>
              </w:tc>
            </w:tr>
          </w:tbl>
          <w:p>
            <w:pPr>
              <w:pStyle w:val="23"/>
              <w:snapToGrid w:val="0"/>
              <w:spacing w:after="0" w:line="360" w:lineRule="auto"/>
              <w:ind w:firstLine="480" w:firstLineChars="200"/>
              <w:rPr>
                <w:rFonts w:ascii="Times New Roman" w:hAnsi="Times New Roman" w:eastAsia="宋体" w:cs="Times New Roman"/>
                <w:color w:val="auto"/>
                <w:spacing w:val="0"/>
                <w:sz w:val="24"/>
                <w:szCs w:val="24"/>
                <w:highlight w:val="none"/>
              </w:rPr>
            </w:pPr>
            <w:r>
              <w:rPr>
                <w:rFonts w:hint="eastAsia" w:ascii="Times New Roman" w:hAnsi="Times New Roman" w:eastAsia="宋体" w:cs="Times New Roman"/>
                <w:color w:val="auto"/>
                <w:spacing w:val="0"/>
                <w:sz w:val="24"/>
                <w:szCs w:val="24"/>
                <w:highlight w:val="none"/>
              </w:rPr>
              <w:t>由上表可知，项目符合《挥发性有机物无组织排放控制标准》(GB37822-2019)中相关要求</w:t>
            </w:r>
          </w:p>
          <w:p>
            <w:pPr>
              <w:autoSpaceDE w:val="0"/>
              <w:autoSpaceDN w:val="0"/>
              <w:adjustRightInd w:val="0"/>
              <w:spacing w:line="360" w:lineRule="auto"/>
              <w:rPr>
                <w:b/>
                <w:color w:val="auto"/>
                <w:sz w:val="24"/>
                <w:highlight w:val="none"/>
              </w:rPr>
            </w:pPr>
            <w:r>
              <w:rPr>
                <w:rFonts w:hint="eastAsia"/>
                <w:b/>
                <w:color w:val="auto"/>
                <w:sz w:val="24"/>
                <w:highlight w:val="none"/>
              </w:rPr>
              <w:t>8、与《湖南省“十四五”生态环境保护规划》相符性分析</w:t>
            </w:r>
          </w:p>
          <w:p>
            <w:pPr>
              <w:pStyle w:val="23"/>
              <w:snapToGrid w:val="0"/>
              <w:spacing w:after="0" w:line="360" w:lineRule="auto"/>
              <w:ind w:firstLine="480" w:firstLineChars="200"/>
              <w:rPr>
                <w:rFonts w:ascii="Times New Roman" w:hAnsi="Times New Roman" w:eastAsia="宋体" w:cs="Times New Roman"/>
                <w:color w:val="auto"/>
                <w:spacing w:val="0"/>
                <w:sz w:val="24"/>
                <w:szCs w:val="24"/>
                <w:highlight w:val="none"/>
              </w:rPr>
            </w:pPr>
            <w:r>
              <w:rPr>
                <w:rFonts w:hint="eastAsia" w:ascii="Times New Roman" w:hAnsi="Times New Roman" w:eastAsia="宋体" w:cs="Times New Roman"/>
                <w:color w:val="auto"/>
                <w:spacing w:val="0"/>
                <w:sz w:val="24"/>
                <w:szCs w:val="24"/>
                <w:highlight w:val="none"/>
              </w:rPr>
              <w:t>根据《湖南省“十四五”生态环境保护规划》中相关要求：“强化重点行业VOCs科学治理。以工业涂装、石化、化工、包装印刷、油品储运销等行业为重点，实施企业VOCs原料替代、排放全过程控制。按照“分业施策、一行一策”的原则，加大低VOCs含量原辅材料的推广使用力度，从源头减少VOCs产生。推进使用先进生产工艺设备，减少无组织排放。实行重点排放源排放浓度与去除效率双重控制。加强汽修行业 VOCs 综合治理，加大餐饮油烟污染治理力度，推进县级以上城市餐饮油烟治理全覆盖。”</w:t>
            </w:r>
          </w:p>
          <w:p>
            <w:pPr>
              <w:pStyle w:val="23"/>
              <w:snapToGrid w:val="0"/>
              <w:spacing w:after="0" w:line="360" w:lineRule="auto"/>
              <w:ind w:firstLine="480" w:firstLineChars="200"/>
              <w:rPr>
                <w:rFonts w:ascii="宋体" w:hAnsi="宋体" w:cs="宋体"/>
                <w:color w:val="auto"/>
                <w:kern w:val="0"/>
                <w:sz w:val="24"/>
                <w:szCs w:val="24"/>
                <w:highlight w:val="none"/>
              </w:rPr>
            </w:pPr>
            <w:r>
              <w:rPr>
                <w:rFonts w:hint="eastAsia" w:ascii="Times New Roman" w:hAnsi="Times New Roman" w:eastAsia="宋体" w:cs="Times New Roman"/>
                <w:color w:val="auto"/>
                <w:spacing w:val="0"/>
                <w:sz w:val="24"/>
                <w:szCs w:val="24"/>
                <w:highlight w:val="none"/>
              </w:rPr>
              <w:t>本项目为金属制品业，不属于重点行业；使用的油漆符合国家质量标准和环境标志产品认证标志</w:t>
            </w:r>
            <w:r>
              <w:rPr>
                <w:rFonts w:ascii="Times New Roman" w:hAnsi="Times New Roman" w:eastAsia="宋体" w:cs="Times New Roman"/>
                <w:color w:val="auto"/>
                <w:spacing w:val="0"/>
                <w:sz w:val="24"/>
                <w:szCs w:val="24"/>
                <w:highlight w:val="none"/>
              </w:rPr>
              <w:t>；同时</w:t>
            </w:r>
            <w:r>
              <w:rPr>
                <w:rFonts w:ascii="Times New Roman" w:hAnsi="Times New Roman" w:eastAsia="宋体" w:cs="Times New Roman"/>
                <w:color w:val="auto"/>
                <w:sz w:val="24"/>
                <w:szCs w:val="24"/>
                <w:highlight w:val="none"/>
              </w:rPr>
              <w:t>项目设置密闭式水帘喷漆房，喷漆过程在喷漆房内进行，</w:t>
            </w:r>
            <w:r>
              <w:rPr>
                <w:rFonts w:hint="eastAsia" w:ascii="Times New Roman" w:hAnsi="Times New Roman" w:eastAsia="宋体" w:cs="Times New Roman"/>
                <w:color w:val="auto"/>
                <w:sz w:val="24"/>
                <w:szCs w:val="24"/>
                <w:highlight w:val="none"/>
              </w:rPr>
              <w:t>喷漆废气经水喷淋后与烘干废气、丝网印刷废气一起采用UV光解活性炭一体化设备处理，再经15m排气筒达标排放</w:t>
            </w: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pacing w:val="0"/>
                <w:sz w:val="24"/>
                <w:szCs w:val="24"/>
                <w:highlight w:val="none"/>
              </w:rPr>
              <w:t>因此，项目符合《湖南省“十四五”生态环境保护规划》中相关要求</w:t>
            </w:r>
            <w:r>
              <w:rPr>
                <w:rFonts w:ascii="Times New Roman" w:hAnsi="Times New Roman" w:eastAsia="宋体" w:cs="Times New Roman"/>
                <w:color w:val="auto"/>
                <w:spacing w:val="0"/>
                <w:sz w:val="24"/>
                <w:szCs w:val="24"/>
                <w:highlight w:val="none"/>
              </w:rPr>
              <w:t>。</w:t>
            </w:r>
          </w:p>
        </w:tc>
      </w:tr>
    </w:tbl>
    <w:p>
      <w:pPr>
        <w:spacing w:line="360" w:lineRule="auto"/>
        <w:rPr>
          <w:rFonts w:eastAsia="黑体"/>
          <w:color w:val="auto"/>
          <w:sz w:val="30"/>
          <w:highlight w:val="none"/>
        </w:rPr>
        <w:sectPr>
          <w:footerReference r:id="rId5" w:type="default"/>
          <w:pgSz w:w="11906" w:h="16838"/>
          <w:pgMar w:top="1701" w:right="1531" w:bottom="1701" w:left="1531" w:header="851" w:footer="1077" w:gutter="0"/>
          <w:pgNumType w:fmt="numberInDash" w:start="1"/>
          <w:cols w:space="720" w:num="1"/>
          <w:docGrid w:linePitch="312" w:charSpace="0"/>
        </w:sectPr>
      </w:pPr>
    </w:p>
    <w:p>
      <w:pPr>
        <w:pStyle w:val="21"/>
        <w:jc w:val="center"/>
        <w:outlineLvl w:val="0"/>
        <w:rPr>
          <w:rFonts w:ascii="黑体" w:hAnsi="黑体" w:eastAsia="黑体"/>
          <w:snapToGrid w:val="0"/>
          <w:color w:val="auto"/>
          <w:sz w:val="30"/>
          <w:szCs w:val="30"/>
          <w:highlight w:val="none"/>
        </w:rPr>
      </w:pPr>
      <w:bookmarkStart w:id="5" w:name="_Toc822"/>
      <w:r>
        <w:rPr>
          <w:rFonts w:hint="eastAsia" w:ascii="黑体" w:hAnsi="黑体" w:eastAsia="黑体"/>
          <w:snapToGrid w:val="0"/>
          <w:color w:val="auto"/>
          <w:sz w:val="30"/>
          <w:szCs w:val="30"/>
          <w:highlight w:val="none"/>
        </w:rPr>
        <w:t>二、建设项目工程分析</w:t>
      </w:r>
      <w:bookmarkEnd w:id="5"/>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823" w:type="dxa"/>
            <w:vAlign w:val="center"/>
          </w:tcPr>
          <w:p>
            <w:pPr>
              <w:pStyle w:val="21"/>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建设内容</w:t>
            </w:r>
          </w:p>
        </w:tc>
        <w:tc>
          <w:tcPr>
            <w:tcW w:w="8161" w:type="dxa"/>
          </w:tcPr>
          <w:p>
            <w:pPr>
              <w:autoSpaceDE w:val="0"/>
              <w:autoSpaceDN w:val="0"/>
              <w:adjustRightInd w:val="0"/>
              <w:spacing w:line="360" w:lineRule="auto"/>
              <w:rPr>
                <w:b/>
                <w:color w:val="auto"/>
                <w:sz w:val="24"/>
                <w:highlight w:val="none"/>
              </w:rPr>
            </w:pPr>
            <w:r>
              <w:rPr>
                <w:rFonts w:hint="eastAsia"/>
                <w:b/>
                <w:color w:val="auto"/>
                <w:sz w:val="24"/>
                <w:highlight w:val="none"/>
              </w:rPr>
              <w:t>1、项目由来</w:t>
            </w:r>
          </w:p>
          <w:p>
            <w:pPr>
              <w:autoSpaceDE w:val="0"/>
              <w:autoSpaceDN w:val="0"/>
              <w:adjustRightInd w:val="0"/>
              <w:spacing w:line="360" w:lineRule="auto"/>
              <w:ind w:firstLine="480" w:firstLineChars="200"/>
              <w:rPr>
                <w:b/>
                <w:color w:val="auto"/>
                <w:sz w:val="24"/>
                <w:highlight w:val="none"/>
              </w:rPr>
            </w:pPr>
            <w:r>
              <w:rPr>
                <w:rFonts w:hint="eastAsia"/>
                <w:color w:val="auto"/>
                <w:sz w:val="24"/>
                <w:highlight w:val="none"/>
              </w:rPr>
              <w:t>原熊家桥页岩砖厂已</w:t>
            </w:r>
            <w:r>
              <w:rPr>
                <w:rFonts w:hint="eastAsia"/>
                <w:color w:val="auto"/>
                <w:sz w:val="24"/>
                <w:highlight w:val="none"/>
                <w:lang w:eastAsia="zh-CN"/>
              </w:rPr>
              <w:t>关停</w:t>
            </w:r>
            <w:r>
              <w:rPr>
                <w:rFonts w:hint="eastAsia"/>
                <w:color w:val="auto"/>
                <w:sz w:val="24"/>
                <w:highlight w:val="none"/>
              </w:rPr>
              <w:t>多年，</w:t>
            </w:r>
            <w:r>
              <w:rPr>
                <w:rFonts w:hint="eastAsia"/>
                <w:color w:val="auto"/>
                <w:sz w:val="24"/>
                <w:highlight w:val="none"/>
                <w:lang w:eastAsia="zh-CN"/>
              </w:rPr>
              <w:t>但相关用地手续齐全，现已拆除原砖厂厂房，新建了钢架结构厂房。</w:t>
            </w:r>
            <w:r>
              <w:rPr>
                <w:rFonts w:hint="eastAsia"/>
                <w:color w:val="auto"/>
                <w:sz w:val="24"/>
                <w:highlight w:val="none"/>
              </w:rPr>
              <w:t>邵阳宝庆天龙标识字业广告有限公司租赁</w:t>
            </w:r>
            <w:r>
              <w:rPr>
                <w:rFonts w:hint="eastAsia"/>
                <w:color w:val="auto"/>
                <w:sz w:val="24"/>
                <w:highlight w:val="none"/>
                <w:lang w:eastAsia="zh-CN"/>
              </w:rPr>
              <w:t>该厂新建厂房</w:t>
            </w:r>
            <w:r>
              <w:rPr>
                <w:rFonts w:hint="eastAsia"/>
                <w:color w:val="auto"/>
                <w:sz w:val="24"/>
                <w:highlight w:val="none"/>
              </w:rPr>
              <w:t>1112m</w:t>
            </w:r>
            <w:r>
              <w:rPr>
                <w:rFonts w:hint="eastAsia"/>
                <w:color w:val="auto"/>
                <w:sz w:val="24"/>
                <w:highlight w:val="none"/>
                <w:vertAlign w:val="superscript"/>
              </w:rPr>
              <w:t>2</w:t>
            </w:r>
            <w:r>
              <w:rPr>
                <w:rFonts w:hint="eastAsia" w:ascii="宋体" w:hAnsi="宋体" w:cs="宋体"/>
                <w:color w:val="auto"/>
                <w:sz w:val="24"/>
                <w:highlight w:val="none"/>
              </w:rPr>
              <w:t>，</w:t>
            </w:r>
            <w:r>
              <w:rPr>
                <w:rFonts w:hint="eastAsia"/>
                <w:color w:val="auto"/>
                <w:sz w:val="24"/>
                <w:highlight w:val="none"/>
              </w:rPr>
              <w:t>进行广告牌、标识牌制造，厂房为钢架结构，占地面积1112m</w:t>
            </w:r>
            <w:r>
              <w:rPr>
                <w:rFonts w:hint="eastAsia"/>
                <w:color w:val="auto"/>
                <w:sz w:val="24"/>
                <w:highlight w:val="none"/>
                <w:vertAlign w:val="superscript"/>
              </w:rPr>
              <w:t>2</w:t>
            </w:r>
            <w:r>
              <w:rPr>
                <w:rFonts w:hint="eastAsia"/>
                <w:color w:val="auto"/>
                <w:sz w:val="24"/>
                <w:highlight w:val="none"/>
              </w:rPr>
              <w:t>，本项目主要在该厂房内设置喷粉房、喷漆房、烘干房、加工车间等区域并配套相关环保设施。</w:t>
            </w:r>
          </w:p>
          <w:p>
            <w:pPr>
              <w:spacing w:line="360" w:lineRule="auto"/>
              <w:ind w:firstLine="480" w:firstLineChars="200"/>
              <w:rPr>
                <w:color w:val="auto"/>
                <w:sz w:val="24"/>
                <w:highlight w:val="none"/>
              </w:rPr>
            </w:pPr>
            <w:r>
              <w:rPr>
                <w:color w:val="auto"/>
                <w:sz w:val="24"/>
                <w:highlight w:val="none"/>
              </w:rPr>
              <w:t>根据《中华人民共和国环境影响评价法》、《建设项目环境保护管理条例》等环保法律法规的相关规定，项目应进行环境影响评价，对照《建设项目环境影响评价分类管理名录》，项目属于“</w:t>
            </w:r>
            <w:r>
              <w:rPr>
                <w:rFonts w:hint="eastAsia"/>
                <w:color w:val="auto"/>
                <w:sz w:val="24"/>
                <w:highlight w:val="none"/>
              </w:rPr>
              <w:t>三十、金属制品业33-结构性金属制品制造331</w:t>
            </w:r>
            <w:r>
              <w:rPr>
                <w:color w:val="auto"/>
                <w:sz w:val="24"/>
                <w:highlight w:val="none"/>
              </w:rPr>
              <w:t>”</w:t>
            </w:r>
            <w:r>
              <w:rPr>
                <w:rFonts w:hint="eastAsia"/>
                <w:color w:val="auto"/>
                <w:sz w:val="24"/>
                <w:highlight w:val="none"/>
              </w:rPr>
              <w:t>，应</w:t>
            </w:r>
            <w:r>
              <w:rPr>
                <w:color w:val="auto"/>
                <w:sz w:val="24"/>
                <w:highlight w:val="none"/>
              </w:rPr>
              <w:t>编制环境影响报告表，因此，</w:t>
            </w:r>
            <w:r>
              <w:rPr>
                <w:rFonts w:hint="eastAsia"/>
                <w:color w:val="auto"/>
                <w:sz w:val="24"/>
                <w:highlight w:val="none"/>
              </w:rPr>
              <w:t>邵阳宝庆天龙标识字业广告有限公司</w:t>
            </w:r>
            <w:r>
              <w:rPr>
                <w:color w:val="auto"/>
                <w:sz w:val="24"/>
                <w:highlight w:val="none"/>
              </w:rPr>
              <w:t>特委托湖南</w:t>
            </w:r>
            <w:r>
              <w:rPr>
                <w:rFonts w:hint="eastAsia"/>
                <w:color w:val="auto"/>
                <w:sz w:val="24"/>
                <w:highlight w:val="none"/>
              </w:rPr>
              <w:t>新瑞智</w:t>
            </w:r>
            <w:r>
              <w:rPr>
                <w:color w:val="auto"/>
                <w:sz w:val="24"/>
                <w:highlight w:val="none"/>
              </w:rPr>
              <w:t>环境科技有限责任公司承担本项目的环境影响评价工作。我公司环评工作人员在现场踏勘调查和工程分析的基础上，依据《</w:t>
            </w:r>
            <w:r>
              <w:rPr>
                <w:rFonts w:hint="eastAsia"/>
                <w:color w:val="auto"/>
                <w:sz w:val="24"/>
                <w:highlight w:val="none"/>
              </w:rPr>
              <w:t>建设项目环境影响报告表编制技术指南（污染影响类）（试行）</w:t>
            </w:r>
            <w:r>
              <w:rPr>
                <w:color w:val="auto"/>
                <w:sz w:val="24"/>
                <w:highlight w:val="none"/>
              </w:rPr>
              <w:t>》的要求编制了本项目环境影响报告表。</w:t>
            </w:r>
          </w:p>
          <w:p>
            <w:pPr>
              <w:autoSpaceDE w:val="0"/>
              <w:autoSpaceDN w:val="0"/>
              <w:adjustRightInd w:val="0"/>
              <w:spacing w:line="360" w:lineRule="auto"/>
              <w:rPr>
                <w:color w:val="auto"/>
                <w:sz w:val="24"/>
                <w:highlight w:val="none"/>
              </w:rPr>
            </w:pPr>
            <w:r>
              <w:rPr>
                <w:rFonts w:hint="eastAsia"/>
                <w:b/>
                <w:color w:val="auto"/>
                <w:sz w:val="24"/>
                <w:highlight w:val="none"/>
              </w:rPr>
              <w:t>2</w:t>
            </w:r>
            <w:r>
              <w:rPr>
                <w:b/>
                <w:color w:val="auto"/>
                <w:sz w:val="24"/>
                <w:highlight w:val="none"/>
              </w:rPr>
              <w:t>、项目组成</w:t>
            </w:r>
          </w:p>
          <w:p>
            <w:pPr>
              <w:spacing w:line="360" w:lineRule="auto"/>
              <w:ind w:firstLine="480" w:firstLineChars="200"/>
              <w:rPr>
                <w:color w:val="auto"/>
                <w:spacing w:val="8"/>
                <w:sz w:val="24"/>
                <w:highlight w:val="none"/>
              </w:rPr>
            </w:pPr>
            <w:r>
              <w:rPr>
                <w:rFonts w:hint="eastAsia"/>
                <w:color w:val="auto"/>
                <w:sz w:val="24"/>
                <w:highlight w:val="none"/>
              </w:rPr>
              <w:t>项目给排水、用电等公辅设施依托厂区现有配套设施。项目工程内容可分为主体工程、储运工程、辅助工程、办公及生活设施、公用工程以及环保工程等，</w:t>
            </w:r>
            <w:r>
              <w:rPr>
                <w:rFonts w:hint="eastAsia"/>
                <w:color w:val="auto"/>
                <w:spacing w:val="8"/>
                <w:sz w:val="24"/>
                <w:highlight w:val="none"/>
              </w:rPr>
              <w:t>项目工程组成</w:t>
            </w:r>
            <w:r>
              <w:rPr>
                <w:color w:val="auto"/>
                <w:spacing w:val="8"/>
                <w:sz w:val="24"/>
                <w:highlight w:val="none"/>
              </w:rPr>
              <w:t>见表</w:t>
            </w:r>
            <w:r>
              <w:rPr>
                <w:rFonts w:hint="eastAsia"/>
                <w:color w:val="auto"/>
                <w:spacing w:val="8"/>
                <w:sz w:val="24"/>
                <w:highlight w:val="none"/>
              </w:rPr>
              <w:t>2-1。</w:t>
            </w:r>
          </w:p>
          <w:p>
            <w:pPr>
              <w:jc w:val="center"/>
              <w:rPr>
                <w:rFonts w:hAnsi="宋体"/>
                <w:b/>
                <w:color w:val="auto"/>
                <w:szCs w:val="21"/>
                <w:highlight w:val="none"/>
              </w:rPr>
            </w:pPr>
            <w:r>
              <w:rPr>
                <w:rFonts w:hAnsi="宋体"/>
                <w:b/>
                <w:color w:val="auto"/>
                <w:szCs w:val="21"/>
                <w:highlight w:val="none"/>
              </w:rPr>
              <w:t>表</w:t>
            </w:r>
            <w:r>
              <w:rPr>
                <w:rFonts w:hint="eastAsia"/>
                <w:b/>
                <w:color w:val="auto"/>
                <w:szCs w:val="21"/>
                <w:highlight w:val="none"/>
              </w:rPr>
              <w:t xml:space="preserve">2-1  </w:t>
            </w:r>
            <w:r>
              <w:rPr>
                <w:rFonts w:hAnsi="宋体"/>
                <w:b/>
                <w:color w:val="auto"/>
                <w:szCs w:val="21"/>
                <w:highlight w:val="none"/>
              </w:rPr>
              <w:t>项目</w:t>
            </w:r>
            <w:r>
              <w:rPr>
                <w:rFonts w:hint="eastAsia" w:hAnsi="宋体"/>
                <w:b/>
                <w:color w:val="auto"/>
                <w:szCs w:val="21"/>
                <w:highlight w:val="none"/>
              </w:rPr>
              <w:t>组成</w:t>
            </w:r>
            <w:r>
              <w:rPr>
                <w:rFonts w:hAnsi="宋体"/>
                <w:b/>
                <w:color w:val="auto"/>
                <w:szCs w:val="21"/>
                <w:highlight w:val="none"/>
              </w:rPr>
              <w:t>表</w:t>
            </w:r>
          </w:p>
          <w:tbl>
            <w:tblPr>
              <w:tblStyle w:val="25"/>
              <w:tblW w:w="79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96"/>
              <w:gridCol w:w="1152"/>
              <w:gridCol w:w="4132"/>
              <w:gridCol w:w="1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72" w:type="dxa"/>
                  <w:gridSpan w:val="2"/>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类别</w:t>
                  </w:r>
                </w:p>
              </w:tc>
              <w:tc>
                <w:tcPr>
                  <w:tcW w:w="1152" w:type="dxa"/>
                  <w:tcBorders>
                    <w:tl2br w:val="nil"/>
                    <w:tr2bl w:val="nil"/>
                  </w:tcBorders>
                  <w:vAlign w:val="center"/>
                </w:tcPr>
                <w:p>
                  <w:pPr>
                    <w:tabs>
                      <w:tab w:val="left" w:pos="0"/>
                      <w:tab w:val="left" w:pos="5940"/>
                    </w:tabs>
                    <w:jc w:val="center"/>
                    <w:rPr>
                      <w:color w:val="auto"/>
                      <w:szCs w:val="21"/>
                      <w:highlight w:val="none"/>
                    </w:rPr>
                  </w:pPr>
                  <w:r>
                    <w:rPr>
                      <w:rFonts w:hAnsi="宋体"/>
                      <w:color w:val="auto"/>
                      <w:szCs w:val="21"/>
                      <w:highlight w:val="none"/>
                    </w:rPr>
                    <w:t>名称</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建设内容</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72" w:type="dxa"/>
                  <w:gridSpan w:val="2"/>
                  <w:vMerge w:val="restart"/>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主体</w:t>
                  </w:r>
                </w:p>
                <w:p>
                  <w:pPr>
                    <w:tabs>
                      <w:tab w:val="left" w:pos="0"/>
                      <w:tab w:val="left" w:pos="5940"/>
                    </w:tabs>
                    <w:jc w:val="center"/>
                    <w:rPr>
                      <w:color w:val="auto"/>
                      <w:szCs w:val="21"/>
                      <w:highlight w:val="none"/>
                    </w:rPr>
                  </w:pPr>
                  <w:r>
                    <w:rPr>
                      <w:rFonts w:hint="eastAsia"/>
                      <w:color w:val="auto"/>
                      <w:szCs w:val="21"/>
                      <w:highlight w:val="none"/>
                    </w:rPr>
                    <w:t>工程</w:t>
                  </w:r>
                </w:p>
              </w:tc>
              <w:tc>
                <w:tcPr>
                  <w:tcW w:w="1152" w:type="dxa"/>
                  <w:tcBorders>
                    <w:tl2br w:val="nil"/>
                    <w:tr2bl w:val="nil"/>
                  </w:tcBorders>
                  <w:vAlign w:val="center"/>
                </w:tcPr>
                <w:p>
                  <w:pPr>
                    <w:adjustRightInd w:val="0"/>
                    <w:snapToGrid w:val="0"/>
                    <w:jc w:val="center"/>
                    <w:rPr>
                      <w:color w:val="auto"/>
                      <w:szCs w:val="21"/>
                      <w:highlight w:val="none"/>
                    </w:rPr>
                  </w:pPr>
                  <w:r>
                    <w:rPr>
                      <w:rFonts w:hint="eastAsia" w:hAnsi="宋体"/>
                      <w:color w:val="auto"/>
                      <w:szCs w:val="21"/>
                      <w:highlight w:val="none"/>
                    </w:rPr>
                    <w:t>加工车间</w:t>
                  </w:r>
                </w:p>
              </w:tc>
              <w:tc>
                <w:tcPr>
                  <w:tcW w:w="413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color w:val="auto"/>
                      <w:szCs w:val="21"/>
                      <w:highlight w:val="none"/>
                    </w:rPr>
                    <w:t>厂房北部</w:t>
                  </w:r>
                  <w:r>
                    <w:rPr>
                      <w:color w:val="auto"/>
                      <w:szCs w:val="21"/>
                      <w:highlight w:val="none"/>
                    </w:rPr>
                    <w:t>，面积约</w:t>
                  </w:r>
                  <w:r>
                    <w:rPr>
                      <w:rFonts w:hint="eastAsia"/>
                      <w:color w:val="auto"/>
                      <w:szCs w:val="21"/>
                      <w:highlight w:val="none"/>
                    </w:rPr>
                    <w:t>800</w:t>
                  </w:r>
                  <w:r>
                    <w:rPr>
                      <w:color w:val="auto"/>
                      <w:szCs w:val="21"/>
                      <w:highlight w:val="none"/>
                    </w:rPr>
                    <w:t>m</w:t>
                  </w:r>
                  <w:r>
                    <w:rPr>
                      <w:color w:val="auto"/>
                      <w:szCs w:val="21"/>
                      <w:highlight w:val="none"/>
                      <w:vertAlign w:val="superscript"/>
                    </w:rPr>
                    <w:t>2</w:t>
                  </w:r>
                  <w:r>
                    <w:rPr>
                      <w:color w:val="auto"/>
                      <w:szCs w:val="21"/>
                      <w:highlight w:val="none"/>
                    </w:rPr>
                    <w:t>，</w:t>
                  </w:r>
                  <w:r>
                    <w:rPr>
                      <w:rFonts w:hint="eastAsia"/>
                      <w:color w:val="auto"/>
                      <w:szCs w:val="21"/>
                      <w:highlight w:val="none"/>
                    </w:rPr>
                    <w:t>设置有切割区、焊制区、雕刻区、吸塑区、原料区及产品堆放区等</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72" w:type="dxa"/>
                  <w:gridSpan w:val="2"/>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adjustRightInd w:val="0"/>
                    <w:snapToGrid w:val="0"/>
                    <w:jc w:val="center"/>
                    <w:rPr>
                      <w:rFonts w:hAnsi="宋体"/>
                      <w:color w:val="auto"/>
                      <w:szCs w:val="21"/>
                      <w:highlight w:val="none"/>
                      <w:u w:val="single"/>
                    </w:rPr>
                  </w:pPr>
                  <w:r>
                    <w:rPr>
                      <w:rFonts w:hint="eastAsia" w:hAnsi="宋体"/>
                      <w:color w:val="auto"/>
                      <w:szCs w:val="21"/>
                      <w:highlight w:val="none"/>
                    </w:rPr>
                    <w:t>喷粉房</w:t>
                  </w:r>
                </w:p>
              </w:tc>
              <w:tc>
                <w:tcPr>
                  <w:tcW w:w="4132" w:type="dxa"/>
                  <w:tcBorders>
                    <w:tl2br w:val="nil"/>
                    <w:tr2bl w:val="nil"/>
                  </w:tcBorders>
                  <w:vAlign w:val="center"/>
                </w:tcPr>
                <w:p>
                  <w:pPr>
                    <w:tabs>
                      <w:tab w:val="left" w:pos="0"/>
                      <w:tab w:val="left" w:pos="5940"/>
                    </w:tabs>
                    <w:jc w:val="center"/>
                    <w:rPr>
                      <w:rFonts w:hAnsi="宋体"/>
                      <w:color w:val="auto"/>
                      <w:szCs w:val="21"/>
                      <w:highlight w:val="none"/>
                      <w:u w:val="single"/>
                    </w:rPr>
                  </w:pPr>
                  <w:r>
                    <w:rPr>
                      <w:rFonts w:hint="eastAsia"/>
                      <w:color w:val="auto"/>
                      <w:szCs w:val="21"/>
                      <w:highlight w:val="none"/>
                    </w:rPr>
                    <w:t>厂房东南部</w:t>
                  </w:r>
                  <w:r>
                    <w:rPr>
                      <w:color w:val="auto"/>
                      <w:szCs w:val="21"/>
                      <w:highlight w:val="none"/>
                    </w:rPr>
                    <w:t>，面积约</w:t>
                  </w:r>
                  <w:r>
                    <w:rPr>
                      <w:rFonts w:hint="eastAsia"/>
                      <w:color w:val="auto"/>
                      <w:szCs w:val="21"/>
                      <w:highlight w:val="none"/>
                    </w:rPr>
                    <w:t>2</w:t>
                  </w:r>
                  <w:r>
                    <w:rPr>
                      <w:color w:val="auto"/>
                      <w:szCs w:val="21"/>
                      <w:highlight w:val="none"/>
                    </w:rPr>
                    <w:t>0m</w:t>
                  </w:r>
                  <w:r>
                    <w:rPr>
                      <w:color w:val="auto"/>
                      <w:szCs w:val="21"/>
                      <w:highlight w:val="none"/>
                      <w:vertAlign w:val="superscript"/>
                    </w:rPr>
                    <w:t>2</w:t>
                  </w:r>
                </w:p>
              </w:tc>
              <w:tc>
                <w:tcPr>
                  <w:tcW w:w="1474" w:type="dxa"/>
                  <w:tcBorders>
                    <w:tl2br w:val="nil"/>
                    <w:tr2bl w:val="nil"/>
                  </w:tcBorders>
                  <w:vAlign w:val="center"/>
                </w:tcPr>
                <w:p>
                  <w:pPr>
                    <w:tabs>
                      <w:tab w:val="left" w:pos="0"/>
                      <w:tab w:val="left" w:pos="5940"/>
                    </w:tabs>
                    <w:jc w:val="center"/>
                    <w:rPr>
                      <w:color w:val="auto"/>
                      <w:szCs w:val="21"/>
                      <w:highlight w:val="none"/>
                      <w:u w:val="singl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72" w:type="dxa"/>
                  <w:gridSpan w:val="2"/>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adjustRightInd w:val="0"/>
                    <w:snapToGrid w:val="0"/>
                    <w:jc w:val="center"/>
                    <w:rPr>
                      <w:rFonts w:hAnsi="宋体"/>
                      <w:color w:val="auto"/>
                      <w:szCs w:val="21"/>
                      <w:highlight w:val="none"/>
                    </w:rPr>
                  </w:pPr>
                  <w:r>
                    <w:rPr>
                      <w:rFonts w:hint="eastAsia" w:hAnsi="宋体"/>
                      <w:color w:val="auto"/>
                      <w:szCs w:val="21"/>
                      <w:highlight w:val="none"/>
                    </w:rPr>
                    <w:t>喷漆房</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厂房西南部，面积约20</w:t>
                  </w:r>
                  <w:r>
                    <w:rPr>
                      <w:color w:val="auto"/>
                      <w:szCs w:val="21"/>
                      <w:highlight w:val="none"/>
                    </w:rPr>
                    <w:t>m</w:t>
                  </w:r>
                  <w:r>
                    <w:rPr>
                      <w:color w:val="auto"/>
                      <w:szCs w:val="21"/>
                      <w:highlight w:val="none"/>
                      <w:vertAlign w:val="superscript"/>
                    </w:rPr>
                    <w:t>2</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72" w:type="dxa"/>
                  <w:gridSpan w:val="2"/>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adjustRightInd w:val="0"/>
                    <w:snapToGrid w:val="0"/>
                    <w:jc w:val="center"/>
                    <w:rPr>
                      <w:rFonts w:hAnsi="宋体"/>
                      <w:color w:val="auto"/>
                      <w:szCs w:val="21"/>
                      <w:highlight w:val="none"/>
                    </w:rPr>
                  </w:pPr>
                  <w:r>
                    <w:rPr>
                      <w:rFonts w:hint="eastAsia" w:hAnsi="宋体"/>
                      <w:color w:val="auto"/>
                      <w:szCs w:val="21"/>
                      <w:highlight w:val="none"/>
                    </w:rPr>
                    <w:t>烘干房</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厂房西南部，面积约20</w:t>
                  </w:r>
                  <w:r>
                    <w:rPr>
                      <w:color w:val="auto"/>
                      <w:szCs w:val="21"/>
                      <w:highlight w:val="none"/>
                    </w:rPr>
                    <w:t>m</w:t>
                  </w:r>
                  <w:r>
                    <w:rPr>
                      <w:color w:val="auto"/>
                      <w:szCs w:val="21"/>
                      <w:highlight w:val="none"/>
                      <w:vertAlign w:val="superscript"/>
                    </w:rPr>
                    <w:t>2</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液化气加热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72" w:type="dxa"/>
                  <w:gridSpan w:val="2"/>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储运工程</w:t>
                  </w: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油漆仓库</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位于厂房西部，面积约10</w:t>
                  </w:r>
                  <w:r>
                    <w:rPr>
                      <w:color w:val="auto"/>
                      <w:szCs w:val="21"/>
                      <w:highlight w:val="none"/>
                    </w:rPr>
                    <w:t>m</w:t>
                  </w:r>
                  <w:r>
                    <w:rPr>
                      <w:color w:val="auto"/>
                      <w:szCs w:val="21"/>
                      <w:highlight w:val="none"/>
                      <w:vertAlign w:val="superscript"/>
                    </w:rPr>
                    <w:t>2</w:t>
                  </w:r>
                  <w:r>
                    <w:rPr>
                      <w:rFonts w:hint="eastAsia"/>
                      <w:color w:val="auto"/>
                      <w:szCs w:val="21"/>
                      <w:highlight w:val="none"/>
                    </w:rPr>
                    <w:t>，封闭防渗处理</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72" w:type="dxa"/>
                  <w:gridSpan w:val="2"/>
                  <w:vMerge w:val="restart"/>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办公及生活设施</w:t>
                  </w: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办公室</w:t>
                  </w:r>
                </w:p>
              </w:tc>
              <w:tc>
                <w:tcPr>
                  <w:tcW w:w="413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color w:val="auto"/>
                      <w:szCs w:val="21"/>
                      <w:highlight w:val="none"/>
                    </w:rPr>
                    <w:t>面积</w:t>
                  </w:r>
                  <w:r>
                    <w:rPr>
                      <w:rFonts w:hint="eastAsia" w:hAnsi="宋体"/>
                      <w:color w:val="auto"/>
                      <w:szCs w:val="21"/>
                      <w:highlight w:val="none"/>
                    </w:rPr>
                    <w:t>50 m</w:t>
                  </w:r>
                  <w:r>
                    <w:rPr>
                      <w:rFonts w:hint="eastAsia" w:hAnsi="宋体"/>
                      <w:color w:val="auto"/>
                      <w:szCs w:val="21"/>
                      <w:highlight w:val="none"/>
                      <w:vertAlign w:val="superscript"/>
                    </w:rPr>
                    <w:t>2</w:t>
                  </w:r>
                </w:p>
              </w:tc>
              <w:tc>
                <w:tcPr>
                  <w:tcW w:w="1474" w:type="dxa"/>
                  <w:vMerge w:val="restart"/>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72" w:type="dxa"/>
                  <w:gridSpan w:val="2"/>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设计室</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面积20</w:t>
                  </w:r>
                  <w:r>
                    <w:rPr>
                      <w:rFonts w:hint="eastAsia" w:hAnsi="宋体"/>
                      <w:color w:val="auto"/>
                      <w:szCs w:val="21"/>
                      <w:highlight w:val="none"/>
                    </w:rPr>
                    <w:t>m</w:t>
                  </w:r>
                  <w:r>
                    <w:rPr>
                      <w:rFonts w:hint="eastAsia" w:hAnsi="宋体"/>
                      <w:color w:val="auto"/>
                      <w:szCs w:val="21"/>
                      <w:highlight w:val="none"/>
                      <w:vertAlign w:val="superscript"/>
                    </w:rPr>
                    <w:t>2</w:t>
                  </w:r>
                </w:p>
              </w:tc>
              <w:tc>
                <w:tcPr>
                  <w:tcW w:w="1474" w:type="dxa"/>
                  <w:vMerge w:val="continue"/>
                  <w:tcBorders>
                    <w:tl2br w:val="nil"/>
                    <w:tr2bl w:val="nil"/>
                  </w:tcBorders>
                  <w:vAlign w:val="center"/>
                </w:tcPr>
                <w:p>
                  <w:pPr>
                    <w:tabs>
                      <w:tab w:val="left" w:pos="0"/>
                      <w:tab w:val="left" w:pos="594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2" w:type="dxa"/>
                  <w:gridSpan w:val="2"/>
                  <w:vMerge w:val="restart"/>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公用</w:t>
                  </w:r>
                </w:p>
                <w:p>
                  <w:pPr>
                    <w:tabs>
                      <w:tab w:val="left" w:pos="0"/>
                      <w:tab w:val="left" w:pos="5940"/>
                    </w:tabs>
                    <w:jc w:val="center"/>
                    <w:rPr>
                      <w:rFonts w:hAnsi="宋体"/>
                      <w:color w:val="auto"/>
                      <w:szCs w:val="21"/>
                      <w:highlight w:val="none"/>
                    </w:rPr>
                  </w:pPr>
                  <w:r>
                    <w:rPr>
                      <w:rFonts w:hint="eastAsia" w:hAnsi="宋体"/>
                      <w:color w:val="auto"/>
                      <w:szCs w:val="21"/>
                      <w:highlight w:val="none"/>
                    </w:rPr>
                    <w:t>工程</w:t>
                  </w:r>
                </w:p>
              </w:tc>
              <w:tc>
                <w:tcPr>
                  <w:tcW w:w="1152" w:type="dxa"/>
                  <w:tcBorders>
                    <w:tl2br w:val="nil"/>
                    <w:tr2bl w:val="nil"/>
                  </w:tcBorders>
                  <w:vAlign w:val="center"/>
                </w:tcPr>
                <w:p>
                  <w:pPr>
                    <w:jc w:val="center"/>
                    <w:rPr>
                      <w:rFonts w:hAnsi="宋体"/>
                      <w:color w:val="auto"/>
                      <w:szCs w:val="21"/>
                      <w:highlight w:val="none"/>
                    </w:rPr>
                  </w:pPr>
                  <w:r>
                    <w:rPr>
                      <w:rFonts w:hint="eastAsia"/>
                      <w:color w:val="auto"/>
                      <w:szCs w:val="21"/>
                      <w:highlight w:val="none"/>
                    </w:rPr>
                    <w:t>供电</w:t>
                  </w:r>
                </w:p>
              </w:tc>
              <w:tc>
                <w:tcPr>
                  <w:tcW w:w="4132" w:type="dxa"/>
                  <w:tcBorders>
                    <w:tl2br w:val="nil"/>
                    <w:tr2bl w:val="nil"/>
                  </w:tcBorders>
                  <w:vAlign w:val="center"/>
                </w:tcPr>
                <w:p>
                  <w:pPr>
                    <w:spacing w:line="300" w:lineRule="exact"/>
                    <w:jc w:val="center"/>
                    <w:rPr>
                      <w:color w:val="auto"/>
                      <w:szCs w:val="21"/>
                      <w:highlight w:val="none"/>
                    </w:rPr>
                  </w:pPr>
                  <w:r>
                    <w:rPr>
                      <w:rFonts w:hint="eastAsia"/>
                      <w:color w:val="auto"/>
                      <w:szCs w:val="21"/>
                      <w:highlight w:val="none"/>
                    </w:rPr>
                    <w:t>从厂区现有供电设施接入项目配电箱</w:t>
                  </w:r>
                </w:p>
              </w:tc>
              <w:tc>
                <w:tcPr>
                  <w:tcW w:w="1474" w:type="dxa"/>
                  <w:vMerge w:val="restart"/>
                  <w:tcBorders>
                    <w:tl2br w:val="nil"/>
                    <w:tr2bl w:val="nil"/>
                  </w:tcBorders>
                  <w:vAlign w:val="center"/>
                </w:tcPr>
                <w:p>
                  <w:pPr>
                    <w:jc w:val="center"/>
                    <w:rPr>
                      <w:color w:val="auto"/>
                      <w:szCs w:val="21"/>
                      <w:highlight w:val="none"/>
                    </w:rPr>
                  </w:pPr>
                  <w:r>
                    <w:rPr>
                      <w:rFonts w:hint="eastAsia"/>
                      <w:color w:val="auto"/>
                      <w:szCs w:val="21"/>
                      <w:highlight w:val="none"/>
                    </w:rPr>
                    <w:t>依托租赁厂区现有设施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72" w:type="dxa"/>
                  <w:gridSpan w:val="2"/>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jc w:val="center"/>
                    <w:rPr>
                      <w:rFonts w:hAnsi="宋体"/>
                      <w:color w:val="auto"/>
                      <w:szCs w:val="21"/>
                      <w:highlight w:val="none"/>
                    </w:rPr>
                  </w:pPr>
                  <w:r>
                    <w:rPr>
                      <w:rFonts w:hint="eastAsia"/>
                      <w:color w:val="auto"/>
                      <w:szCs w:val="21"/>
                      <w:highlight w:val="none"/>
                    </w:rPr>
                    <w:t>供水</w:t>
                  </w:r>
                </w:p>
              </w:tc>
              <w:tc>
                <w:tcPr>
                  <w:tcW w:w="4132" w:type="dxa"/>
                  <w:tcBorders>
                    <w:tl2br w:val="nil"/>
                    <w:tr2bl w:val="nil"/>
                  </w:tcBorders>
                  <w:vAlign w:val="center"/>
                </w:tcPr>
                <w:p>
                  <w:pPr>
                    <w:jc w:val="center"/>
                    <w:rPr>
                      <w:rFonts w:hAnsi="宋体"/>
                      <w:color w:val="auto"/>
                      <w:szCs w:val="21"/>
                      <w:highlight w:val="none"/>
                    </w:rPr>
                  </w:pPr>
                  <w:r>
                    <w:rPr>
                      <w:rFonts w:hint="eastAsia"/>
                      <w:color w:val="auto"/>
                      <w:szCs w:val="21"/>
                      <w:highlight w:val="none"/>
                    </w:rPr>
                    <w:t>从厂区内现有供水管网接入</w:t>
                  </w:r>
                </w:p>
              </w:tc>
              <w:tc>
                <w:tcPr>
                  <w:tcW w:w="1474" w:type="dxa"/>
                  <w:vMerge w:val="continue"/>
                  <w:tcBorders>
                    <w:tl2br w:val="nil"/>
                    <w:tr2bl w:val="nil"/>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72" w:type="dxa"/>
                  <w:gridSpan w:val="2"/>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jc w:val="center"/>
                    <w:rPr>
                      <w:rFonts w:hAnsi="宋体"/>
                      <w:color w:val="auto"/>
                      <w:szCs w:val="21"/>
                      <w:highlight w:val="none"/>
                    </w:rPr>
                  </w:pPr>
                  <w:r>
                    <w:rPr>
                      <w:rFonts w:hint="eastAsia"/>
                      <w:color w:val="auto"/>
                      <w:szCs w:val="21"/>
                      <w:highlight w:val="none"/>
                    </w:rPr>
                    <w:t>排水</w:t>
                  </w:r>
                </w:p>
              </w:tc>
              <w:tc>
                <w:tcPr>
                  <w:tcW w:w="4132" w:type="dxa"/>
                  <w:tcBorders>
                    <w:tl2br w:val="nil"/>
                    <w:tr2bl w:val="nil"/>
                  </w:tcBorders>
                  <w:vAlign w:val="center"/>
                </w:tcPr>
                <w:p>
                  <w:pPr>
                    <w:jc w:val="center"/>
                    <w:rPr>
                      <w:rFonts w:hAnsi="宋体"/>
                      <w:color w:val="auto"/>
                      <w:szCs w:val="21"/>
                      <w:highlight w:val="none"/>
                    </w:rPr>
                  </w:pPr>
                  <w:r>
                    <w:rPr>
                      <w:rFonts w:hint="eastAsia"/>
                      <w:color w:val="auto"/>
                      <w:szCs w:val="21"/>
                      <w:highlight w:val="none"/>
                    </w:rPr>
                    <w:t>雨水经现有雨水沟收集后外排雨水沟渠。项目生产废水循环使用不外排，生活污水经化粪池处理后用做农肥。</w:t>
                  </w:r>
                </w:p>
              </w:tc>
              <w:tc>
                <w:tcPr>
                  <w:tcW w:w="1474" w:type="dxa"/>
                  <w:vMerge w:val="continue"/>
                  <w:tcBorders>
                    <w:tl2br w:val="nil"/>
                    <w:tr2bl w:val="nil"/>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6" w:type="dxa"/>
                  <w:vMerge w:val="restart"/>
                  <w:tcBorders>
                    <w:tl2br w:val="nil"/>
                    <w:tr2bl w:val="nil"/>
                  </w:tcBorders>
                  <w:vAlign w:val="center"/>
                </w:tcPr>
                <w:p>
                  <w:pPr>
                    <w:tabs>
                      <w:tab w:val="left" w:pos="0"/>
                      <w:tab w:val="left" w:pos="5940"/>
                    </w:tabs>
                    <w:jc w:val="center"/>
                    <w:rPr>
                      <w:rFonts w:hAnsi="宋体"/>
                      <w:color w:val="auto"/>
                      <w:szCs w:val="21"/>
                      <w:highlight w:val="none"/>
                    </w:rPr>
                  </w:pPr>
                </w:p>
                <w:p>
                  <w:pPr>
                    <w:tabs>
                      <w:tab w:val="left" w:pos="0"/>
                      <w:tab w:val="left" w:pos="5940"/>
                    </w:tabs>
                    <w:jc w:val="center"/>
                    <w:rPr>
                      <w:rFonts w:hAnsi="宋体"/>
                      <w:color w:val="auto"/>
                      <w:szCs w:val="21"/>
                      <w:highlight w:val="none"/>
                    </w:rPr>
                  </w:pPr>
                  <w:r>
                    <w:rPr>
                      <w:rFonts w:hint="eastAsia" w:hAnsi="宋体"/>
                      <w:color w:val="auto"/>
                      <w:szCs w:val="21"/>
                      <w:highlight w:val="none"/>
                    </w:rPr>
                    <w:t>环保</w:t>
                  </w:r>
                </w:p>
                <w:p>
                  <w:pPr>
                    <w:tabs>
                      <w:tab w:val="left" w:pos="0"/>
                      <w:tab w:val="left" w:pos="5940"/>
                    </w:tabs>
                    <w:jc w:val="center"/>
                    <w:rPr>
                      <w:rFonts w:hAnsi="宋体"/>
                      <w:color w:val="auto"/>
                      <w:szCs w:val="21"/>
                      <w:highlight w:val="none"/>
                    </w:rPr>
                  </w:pPr>
                  <w:r>
                    <w:rPr>
                      <w:rFonts w:hint="eastAsia" w:hAnsi="宋体"/>
                      <w:color w:val="auto"/>
                      <w:szCs w:val="21"/>
                      <w:highlight w:val="none"/>
                    </w:rPr>
                    <w:t>工程</w:t>
                  </w:r>
                </w:p>
              </w:tc>
              <w:tc>
                <w:tcPr>
                  <w:tcW w:w="696" w:type="dxa"/>
                  <w:vMerge w:val="restart"/>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废气</w:t>
                  </w: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喷漆废气</w:t>
                  </w:r>
                </w:p>
              </w:tc>
              <w:tc>
                <w:tcPr>
                  <w:tcW w:w="413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1间密闭水帘喷漆房，水喷淋+UV光解活性炭一体化设备处理+15m排气筒（DA001）</w:t>
                  </w:r>
                </w:p>
              </w:tc>
              <w:tc>
                <w:tcPr>
                  <w:tcW w:w="1474" w:type="dxa"/>
                  <w:vMerge w:val="restart"/>
                  <w:tcBorders>
                    <w:tl2br w:val="nil"/>
                    <w:tr2bl w:val="nil"/>
                  </w:tcBorders>
                  <w:vAlign w:val="center"/>
                </w:tcPr>
                <w:p>
                  <w:pPr>
                    <w:tabs>
                      <w:tab w:val="left" w:pos="0"/>
                      <w:tab w:val="left" w:pos="5940"/>
                    </w:tabs>
                    <w:jc w:val="center"/>
                    <w:rPr>
                      <w:color w:val="auto"/>
                      <w:szCs w:val="21"/>
                      <w:highlight w:val="none"/>
                    </w:rPr>
                  </w:pPr>
                  <w:r>
                    <w:rPr>
                      <w:rFonts w:hint="eastAsia" w:hAnsi="宋体"/>
                      <w:color w:val="auto"/>
                      <w:szCs w:val="21"/>
                      <w:highlight w:val="none"/>
                    </w:rPr>
                    <w:t>共用1套UV光解活性炭一体化设备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69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丝网印刷废气</w:t>
                  </w:r>
                </w:p>
              </w:tc>
              <w:tc>
                <w:tcPr>
                  <w:tcW w:w="413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UV光解活性炭一体化设备处理+15m排气筒（DA001）</w:t>
                  </w:r>
                </w:p>
              </w:tc>
              <w:tc>
                <w:tcPr>
                  <w:tcW w:w="1474"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69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喷粉废气</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塑粉回收机、布袋除尘器</w:t>
                  </w:r>
                </w:p>
              </w:tc>
              <w:tc>
                <w:tcPr>
                  <w:tcW w:w="1474" w:type="dxa"/>
                  <w:vMerge w:val="continue"/>
                  <w:tcBorders>
                    <w:tl2br w:val="nil"/>
                    <w:tr2bl w:val="nil"/>
                  </w:tcBorders>
                  <w:vAlign w:val="center"/>
                </w:tcPr>
                <w:p>
                  <w:pPr>
                    <w:tabs>
                      <w:tab w:val="left" w:pos="0"/>
                      <w:tab w:val="left" w:pos="594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69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烘干废气</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集气罩收集+</w:t>
                  </w:r>
                  <w:r>
                    <w:rPr>
                      <w:rFonts w:hint="eastAsia" w:hAnsi="宋体"/>
                      <w:color w:val="auto"/>
                      <w:szCs w:val="21"/>
                      <w:highlight w:val="none"/>
                    </w:rPr>
                    <w:t>UV光解活性炭一体化设备处理+15m排气筒（DA001）</w:t>
                  </w:r>
                </w:p>
              </w:tc>
              <w:tc>
                <w:tcPr>
                  <w:tcW w:w="1474" w:type="dxa"/>
                  <w:vMerge w:val="continue"/>
                  <w:tcBorders>
                    <w:tl2br w:val="nil"/>
                    <w:tr2bl w:val="nil"/>
                  </w:tcBorders>
                  <w:vAlign w:val="center"/>
                </w:tcPr>
                <w:p>
                  <w:pPr>
                    <w:tabs>
                      <w:tab w:val="left" w:pos="0"/>
                      <w:tab w:val="left" w:pos="5940"/>
                    </w:tabs>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69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焊接烟气</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移动式焊接烟气净化器</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696" w:type="dxa"/>
                  <w:vMerge w:val="restart"/>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废水</w:t>
                  </w: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喷淋废水</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经二级沉淀池（1个，2m</w:t>
                  </w:r>
                  <w:r>
                    <w:rPr>
                      <w:rFonts w:hint="eastAsia"/>
                      <w:color w:val="auto"/>
                      <w:szCs w:val="21"/>
                      <w:highlight w:val="none"/>
                      <w:vertAlign w:val="superscript"/>
                    </w:rPr>
                    <w:t>3</w:t>
                  </w:r>
                  <w:r>
                    <w:rPr>
                      <w:rFonts w:hint="eastAsia"/>
                      <w:color w:val="auto"/>
                      <w:szCs w:val="21"/>
                      <w:highlight w:val="none"/>
                    </w:rPr>
                    <w:t>）处理后循环使用，不外排</w:t>
                  </w:r>
                  <w:r>
                    <w:rPr>
                      <w:rFonts w:hint="eastAsia"/>
                      <w:color w:val="auto"/>
                      <w:highlight w:val="none"/>
                    </w:rPr>
                    <w:t>，每年更换喷淋用水，更换下来的废水作危废处理</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69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生活污水</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经厂区现有化粪池处理后用做农肥</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848" w:type="dxa"/>
                  <w:gridSpan w:val="2"/>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噪声</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基础减振，消声装置，厂房隔声</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696" w:type="dxa"/>
                  <w:vMerge w:val="restart"/>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固废</w:t>
                  </w: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一般固废</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收集定期外售综合利用</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69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生活垃圾</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垃圾桶若干</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69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152" w:type="dxa"/>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危险废物</w:t>
                  </w: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设置危险废物暂存间及收集装置，面积10</w:t>
                  </w:r>
                  <w:r>
                    <w:rPr>
                      <w:rFonts w:hint="eastAsia" w:hAnsi="宋体"/>
                      <w:color w:val="auto"/>
                      <w:szCs w:val="21"/>
                      <w:highlight w:val="none"/>
                    </w:rPr>
                    <w:t xml:space="preserve"> m</w:t>
                  </w:r>
                  <w:r>
                    <w:rPr>
                      <w:rFonts w:hint="eastAsia" w:hAnsi="宋体"/>
                      <w:color w:val="auto"/>
                      <w:szCs w:val="21"/>
                      <w:highlight w:val="none"/>
                      <w:vertAlign w:val="superscript"/>
                    </w:rPr>
                    <w:t>2</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848" w:type="dxa"/>
                  <w:gridSpan w:val="2"/>
                  <w:vMerge w:val="restart"/>
                  <w:tcBorders>
                    <w:tl2br w:val="nil"/>
                    <w:tr2bl w:val="nil"/>
                  </w:tcBorders>
                  <w:vAlign w:val="center"/>
                </w:tcPr>
                <w:p>
                  <w:pPr>
                    <w:tabs>
                      <w:tab w:val="left" w:pos="0"/>
                      <w:tab w:val="left" w:pos="5940"/>
                    </w:tabs>
                    <w:jc w:val="center"/>
                    <w:rPr>
                      <w:rFonts w:hAnsi="宋体"/>
                      <w:color w:val="auto"/>
                      <w:szCs w:val="21"/>
                      <w:highlight w:val="none"/>
                    </w:rPr>
                  </w:pPr>
                  <w:r>
                    <w:rPr>
                      <w:rFonts w:hint="eastAsia" w:hAnsi="宋体"/>
                      <w:color w:val="auto"/>
                      <w:szCs w:val="21"/>
                      <w:highlight w:val="none"/>
                    </w:rPr>
                    <w:t>风险防范</w:t>
                  </w:r>
                </w:p>
              </w:tc>
              <w:tc>
                <w:tcPr>
                  <w:tcW w:w="4132" w:type="dxa"/>
                  <w:tcBorders>
                    <w:tl2br w:val="nil"/>
                    <w:tr2bl w:val="nil"/>
                  </w:tcBorders>
                  <w:vAlign w:val="center"/>
                </w:tcPr>
                <w:p>
                  <w:pPr>
                    <w:pStyle w:val="12"/>
                    <w:rPr>
                      <w:color w:val="auto"/>
                      <w:szCs w:val="21"/>
                      <w:highlight w:val="none"/>
                    </w:rPr>
                  </w:pPr>
                  <w:r>
                    <w:rPr>
                      <w:rFonts w:hint="eastAsia"/>
                      <w:color w:val="auto"/>
                      <w:szCs w:val="21"/>
                      <w:highlight w:val="none"/>
                    </w:rPr>
                    <w:t>危废暂存间（</w:t>
                  </w:r>
                  <w:r>
                    <w:rPr>
                      <w:rFonts w:hint="eastAsia"/>
                      <w:color w:val="auto"/>
                      <w:highlight w:val="none"/>
                    </w:rPr>
                    <w:t>防风、防雨、防晒、防渗、防漏、防腐</w:t>
                  </w:r>
                  <w:r>
                    <w:rPr>
                      <w:rFonts w:hint="eastAsia"/>
                      <w:color w:val="auto"/>
                      <w:szCs w:val="21"/>
                      <w:highlight w:val="none"/>
                    </w:rPr>
                    <w:t>）</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6" w:type="dxa"/>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1848" w:type="dxa"/>
                  <w:gridSpan w:val="2"/>
                  <w:vMerge w:val="continue"/>
                  <w:tcBorders>
                    <w:tl2br w:val="nil"/>
                    <w:tr2bl w:val="nil"/>
                  </w:tcBorders>
                  <w:vAlign w:val="center"/>
                </w:tcPr>
                <w:p>
                  <w:pPr>
                    <w:tabs>
                      <w:tab w:val="left" w:pos="0"/>
                      <w:tab w:val="left" w:pos="5940"/>
                    </w:tabs>
                    <w:jc w:val="center"/>
                    <w:rPr>
                      <w:rFonts w:hAnsi="宋体"/>
                      <w:color w:val="auto"/>
                      <w:szCs w:val="21"/>
                      <w:highlight w:val="none"/>
                    </w:rPr>
                  </w:pPr>
                </w:p>
              </w:tc>
              <w:tc>
                <w:tcPr>
                  <w:tcW w:w="4132"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油漆仓库内油漆置于接液托盘内</w:t>
                  </w:r>
                </w:p>
              </w:tc>
              <w:tc>
                <w:tcPr>
                  <w:tcW w:w="1474" w:type="dxa"/>
                  <w:tcBorders>
                    <w:tl2br w:val="nil"/>
                    <w:tr2bl w:val="nil"/>
                  </w:tcBorders>
                  <w:vAlign w:val="center"/>
                </w:tcPr>
                <w:p>
                  <w:pPr>
                    <w:tabs>
                      <w:tab w:val="left" w:pos="0"/>
                      <w:tab w:val="left" w:pos="5940"/>
                    </w:tabs>
                    <w:jc w:val="center"/>
                    <w:rPr>
                      <w:color w:val="auto"/>
                      <w:szCs w:val="21"/>
                      <w:highlight w:val="none"/>
                    </w:rPr>
                  </w:pPr>
                  <w:r>
                    <w:rPr>
                      <w:rFonts w:hint="eastAsia"/>
                      <w:color w:val="auto"/>
                      <w:szCs w:val="21"/>
                      <w:highlight w:val="none"/>
                    </w:rPr>
                    <w:t>/</w:t>
                  </w:r>
                </w:p>
              </w:tc>
            </w:tr>
          </w:tbl>
          <w:p>
            <w:pPr>
              <w:autoSpaceDE w:val="0"/>
              <w:autoSpaceDN w:val="0"/>
              <w:adjustRightInd w:val="0"/>
              <w:spacing w:line="360" w:lineRule="auto"/>
              <w:rPr>
                <w:b/>
                <w:color w:val="auto"/>
                <w:sz w:val="24"/>
                <w:highlight w:val="none"/>
              </w:rPr>
            </w:pPr>
            <w:r>
              <w:rPr>
                <w:rFonts w:hint="eastAsia"/>
                <w:b/>
                <w:color w:val="auto"/>
                <w:sz w:val="24"/>
                <w:highlight w:val="none"/>
              </w:rPr>
              <w:t>3、依托工程</w:t>
            </w:r>
          </w:p>
          <w:p>
            <w:pPr>
              <w:spacing w:line="360" w:lineRule="auto"/>
              <w:ind w:firstLine="480" w:firstLineChars="200"/>
              <w:rPr>
                <w:rFonts w:hAnsi="宋体" w:cs="宋体"/>
                <w:color w:val="auto"/>
                <w:sz w:val="24"/>
                <w:highlight w:val="none"/>
              </w:rPr>
            </w:pPr>
            <w:r>
              <w:rPr>
                <w:rFonts w:hint="eastAsia" w:hAnsi="宋体" w:cs="宋体"/>
                <w:color w:val="auto"/>
                <w:sz w:val="24"/>
                <w:highlight w:val="none"/>
              </w:rPr>
              <w:t>本项目</w:t>
            </w:r>
            <w:r>
              <w:rPr>
                <w:rFonts w:hint="eastAsia"/>
                <w:color w:val="auto"/>
                <w:sz w:val="24"/>
                <w:highlight w:val="none"/>
              </w:rPr>
              <w:t>租赁原熊家桥页岩砖厂现有厂房</w:t>
            </w:r>
            <w:r>
              <w:rPr>
                <w:rFonts w:hint="eastAsia" w:hAnsi="宋体" w:cs="宋体"/>
                <w:color w:val="auto"/>
                <w:sz w:val="24"/>
                <w:highlight w:val="none"/>
              </w:rPr>
              <w:t>，本项目与现有企业已有的设施的依托关系见表2</w:t>
            </w:r>
            <w:r>
              <w:rPr>
                <w:rFonts w:hAnsi="宋体" w:cs="宋体"/>
                <w:color w:val="auto"/>
                <w:sz w:val="24"/>
                <w:highlight w:val="none"/>
              </w:rPr>
              <w:t>-</w:t>
            </w:r>
            <w:r>
              <w:rPr>
                <w:rFonts w:hint="eastAsia" w:hAnsi="宋体" w:cs="宋体"/>
                <w:color w:val="auto"/>
                <w:sz w:val="24"/>
                <w:highlight w:val="none"/>
              </w:rPr>
              <w:t>2。</w:t>
            </w:r>
          </w:p>
          <w:p>
            <w:pPr>
              <w:adjustRightInd w:val="0"/>
              <w:snapToGrid w:val="0"/>
              <w:jc w:val="center"/>
              <w:rPr>
                <w:rFonts w:hAnsi="宋体"/>
                <w:b/>
                <w:color w:val="auto"/>
                <w:szCs w:val="21"/>
                <w:highlight w:val="none"/>
              </w:rPr>
            </w:pPr>
            <w:r>
              <w:rPr>
                <w:rFonts w:hint="eastAsia" w:hAnsi="宋体"/>
                <w:b/>
                <w:color w:val="auto"/>
                <w:szCs w:val="21"/>
                <w:highlight w:val="none"/>
              </w:rPr>
              <w:t>表2</w:t>
            </w:r>
            <w:r>
              <w:rPr>
                <w:rFonts w:hAnsi="宋体"/>
                <w:b/>
                <w:color w:val="auto"/>
                <w:szCs w:val="21"/>
                <w:highlight w:val="none"/>
              </w:rPr>
              <w:t>-</w:t>
            </w:r>
            <w:r>
              <w:rPr>
                <w:rFonts w:hint="eastAsia" w:hAnsi="宋体"/>
                <w:b/>
                <w:color w:val="auto"/>
                <w:szCs w:val="21"/>
                <w:highlight w:val="none"/>
              </w:rPr>
              <w:t>2与现有企业依托关系一览表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89"/>
              <w:gridCol w:w="1536"/>
              <w:gridCol w:w="44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02" w:type="dxa"/>
                  <w:tcBorders>
                    <w:tl2br w:val="nil"/>
                    <w:tr2bl w:val="nil"/>
                  </w:tcBorders>
                  <w:vAlign w:val="center"/>
                </w:tcPr>
                <w:p>
                  <w:pPr>
                    <w:jc w:val="center"/>
                    <w:rPr>
                      <w:color w:val="auto"/>
                      <w:szCs w:val="21"/>
                      <w:highlight w:val="none"/>
                    </w:rPr>
                  </w:pPr>
                  <w:r>
                    <w:rPr>
                      <w:rFonts w:hint="eastAsia"/>
                      <w:color w:val="auto"/>
                      <w:szCs w:val="21"/>
                      <w:highlight w:val="none"/>
                    </w:rPr>
                    <w:t>序号</w:t>
                  </w:r>
                </w:p>
              </w:tc>
              <w:tc>
                <w:tcPr>
                  <w:tcW w:w="2725" w:type="dxa"/>
                  <w:gridSpan w:val="2"/>
                  <w:tcBorders>
                    <w:tl2br w:val="nil"/>
                    <w:tr2bl w:val="nil"/>
                  </w:tcBorders>
                  <w:vAlign w:val="center"/>
                </w:tcPr>
                <w:p>
                  <w:pPr>
                    <w:jc w:val="center"/>
                    <w:rPr>
                      <w:color w:val="auto"/>
                      <w:szCs w:val="21"/>
                      <w:highlight w:val="none"/>
                    </w:rPr>
                  </w:pPr>
                  <w:r>
                    <w:rPr>
                      <w:rFonts w:hint="eastAsia"/>
                      <w:color w:val="auto"/>
                      <w:szCs w:val="21"/>
                      <w:highlight w:val="none"/>
                    </w:rPr>
                    <w:t>项目</w:t>
                  </w:r>
                </w:p>
              </w:tc>
              <w:tc>
                <w:tcPr>
                  <w:tcW w:w="4432" w:type="dxa"/>
                  <w:tcBorders>
                    <w:tl2br w:val="nil"/>
                    <w:tr2bl w:val="nil"/>
                  </w:tcBorders>
                  <w:vAlign w:val="center"/>
                </w:tcPr>
                <w:p>
                  <w:pPr>
                    <w:jc w:val="center"/>
                    <w:rPr>
                      <w:color w:val="auto"/>
                      <w:szCs w:val="21"/>
                      <w:highlight w:val="none"/>
                    </w:rPr>
                  </w:pPr>
                  <w:r>
                    <w:rPr>
                      <w:rFonts w:hint="eastAsia"/>
                      <w:color w:val="auto"/>
                      <w:szCs w:val="21"/>
                      <w:highlight w:val="none"/>
                    </w:rPr>
                    <w:t>依托关系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2" w:type="dxa"/>
                  <w:tcBorders>
                    <w:tl2br w:val="nil"/>
                    <w:tr2bl w:val="nil"/>
                  </w:tcBorders>
                  <w:vAlign w:val="center"/>
                </w:tcPr>
                <w:p>
                  <w:pPr>
                    <w:jc w:val="center"/>
                    <w:rPr>
                      <w:color w:val="auto"/>
                      <w:szCs w:val="21"/>
                      <w:highlight w:val="none"/>
                    </w:rPr>
                  </w:pPr>
                  <w:r>
                    <w:rPr>
                      <w:rFonts w:hint="eastAsia"/>
                      <w:color w:val="auto"/>
                      <w:szCs w:val="21"/>
                      <w:highlight w:val="none"/>
                    </w:rPr>
                    <w:t>1</w:t>
                  </w:r>
                </w:p>
              </w:tc>
              <w:tc>
                <w:tcPr>
                  <w:tcW w:w="1189" w:type="dxa"/>
                  <w:vMerge w:val="restart"/>
                  <w:tcBorders>
                    <w:tl2br w:val="nil"/>
                    <w:tr2bl w:val="nil"/>
                  </w:tcBorders>
                  <w:vAlign w:val="center"/>
                </w:tcPr>
                <w:p>
                  <w:pPr>
                    <w:jc w:val="center"/>
                    <w:rPr>
                      <w:color w:val="auto"/>
                      <w:szCs w:val="21"/>
                      <w:highlight w:val="none"/>
                    </w:rPr>
                  </w:pPr>
                  <w:r>
                    <w:rPr>
                      <w:rFonts w:hint="eastAsia"/>
                      <w:color w:val="auto"/>
                      <w:szCs w:val="21"/>
                      <w:highlight w:val="none"/>
                    </w:rPr>
                    <w:t>环保工程</w:t>
                  </w:r>
                </w:p>
              </w:tc>
              <w:tc>
                <w:tcPr>
                  <w:tcW w:w="1536" w:type="dxa"/>
                  <w:tcBorders>
                    <w:tl2br w:val="nil"/>
                    <w:tr2bl w:val="nil"/>
                  </w:tcBorders>
                  <w:vAlign w:val="center"/>
                </w:tcPr>
                <w:p>
                  <w:pPr>
                    <w:jc w:val="center"/>
                    <w:rPr>
                      <w:color w:val="auto"/>
                      <w:szCs w:val="21"/>
                      <w:highlight w:val="none"/>
                    </w:rPr>
                  </w:pPr>
                  <w:r>
                    <w:rPr>
                      <w:rFonts w:hint="eastAsia"/>
                      <w:color w:val="auto"/>
                      <w:szCs w:val="21"/>
                      <w:highlight w:val="none"/>
                    </w:rPr>
                    <w:t>生活污水处理</w:t>
                  </w:r>
                </w:p>
              </w:tc>
              <w:tc>
                <w:tcPr>
                  <w:tcW w:w="4432" w:type="dxa"/>
                  <w:tcBorders>
                    <w:tl2br w:val="nil"/>
                    <w:tr2bl w:val="nil"/>
                  </w:tcBorders>
                  <w:vAlign w:val="center"/>
                </w:tcPr>
                <w:p>
                  <w:pPr>
                    <w:jc w:val="center"/>
                    <w:rPr>
                      <w:color w:val="auto"/>
                      <w:szCs w:val="21"/>
                      <w:highlight w:val="none"/>
                    </w:rPr>
                  </w:pPr>
                  <w:r>
                    <w:rPr>
                      <w:rFonts w:hint="eastAsia"/>
                      <w:color w:val="auto"/>
                      <w:szCs w:val="21"/>
                      <w:highlight w:val="none"/>
                    </w:rPr>
                    <w:t>依托厂区内化粪池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02" w:type="dxa"/>
                  <w:tcBorders>
                    <w:tl2br w:val="nil"/>
                    <w:tr2bl w:val="nil"/>
                  </w:tcBorders>
                  <w:vAlign w:val="center"/>
                </w:tcPr>
                <w:p>
                  <w:pPr>
                    <w:jc w:val="center"/>
                    <w:rPr>
                      <w:color w:val="auto"/>
                      <w:szCs w:val="21"/>
                      <w:highlight w:val="none"/>
                    </w:rPr>
                  </w:pPr>
                  <w:r>
                    <w:rPr>
                      <w:rFonts w:hint="eastAsia"/>
                      <w:color w:val="auto"/>
                      <w:szCs w:val="21"/>
                      <w:highlight w:val="none"/>
                    </w:rPr>
                    <w:t>2</w:t>
                  </w:r>
                </w:p>
              </w:tc>
              <w:tc>
                <w:tcPr>
                  <w:tcW w:w="1189" w:type="dxa"/>
                  <w:vMerge w:val="continue"/>
                  <w:tcBorders>
                    <w:tl2br w:val="nil"/>
                    <w:tr2bl w:val="nil"/>
                  </w:tcBorders>
                  <w:vAlign w:val="center"/>
                </w:tcPr>
                <w:p>
                  <w:pPr>
                    <w:widowControl/>
                    <w:jc w:val="left"/>
                    <w:rPr>
                      <w:color w:val="auto"/>
                      <w:szCs w:val="21"/>
                      <w:highlight w:val="none"/>
                    </w:rPr>
                  </w:pPr>
                </w:p>
              </w:tc>
              <w:tc>
                <w:tcPr>
                  <w:tcW w:w="1536" w:type="dxa"/>
                  <w:tcBorders>
                    <w:tl2br w:val="nil"/>
                    <w:tr2bl w:val="nil"/>
                  </w:tcBorders>
                  <w:vAlign w:val="center"/>
                </w:tcPr>
                <w:p>
                  <w:pPr>
                    <w:jc w:val="center"/>
                    <w:rPr>
                      <w:color w:val="auto"/>
                      <w:szCs w:val="21"/>
                      <w:highlight w:val="none"/>
                    </w:rPr>
                  </w:pPr>
                  <w:r>
                    <w:rPr>
                      <w:rFonts w:hint="eastAsia"/>
                      <w:color w:val="auto"/>
                      <w:szCs w:val="21"/>
                      <w:highlight w:val="none"/>
                    </w:rPr>
                    <w:t>生活垃圾处理</w:t>
                  </w:r>
                </w:p>
              </w:tc>
              <w:tc>
                <w:tcPr>
                  <w:tcW w:w="4432" w:type="dxa"/>
                  <w:tcBorders>
                    <w:tl2br w:val="nil"/>
                    <w:tr2bl w:val="nil"/>
                  </w:tcBorders>
                  <w:vAlign w:val="center"/>
                </w:tcPr>
                <w:p>
                  <w:pPr>
                    <w:jc w:val="center"/>
                    <w:rPr>
                      <w:color w:val="auto"/>
                      <w:szCs w:val="21"/>
                      <w:highlight w:val="none"/>
                    </w:rPr>
                  </w:pPr>
                  <w:r>
                    <w:rPr>
                      <w:rFonts w:hint="eastAsia"/>
                      <w:color w:val="auto"/>
                      <w:szCs w:val="21"/>
                      <w:highlight w:val="none"/>
                    </w:rPr>
                    <w:t>依托厂区现有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2" w:type="dxa"/>
                  <w:tcBorders>
                    <w:tl2br w:val="nil"/>
                    <w:tr2bl w:val="nil"/>
                  </w:tcBorders>
                  <w:vAlign w:val="center"/>
                </w:tcPr>
                <w:p>
                  <w:pPr>
                    <w:jc w:val="center"/>
                    <w:rPr>
                      <w:color w:val="auto"/>
                      <w:szCs w:val="21"/>
                      <w:highlight w:val="none"/>
                    </w:rPr>
                  </w:pPr>
                  <w:r>
                    <w:rPr>
                      <w:rFonts w:hint="eastAsia"/>
                      <w:color w:val="auto"/>
                      <w:szCs w:val="21"/>
                      <w:highlight w:val="none"/>
                    </w:rPr>
                    <w:t>4</w:t>
                  </w:r>
                </w:p>
              </w:tc>
              <w:tc>
                <w:tcPr>
                  <w:tcW w:w="1189" w:type="dxa"/>
                  <w:vMerge w:val="restart"/>
                  <w:tcBorders>
                    <w:tl2br w:val="nil"/>
                    <w:tr2bl w:val="nil"/>
                  </w:tcBorders>
                  <w:vAlign w:val="center"/>
                </w:tcPr>
                <w:p>
                  <w:pPr>
                    <w:jc w:val="center"/>
                    <w:rPr>
                      <w:color w:val="auto"/>
                      <w:szCs w:val="21"/>
                      <w:highlight w:val="none"/>
                    </w:rPr>
                  </w:pPr>
                  <w:r>
                    <w:rPr>
                      <w:rFonts w:hint="eastAsia"/>
                      <w:color w:val="auto"/>
                      <w:szCs w:val="21"/>
                      <w:highlight w:val="none"/>
                    </w:rPr>
                    <w:t>公用工程</w:t>
                  </w:r>
                </w:p>
              </w:tc>
              <w:tc>
                <w:tcPr>
                  <w:tcW w:w="1536" w:type="dxa"/>
                  <w:tcBorders>
                    <w:tl2br w:val="nil"/>
                    <w:tr2bl w:val="nil"/>
                  </w:tcBorders>
                  <w:vAlign w:val="center"/>
                </w:tcPr>
                <w:p>
                  <w:pPr>
                    <w:jc w:val="center"/>
                    <w:rPr>
                      <w:color w:val="auto"/>
                      <w:szCs w:val="21"/>
                      <w:highlight w:val="none"/>
                    </w:rPr>
                  </w:pPr>
                  <w:r>
                    <w:rPr>
                      <w:rFonts w:hint="eastAsia"/>
                      <w:color w:val="auto"/>
                      <w:szCs w:val="21"/>
                      <w:highlight w:val="none"/>
                    </w:rPr>
                    <w:t>给水</w:t>
                  </w:r>
                </w:p>
              </w:tc>
              <w:tc>
                <w:tcPr>
                  <w:tcW w:w="4432" w:type="dxa"/>
                  <w:tcBorders>
                    <w:tl2br w:val="nil"/>
                    <w:tr2bl w:val="nil"/>
                  </w:tcBorders>
                  <w:vAlign w:val="center"/>
                </w:tcPr>
                <w:p>
                  <w:pPr>
                    <w:jc w:val="center"/>
                    <w:rPr>
                      <w:color w:val="auto"/>
                      <w:szCs w:val="21"/>
                      <w:highlight w:val="none"/>
                    </w:rPr>
                  </w:pPr>
                  <w:r>
                    <w:rPr>
                      <w:rFonts w:hint="eastAsia"/>
                      <w:color w:val="auto"/>
                      <w:szCs w:val="21"/>
                      <w:highlight w:val="none"/>
                    </w:rPr>
                    <w:t>依托厂区给水系统供水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2" w:type="dxa"/>
                  <w:tcBorders>
                    <w:tl2br w:val="nil"/>
                    <w:tr2bl w:val="nil"/>
                  </w:tcBorders>
                  <w:vAlign w:val="center"/>
                </w:tcPr>
                <w:p>
                  <w:pPr>
                    <w:jc w:val="center"/>
                    <w:rPr>
                      <w:color w:val="auto"/>
                      <w:szCs w:val="21"/>
                      <w:highlight w:val="none"/>
                    </w:rPr>
                  </w:pPr>
                  <w:r>
                    <w:rPr>
                      <w:rFonts w:hint="eastAsia"/>
                      <w:color w:val="auto"/>
                      <w:szCs w:val="21"/>
                      <w:highlight w:val="none"/>
                    </w:rPr>
                    <w:t>5</w:t>
                  </w:r>
                </w:p>
              </w:tc>
              <w:tc>
                <w:tcPr>
                  <w:tcW w:w="1189" w:type="dxa"/>
                  <w:vMerge w:val="continue"/>
                  <w:tcBorders>
                    <w:tl2br w:val="nil"/>
                    <w:tr2bl w:val="nil"/>
                  </w:tcBorders>
                  <w:vAlign w:val="center"/>
                </w:tcPr>
                <w:p>
                  <w:pPr>
                    <w:widowControl/>
                    <w:jc w:val="left"/>
                    <w:rPr>
                      <w:color w:val="auto"/>
                      <w:szCs w:val="21"/>
                      <w:highlight w:val="none"/>
                    </w:rPr>
                  </w:pPr>
                </w:p>
              </w:tc>
              <w:tc>
                <w:tcPr>
                  <w:tcW w:w="1536" w:type="dxa"/>
                  <w:tcBorders>
                    <w:tl2br w:val="nil"/>
                    <w:tr2bl w:val="nil"/>
                  </w:tcBorders>
                  <w:vAlign w:val="center"/>
                </w:tcPr>
                <w:p>
                  <w:pPr>
                    <w:jc w:val="center"/>
                    <w:rPr>
                      <w:color w:val="auto"/>
                      <w:szCs w:val="21"/>
                      <w:highlight w:val="none"/>
                    </w:rPr>
                  </w:pPr>
                  <w:r>
                    <w:rPr>
                      <w:rFonts w:hint="eastAsia"/>
                      <w:color w:val="auto"/>
                      <w:szCs w:val="21"/>
                      <w:highlight w:val="none"/>
                    </w:rPr>
                    <w:t>排水</w:t>
                  </w:r>
                </w:p>
              </w:tc>
              <w:tc>
                <w:tcPr>
                  <w:tcW w:w="4432" w:type="dxa"/>
                  <w:tcBorders>
                    <w:tl2br w:val="nil"/>
                    <w:tr2bl w:val="nil"/>
                  </w:tcBorders>
                  <w:vAlign w:val="center"/>
                </w:tcPr>
                <w:p>
                  <w:pPr>
                    <w:jc w:val="center"/>
                    <w:rPr>
                      <w:color w:val="auto"/>
                      <w:szCs w:val="21"/>
                      <w:highlight w:val="none"/>
                    </w:rPr>
                  </w:pPr>
                  <w:r>
                    <w:rPr>
                      <w:rFonts w:hint="eastAsia"/>
                      <w:color w:val="auto"/>
                      <w:szCs w:val="21"/>
                      <w:highlight w:val="none"/>
                    </w:rPr>
                    <w:t>依托厂区排水系统排水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02" w:type="dxa"/>
                  <w:tcBorders>
                    <w:tl2br w:val="nil"/>
                    <w:tr2bl w:val="nil"/>
                  </w:tcBorders>
                  <w:vAlign w:val="center"/>
                </w:tcPr>
                <w:p>
                  <w:pPr>
                    <w:jc w:val="center"/>
                    <w:rPr>
                      <w:color w:val="auto"/>
                      <w:szCs w:val="21"/>
                      <w:highlight w:val="none"/>
                    </w:rPr>
                  </w:pPr>
                  <w:r>
                    <w:rPr>
                      <w:rFonts w:hint="eastAsia"/>
                      <w:color w:val="auto"/>
                      <w:szCs w:val="21"/>
                      <w:highlight w:val="none"/>
                    </w:rPr>
                    <w:t>6</w:t>
                  </w:r>
                </w:p>
              </w:tc>
              <w:tc>
                <w:tcPr>
                  <w:tcW w:w="1189" w:type="dxa"/>
                  <w:vMerge w:val="continue"/>
                  <w:tcBorders>
                    <w:tl2br w:val="nil"/>
                    <w:tr2bl w:val="nil"/>
                  </w:tcBorders>
                  <w:vAlign w:val="center"/>
                </w:tcPr>
                <w:p>
                  <w:pPr>
                    <w:widowControl/>
                    <w:jc w:val="left"/>
                    <w:rPr>
                      <w:color w:val="auto"/>
                      <w:szCs w:val="21"/>
                      <w:highlight w:val="none"/>
                    </w:rPr>
                  </w:pPr>
                </w:p>
              </w:tc>
              <w:tc>
                <w:tcPr>
                  <w:tcW w:w="1536" w:type="dxa"/>
                  <w:tcBorders>
                    <w:tl2br w:val="nil"/>
                    <w:tr2bl w:val="nil"/>
                  </w:tcBorders>
                  <w:vAlign w:val="center"/>
                </w:tcPr>
                <w:p>
                  <w:pPr>
                    <w:jc w:val="center"/>
                    <w:rPr>
                      <w:color w:val="auto"/>
                      <w:szCs w:val="21"/>
                      <w:highlight w:val="none"/>
                    </w:rPr>
                  </w:pPr>
                  <w:r>
                    <w:rPr>
                      <w:rFonts w:hint="eastAsia"/>
                      <w:color w:val="auto"/>
                      <w:szCs w:val="21"/>
                      <w:highlight w:val="none"/>
                    </w:rPr>
                    <w:t>供电</w:t>
                  </w:r>
                </w:p>
              </w:tc>
              <w:tc>
                <w:tcPr>
                  <w:tcW w:w="4432" w:type="dxa"/>
                  <w:tcBorders>
                    <w:tl2br w:val="nil"/>
                    <w:tr2bl w:val="nil"/>
                  </w:tcBorders>
                  <w:vAlign w:val="center"/>
                </w:tcPr>
                <w:p>
                  <w:pPr>
                    <w:jc w:val="center"/>
                    <w:rPr>
                      <w:color w:val="auto"/>
                      <w:szCs w:val="21"/>
                      <w:highlight w:val="none"/>
                    </w:rPr>
                  </w:pPr>
                  <w:r>
                    <w:rPr>
                      <w:rFonts w:hint="eastAsia"/>
                      <w:color w:val="auto"/>
                      <w:szCs w:val="21"/>
                      <w:highlight w:val="none"/>
                    </w:rPr>
                    <w:t>依托厂房内供配电设施供电</w:t>
                  </w:r>
                </w:p>
              </w:tc>
            </w:tr>
          </w:tbl>
          <w:p>
            <w:pPr>
              <w:spacing w:line="360" w:lineRule="auto"/>
              <w:rPr>
                <w:b/>
                <w:color w:val="auto"/>
                <w:sz w:val="24"/>
                <w:highlight w:val="none"/>
              </w:rPr>
            </w:pPr>
            <w:r>
              <w:rPr>
                <w:rFonts w:hint="eastAsia"/>
                <w:b/>
                <w:color w:val="auto"/>
                <w:sz w:val="24"/>
                <w:highlight w:val="none"/>
              </w:rPr>
              <w:t>4</w:t>
            </w:r>
            <w:r>
              <w:rPr>
                <w:b/>
                <w:color w:val="auto"/>
                <w:sz w:val="24"/>
                <w:highlight w:val="none"/>
              </w:rPr>
              <w:t>.项目投资估算</w:t>
            </w:r>
          </w:p>
          <w:p>
            <w:pPr>
              <w:spacing w:line="360" w:lineRule="auto"/>
              <w:ind w:firstLine="480" w:firstLineChars="200"/>
              <w:rPr>
                <w:color w:val="auto"/>
                <w:sz w:val="24"/>
                <w:highlight w:val="none"/>
              </w:rPr>
            </w:pPr>
            <w:r>
              <w:rPr>
                <w:color w:val="auto"/>
                <w:sz w:val="24"/>
                <w:highlight w:val="none"/>
              </w:rPr>
              <w:t>项目总投资</w:t>
            </w:r>
            <w:r>
              <w:rPr>
                <w:rFonts w:hint="eastAsia"/>
                <w:color w:val="auto"/>
                <w:sz w:val="24"/>
                <w:highlight w:val="none"/>
              </w:rPr>
              <w:t>100</w:t>
            </w:r>
            <w:r>
              <w:rPr>
                <w:color w:val="auto"/>
                <w:sz w:val="24"/>
                <w:highlight w:val="none"/>
              </w:rPr>
              <w:t>万元，资金筹措方式为企业自筹。项目环保投资</w:t>
            </w:r>
            <w:r>
              <w:rPr>
                <w:rFonts w:hint="eastAsia"/>
                <w:color w:val="auto"/>
                <w:sz w:val="24"/>
                <w:highlight w:val="none"/>
              </w:rPr>
              <w:t>19.5</w:t>
            </w:r>
            <w:r>
              <w:rPr>
                <w:color w:val="auto"/>
                <w:sz w:val="24"/>
                <w:highlight w:val="none"/>
              </w:rPr>
              <w:t>万元，占工程总投资的</w:t>
            </w:r>
            <w:r>
              <w:rPr>
                <w:rFonts w:hint="eastAsia"/>
                <w:color w:val="auto"/>
                <w:sz w:val="24"/>
                <w:highlight w:val="none"/>
              </w:rPr>
              <w:t>19.5%</w:t>
            </w:r>
            <w:r>
              <w:rPr>
                <w:color w:val="auto"/>
                <w:sz w:val="24"/>
                <w:highlight w:val="none"/>
              </w:rPr>
              <w:t>。项目总投资见表2-</w:t>
            </w:r>
            <w:r>
              <w:rPr>
                <w:rFonts w:hint="eastAsia"/>
                <w:color w:val="auto"/>
                <w:sz w:val="24"/>
                <w:highlight w:val="none"/>
              </w:rPr>
              <w:t>3</w:t>
            </w:r>
            <w:r>
              <w:rPr>
                <w:color w:val="auto"/>
                <w:sz w:val="24"/>
                <w:highlight w:val="none"/>
              </w:rPr>
              <w:t>，环保投资见表2-</w:t>
            </w:r>
            <w:r>
              <w:rPr>
                <w:rFonts w:hint="eastAsia"/>
                <w:color w:val="auto"/>
                <w:sz w:val="24"/>
                <w:highlight w:val="none"/>
              </w:rPr>
              <w:t>4</w:t>
            </w:r>
            <w:r>
              <w:rPr>
                <w:color w:val="auto"/>
                <w:sz w:val="24"/>
                <w:highlight w:val="none"/>
              </w:rPr>
              <w:t>。</w:t>
            </w:r>
          </w:p>
          <w:p>
            <w:pPr>
              <w:pStyle w:val="116"/>
              <w:rPr>
                <w:color w:val="auto"/>
                <w:highlight w:val="none"/>
              </w:rPr>
            </w:pPr>
            <w:r>
              <w:rPr>
                <w:color w:val="auto"/>
                <w:highlight w:val="none"/>
              </w:rPr>
              <w:t>表2-</w:t>
            </w:r>
            <w:r>
              <w:rPr>
                <w:rFonts w:hint="eastAsia"/>
                <w:color w:val="auto"/>
                <w:highlight w:val="none"/>
              </w:rPr>
              <w:t>3</w:t>
            </w:r>
            <w:r>
              <w:rPr>
                <w:color w:val="auto"/>
                <w:highlight w:val="none"/>
              </w:rPr>
              <w:t xml:space="preserve">  工程总投资构成表 </w:t>
            </w:r>
          </w:p>
          <w:tbl>
            <w:tblPr>
              <w:tblStyle w:val="25"/>
              <w:tblW w:w="34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13"/>
              <w:gridCol w:w="2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widowControl/>
                    <w:adjustRightInd w:val="0"/>
                    <w:snapToGrid w:val="0"/>
                    <w:jc w:val="center"/>
                    <w:rPr>
                      <w:color w:val="auto"/>
                      <w:kern w:val="0"/>
                      <w:szCs w:val="21"/>
                      <w:highlight w:val="none"/>
                    </w:rPr>
                  </w:pPr>
                  <w:r>
                    <w:rPr>
                      <w:color w:val="auto"/>
                      <w:kern w:val="0"/>
                      <w:szCs w:val="21"/>
                      <w:highlight w:val="none"/>
                    </w:rPr>
                    <w:t>序号</w:t>
                  </w:r>
                </w:p>
              </w:tc>
              <w:tc>
                <w:tcPr>
                  <w:tcW w:w="2293" w:type="pct"/>
                  <w:vAlign w:val="center"/>
                </w:tcPr>
                <w:p>
                  <w:pPr>
                    <w:widowControl/>
                    <w:adjustRightInd w:val="0"/>
                    <w:snapToGrid w:val="0"/>
                    <w:jc w:val="center"/>
                    <w:rPr>
                      <w:color w:val="auto"/>
                      <w:kern w:val="0"/>
                      <w:szCs w:val="21"/>
                      <w:highlight w:val="none"/>
                    </w:rPr>
                  </w:pPr>
                  <w:r>
                    <w:rPr>
                      <w:color w:val="auto"/>
                      <w:kern w:val="0"/>
                      <w:szCs w:val="21"/>
                      <w:highlight w:val="none"/>
                    </w:rPr>
                    <w:t>工程或费用名称</w:t>
                  </w:r>
                </w:p>
              </w:tc>
              <w:tc>
                <w:tcPr>
                  <w:tcW w:w="2020" w:type="pct"/>
                  <w:vAlign w:val="center"/>
                </w:tcPr>
                <w:p>
                  <w:pPr>
                    <w:widowControl/>
                    <w:adjustRightInd w:val="0"/>
                    <w:snapToGrid w:val="0"/>
                    <w:jc w:val="center"/>
                    <w:rPr>
                      <w:color w:val="auto"/>
                      <w:kern w:val="0"/>
                      <w:szCs w:val="21"/>
                      <w:highlight w:val="none"/>
                    </w:rPr>
                  </w:pPr>
                  <w:r>
                    <w:rPr>
                      <w:color w:val="auto"/>
                      <w:kern w:val="0"/>
                      <w:szCs w:val="21"/>
                      <w:highlight w:val="none"/>
                    </w:rPr>
                    <w:t>费用（元）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widowControl/>
                    <w:adjustRightInd w:val="0"/>
                    <w:snapToGrid w:val="0"/>
                    <w:jc w:val="center"/>
                    <w:rPr>
                      <w:color w:val="auto"/>
                      <w:kern w:val="0"/>
                      <w:szCs w:val="21"/>
                      <w:highlight w:val="none"/>
                    </w:rPr>
                  </w:pPr>
                  <w:r>
                    <w:rPr>
                      <w:color w:val="auto"/>
                      <w:szCs w:val="21"/>
                      <w:highlight w:val="none"/>
                    </w:rPr>
                    <w:t>1</w:t>
                  </w:r>
                </w:p>
              </w:tc>
              <w:tc>
                <w:tcPr>
                  <w:tcW w:w="2293" w:type="pct"/>
                  <w:vAlign w:val="center"/>
                </w:tcPr>
                <w:p>
                  <w:pPr>
                    <w:widowControl/>
                    <w:adjustRightInd w:val="0"/>
                    <w:snapToGrid w:val="0"/>
                    <w:jc w:val="center"/>
                    <w:rPr>
                      <w:color w:val="auto"/>
                      <w:kern w:val="0"/>
                      <w:szCs w:val="21"/>
                      <w:highlight w:val="none"/>
                    </w:rPr>
                  </w:pPr>
                  <w:r>
                    <w:rPr>
                      <w:rFonts w:hint="eastAsia"/>
                      <w:color w:val="auto"/>
                      <w:szCs w:val="21"/>
                      <w:highlight w:val="none"/>
                    </w:rPr>
                    <w:t>厂房租赁费用</w:t>
                  </w:r>
                </w:p>
              </w:tc>
              <w:tc>
                <w:tcPr>
                  <w:tcW w:w="2020" w:type="pct"/>
                  <w:vAlign w:val="center"/>
                </w:tcPr>
                <w:p>
                  <w:pPr>
                    <w:widowControl/>
                    <w:adjustRightInd w:val="0"/>
                    <w:snapToGrid w:val="0"/>
                    <w:jc w:val="center"/>
                    <w:rPr>
                      <w:color w:val="auto"/>
                      <w:kern w:val="0"/>
                      <w:szCs w:val="21"/>
                      <w:highlight w:val="none"/>
                    </w:rPr>
                  </w:pPr>
                  <w:r>
                    <w:rPr>
                      <w:rFonts w:hint="eastAsia"/>
                      <w:color w:val="auto"/>
                      <w:szCs w:val="21"/>
                      <w:highlight w:val="none"/>
                    </w:rPr>
                    <w:t>587694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86" w:type="pct"/>
                  <w:vAlign w:val="center"/>
                </w:tcPr>
                <w:p>
                  <w:pPr>
                    <w:widowControl/>
                    <w:adjustRightInd w:val="0"/>
                    <w:snapToGrid w:val="0"/>
                    <w:jc w:val="center"/>
                    <w:rPr>
                      <w:color w:val="auto"/>
                      <w:kern w:val="0"/>
                      <w:szCs w:val="21"/>
                      <w:highlight w:val="none"/>
                    </w:rPr>
                  </w:pPr>
                  <w:r>
                    <w:rPr>
                      <w:rFonts w:hint="eastAsia"/>
                      <w:color w:val="auto"/>
                      <w:szCs w:val="21"/>
                      <w:highlight w:val="none"/>
                    </w:rPr>
                    <w:t>2</w:t>
                  </w:r>
                </w:p>
              </w:tc>
              <w:tc>
                <w:tcPr>
                  <w:tcW w:w="2293" w:type="pct"/>
                  <w:vAlign w:val="center"/>
                </w:tcPr>
                <w:p>
                  <w:pPr>
                    <w:widowControl/>
                    <w:adjustRightInd w:val="0"/>
                    <w:snapToGrid w:val="0"/>
                    <w:jc w:val="center"/>
                    <w:rPr>
                      <w:color w:val="auto"/>
                      <w:szCs w:val="21"/>
                      <w:highlight w:val="none"/>
                    </w:rPr>
                  </w:pPr>
                  <w:r>
                    <w:rPr>
                      <w:rFonts w:hint="eastAsia"/>
                      <w:color w:val="auto"/>
                      <w:szCs w:val="21"/>
                      <w:highlight w:val="none"/>
                    </w:rPr>
                    <w:t>设备购置及安装费用</w:t>
                  </w:r>
                </w:p>
              </w:tc>
              <w:tc>
                <w:tcPr>
                  <w:tcW w:w="2020" w:type="pct"/>
                  <w:vAlign w:val="center"/>
                </w:tcPr>
                <w:p>
                  <w:pPr>
                    <w:widowControl/>
                    <w:adjustRightInd w:val="0"/>
                    <w:snapToGrid w:val="0"/>
                    <w:jc w:val="center"/>
                    <w:rPr>
                      <w:color w:val="auto"/>
                      <w:szCs w:val="21"/>
                      <w:highlight w:val="none"/>
                    </w:rPr>
                  </w:pPr>
                  <w:r>
                    <w:rPr>
                      <w:rFonts w:hint="eastAsia"/>
                      <w:color w:val="auto"/>
                      <w:szCs w:val="21"/>
                      <w:highlight w:val="none"/>
                    </w:rPr>
                    <w:t>200000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686" w:type="pct"/>
                  <w:vAlign w:val="center"/>
                </w:tcPr>
                <w:p>
                  <w:pPr>
                    <w:widowControl/>
                    <w:adjustRightInd w:val="0"/>
                    <w:snapToGrid w:val="0"/>
                    <w:jc w:val="center"/>
                    <w:rPr>
                      <w:color w:val="auto"/>
                      <w:szCs w:val="21"/>
                      <w:highlight w:val="none"/>
                    </w:rPr>
                  </w:pPr>
                  <w:r>
                    <w:rPr>
                      <w:rFonts w:hint="eastAsia"/>
                      <w:color w:val="auto"/>
                      <w:szCs w:val="21"/>
                      <w:highlight w:val="none"/>
                    </w:rPr>
                    <w:t>3</w:t>
                  </w:r>
                </w:p>
              </w:tc>
              <w:tc>
                <w:tcPr>
                  <w:tcW w:w="2293" w:type="pct"/>
                  <w:vAlign w:val="center"/>
                </w:tcPr>
                <w:p>
                  <w:pPr>
                    <w:widowControl/>
                    <w:adjustRightInd w:val="0"/>
                    <w:snapToGrid w:val="0"/>
                    <w:jc w:val="center"/>
                    <w:rPr>
                      <w:color w:val="auto"/>
                      <w:kern w:val="0"/>
                      <w:szCs w:val="21"/>
                      <w:highlight w:val="none"/>
                    </w:rPr>
                  </w:pPr>
                  <w:r>
                    <w:rPr>
                      <w:color w:val="auto"/>
                      <w:szCs w:val="21"/>
                      <w:highlight w:val="none"/>
                    </w:rPr>
                    <w:t>环保工程</w:t>
                  </w:r>
                </w:p>
              </w:tc>
              <w:tc>
                <w:tcPr>
                  <w:tcW w:w="2020" w:type="pct"/>
                  <w:vAlign w:val="center"/>
                </w:tcPr>
                <w:p>
                  <w:pPr>
                    <w:widowControl/>
                    <w:adjustRightInd w:val="0"/>
                    <w:snapToGrid w:val="0"/>
                    <w:jc w:val="center"/>
                    <w:rPr>
                      <w:color w:val="auto"/>
                      <w:kern w:val="0"/>
                      <w:szCs w:val="21"/>
                      <w:highlight w:val="none"/>
                    </w:rPr>
                  </w:pPr>
                  <w:r>
                    <w:rPr>
                      <w:rFonts w:hint="eastAsia"/>
                      <w:color w:val="auto"/>
                      <w:szCs w:val="21"/>
                      <w:highlight w:val="none"/>
                    </w:rPr>
                    <w:t>195000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widowControl/>
                    <w:adjustRightInd w:val="0"/>
                    <w:snapToGrid w:val="0"/>
                    <w:jc w:val="center"/>
                    <w:rPr>
                      <w:color w:val="auto"/>
                      <w:kern w:val="0"/>
                      <w:szCs w:val="21"/>
                      <w:highlight w:val="none"/>
                    </w:rPr>
                  </w:pPr>
                  <w:r>
                    <w:rPr>
                      <w:rFonts w:hint="eastAsia"/>
                      <w:color w:val="auto"/>
                      <w:kern w:val="0"/>
                      <w:szCs w:val="21"/>
                      <w:highlight w:val="none"/>
                    </w:rPr>
                    <w:t>4</w:t>
                  </w:r>
                </w:p>
              </w:tc>
              <w:tc>
                <w:tcPr>
                  <w:tcW w:w="2293" w:type="pct"/>
                  <w:vAlign w:val="center"/>
                </w:tcPr>
                <w:p>
                  <w:pPr>
                    <w:widowControl/>
                    <w:adjustRightInd w:val="0"/>
                    <w:snapToGrid w:val="0"/>
                    <w:jc w:val="center"/>
                    <w:rPr>
                      <w:color w:val="auto"/>
                      <w:szCs w:val="21"/>
                      <w:highlight w:val="none"/>
                    </w:rPr>
                  </w:pPr>
                  <w:r>
                    <w:rPr>
                      <w:rFonts w:hint="eastAsia"/>
                      <w:color w:val="auto"/>
                      <w:szCs w:val="21"/>
                      <w:highlight w:val="none"/>
                    </w:rPr>
                    <w:t>流动资金</w:t>
                  </w:r>
                </w:p>
              </w:tc>
              <w:tc>
                <w:tcPr>
                  <w:tcW w:w="2020" w:type="pct"/>
                  <w:vAlign w:val="center"/>
                </w:tcPr>
                <w:p>
                  <w:pPr>
                    <w:widowControl/>
                    <w:adjustRightInd w:val="0"/>
                    <w:snapToGrid w:val="0"/>
                    <w:jc w:val="center"/>
                    <w:rPr>
                      <w:color w:val="auto"/>
                      <w:szCs w:val="21"/>
                      <w:highlight w:val="none"/>
                    </w:rPr>
                  </w:pPr>
                  <w:r>
                    <w:rPr>
                      <w:rFonts w:hint="eastAsia"/>
                      <w:color w:val="auto"/>
                      <w:szCs w:val="21"/>
                      <w:highlight w:val="none"/>
                    </w:rPr>
                    <w:t>17306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pct"/>
                  <w:vAlign w:val="center"/>
                </w:tcPr>
                <w:p>
                  <w:pPr>
                    <w:widowControl/>
                    <w:adjustRightInd w:val="0"/>
                    <w:snapToGrid w:val="0"/>
                    <w:jc w:val="center"/>
                    <w:rPr>
                      <w:color w:val="auto"/>
                      <w:szCs w:val="21"/>
                      <w:highlight w:val="none"/>
                    </w:rPr>
                  </w:pPr>
                </w:p>
              </w:tc>
              <w:tc>
                <w:tcPr>
                  <w:tcW w:w="2293" w:type="pct"/>
                  <w:vAlign w:val="center"/>
                </w:tcPr>
                <w:p>
                  <w:pPr>
                    <w:widowControl/>
                    <w:adjustRightInd w:val="0"/>
                    <w:snapToGrid w:val="0"/>
                    <w:jc w:val="center"/>
                    <w:rPr>
                      <w:color w:val="auto"/>
                      <w:szCs w:val="21"/>
                      <w:highlight w:val="none"/>
                    </w:rPr>
                  </w:pPr>
                  <w:r>
                    <w:rPr>
                      <w:color w:val="auto"/>
                      <w:szCs w:val="21"/>
                      <w:highlight w:val="none"/>
                    </w:rPr>
                    <w:t>合计</w:t>
                  </w:r>
                </w:p>
              </w:tc>
              <w:tc>
                <w:tcPr>
                  <w:tcW w:w="2020" w:type="pct"/>
                  <w:vAlign w:val="center"/>
                </w:tcPr>
                <w:p>
                  <w:pPr>
                    <w:widowControl/>
                    <w:adjustRightInd w:val="0"/>
                    <w:snapToGrid w:val="0"/>
                    <w:jc w:val="center"/>
                    <w:rPr>
                      <w:color w:val="auto"/>
                      <w:szCs w:val="21"/>
                      <w:highlight w:val="none"/>
                    </w:rPr>
                  </w:pPr>
                  <w:r>
                    <w:rPr>
                      <w:rFonts w:hint="eastAsia"/>
                      <w:color w:val="auto"/>
                      <w:szCs w:val="21"/>
                      <w:highlight w:val="none"/>
                    </w:rPr>
                    <w:t>1000000</w:t>
                  </w:r>
                </w:p>
              </w:tc>
            </w:tr>
          </w:tbl>
          <w:p>
            <w:pPr>
              <w:pStyle w:val="116"/>
              <w:rPr>
                <w:color w:val="auto"/>
                <w:highlight w:val="none"/>
              </w:rPr>
            </w:pPr>
            <w:r>
              <w:rPr>
                <w:color w:val="auto"/>
                <w:highlight w:val="none"/>
              </w:rPr>
              <w:t>表2-</w:t>
            </w:r>
            <w:r>
              <w:rPr>
                <w:rFonts w:hint="eastAsia"/>
                <w:color w:val="auto"/>
                <w:highlight w:val="none"/>
              </w:rPr>
              <w:t>4</w:t>
            </w:r>
            <w:r>
              <w:rPr>
                <w:color w:val="auto"/>
                <w:highlight w:val="none"/>
              </w:rPr>
              <w:t xml:space="preserve">  环保投资一览表   单位：万元</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1718"/>
              <w:gridCol w:w="4317"/>
              <w:gridCol w:w="11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11" w:type="dxa"/>
                  <w:gridSpan w:val="2"/>
                  <w:vAlign w:val="center"/>
                </w:tcPr>
                <w:p>
                  <w:pPr>
                    <w:pStyle w:val="117"/>
                    <w:rPr>
                      <w:color w:val="auto"/>
                      <w:szCs w:val="21"/>
                      <w:highlight w:val="none"/>
                    </w:rPr>
                  </w:pPr>
                  <w:r>
                    <w:rPr>
                      <w:color w:val="auto"/>
                      <w:szCs w:val="21"/>
                      <w:highlight w:val="none"/>
                    </w:rPr>
                    <w:t>项目</w:t>
                  </w:r>
                </w:p>
              </w:tc>
              <w:tc>
                <w:tcPr>
                  <w:tcW w:w="4317" w:type="dxa"/>
                  <w:vAlign w:val="center"/>
                </w:tcPr>
                <w:p>
                  <w:pPr>
                    <w:pStyle w:val="117"/>
                    <w:rPr>
                      <w:color w:val="auto"/>
                      <w:szCs w:val="21"/>
                      <w:highlight w:val="none"/>
                    </w:rPr>
                  </w:pPr>
                  <w:r>
                    <w:rPr>
                      <w:color w:val="auto"/>
                      <w:szCs w:val="21"/>
                      <w:highlight w:val="none"/>
                    </w:rPr>
                    <w:t>环保措施</w:t>
                  </w:r>
                </w:p>
              </w:tc>
              <w:tc>
                <w:tcPr>
                  <w:tcW w:w="1184" w:type="dxa"/>
                  <w:vAlign w:val="center"/>
                </w:tcPr>
                <w:p>
                  <w:pPr>
                    <w:pStyle w:val="117"/>
                    <w:rPr>
                      <w:color w:val="auto"/>
                      <w:szCs w:val="21"/>
                      <w:highlight w:val="none"/>
                    </w:rPr>
                  </w:pPr>
                  <w:r>
                    <w:rPr>
                      <w:color w:val="auto"/>
                      <w:szCs w:val="21"/>
                      <w:highlight w:val="none"/>
                    </w:rPr>
                    <w:t>投资额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 w:type="dxa"/>
                  <w:vMerge w:val="restart"/>
                  <w:vAlign w:val="center"/>
                </w:tcPr>
                <w:p>
                  <w:pPr>
                    <w:pStyle w:val="117"/>
                    <w:rPr>
                      <w:color w:val="auto"/>
                      <w:szCs w:val="21"/>
                      <w:highlight w:val="none"/>
                    </w:rPr>
                  </w:pPr>
                  <w:r>
                    <w:rPr>
                      <w:color w:val="auto"/>
                      <w:szCs w:val="21"/>
                      <w:highlight w:val="none"/>
                    </w:rPr>
                    <w:t>营运期</w:t>
                  </w:r>
                </w:p>
              </w:tc>
              <w:tc>
                <w:tcPr>
                  <w:tcW w:w="1718" w:type="dxa"/>
                  <w:vAlign w:val="center"/>
                </w:tcPr>
                <w:p>
                  <w:pPr>
                    <w:pStyle w:val="117"/>
                    <w:rPr>
                      <w:color w:val="auto"/>
                      <w:szCs w:val="21"/>
                      <w:highlight w:val="none"/>
                    </w:rPr>
                  </w:pPr>
                  <w:r>
                    <w:rPr>
                      <w:color w:val="auto"/>
                      <w:szCs w:val="21"/>
                      <w:highlight w:val="none"/>
                    </w:rPr>
                    <w:t>废气</w:t>
                  </w:r>
                </w:p>
              </w:tc>
              <w:tc>
                <w:tcPr>
                  <w:tcW w:w="4317" w:type="dxa"/>
                  <w:vAlign w:val="center"/>
                </w:tcPr>
                <w:p>
                  <w:pPr>
                    <w:pStyle w:val="74"/>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焊接烟气净化装置、塑粉回收机、布袋除尘器、</w:t>
                  </w:r>
                  <w:r>
                    <w:rPr>
                      <w:rFonts w:ascii="Times New Roman" w:hAnsi="Times New Roman" w:eastAsia="宋体" w:cs="Times New Roman"/>
                      <w:color w:val="auto"/>
                      <w:sz w:val="21"/>
                      <w:szCs w:val="21"/>
                      <w:highlight w:val="none"/>
                    </w:rPr>
                    <w:t>水帘柜、废气集气罩+UV光催化+活性炭吸附</w:t>
                  </w:r>
                  <w:r>
                    <w:rPr>
                      <w:rFonts w:hint="eastAsia" w:ascii="Times New Roman" w:hAnsi="Times New Roman" w:eastAsia="宋体" w:cs="Times New Roman"/>
                      <w:color w:val="auto"/>
                      <w:sz w:val="21"/>
                      <w:szCs w:val="21"/>
                      <w:highlight w:val="none"/>
                    </w:rPr>
                    <w:t>+15m排气筒</w:t>
                  </w:r>
                </w:p>
              </w:tc>
              <w:tc>
                <w:tcPr>
                  <w:tcW w:w="1184" w:type="dxa"/>
                  <w:vAlign w:val="center"/>
                </w:tcPr>
                <w:p>
                  <w:pPr>
                    <w:pStyle w:val="117"/>
                    <w:rPr>
                      <w:color w:val="auto"/>
                      <w:szCs w:val="21"/>
                      <w:highlight w:val="none"/>
                    </w:rPr>
                  </w:pPr>
                  <w:r>
                    <w:rPr>
                      <w:rFonts w:hint="eastAsia"/>
                      <w:color w:val="auto"/>
                      <w:szCs w:val="21"/>
                      <w:highlight w:val="none"/>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 w:type="dxa"/>
                  <w:vMerge w:val="continue"/>
                  <w:vAlign w:val="center"/>
                </w:tcPr>
                <w:p>
                  <w:pPr>
                    <w:pStyle w:val="117"/>
                    <w:rPr>
                      <w:color w:val="auto"/>
                      <w:szCs w:val="21"/>
                      <w:highlight w:val="none"/>
                    </w:rPr>
                  </w:pPr>
                </w:p>
              </w:tc>
              <w:tc>
                <w:tcPr>
                  <w:tcW w:w="1718" w:type="dxa"/>
                  <w:vAlign w:val="center"/>
                </w:tcPr>
                <w:p>
                  <w:pPr>
                    <w:pStyle w:val="117"/>
                    <w:rPr>
                      <w:color w:val="auto"/>
                      <w:szCs w:val="21"/>
                      <w:highlight w:val="none"/>
                    </w:rPr>
                  </w:pPr>
                  <w:r>
                    <w:rPr>
                      <w:color w:val="auto"/>
                      <w:szCs w:val="21"/>
                      <w:highlight w:val="none"/>
                    </w:rPr>
                    <w:t>废水</w:t>
                  </w:r>
                </w:p>
              </w:tc>
              <w:tc>
                <w:tcPr>
                  <w:tcW w:w="4317" w:type="dxa"/>
                  <w:vAlign w:val="center"/>
                </w:tcPr>
                <w:p>
                  <w:pPr>
                    <w:pStyle w:val="74"/>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循环水池（</w:t>
                  </w:r>
                  <w:r>
                    <w:rPr>
                      <w:rFonts w:hint="eastAsia" w:ascii="Times New Roman" w:hAnsi="Times New Roman" w:eastAsia="宋体" w:cs="Times New Roman"/>
                      <w:color w:val="auto"/>
                      <w:sz w:val="21"/>
                      <w:szCs w:val="21"/>
                      <w:highlight w:val="none"/>
                    </w:rPr>
                    <w:t>1</w:t>
                  </w:r>
                  <w:r>
                    <w:rPr>
                      <w:rFonts w:ascii="Times New Roman" w:hAnsi="Times New Roman" w:eastAsia="宋体" w:cs="Times New Roman"/>
                      <w:color w:val="auto"/>
                      <w:sz w:val="21"/>
                      <w:szCs w:val="21"/>
                      <w:highlight w:val="none"/>
                    </w:rPr>
                    <w:t>个，2m³）</w:t>
                  </w:r>
                </w:p>
              </w:tc>
              <w:tc>
                <w:tcPr>
                  <w:tcW w:w="1184" w:type="dxa"/>
                  <w:vAlign w:val="center"/>
                </w:tcPr>
                <w:p>
                  <w:pPr>
                    <w:pStyle w:val="117"/>
                    <w:rPr>
                      <w:color w:val="auto"/>
                      <w:szCs w:val="21"/>
                      <w:highlight w:val="none"/>
                    </w:rPr>
                  </w:pPr>
                  <w:r>
                    <w:rPr>
                      <w:rFonts w:hint="eastAsia"/>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 w:type="dxa"/>
                  <w:vMerge w:val="continue"/>
                  <w:vAlign w:val="center"/>
                </w:tcPr>
                <w:p>
                  <w:pPr>
                    <w:pStyle w:val="117"/>
                    <w:rPr>
                      <w:color w:val="auto"/>
                      <w:szCs w:val="21"/>
                      <w:highlight w:val="none"/>
                    </w:rPr>
                  </w:pPr>
                </w:p>
              </w:tc>
              <w:tc>
                <w:tcPr>
                  <w:tcW w:w="1718" w:type="dxa"/>
                  <w:vAlign w:val="center"/>
                </w:tcPr>
                <w:p>
                  <w:pPr>
                    <w:pStyle w:val="117"/>
                    <w:rPr>
                      <w:color w:val="auto"/>
                      <w:szCs w:val="21"/>
                      <w:highlight w:val="none"/>
                    </w:rPr>
                  </w:pPr>
                  <w:r>
                    <w:rPr>
                      <w:color w:val="auto"/>
                      <w:szCs w:val="21"/>
                      <w:highlight w:val="none"/>
                    </w:rPr>
                    <w:t>噪声</w:t>
                  </w:r>
                </w:p>
              </w:tc>
              <w:tc>
                <w:tcPr>
                  <w:tcW w:w="4317" w:type="dxa"/>
                  <w:vAlign w:val="center"/>
                </w:tcPr>
                <w:p>
                  <w:pPr>
                    <w:pStyle w:val="117"/>
                    <w:rPr>
                      <w:color w:val="auto"/>
                      <w:szCs w:val="21"/>
                      <w:highlight w:val="none"/>
                    </w:rPr>
                  </w:pPr>
                  <w:r>
                    <w:rPr>
                      <w:color w:val="auto"/>
                      <w:szCs w:val="21"/>
                      <w:highlight w:val="none"/>
                    </w:rPr>
                    <w:t>隔声、减振措施</w:t>
                  </w:r>
                </w:p>
              </w:tc>
              <w:tc>
                <w:tcPr>
                  <w:tcW w:w="1184" w:type="dxa"/>
                  <w:vAlign w:val="center"/>
                </w:tcPr>
                <w:p>
                  <w:pPr>
                    <w:pStyle w:val="117"/>
                    <w:rPr>
                      <w:color w:val="auto"/>
                      <w:szCs w:val="21"/>
                      <w:highlight w:val="none"/>
                    </w:rPr>
                  </w:pPr>
                  <w:r>
                    <w:rPr>
                      <w:rFonts w:hint="eastAsia"/>
                      <w:color w:val="auto"/>
                      <w:szCs w:val="21"/>
                      <w:highlight w:val="none"/>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493" w:type="dxa"/>
                  <w:vMerge w:val="continue"/>
                  <w:vAlign w:val="center"/>
                </w:tcPr>
                <w:p>
                  <w:pPr>
                    <w:pStyle w:val="117"/>
                    <w:rPr>
                      <w:color w:val="auto"/>
                      <w:szCs w:val="21"/>
                      <w:highlight w:val="none"/>
                    </w:rPr>
                  </w:pPr>
                </w:p>
              </w:tc>
              <w:tc>
                <w:tcPr>
                  <w:tcW w:w="1718" w:type="dxa"/>
                  <w:vAlign w:val="center"/>
                </w:tcPr>
                <w:p>
                  <w:pPr>
                    <w:pStyle w:val="117"/>
                    <w:rPr>
                      <w:color w:val="auto"/>
                      <w:szCs w:val="21"/>
                      <w:highlight w:val="none"/>
                    </w:rPr>
                  </w:pPr>
                  <w:r>
                    <w:rPr>
                      <w:color w:val="auto"/>
                      <w:szCs w:val="21"/>
                      <w:highlight w:val="none"/>
                    </w:rPr>
                    <w:t>固体废物</w:t>
                  </w:r>
                </w:p>
              </w:tc>
              <w:tc>
                <w:tcPr>
                  <w:tcW w:w="4317" w:type="dxa"/>
                  <w:vAlign w:val="center"/>
                </w:tcPr>
                <w:p>
                  <w:pPr>
                    <w:pStyle w:val="117"/>
                    <w:rPr>
                      <w:color w:val="auto"/>
                      <w:szCs w:val="21"/>
                      <w:highlight w:val="none"/>
                    </w:rPr>
                  </w:pPr>
                  <w:r>
                    <w:rPr>
                      <w:color w:val="auto"/>
                      <w:szCs w:val="21"/>
                      <w:highlight w:val="none"/>
                    </w:rPr>
                    <w:t>垃圾桶、危废间</w:t>
                  </w:r>
                </w:p>
              </w:tc>
              <w:tc>
                <w:tcPr>
                  <w:tcW w:w="1184" w:type="dxa"/>
                  <w:vAlign w:val="center"/>
                </w:tcPr>
                <w:p>
                  <w:pPr>
                    <w:pStyle w:val="117"/>
                    <w:rPr>
                      <w:color w:val="auto"/>
                      <w:szCs w:val="21"/>
                      <w:highlight w:val="none"/>
                    </w:rPr>
                  </w:pPr>
                  <w:r>
                    <w:rPr>
                      <w:rFonts w:hint="eastAsia"/>
                      <w:color w:val="auto"/>
                      <w:szCs w:val="21"/>
                      <w:highlight w:val="none"/>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493" w:type="dxa"/>
                  <w:vMerge w:val="continue"/>
                  <w:vAlign w:val="center"/>
                </w:tcPr>
                <w:p>
                  <w:pPr>
                    <w:pStyle w:val="117"/>
                    <w:rPr>
                      <w:color w:val="auto"/>
                      <w:szCs w:val="21"/>
                      <w:highlight w:val="none"/>
                    </w:rPr>
                  </w:pPr>
                </w:p>
              </w:tc>
              <w:tc>
                <w:tcPr>
                  <w:tcW w:w="1718" w:type="dxa"/>
                  <w:vAlign w:val="center"/>
                </w:tcPr>
                <w:p>
                  <w:pPr>
                    <w:pStyle w:val="117"/>
                    <w:rPr>
                      <w:color w:val="auto"/>
                      <w:szCs w:val="21"/>
                      <w:highlight w:val="none"/>
                    </w:rPr>
                  </w:pPr>
                  <w:r>
                    <w:rPr>
                      <w:color w:val="auto"/>
                      <w:szCs w:val="21"/>
                      <w:highlight w:val="none"/>
                    </w:rPr>
                    <w:t>风险防控</w:t>
                  </w:r>
                </w:p>
              </w:tc>
              <w:tc>
                <w:tcPr>
                  <w:tcW w:w="4317" w:type="dxa"/>
                  <w:vAlign w:val="center"/>
                </w:tcPr>
                <w:p>
                  <w:pPr>
                    <w:pStyle w:val="117"/>
                    <w:rPr>
                      <w:color w:val="auto"/>
                      <w:szCs w:val="21"/>
                      <w:highlight w:val="none"/>
                    </w:rPr>
                  </w:pPr>
                  <w:r>
                    <w:rPr>
                      <w:color w:val="auto"/>
                      <w:szCs w:val="21"/>
                      <w:highlight w:val="none"/>
                    </w:rPr>
                    <w:t>设置灭火器材；收集桶；油漆等化学品储存区及危废间设置接液盘，地面防渗处理</w:t>
                  </w:r>
                </w:p>
              </w:tc>
              <w:tc>
                <w:tcPr>
                  <w:tcW w:w="1184" w:type="dxa"/>
                  <w:vAlign w:val="center"/>
                </w:tcPr>
                <w:p>
                  <w:pPr>
                    <w:pStyle w:val="117"/>
                    <w:rPr>
                      <w:color w:val="auto"/>
                      <w:szCs w:val="21"/>
                      <w:highlight w:val="none"/>
                    </w:rPr>
                  </w:pPr>
                  <w:r>
                    <w:rPr>
                      <w:rFonts w:hint="eastAsia"/>
                      <w:color w:val="auto"/>
                      <w:szCs w:val="21"/>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6528" w:type="dxa"/>
                  <w:gridSpan w:val="3"/>
                  <w:vAlign w:val="center"/>
                </w:tcPr>
                <w:p>
                  <w:pPr>
                    <w:pStyle w:val="117"/>
                    <w:rPr>
                      <w:color w:val="auto"/>
                      <w:szCs w:val="21"/>
                      <w:highlight w:val="none"/>
                    </w:rPr>
                  </w:pPr>
                  <w:r>
                    <w:rPr>
                      <w:color w:val="auto"/>
                      <w:szCs w:val="21"/>
                      <w:highlight w:val="none"/>
                    </w:rPr>
                    <w:t>合计</w:t>
                  </w:r>
                </w:p>
              </w:tc>
              <w:tc>
                <w:tcPr>
                  <w:tcW w:w="1184" w:type="dxa"/>
                  <w:vAlign w:val="center"/>
                </w:tcPr>
                <w:p>
                  <w:pPr>
                    <w:pStyle w:val="117"/>
                    <w:rPr>
                      <w:color w:val="auto"/>
                      <w:szCs w:val="21"/>
                      <w:highlight w:val="none"/>
                    </w:rPr>
                  </w:pPr>
                  <w:r>
                    <w:rPr>
                      <w:rFonts w:hint="eastAsia"/>
                      <w:color w:val="auto"/>
                      <w:szCs w:val="21"/>
                      <w:highlight w:val="none"/>
                    </w:rPr>
                    <w:t>19.5</w:t>
                  </w:r>
                </w:p>
              </w:tc>
            </w:tr>
          </w:tbl>
          <w:p>
            <w:pPr>
              <w:autoSpaceDE w:val="0"/>
              <w:autoSpaceDN w:val="0"/>
              <w:adjustRightInd w:val="0"/>
              <w:spacing w:line="360" w:lineRule="auto"/>
              <w:rPr>
                <w:b/>
                <w:color w:val="auto"/>
                <w:sz w:val="24"/>
                <w:highlight w:val="none"/>
              </w:rPr>
            </w:pPr>
            <w:r>
              <w:rPr>
                <w:rFonts w:hint="eastAsia"/>
                <w:b/>
                <w:color w:val="auto"/>
                <w:sz w:val="24"/>
                <w:highlight w:val="none"/>
              </w:rPr>
              <w:t>5、产品方案</w:t>
            </w:r>
          </w:p>
          <w:p>
            <w:pPr>
              <w:spacing w:line="360" w:lineRule="auto"/>
              <w:ind w:firstLine="480" w:firstLineChars="200"/>
              <w:rPr>
                <w:color w:val="auto"/>
                <w:sz w:val="24"/>
                <w:highlight w:val="none"/>
              </w:rPr>
            </w:pPr>
            <w:r>
              <w:rPr>
                <w:rFonts w:hint="eastAsia"/>
                <w:color w:val="auto"/>
                <w:sz w:val="24"/>
                <w:highlight w:val="none"/>
              </w:rPr>
              <w:t>项目具体产品方案见下表。</w:t>
            </w:r>
          </w:p>
          <w:p>
            <w:pPr>
              <w:adjustRightInd w:val="0"/>
              <w:snapToGrid w:val="0"/>
              <w:jc w:val="center"/>
              <w:rPr>
                <w:rFonts w:hAnsi="宋体"/>
                <w:b/>
                <w:color w:val="auto"/>
                <w:szCs w:val="21"/>
                <w:highlight w:val="none"/>
              </w:rPr>
            </w:pPr>
            <w:r>
              <w:rPr>
                <w:rFonts w:hint="eastAsia" w:hAnsi="宋体"/>
                <w:b/>
                <w:color w:val="auto"/>
                <w:szCs w:val="21"/>
                <w:highlight w:val="none"/>
              </w:rPr>
              <w:t>表2-5  产品方案一览表</w:t>
            </w:r>
          </w:p>
          <w:tbl>
            <w:tblPr>
              <w:tblStyle w:val="25"/>
              <w:tblW w:w="78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211"/>
              <w:gridCol w:w="1189"/>
              <w:gridCol w:w="47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28" w:type="dxa"/>
                  <w:tcBorders>
                    <w:tl2br w:val="nil"/>
                    <w:tr2bl w:val="nil"/>
                  </w:tcBorders>
                  <w:vAlign w:val="center"/>
                </w:tcPr>
                <w:p>
                  <w:pPr>
                    <w:jc w:val="center"/>
                    <w:rPr>
                      <w:color w:val="auto"/>
                      <w:szCs w:val="21"/>
                      <w:highlight w:val="none"/>
                    </w:rPr>
                  </w:pPr>
                  <w:r>
                    <w:rPr>
                      <w:rFonts w:hAnsi="宋体"/>
                      <w:color w:val="auto"/>
                      <w:szCs w:val="21"/>
                      <w:highlight w:val="none"/>
                    </w:rPr>
                    <w:t>序号</w:t>
                  </w:r>
                </w:p>
              </w:tc>
              <w:tc>
                <w:tcPr>
                  <w:tcW w:w="1211" w:type="dxa"/>
                  <w:tcBorders>
                    <w:tl2br w:val="nil"/>
                    <w:tr2bl w:val="nil"/>
                  </w:tcBorders>
                  <w:vAlign w:val="center"/>
                </w:tcPr>
                <w:p>
                  <w:pPr>
                    <w:pStyle w:val="94"/>
                    <w:autoSpaceDE/>
                    <w:autoSpaceDN/>
                    <w:adjustRightInd/>
                    <w:rPr>
                      <w:rFonts w:eastAsia="宋体"/>
                      <w:color w:val="auto"/>
                      <w:kern w:val="2"/>
                      <w:sz w:val="21"/>
                      <w:szCs w:val="21"/>
                      <w:highlight w:val="none"/>
                    </w:rPr>
                  </w:pPr>
                  <w:r>
                    <w:rPr>
                      <w:rFonts w:hint="eastAsia" w:hAnsi="宋体" w:eastAsia="宋体"/>
                      <w:color w:val="auto"/>
                      <w:kern w:val="2"/>
                      <w:sz w:val="21"/>
                      <w:szCs w:val="21"/>
                      <w:highlight w:val="none"/>
                    </w:rPr>
                    <w:t>产品</w:t>
                  </w:r>
                  <w:r>
                    <w:rPr>
                      <w:rFonts w:hAnsi="宋体" w:eastAsia="宋体"/>
                      <w:color w:val="auto"/>
                      <w:kern w:val="2"/>
                      <w:sz w:val="21"/>
                      <w:szCs w:val="21"/>
                      <w:highlight w:val="none"/>
                    </w:rPr>
                    <w:t>名称</w:t>
                  </w:r>
                </w:p>
              </w:tc>
              <w:tc>
                <w:tcPr>
                  <w:tcW w:w="1189" w:type="dxa"/>
                  <w:tcBorders>
                    <w:tl2br w:val="nil"/>
                    <w:tr2bl w:val="nil"/>
                  </w:tcBorders>
                  <w:vAlign w:val="center"/>
                </w:tcPr>
                <w:p>
                  <w:pPr>
                    <w:jc w:val="center"/>
                    <w:rPr>
                      <w:color w:val="auto"/>
                      <w:szCs w:val="21"/>
                      <w:highlight w:val="none"/>
                    </w:rPr>
                  </w:pPr>
                  <w:r>
                    <w:rPr>
                      <w:rFonts w:hAnsi="宋体"/>
                      <w:color w:val="auto"/>
                      <w:szCs w:val="21"/>
                      <w:highlight w:val="none"/>
                    </w:rPr>
                    <w:t>产量</w:t>
                  </w:r>
                </w:p>
              </w:tc>
              <w:tc>
                <w:tcPr>
                  <w:tcW w:w="4711" w:type="dxa"/>
                  <w:tcBorders>
                    <w:tl2br w:val="nil"/>
                    <w:tr2bl w:val="nil"/>
                  </w:tcBorders>
                  <w:vAlign w:val="center"/>
                </w:tcPr>
                <w:p>
                  <w:pPr>
                    <w:jc w:val="center"/>
                    <w:rPr>
                      <w:color w:val="auto"/>
                      <w:szCs w:val="21"/>
                      <w:highlight w:val="none"/>
                    </w:rPr>
                  </w:pPr>
                  <w:r>
                    <w:rPr>
                      <w:rFonts w:hint="eastAsia"/>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8" w:type="dxa"/>
                  <w:tcBorders>
                    <w:tl2br w:val="nil"/>
                    <w:tr2bl w:val="nil"/>
                  </w:tcBorders>
                  <w:vAlign w:val="center"/>
                </w:tcPr>
                <w:p>
                  <w:pPr>
                    <w:jc w:val="center"/>
                    <w:rPr>
                      <w:color w:val="auto"/>
                      <w:szCs w:val="21"/>
                      <w:highlight w:val="none"/>
                    </w:rPr>
                  </w:pPr>
                  <w:r>
                    <w:rPr>
                      <w:color w:val="auto"/>
                      <w:szCs w:val="21"/>
                      <w:highlight w:val="none"/>
                    </w:rPr>
                    <w:t>1</w:t>
                  </w:r>
                </w:p>
              </w:tc>
              <w:tc>
                <w:tcPr>
                  <w:tcW w:w="1211" w:type="dxa"/>
                  <w:tcBorders>
                    <w:tl2br w:val="nil"/>
                    <w:tr2bl w:val="nil"/>
                  </w:tcBorders>
                  <w:vAlign w:val="center"/>
                </w:tcPr>
                <w:p>
                  <w:pPr>
                    <w:jc w:val="center"/>
                    <w:rPr>
                      <w:rFonts w:hAnsi="宋体"/>
                      <w:color w:val="auto"/>
                      <w:szCs w:val="21"/>
                      <w:highlight w:val="none"/>
                    </w:rPr>
                  </w:pPr>
                  <w:r>
                    <w:rPr>
                      <w:rFonts w:hint="eastAsia" w:hAnsi="宋体"/>
                      <w:color w:val="auto"/>
                      <w:szCs w:val="21"/>
                      <w:highlight w:val="none"/>
                    </w:rPr>
                    <w:t>广告牌、标识牌</w:t>
                  </w:r>
                </w:p>
              </w:tc>
              <w:tc>
                <w:tcPr>
                  <w:tcW w:w="1189" w:type="dxa"/>
                  <w:tcBorders>
                    <w:tl2br w:val="nil"/>
                    <w:tr2bl w:val="nil"/>
                  </w:tcBorders>
                  <w:vAlign w:val="center"/>
                </w:tcPr>
                <w:p>
                  <w:pPr>
                    <w:jc w:val="center"/>
                    <w:rPr>
                      <w:color w:val="auto"/>
                      <w:szCs w:val="21"/>
                      <w:highlight w:val="none"/>
                    </w:rPr>
                  </w:pPr>
                  <w:r>
                    <w:rPr>
                      <w:rFonts w:hint="eastAsia"/>
                      <w:color w:val="auto"/>
                      <w:szCs w:val="21"/>
                      <w:highlight w:val="none"/>
                    </w:rPr>
                    <w:t>1000套/年</w:t>
                  </w:r>
                </w:p>
              </w:tc>
              <w:tc>
                <w:tcPr>
                  <w:tcW w:w="4711" w:type="dxa"/>
                  <w:tcBorders>
                    <w:tl2br w:val="nil"/>
                    <w:tr2bl w:val="nil"/>
                  </w:tcBorders>
                  <w:vAlign w:val="center"/>
                </w:tcPr>
                <w:p>
                  <w:pPr>
                    <w:jc w:val="center"/>
                    <w:rPr>
                      <w:color w:val="auto"/>
                      <w:szCs w:val="21"/>
                      <w:highlight w:val="none"/>
                    </w:rPr>
                  </w:pPr>
                  <w:r>
                    <w:rPr>
                      <w:rFonts w:hint="eastAsia"/>
                      <w:color w:val="auto"/>
                      <w:szCs w:val="21"/>
                      <w:highlight w:val="none"/>
                    </w:rPr>
                    <w:t>根据订单设计图案，再根据设计图选择工艺（喷粉、喷漆、丝网印刷），为非标产品</w:t>
                  </w:r>
                </w:p>
              </w:tc>
            </w:tr>
          </w:tbl>
          <w:p>
            <w:pPr>
              <w:autoSpaceDE w:val="0"/>
              <w:autoSpaceDN w:val="0"/>
              <w:adjustRightInd w:val="0"/>
              <w:spacing w:line="360" w:lineRule="auto"/>
              <w:rPr>
                <w:b/>
                <w:color w:val="auto"/>
                <w:sz w:val="24"/>
                <w:highlight w:val="none"/>
              </w:rPr>
            </w:pPr>
            <w:r>
              <w:rPr>
                <w:rFonts w:hint="eastAsia"/>
                <w:b/>
                <w:color w:val="auto"/>
                <w:sz w:val="24"/>
                <w:highlight w:val="none"/>
              </w:rPr>
              <w:t>6、主要生产设备及设施</w:t>
            </w:r>
          </w:p>
          <w:p>
            <w:pPr>
              <w:spacing w:line="360" w:lineRule="auto"/>
              <w:ind w:firstLine="480" w:firstLineChars="200"/>
              <w:rPr>
                <w:rFonts w:hAnsi="宋体"/>
                <w:b/>
                <w:color w:val="auto"/>
                <w:sz w:val="24"/>
                <w:highlight w:val="none"/>
              </w:rPr>
            </w:pPr>
            <w:r>
              <w:rPr>
                <w:rFonts w:hint="eastAsia"/>
                <w:color w:val="auto"/>
                <w:sz w:val="24"/>
                <w:highlight w:val="none"/>
              </w:rPr>
              <w:t>项目</w:t>
            </w:r>
            <w:r>
              <w:rPr>
                <w:rFonts w:hint="eastAsia"/>
                <w:bCs/>
                <w:color w:val="auto"/>
                <w:sz w:val="24"/>
                <w:highlight w:val="none"/>
              </w:rPr>
              <w:t>主要设备组成见表2-6。</w:t>
            </w:r>
          </w:p>
          <w:p>
            <w:pPr>
              <w:jc w:val="center"/>
              <w:rPr>
                <w:b/>
                <w:color w:val="auto"/>
                <w:szCs w:val="21"/>
                <w:highlight w:val="none"/>
              </w:rPr>
            </w:pPr>
            <w:r>
              <w:rPr>
                <w:rFonts w:hAnsi="宋体"/>
                <w:b/>
                <w:color w:val="auto"/>
                <w:szCs w:val="21"/>
                <w:highlight w:val="none"/>
              </w:rPr>
              <w:t>表</w:t>
            </w:r>
            <w:r>
              <w:rPr>
                <w:rFonts w:hint="eastAsia"/>
                <w:b/>
                <w:color w:val="auto"/>
                <w:szCs w:val="21"/>
                <w:highlight w:val="none"/>
              </w:rPr>
              <w:t xml:space="preserve">2-6 </w:t>
            </w:r>
            <w:r>
              <w:rPr>
                <w:b/>
                <w:color w:val="auto"/>
                <w:szCs w:val="21"/>
                <w:highlight w:val="none"/>
              </w:rPr>
              <w:t xml:space="preserve"> </w:t>
            </w:r>
            <w:r>
              <w:rPr>
                <w:rFonts w:hint="eastAsia"/>
                <w:b/>
                <w:color w:val="auto"/>
                <w:szCs w:val="21"/>
                <w:highlight w:val="none"/>
              </w:rPr>
              <w:t>项目主要</w:t>
            </w:r>
            <w:r>
              <w:rPr>
                <w:rFonts w:hAnsi="宋体"/>
                <w:b/>
                <w:color w:val="auto"/>
                <w:szCs w:val="21"/>
                <w:highlight w:val="none"/>
              </w:rPr>
              <w:t>设备</w:t>
            </w:r>
            <w:r>
              <w:rPr>
                <w:rFonts w:hint="eastAsia" w:hAnsi="宋体"/>
                <w:b/>
                <w:color w:val="auto"/>
                <w:szCs w:val="21"/>
                <w:highlight w:val="none"/>
              </w:rPr>
              <w:t>表</w:t>
            </w:r>
          </w:p>
          <w:tbl>
            <w:tblPr>
              <w:tblStyle w:val="25"/>
              <w:tblW w:w="63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900"/>
              <w:gridCol w:w="684"/>
              <w:gridCol w:w="18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07" w:hRule="atLeast"/>
                <w:jc w:val="center"/>
              </w:trPr>
              <w:tc>
                <w:tcPr>
                  <w:tcW w:w="2994" w:type="dxa"/>
                  <w:tcBorders>
                    <w:tl2br w:val="nil"/>
                    <w:tr2bl w:val="nil"/>
                  </w:tcBorders>
                  <w:vAlign w:val="center"/>
                </w:tcPr>
                <w:p>
                  <w:pPr>
                    <w:pStyle w:val="84"/>
                    <w:jc w:val="center"/>
                    <w:rPr>
                      <w:color w:val="auto"/>
                      <w:szCs w:val="21"/>
                      <w:highlight w:val="none"/>
                    </w:rPr>
                  </w:pPr>
                  <w:r>
                    <w:rPr>
                      <w:rFonts w:hint="eastAsia"/>
                      <w:color w:val="auto"/>
                      <w:szCs w:val="21"/>
                      <w:highlight w:val="none"/>
                    </w:rPr>
                    <w:t>名称</w:t>
                  </w:r>
                </w:p>
              </w:tc>
              <w:tc>
                <w:tcPr>
                  <w:tcW w:w="900" w:type="dxa"/>
                  <w:tcBorders>
                    <w:tl2br w:val="nil"/>
                    <w:tr2bl w:val="nil"/>
                  </w:tcBorders>
                  <w:vAlign w:val="center"/>
                </w:tcPr>
                <w:p>
                  <w:pPr>
                    <w:pStyle w:val="84"/>
                    <w:jc w:val="center"/>
                    <w:rPr>
                      <w:color w:val="auto"/>
                      <w:szCs w:val="21"/>
                      <w:highlight w:val="none"/>
                    </w:rPr>
                  </w:pPr>
                  <w:r>
                    <w:rPr>
                      <w:rFonts w:hint="eastAsia"/>
                      <w:color w:val="auto"/>
                      <w:szCs w:val="21"/>
                      <w:highlight w:val="none"/>
                    </w:rPr>
                    <w:t>单位</w:t>
                  </w:r>
                </w:p>
              </w:tc>
              <w:tc>
                <w:tcPr>
                  <w:tcW w:w="684" w:type="dxa"/>
                  <w:tcBorders>
                    <w:tl2br w:val="nil"/>
                    <w:tr2bl w:val="nil"/>
                  </w:tcBorders>
                  <w:vAlign w:val="center"/>
                </w:tcPr>
                <w:p>
                  <w:pPr>
                    <w:pStyle w:val="84"/>
                    <w:jc w:val="center"/>
                    <w:rPr>
                      <w:color w:val="auto"/>
                      <w:szCs w:val="21"/>
                      <w:highlight w:val="none"/>
                    </w:rPr>
                  </w:pPr>
                  <w:r>
                    <w:rPr>
                      <w:rFonts w:hint="eastAsia"/>
                      <w:color w:val="auto"/>
                      <w:szCs w:val="21"/>
                      <w:highlight w:val="none"/>
                    </w:rPr>
                    <w:t>数量</w:t>
                  </w:r>
                </w:p>
              </w:tc>
              <w:tc>
                <w:tcPr>
                  <w:tcW w:w="1807"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型号规格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4"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激光切割机</w:t>
                  </w:r>
                </w:p>
              </w:tc>
              <w:tc>
                <w:tcPr>
                  <w:tcW w:w="900" w:type="dxa"/>
                  <w:tcBorders>
                    <w:tl2br w:val="nil"/>
                    <w:tr2bl w:val="nil"/>
                  </w:tcBorders>
                  <w:vAlign w:val="center"/>
                </w:tcPr>
                <w:p>
                  <w:pPr>
                    <w:pStyle w:val="84"/>
                    <w:jc w:val="center"/>
                    <w:rPr>
                      <w:color w:val="auto"/>
                      <w:szCs w:val="21"/>
                      <w:highlight w:val="none"/>
                    </w:rPr>
                  </w:pPr>
                  <w:r>
                    <w:rPr>
                      <w:rFonts w:hint="eastAsia"/>
                      <w:color w:val="auto"/>
                      <w:szCs w:val="21"/>
                      <w:highlight w:val="none"/>
                    </w:rPr>
                    <w:t>台</w:t>
                  </w:r>
                </w:p>
              </w:tc>
              <w:tc>
                <w:tcPr>
                  <w:tcW w:w="684" w:type="dxa"/>
                  <w:tcBorders>
                    <w:tl2br w:val="nil"/>
                    <w:tr2bl w:val="nil"/>
                  </w:tcBorders>
                  <w:vAlign w:val="center"/>
                </w:tcPr>
                <w:p>
                  <w:pPr>
                    <w:pStyle w:val="84"/>
                    <w:jc w:val="center"/>
                    <w:rPr>
                      <w:color w:val="auto"/>
                      <w:szCs w:val="21"/>
                      <w:highlight w:val="none"/>
                    </w:rPr>
                  </w:pPr>
                  <w:r>
                    <w:rPr>
                      <w:rFonts w:hint="eastAsia"/>
                      <w:color w:val="auto"/>
                      <w:szCs w:val="21"/>
                      <w:highlight w:val="none"/>
                      <w:lang w:val="en-US"/>
                    </w:rPr>
                    <w:t>2</w:t>
                  </w:r>
                </w:p>
              </w:tc>
              <w:tc>
                <w:tcPr>
                  <w:tcW w:w="1807"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GX1530D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94"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焊机</w:t>
                  </w:r>
                </w:p>
              </w:tc>
              <w:tc>
                <w:tcPr>
                  <w:tcW w:w="900" w:type="dxa"/>
                  <w:tcBorders>
                    <w:tl2br w:val="nil"/>
                    <w:tr2bl w:val="nil"/>
                  </w:tcBorders>
                  <w:vAlign w:val="center"/>
                </w:tcPr>
                <w:p>
                  <w:pPr>
                    <w:pStyle w:val="84"/>
                    <w:jc w:val="center"/>
                    <w:rPr>
                      <w:color w:val="auto"/>
                      <w:szCs w:val="21"/>
                      <w:highlight w:val="none"/>
                    </w:rPr>
                  </w:pPr>
                  <w:r>
                    <w:rPr>
                      <w:rFonts w:hint="eastAsia"/>
                      <w:color w:val="auto"/>
                      <w:szCs w:val="21"/>
                      <w:highlight w:val="none"/>
                    </w:rPr>
                    <w:t>台</w:t>
                  </w:r>
                </w:p>
              </w:tc>
              <w:tc>
                <w:tcPr>
                  <w:tcW w:w="684" w:type="dxa"/>
                  <w:tcBorders>
                    <w:tl2br w:val="nil"/>
                    <w:tr2bl w:val="nil"/>
                  </w:tcBorders>
                  <w:vAlign w:val="center"/>
                </w:tcPr>
                <w:p>
                  <w:pPr>
                    <w:pStyle w:val="84"/>
                    <w:jc w:val="center"/>
                    <w:rPr>
                      <w:color w:val="auto"/>
                      <w:szCs w:val="21"/>
                      <w:highlight w:val="none"/>
                    </w:rPr>
                  </w:pPr>
                  <w:r>
                    <w:rPr>
                      <w:rFonts w:hint="eastAsia"/>
                      <w:color w:val="auto"/>
                      <w:szCs w:val="21"/>
                      <w:highlight w:val="none"/>
                      <w:lang w:val="en-US"/>
                    </w:rPr>
                    <w:t>1</w:t>
                  </w:r>
                </w:p>
              </w:tc>
              <w:tc>
                <w:tcPr>
                  <w:tcW w:w="1807" w:type="dxa"/>
                  <w:tcBorders>
                    <w:tl2br w:val="nil"/>
                    <w:tr2bl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994"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雕刻机</w:t>
                  </w:r>
                </w:p>
              </w:tc>
              <w:tc>
                <w:tcPr>
                  <w:tcW w:w="900" w:type="dxa"/>
                  <w:tcBorders>
                    <w:tl2br w:val="nil"/>
                    <w:tr2bl w:val="nil"/>
                  </w:tcBorders>
                  <w:vAlign w:val="center"/>
                </w:tcPr>
                <w:p>
                  <w:pPr>
                    <w:pStyle w:val="84"/>
                    <w:jc w:val="center"/>
                    <w:rPr>
                      <w:color w:val="auto"/>
                      <w:szCs w:val="21"/>
                      <w:highlight w:val="none"/>
                    </w:rPr>
                  </w:pPr>
                  <w:r>
                    <w:rPr>
                      <w:rFonts w:hint="eastAsia"/>
                      <w:color w:val="auto"/>
                      <w:szCs w:val="21"/>
                      <w:highlight w:val="none"/>
                    </w:rPr>
                    <w:t>台</w:t>
                  </w:r>
                </w:p>
              </w:tc>
              <w:tc>
                <w:tcPr>
                  <w:tcW w:w="684" w:type="dxa"/>
                  <w:tcBorders>
                    <w:tl2br w:val="nil"/>
                    <w:tr2bl w:val="nil"/>
                  </w:tcBorders>
                  <w:vAlign w:val="center"/>
                </w:tcPr>
                <w:p>
                  <w:pPr>
                    <w:pStyle w:val="84"/>
                    <w:jc w:val="center"/>
                    <w:rPr>
                      <w:color w:val="auto"/>
                      <w:szCs w:val="21"/>
                      <w:highlight w:val="none"/>
                    </w:rPr>
                  </w:pPr>
                  <w:r>
                    <w:rPr>
                      <w:rFonts w:hint="eastAsia"/>
                      <w:color w:val="auto"/>
                      <w:szCs w:val="21"/>
                      <w:highlight w:val="none"/>
                    </w:rPr>
                    <w:t>1</w:t>
                  </w:r>
                </w:p>
              </w:tc>
              <w:tc>
                <w:tcPr>
                  <w:tcW w:w="1807" w:type="dxa"/>
                  <w:tcBorders>
                    <w:tl2br w:val="nil"/>
                    <w:tr2bl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994"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吸塑机</w:t>
                  </w:r>
                </w:p>
              </w:tc>
              <w:tc>
                <w:tcPr>
                  <w:tcW w:w="900" w:type="dxa"/>
                  <w:tcBorders>
                    <w:tl2br w:val="nil"/>
                    <w:tr2bl w:val="nil"/>
                  </w:tcBorders>
                  <w:vAlign w:val="center"/>
                </w:tcPr>
                <w:p>
                  <w:pPr>
                    <w:pStyle w:val="84"/>
                    <w:jc w:val="center"/>
                    <w:rPr>
                      <w:color w:val="auto"/>
                      <w:szCs w:val="21"/>
                      <w:highlight w:val="none"/>
                    </w:rPr>
                  </w:pPr>
                  <w:r>
                    <w:rPr>
                      <w:rFonts w:hint="eastAsia"/>
                      <w:color w:val="auto"/>
                      <w:szCs w:val="21"/>
                      <w:highlight w:val="none"/>
                      <w:lang w:val="en-US"/>
                    </w:rPr>
                    <w:t>台</w:t>
                  </w:r>
                </w:p>
              </w:tc>
              <w:tc>
                <w:tcPr>
                  <w:tcW w:w="684" w:type="dxa"/>
                  <w:tcBorders>
                    <w:tl2br w:val="nil"/>
                    <w:tr2bl w:val="nil"/>
                  </w:tcBorders>
                  <w:vAlign w:val="center"/>
                </w:tcPr>
                <w:p>
                  <w:pPr>
                    <w:pStyle w:val="84"/>
                    <w:jc w:val="center"/>
                    <w:rPr>
                      <w:color w:val="auto"/>
                      <w:szCs w:val="21"/>
                      <w:highlight w:val="none"/>
                    </w:rPr>
                  </w:pPr>
                  <w:r>
                    <w:rPr>
                      <w:rFonts w:hint="eastAsia"/>
                      <w:color w:val="auto"/>
                      <w:szCs w:val="21"/>
                      <w:highlight w:val="none"/>
                      <w:lang w:val="en-US"/>
                    </w:rPr>
                    <w:t>1</w:t>
                  </w:r>
                </w:p>
              </w:tc>
              <w:tc>
                <w:tcPr>
                  <w:tcW w:w="1807" w:type="dxa"/>
                  <w:tcBorders>
                    <w:tl2br w:val="nil"/>
                    <w:tr2bl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94"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广告扣扳机</w:t>
                  </w:r>
                </w:p>
              </w:tc>
              <w:tc>
                <w:tcPr>
                  <w:tcW w:w="900" w:type="dxa"/>
                  <w:tcBorders>
                    <w:tl2br w:val="nil"/>
                    <w:tr2bl w:val="nil"/>
                  </w:tcBorders>
                  <w:vAlign w:val="center"/>
                </w:tcPr>
                <w:p>
                  <w:pPr>
                    <w:pStyle w:val="84"/>
                    <w:jc w:val="center"/>
                    <w:rPr>
                      <w:color w:val="auto"/>
                      <w:szCs w:val="21"/>
                      <w:highlight w:val="none"/>
                    </w:rPr>
                  </w:pPr>
                  <w:r>
                    <w:rPr>
                      <w:rFonts w:hint="eastAsia"/>
                      <w:color w:val="auto"/>
                      <w:szCs w:val="21"/>
                      <w:highlight w:val="none"/>
                    </w:rPr>
                    <w:t>台</w:t>
                  </w:r>
                </w:p>
              </w:tc>
              <w:tc>
                <w:tcPr>
                  <w:tcW w:w="684" w:type="dxa"/>
                  <w:tcBorders>
                    <w:tl2br w:val="nil"/>
                    <w:tr2bl w:val="nil"/>
                  </w:tcBorders>
                  <w:vAlign w:val="center"/>
                </w:tcPr>
                <w:p>
                  <w:pPr>
                    <w:pStyle w:val="84"/>
                    <w:jc w:val="center"/>
                    <w:rPr>
                      <w:color w:val="auto"/>
                      <w:szCs w:val="21"/>
                      <w:highlight w:val="none"/>
                    </w:rPr>
                  </w:pPr>
                  <w:r>
                    <w:rPr>
                      <w:rFonts w:hint="eastAsia"/>
                      <w:color w:val="auto"/>
                      <w:szCs w:val="21"/>
                      <w:highlight w:val="none"/>
                    </w:rPr>
                    <w:t>1</w:t>
                  </w:r>
                </w:p>
              </w:tc>
              <w:tc>
                <w:tcPr>
                  <w:tcW w:w="1807" w:type="dxa"/>
                  <w:tcBorders>
                    <w:tl2br w:val="nil"/>
                    <w:tr2bl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4"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静电粉末喷塑机</w:t>
                  </w:r>
                </w:p>
              </w:tc>
              <w:tc>
                <w:tcPr>
                  <w:tcW w:w="900" w:type="dxa"/>
                  <w:tcBorders>
                    <w:tl2br w:val="nil"/>
                    <w:tr2bl w:val="nil"/>
                  </w:tcBorders>
                  <w:vAlign w:val="center"/>
                </w:tcPr>
                <w:p>
                  <w:pPr>
                    <w:pStyle w:val="84"/>
                    <w:jc w:val="center"/>
                    <w:rPr>
                      <w:color w:val="auto"/>
                      <w:szCs w:val="21"/>
                      <w:highlight w:val="none"/>
                    </w:rPr>
                  </w:pPr>
                  <w:r>
                    <w:rPr>
                      <w:rFonts w:hint="eastAsia"/>
                      <w:color w:val="auto"/>
                      <w:szCs w:val="21"/>
                      <w:highlight w:val="none"/>
                    </w:rPr>
                    <w:t>台</w:t>
                  </w:r>
                </w:p>
              </w:tc>
              <w:tc>
                <w:tcPr>
                  <w:tcW w:w="684" w:type="dxa"/>
                  <w:tcBorders>
                    <w:tl2br w:val="nil"/>
                    <w:tr2bl w:val="nil"/>
                  </w:tcBorders>
                  <w:vAlign w:val="center"/>
                </w:tcPr>
                <w:p>
                  <w:pPr>
                    <w:pStyle w:val="84"/>
                    <w:jc w:val="center"/>
                    <w:rPr>
                      <w:color w:val="auto"/>
                      <w:szCs w:val="21"/>
                      <w:highlight w:val="none"/>
                    </w:rPr>
                  </w:pPr>
                  <w:r>
                    <w:rPr>
                      <w:rFonts w:hint="eastAsia"/>
                      <w:color w:val="auto"/>
                      <w:szCs w:val="21"/>
                      <w:highlight w:val="none"/>
                      <w:lang w:val="en-US"/>
                    </w:rPr>
                    <w:t>2</w:t>
                  </w:r>
                </w:p>
              </w:tc>
              <w:tc>
                <w:tcPr>
                  <w:tcW w:w="1807" w:type="dxa"/>
                  <w:tcBorders>
                    <w:tl2br w:val="nil"/>
                    <w:tr2bl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994" w:type="dxa"/>
                  <w:tcBorders>
                    <w:tl2br w:val="nil"/>
                    <w:tr2bl w:val="nil"/>
                  </w:tcBorders>
                  <w:vAlign w:val="center"/>
                </w:tcPr>
                <w:p>
                  <w:pPr>
                    <w:pStyle w:val="84"/>
                    <w:jc w:val="center"/>
                    <w:rPr>
                      <w:color w:val="auto"/>
                      <w:szCs w:val="21"/>
                      <w:highlight w:val="none"/>
                      <w:shd w:val="clear" w:color="auto" w:fill="FFFFFF"/>
                    </w:rPr>
                  </w:pPr>
                  <w:r>
                    <w:rPr>
                      <w:rFonts w:hint="eastAsia"/>
                      <w:color w:val="auto"/>
                      <w:szCs w:val="21"/>
                      <w:highlight w:val="none"/>
                      <w:shd w:val="clear" w:color="auto" w:fill="FFFFFF"/>
                    </w:rPr>
                    <w:t>塑粉回收机</w:t>
                  </w:r>
                </w:p>
              </w:tc>
              <w:tc>
                <w:tcPr>
                  <w:tcW w:w="900" w:type="dxa"/>
                  <w:tcBorders>
                    <w:tl2br w:val="nil"/>
                    <w:tr2bl w:val="nil"/>
                  </w:tcBorders>
                  <w:vAlign w:val="center"/>
                </w:tcPr>
                <w:p>
                  <w:pPr>
                    <w:pStyle w:val="84"/>
                    <w:jc w:val="center"/>
                    <w:rPr>
                      <w:color w:val="auto"/>
                      <w:szCs w:val="21"/>
                      <w:highlight w:val="none"/>
                    </w:rPr>
                  </w:pPr>
                  <w:r>
                    <w:rPr>
                      <w:rFonts w:hint="eastAsia"/>
                      <w:color w:val="auto"/>
                      <w:szCs w:val="21"/>
                      <w:highlight w:val="none"/>
                    </w:rPr>
                    <w:t>套</w:t>
                  </w:r>
                </w:p>
              </w:tc>
              <w:tc>
                <w:tcPr>
                  <w:tcW w:w="684"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1</w:t>
                  </w:r>
                </w:p>
              </w:tc>
              <w:tc>
                <w:tcPr>
                  <w:tcW w:w="1807" w:type="dxa"/>
                  <w:tcBorders>
                    <w:tl2br w:val="nil"/>
                    <w:tr2bl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4" w:type="dxa"/>
                  <w:tcBorders>
                    <w:tl2br w:val="nil"/>
                    <w:tr2bl w:val="nil"/>
                  </w:tcBorders>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lang w:val="en-US"/>
                    </w:rPr>
                    <w:t>移动式焊接烟气净化器</w:t>
                  </w:r>
                </w:p>
              </w:tc>
              <w:tc>
                <w:tcPr>
                  <w:tcW w:w="900" w:type="dxa"/>
                  <w:tcBorders>
                    <w:tl2br w:val="nil"/>
                    <w:tr2bl w:val="nil"/>
                  </w:tcBorders>
                  <w:vAlign w:val="center"/>
                </w:tcPr>
                <w:p>
                  <w:pPr>
                    <w:pStyle w:val="84"/>
                    <w:jc w:val="center"/>
                    <w:rPr>
                      <w:color w:val="auto"/>
                      <w:szCs w:val="21"/>
                      <w:highlight w:val="none"/>
                    </w:rPr>
                  </w:pPr>
                  <w:r>
                    <w:rPr>
                      <w:rFonts w:hint="eastAsia"/>
                      <w:color w:val="auto"/>
                      <w:szCs w:val="21"/>
                      <w:highlight w:val="none"/>
                    </w:rPr>
                    <w:t>台</w:t>
                  </w:r>
                </w:p>
              </w:tc>
              <w:tc>
                <w:tcPr>
                  <w:tcW w:w="684"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1</w:t>
                  </w:r>
                </w:p>
              </w:tc>
              <w:tc>
                <w:tcPr>
                  <w:tcW w:w="1807" w:type="dxa"/>
                  <w:tcBorders>
                    <w:tl2br w:val="nil"/>
                    <w:tr2bl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994" w:type="dxa"/>
                  <w:tcBorders>
                    <w:tl2br w:val="nil"/>
                    <w:tr2bl w:val="nil"/>
                  </w:tcBorders>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lang w:val="en-US"/>
                    </w:rPr>
                    <w:t>UV光解活性炭一体化设备</w:t>
                  </w:r>
                </w:p>
              </w:tc>
              <w:tc>
                <w:tcPr>
                  <w:tcW w:w="90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套</w:t>
                  </w:r>
                </w:p>
              </w:tc>
              <w:tc>
                <w:tcPr>
                  <w:tcW w:w="684"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1</w:t>
                  </w:r>
                </w:p>
              </w:tc>
              <w:tc>
                <w:tcPr>
                  <w:tcW w:w="1807"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994" w:type="dxa"/>
                  <w:tcBorders>
                    <w:tl2br w:val="nil"/>
                    <w:tr2bl w:val="nil"/>
                  </w:tcBorders>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lang w:val="en-US"/>
                    </w:rPr>
                    <w:t>风机</w:t>
                  </w:r>
                </w:p>
              </w:tc>
              <w:tc>
                <w:tcPr>
                  <w:tcW w:w="90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台</w:t>
                  </w:r>
                </w:p>
              </w:tc>
              <w:tc>
                <w:tcPr>
                  <w:tcW w:w="684"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1</w:t>
                  </w:r>
                </w:p>
              </w:tc>
              <w:tc>
                <w:tcPr>
                  <w:tcW w:w="1807"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10000m</w:t>
                  </w:r>
                  <w:r>
                    <w:rPr>
                      <w:rFonts w:hint="eastAsia"/>
                      <w:color w:val="auto"/>
                      <w:szCs w:val="21"/>
                      <w:highlight w:val="none"/>
                      <w:vertAlign w:val="superscript"/>
                      <w:lang w:val="en-US"/>
                    </w:rPr>
                    <w:t>3</w:t>
                  </w:r>
                  <w:r>
                    <w:rPr>
                      <w:rFonts w:hint="eastAsia"/>
                      <w:color w:val="auto"/>
                      <w:szCs w:val="21"/>
                      <w:highlight w:val="none"/>
                      <w:lang w:val="en-US"/>
                    </w:rPr>
                    <w:t>/h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994" w:type="dxa"/>
                  <w:tcBorders>
                    <w:tl2br w:val="nil"/>
                    <w:tr2bl w:val="nil"/>
                  </w:tcBorders>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lang w:val="en-US"/>
                    </w:rPr>
                    <w:t>水帘柜</w:t>
                  </w:r>
                </w:p>
              </w:tc>
              <w:tc>
                <w:tcPr>
                  <w:tcW w:w="90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台</w:t>
                  </w:r>
                </w:p>
              </w:tc>
              <w:tc>
                <w:tcPr>
                  <w:tcW w:w="684"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1</w:t>
                  </w:r>
                </w:p>
              </w:tc>
              <w:tc>
                <w:tcPr>
                  <w:tcW w:w="1807"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w:t>
                  </w:r>
                </w:p>
              </w:tc>
            </w:tr>
          </w:tbl>
          <w:p>
            <w:pPr>
              <w:autoSpaceDE w:val="0"/>
              <w:autoSpaceDN w:val="0"/>
              <w:adjustRightInd w:val="0"/>
              <w:spacing w:line="360" w:lineRule="auto"/>
              <w:rPr>
                <w:b/>
                <w:color w:val="auto"/>
                <w:sz w:val="24"/>
                <w:highlight w:val="none"/>
              </w:rPr>
            </w:pPr>
            <w:r>
              <w:rPr>
                <w:rFonts w:hint="eastAsia"/>
                <w:b/>
                <w:color w:val="auto"/>
                <w:sz w:val="24"/>
                <w:highlight w:val="none"/>
              </w:rPr>
              <w:t>7、主要原辅材料及能耗</w:t>
            </w:r>
          </w:p>
          <w:p>
            <w:pPr>
              <w:spacing w:line="360" w:lineRule="auto"/>
              <w:ind w:firstLine="480" w:firstLineChars="200"/>
              <w:rPr>
                <w:rFonts w:hAnsi="宋体"/>
                <w:b/>
                <w:color w:val="auto"/>
                <w:sz w:val="24"/>
                <w:highlight w:val="none"/>
              </w:rPr>
            </w:pPr>
            <w:r>
              <w:rPr>
                <w:rFonts w:hint="eastAsia"/>
                <w:bCs/>
                <w:color w:val="auto"/>
                <w:sz w:val="24"/>
                <w:highlight w:val="none"/>
              </w:rPr>
              <w:t>本项目生产的家具产品不涉及金属配件的使用，部分家具若顾客要求使用金属配件，由顾客自行购买，在房屋内进行安装或组装。项目</w:t>
            </w:r>
            <w:r>
              <w:rPr>
                <w:bCs/>
                <w:color w:val="auto"/>
                <w:sz w:val="24"/>
                <w:highlight w:val="none"/>
              </w:rPr>
              <w:t>主要原辅材料</w:t>
            </w:r>
            <w:r>
              <w:rPr>
                <w:rFonts w:hint="eastAsia"/>
                <w:bCs/>
                <w:color w:val="auto"/>
                <w:sz w:val="24"/>
                <w:highlight w:val="none"/>
              </w:rPr>
              <w:t>及能源消耗</w:t>
            </w:r>
            <w:r>
              <w:rPr>
                <w:bCs/>
                <w:color w:val="auto"/>
                <w:sz w:val="24"/>
                <w:highlight w:val="none"/>
              </w:rPr>
              <w:t>情况详见表</w:t>
            </w:r>
            <w:r>
              <w:rPr>
                <w:rFonts w:hint="eastAsia"/>
                <w:bCs/>
                <w:color w:val="auto"/>
                <w:sz w:val="24"/>
                <w:highlight w:val="none"/>
              </w:rPr>
              <w:t>2-7</w:t>
            </w:r>
            <w:r>
              <w:rPr>
                <w:rFonts w:hint="eastAsia" w:hAnsi="宋体"/>
                <w:color w:val="auto"/>
                <w:sz w:val="24"/>
                <w:highlight w:val="none"/>
              </w:rPr>
              <w:t>。</w:t>
            </w:r>
          </w:p>
          <w:p>
            <w:pPr>
              <w:adjustRightInd w:val="0"/>
              <w:snapToGrid w:val="0"/>
              <w:jc w:val="center"/>
              <w:rPr>
                <w:rFonts w:hAnsi="宋体"/>
                <w:b/>
                <w:color w:val="auto"/>
                <w:szCs w:val="21"/>
                <w:highlight w:val="none"/>
              </w:rPr>
            </w:pPr>
            <w:r>
              <w:rPr>
                <w:rFonts w:hAnsi="宋体"/>
                <w:b/>
                <w:color w:val="auto"/>
                <w:szCs w:val="21"/>
                <w:highlight w:val="none"/>
              </w:rPr>
              <w:t>表</w:t>
            </w:r>
            <w:r>
              <w:rPr>
                <w:rFonts w:hint="eastAsia" w:hAnsi="宋体"/>
                <w:b/>
                <w:color w:val="auto"/>
                <w:szCs w:val="21"/>
                <w:highlight w:val="none"/>
              </w:rPr>
              <w:t xml:space="preserve">2-7  </w:t>
            </w:r>
            <w:r>
              <w:rPr>
                <w:rFonts w:hAnsi="宋体"/>
                <w:b/>
                <w:color w:val="auto"/>
                <w:szCs w:val="21"/>
                <w:highlight w:val="none"/>
              </w:rPr>
              <w:t>主要原辅材料</w:t>
            </w:r>
            <w:r>
              <w:rPr>
                <w:rFonts w:hint="eastAsia" w:hAnsi="宋体"/>
                <w:b/>
                <w:color w:val="auto"/>
                <w:szCs w:val="21"/>
                <w:highlight w:val="none"/>
              </w:rPr>
              <w:t>及能源</w:t>
            </w:r>
            <w:r>
              <w:rPr>
                <w:rFonts w:hAnsi="宋体"/>
                <w:b/>
                <w:color w:val="auto"/>
                <w:szCs w:val="21"/>
                <w:highlight w:val="none"/>
              </w:rPr>
              <w:t>消耗情况表</w:t>
            </w:r>
          </w:p>
          <w:tbl>
            <w:tblPr>
              <w:tblStyle w:val="25"/>
              <w:tblW w:w="71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64"/>
              <w:gridCol w:w="1424"/>
              <w:gridCol w:w="1431"/>
              <w:gridCol w:w="1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77" w:type="dxa"/>
                  <w:tcBorders>
                    <w:tl2br w:val="nil"/>
                    <w:tr2bl w:val="nil"/>
                  </w:tcBorders>
                  <w:vAlign w:val="center"/>
                </w:tcPr>
                <w:p>
                  <w:pPr>
                    <w:jc w:val="center"/>
                    <w:rPr>
                      <w:rFonts w:hAnsi="宋体"/>
                      <w:color w:val="auto"/>
                      <w:szCs w:val="21"/>
                      <w:highlight w:val="none"/>
                    </w:rPr>
                  </w:pPr>
                  <w:r>
                    <w:rPr>
                      <w:rFonts w:hint="eastAsia" w:hAnsi="宋体"/>
                      <w:color w:val="auto"/>
                      <w:szCs w:val="21"/>
                      <w:highlight w:val="none"/>
                    </w:rPr>
                    <w:t>类别</w:t>
                  </w:r>
                </w:p>
              </w:tc>
              <w:tc>
                <w:tcPr>
                  <w:tcW w:w="1764" w:type="dxa"/>
                  <w:tcBorders>
                    <w:tl2br w:val="nil"/>
                    <w:tr2bl w:val="nil"/>
                  </w:tcBorders>
                  <w:vAlign w:val="center"/>
                </w:tcPr>
                <w:p>
                  <w:pPr>
                    <w:jc w:val="center"/>
                    <w:rPr>
                      <w:color w:val="auto"/>
                      <w:szCs w:val="21"/>
                      <w:highlight w:val="none"/>
                    </w:rPr>
                  </w:pPr>
                  <w:r>
                    <w:rPr>
                      <w:rFonts w:hint="eastAsia" w:hAnsi="宋体"/>
                      <w:color w:val="auto"/>
                      <w:szCs w:val="21"/>
                      <w:highlight w:val="none"/>
                    </w:rPr>
                    <w:t>原料</w:t>
                  </w:r>
                  <w:r>
                    <w:rPr>
                      <w:rFonts w:hAnsi="宋体"/>
                      <w:color w:val="auto"/>
                      <w:szCs w:val="21"/>
                      <w:highlight w:val="none"/>
                    </w:rPr>
                    <w:t>名称</w:t>
                  </w:r>
                </w:p>
              </w:tc>
              <w:tc>
                <w:tcPr>
                  <w:tcW w:w="1424" w:type="dxa"/>
                  <w:tcBorders>
                    <w:tl2br w:val="nil"/>
                    <w:tr2bl w:val="nil"/>
                  </w:tcBorders>
                  <w:vAlign w:val="center"/>
                </w:tcPr>
                <w:p>
                  <w:pPr>
                    <w:jc w:val="center"/>
                    <w:rPr>
                      <w:color w:val="auto"/>
                      <w:szCs w:val="21"/>
                      <w:highlight w:val="none"/>
                    </w:rPr>
                  </w:pPr>
                  <w:r>
                    <w:rPr>
                      <w:rFonts w:hint="eastAsia" w:hAnsi="宋体"/>
                      <w:color w:val="auto"/>
                      <w:szCs w:val="21"/>
                      <w:highlight w:val="none"/>
                    </w:rPr>
                    <w:t>消</w:t>
                  </w:r>
                  <w:r>
                    <w:rPr>
                      <w:rFonts w:hAnsi="宋体"/>
                      <w:color w:val="auto"/>
                      <w:szCs w:val="21"/>
                      <w:highlight w:val="none"/>
                    </w:rPr>
                    <w:t>耗量</w:t>
                  </w:r>
                </w:p>
              </w:tc>
              <w:tc>
                <w:tcPr>
                  <w:tcW w:w="1431" w:type="dxa"/>
                  <w:tcBorders>
                    <w:tl2br w:val="nil"/>
                    <w:tr2bl w:val="nil"/>
                  </w:tcBorders>
                  <w:vAlign w:val="center"/>
                </w:tcPr>
                <w:p>
                  <w:pPr>
                    <w:jc w:val="center"/>
                    <w:rPr>
                      <w:rFonts w:hAnsi="宋体"/>
                      <w:color w:val="auto"/>
                      <w:szCs w:val="21"/>
                      <w:highlight w:val="none"/>
                    </w:rPr>
                  </w:pPr>
                  <w:r>
                    <w:rPr>
                      <w:rFonts w:hint="eastAsia" w:hAnsi="宋体"/>
                      <w:color w:val="auto"/>
                      <w:szCs w:val="21"/>
                      <w:highlight w:val="none"/>
                    </w:rPr>
                    <w:t>最大储存量</w:t>
                  </w:r>
                </w:p>
              </w:tc>
              <w:tc>
                <w:tcPr>
                  <w:tcW w:w="1906" w:type="dxa"/>
                  <w:tcBorders>
                    <w:tl2br w:val="nil"/>
                    <w:tr2bl w:val="nil"/>
                  </w:tcBorders>
                  <w:vAlign w:val="center"/>
                </w:tcPr>
                <w:p>
                  <w:pPr>
                    <w:jc w:val="center"/>
                    <w:rPr>
                      <w:rFonts w:hAnsi="宋体"/>
                      <w:color w:val="auto"/>
                      <w:szCs w:val="21"/>
                      <w:highlight w:val="none"/>
                    </w:rPr>
                  </w:pPr>
                  <w:r>
                    <w:rPr>
                      <w:rFonts w:hint="eastAsia"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vMerge w:val="restart"/>
                  <w:tcBorders>
                    <w:tl2br w:val="nil"/>
                    <w:tr2bl w:val="nil"/>
                  </w:tcBorders>
                  <w:vAlign w:val="center"/>
                </w:tcPr>
                <w:p>
                  <w:pPr>
                    <w:jc w:val="center"/>
                    <w:rPr>
                      <w:color w:val="auto"/>
                      <w:szCs w:val="21"/>
                      <w:highlight w:val="none"/>
                    </w:rPr>
                  </w:pPr>
                  <w:r>
                    <w:rPr>
                      <w:rFonts w:hint="eastAsia"/>
                      <w:color w:val="auto"/>
                      <w:szCs w:val="21"/>
                      <w:highlight w:val="none"/>
                    </w:rPr>
                    <w:t>原辅材料</w:t>
                  </w: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方管钢材</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50t/a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5t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镀锌板</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50 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5t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亚克力板</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10t/a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2t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灯带</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2000个/年</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1000个</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外购，用于部分发光标牌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水性油漆</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0.18 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0.1t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加水稀释比例5:1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油性油漆</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0.26t/a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0.1t</w:t>
                  </w:r>
                </w:p>
              </w:tc>
              <w:tc>
                <w:tcPr>
                  <w:tcW w:w="1906" w:type="dxa"/>
                  <w:vMerge w:val="restart"/>
                  <w:tcBorders>
                    <w:tl2br w:val="nil"/>
                    <w:tr2bl w:val="nil"/>
                  </w:tcBorders>
                  <w:vAlign w:val="center"/>
                </w:tcPr>
                <w:p>
                  <w:pPr>
                    <w:jc w:val="center"/>
                    <w:rPr>
                      <w:color w:val="auto"/>
                      <w:szCs w:val="21"/>
                      <w:highlight w:val="none"/>
                    </w:rPr>
                  </w:pPr>
                </w:p>
                <w:p>
                  <w:pPr>
                    <w:jc w:val="center"/>
                    <w:rPr>
                      <w:color w:val="auto"/>
                      <w:szCs w:val="21"/>
                      <w:highlight w:val="none"/>
                    </w:rPr>
                  </w:pPr>
                  <w:r>
                    <w:rPr>
                      <w:rFonts w:hint="eastAsia"/>
                      <w:color w:val="auto"/>
                      <w:szCs w:val="21"/>
                      <w:highlight w:val="none"/>
                    </w:rPr>
                    <w:t>油漆：稀释剂=1:0.8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稀释剂</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0.208</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0.1t</w:t>
                  </w:r>
                </w:p>
              </w:tc>
              <w:tc>
                <w:tcPr>
                  <w:tcW w:w="1906" w:type="dxa"/>
                  <w:vMerge w:val="continue"/>
                  <w:tcBorders>
                    <w:tl2br w:val="nil"/>
                    <w:tr2bl w:val="nil"/>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粉末涂料</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0.2t/a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0.1t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水性油墨</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0.1t/a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0.1t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用于丝网印刷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焊丝</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50kg/a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50kg</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外购，用于焊接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润滑油</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0.05t/a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0.05t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设备维护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活性炭</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0.368t/a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1906" w:type="dxa"/>
                  <w:vMerge w:val="restart"/>
                  <w:tcBorders>
                    <w:tl2br w:val="nil"/>
                    <w:tr2bl w:val="nil"/>
                  </w:tcBorders>
                  <w:vAlign w:val="center"/>
                </w:tcPr>
                <w:p>
                  <w:pPr>
                    <w:jc w:val="center"/>
                    <w:rPr>
                      <w:color w:val="auto"/>
                      <w:szCs w:val="21"/>
                      <w:highlight w:val="none"/>
                    </w:rPr>
                  </w:pPr>
                  <w:r>
                    <w:rPr>
                      <w:rFonts w:hint="eastAsia"/>
                      <w:color w:val="auto"/>
                      <w:szCs w:val="21"/>
                      <w:highlight w:val="none"/>
                    </w:rPr>
                    <w:t>废气处理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UV灯管</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0.01t/a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1906" w:type="dxa"/>
                  <w:vMerge w:val="continue"/>
                  <w:tcBorders>
                    <w:tl2br w:val="nil"/>
                    <w:tr2bl w:val="nil"/>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酒精</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2000mL</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2000mL</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擦洗广告牌污渍用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lang w:eastAsia="zh-CN"/>
                    </w:rPr>
                    <w:t>滤芯</w:t>
                  </w:r>
                </w:p>
              </w:tc>
              <w:tc>
                <w:tcPr>
                  <w:tcW w:w="1424" w:type="dxa"/>
                  <w:tcBorders>
                    <w:tl2br w:val="nil"/>
                    <w:tr2bl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0.008t/a</w:t>
                  </w:r>
                </w:p>
              </w:tc>
              <w:tc>
                <w:tcPr>
                  <w:tcW w:w="1431" w:type="dxa"/>
                  <w:tcBorders>
                    <w:tl2br w:val="nil"/>
                    <w:tr2bl w:val="nil"/>
                  </w:tcBorders>
                  <w:vAlign w:val="center"/>
                </w:tcPr>
                <w:p>
                  <w:pPr>
                    <w:jc w:val="center"/>
                    <w:rPr>
                      <w:rFonts w:hint="eastAsia"/>
                      <w:color w:val="auto"/>
                      <w:szCs w:val="21"/>
                      <w:highlight w:val="none"/>
                    </w:rPr>
                  </w:pPr>
                  <w:r>
                    <w:rPr>
                      <w:rFonts w:hint="eastAsia"/>
                      <w:color w:val="auto"/>
                      <w:szCs w:val="21"/>
                      <w:highlight w:val="none"/>
                      <w:lang w:val="en-US" w:eastAsia="zh-CN"/>
                    </w:rPr>
                    <w:t>0.008t/a</w:t>
                  </w:r>
                </w:p>
              </w:tc>
              <w:tc>
                <w:tcPr>
                  <w:tcW w:w="1906" w:type="dxa"/>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lang w:eastAsia="zh-CN"/>
                    </w:rPr>
                    <w:t>焊接烟气净化器滤芯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77" w:type="dxa"/>
                  <w:vMerge w:val="restart"/>
                  <w:tcBorders>
                    <w:tl2br w:val="nil"/>
                    <w:tr2bl w:val="nil"/>
                  </w:tcBorders>
                  <w:vAlign w:val="center"/>
                </w:tcPr>
                <w:p>
                  <w:pPr>
                    <w:jc w:val="center"/>
                    <w:rPr>
                      <w:color w:val="auto"/>
                      <w:szCs w:val="21"/>
                      <w:highlight w:val="none"/>
                    </w:rPr>
                  </w:pPr>
                  <w:r>
                    <w:rPr>
                      <w:rFonts w:hint="eastAsia"/>
                      <w:color w:val="auto"/>
                      <w:szCs w:val="21"/>
                      <w:highlight w:val="none"/>
                    </w:rPr>
                    <w:t>能耗</w:t>
                  </w: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水</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312.263 m</w:t>
                  </w:r>
                  <w:r>
                    <w:rPr>
                      <w:rFonts w:hint="eastAsia"/>
                      <w:color w:val="auto"/>
                      <w:szCs w:val="21"/>
                      <w:highlight w:val="none"/>
                      <w:vertAlign w:val="superscript"/>
                    </w:rPr>
                    <w:t>3</w:t>
                  </w:r>
                  <w:r>
                    <w:rPr>
                      <w:rFonts w:hint="eastAsia"/>
                      <w:color w:val="auto"/>
                      <w:szCs w:val="21"/>
                      <w:highlight w:val="none"/>
                    </w:rPr>
                    <w:t>/a</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自来水公司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电</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8万度/年</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电力公司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vMerge w:val="continue"/>
                  <w:tcBorders>
                    <w:tl2br w:val="nil"/>
                    <w:tr2bl w:val="nil"/>
                  </w:tcBorders>
                  <w:vAlign w:val="center"/>
                </w:tcPr>
                <w:p>
                  <w:pPr>
                    <w:jc w:val="center"/>
                    <w:rPr>
                      <w:color w:val="auto"/>
                      <w:szCs w:val="21"/>
                      <w:highlight w:val="none"/>
                    </w:rPr>
                  </w:pPr>
                </w:p>
              </w:tc>
              <w:tc>
                <w:tcPr>
                  <w:tcW w:w="1764" w:type="dxa"/>
                  <w:tcBorders>
                    <w:tl2br w:val="nil"/>
                    <w:tr2bl w:val="nil"/>
                  </w:tcBorders>
                  <w:vAlign w:val="center"/>
                </w:tcPr>
                <w:p>
                  <w:pPr>
                    <w:jc w:val="center"/>
                    <w:rPr>
                      <w:color w:val="auto"/>
                      <w:szCs w:val="21"/>
                      <w:highlight w:val="none"/>
                    </w:rPr>
                  </w:pPr>
                  <w:r>
                    <w:rPr>
                      <w:rFonts w:hint="eastAsia"/>
                      <w:color w:val="auto"/>
                      <w:szCs w:val="21"/>
                      <w:highlight w:val="none"/>
                    </w:rPr>
                    <w:t>液化气</w:t>
                  </w:r>
                </w:p>
              </w:tc>
              <w:tc>
                <w:tcPr>
                  <w:tcW w:w="1424" w:type="dxa"/>
                  <w:tcBorders>
                    <w:tl2br w:val="nil"/>
                    <w:tr2bl w:val="nil"/>
                  </w:tcBorders>
                  <w:vAlign w:val="center"/>
                </w:tcPr>
                <w:p>
                  <w:pPr>
                    <w:jc w:val="center"/>
                    <w:rPr>
                      <w:color w:val="auto"/>
                      <w:szCs w:val="21"/>
                      <w:highlight w:val="none"/>
                    </w:rPr>
                  </w:pPr>
                  <w:r>
                    <w:rPr>
                      <w:rFonts w:hint="eastAsia"/>
                      <w:color w:val="auto"/>
                      <w:szCs w:val="21"/>
                      <w:highlight w:val="none"/>
                    </w:rPr>
                    <w:t>200m</w:t>
                  </w:r>
                  <w:r>
                    <w:rPr>
                      <w:rFonts w:hint="eastAsia"/>
                      <w:color w:val="auto"/>
                      <w:szCs w:val="21"/>
                      <w:highlight w:val="none"/>
                      <w:vertAlign w:val="superscript"/>
                    </w:rPr>
                    <w:t>3</w:t>
                  </w:r>
                  <w:r>
                    <w:rPr>
                      <w:rFonts w:hint="eastAsia"/>
                      <w:color w:val="auto"/>
                      <w:szCs w:val="21"/>
                      <w:highlight w:val="none"/>
                    </w:rPr>
                    <w:t>/年</w:t>
                  </w:r>
                </w:p>
              </w:tc>
              <w:tc>
                <w:tcPr>
                  <w:tcW w:w="1431" w:type="dxa"/>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1906" w:type="dxa"/>
                  <w:tcBorders>
                    <w:tl2br w:val="nil"/>
                    <w:tr2bl w:val="nil"/>
                  </w:tcBorders>
                  <w:vAlign w:val="center"/>
                </w:tcPr>
                <w:p>
                  <w:pPr>
                    <w:jc w:val="center"/>
                    <w:rPr>
                      <w:color w:val="auto"/>
                      <w:szCs w:val="21"/>
                      <w:highlight w:val="none"/>
                    </w:rPr>
                  </w:pPr>
                  <w:r>
                    <w:rPr>
                      <w:rFonts w:hint="eastAsia"/>
                      <w:color w:val="auto"/>
                      <w:szCs w:val="21"/>
                      <w:highlight w:val="none"/>
                    </w:rPr>
                    <w:t>外购</w:t>
                  </w:r>
                </w:p>
              </w:tc>
            </w:tr>
          </w:tbl>
          <w:p>
            <w:pPr>
              <w:widowControl/>
              <w:spacing w:line="360" w:lineRule="auto"/>
              <w:jc w:val="left"/>
              <w:rPr>
                <w:rFonts w:cs="Arial"/>
                <w:color w:val="auto"/>
                <w:sz w:val="24"/>
                <w:highlight w:val="none"/>
                <w:shd w:val="clear" w:color="auto" w:fill="FFFFFF"/>
              </w:rPr>
            </w:pPr>
            <w:r>
              <w:rPr>
                <w:rFonts w:hint="eastAsia" w:cs="Arial"/>
                <w:b/>
                <w:bCs/>
                <w:color w:val="auto"/>
                <w:sz w:val="24"/>
                <w:highlight w:val="none"/>
                <w:shd w:val="clear" w:color="auto" w:fill="FFFFFF"/>
              </w:rPr>
              <w:t>水性油漆：</w:t>
            </w:r>
            <w:r>
              <w:rPr>
                <w:rFonts w:hint="eastAsia" w:cs="Arial"/>
                <w:color w:val="auto"/>
                <w:sz w:val="24"/>
                <w:highlight w:val="none"/>
                <w:shd w:val="clear" w:color="auto" w:fill="FFFFFF"/>
              </w:rPr>
              <w:t>指以水稀释剂、挥发性有机物含量低的涂料，不含苯、甲苯、二甲苯、甲醛、游离TDI有毒重金属，无毒无刺激气味，对人体无害，不污染环境，漆膜丰满、晶莹透亮、柔韧性好并且具有耐水、耐磨、耐老化、耐黄变、干燥快、使用方便等特点。可使用在：木器、金属、塑料、玻璃、建筑表面等多种材质上。本项目使用的油漆中挥发性有机物固含量按</w:t>
            </w:r>
            <w:r>
              <w:rPr>
                <w:rFonts w:hint="eastAsia" w:cs="Arial"/>
                <w:color w:val="auto"/>
                <w:sz w:val="24"/>
                <w:highlight w:val="none"/>
                <w:shd w:val="clear" w:color="auto" w:fill="FFFFFF"/>
                <w:lang w:val="en-US" w:eastAsia="zh-CN"/>
              </w:rPr>
              <w:t>15</w:t>
            </w:r>
            <w:r>
              <w:rPr>
                <w:rFonts w:hint="eastAsia" w:cs="Arial"/>
                <w:color w:val="auto"/>
                <w:sz w:val="24"/>
                <w:highlight w:val="none"/>
                <w:shd w:val="clear" w:color="auto" w:fill="FFFFFF"/>
              </w:rPr>
              <w:t>%计。</w:t>
            </w:r>
          </w:p>
          <w:p>
            <w:pPr>
              <w:widowControl/>
              <w:spacing w:line="360" w:lineRule="auto"/>
              <w:jc w:val="left"/>
              <w:rPr>
                <w:color w:val="auto"/>
                <w:sz w:val="24"/>
                <w:highlight w:val="none"/>
              </w:rPr>
            </w:pPr>
            <w:r>
              <w:rPr>
                <w:color w:val="auto"/>
                <w:kern w:val="0"/>
                <w:sz w:val="24"/>
                <w:highlight w:val="none"/>
                <w:lang w:bidi="ar"/>
              </w:rPr>
              <w:t>根据MSDS报告，</w:t>
            </w:r>
            <w:r>
              <w:rPr>
                <w:rFonts w:hint="eastAsia"/>
                <w:color w:val="auto"/>
                <w:kern w:val="0"/>
                <w:sz w:val="24"/>
                <w:highlight w:val="none"/>
                <w:lang w:bidi="ar"/>
              </w:rPr>
              <w:t>稀释剂</w:t>
            </w:r>
            <w:r>
              <w:rPr>
                <w:color w:val="auto"/>
                <w:kern w:val="0"/>
                <w:sz w:val="24"/>
                <w:highlight w:val="none"/>
                <w:lang w:bidi="ar"/>
              </w:rPr>
              <w:t>成分为：</w:t>
            </w:r>
          </w:p>
          <w:p>
            <w:pPr>
              <w:tabs>
                <w:tab w:val="left" w:pos="1021"/>
                <w:tab w:val="left" w:pos="3495"/>
              </w:tabs>
              <w:snapToGrid w:val="0"/>
              <w:jc w:val="center"/>
              <w:rPr>
                <w:b/>
                <w:color w:val="auto"/>
                <w:szCs w:val="21"/>
                <w:highlight w:val="none"/>
              </w:rPr>
            </w:pPr>
            <w:r>
              <w:rPr>
                <w:rFonts w:hint="eastAsia"/>
                <w:b/>
                <w:color w:val="auto"/>
                <w:szCs w:val="21"/>
                <w:highlight w:val="none"/>
              </w:rPr>
              <w:t>表2-</w:t>
            </w:r>
            <w:r>
              <w:rPr>
                <w:rFonts w:hint="eastAsia"/>
                <w:b/>
                <w:color w:val="auto"/>
                <w:szCs w:val="21"/>
                <w:highlight w:val="none"/>
                <w:lang w:val="en-US" w:eastAsia="zh-CN"/>
              </w:rPr>
              <w:t>8</w:t>
            </w:r>
            <w:r>
              <w:rPr>
                <w:rFonts w:hint="eastAsia"/>
                <w:b/>
                <w:color w:val="auto"/>
                <w:szCs w:val="21"/>
                <w:highlight w:val="none"/>
              </w:rPr>
              <w:t xml:space="preserve">  稀释剂成分表</w:t>
            </w:r>
          </w:p>
          <w:tbl>
            <w:tblPr>
              <w:tblStyle w:val="26"/>
              <w:tblW w:w="79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72"/>
              <w:gridCol w:w="3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72"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危害物品成分名称</w:t>
                  </w:r>
                </w:p>
              </w:tc>
              <w:tc>
                <w:tcPr>
                  <w:tcW w:w="3973"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浓度或浓度范围（%）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2"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醋酸乙酯</w:t>
                  </w:r>
                </w:p>
              </w:tc>
              <w:tc>
                <w:tcPr>
                  <w:tcW w:w="3973"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15-20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2"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醋酸丁酯</w:t>
                  </w:r>
                </w:p>
              </w:tc>
              <w:tc>
                <w:tcPr>
                  <w:tcW w:w="3973"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20-30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2"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二甲苯</w:t>
                  </w:r>
                </w:p>
              </w:tc>
              <w:tc>
                <w:tcPr>
                  <w:tcW w:w="3973"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45-50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72"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乙二醇单丁醚</w:t>
                  </w:r>
                </w:p>
              </w:tc>
              <w:tc>
                <w:tcPr>
                  <w:tcW w:w="3973"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20-30</w:t>
                  </w:r>
                </w:p>
              </w:tc>
            </w:tr>
          </w:tbl>
          <w:p>
            <w:pPr>
              <w:autoSpaceDE w:val="0"/>
              <w:autoSpaceDN w:val="0"/>
              <w:adjustRightInd w:val="0"/>
              <w:spacing w:line="360" w:lineRule="auto"/>
              <w:rPr>
                <w:b/>
                <w:color w:val="auto"/>
                <w:sz w:val="24"/>
                <w:highlight w:val="none"/>
              </w:rPr>
            </w:pPr>
            <w:r>
              <w:rPr>
                <w:rFonts w:hint="eastAsia"/>
                <w:b/>
                <w:color w:val="auto"/>
                <w:sz w:val="24"/>
                <w:highlight w:val="none"/>
              </w:rPr>
              <w:t>8、厂区平面布置</w:t>
            </w:r>
          </w:p>
          <w:p>
            <w:pPr>
              <w:snapToGrid w:val="0"/>
              <w:spacing w:line="360" w:lineRule="auto"/>
              <w:ind w:firstLine="480" w:firstLineChars="200"/>
              <w:rPr>
                <w:snapToGrid w:val="0"/>
                <w:color w:val="auto"/>
                <w:kern w:val="0"/>
                <w:sz w:val="24"/>
                <w:highlight w:val="none"/>
              </w:rPr>
            </w:pPr>
            <w:bookmarkStart w:id="6" w:name="_Toc272092352"/>
            <w:r>
              <w:rPr>
                <w:rFonts w:hint="eastAsia"/>
                <w:snapToGrid w:val="0"/>
                <w:color w:val="auto"/>
                <w:kern w:val="0"/>
                <w:sz w:val="24"/>
                <w:highlight w:val="none"/>
              </w:rPr>
              <w:t>根据厂区平面布置图，项目租赁厂房东部从北往南依次为吸塑区、焊制区、雕刻区、激光切割区、原料堆放区（方管钢材、镀锌板等）、喷粉房；厂房中部从北往南依次为原料堆放区（亚克力板、电路等）、产品堆放区、烤房；厂房西部从北往南依次为大门、设计室、办公室、危废间、油漆仓库、喷漆房（丝网印刷位于喷漆房内）；烟囱位于厂房西部外3m处。</w:t>
            </w:r>
            <w:bookmarkEnd w:id="6"/>
          </w:p>
          <w:p>
            <w:pPr>
              <w:pStyle w:val="111"/>
              <w:ind w:firstLine="480"/>
              <w:rPr>
                <w:color w:val="auto"/>
                <w:sz w:val="24"/>
                <w:szCs w:val="24"/>
                <w:highlight w:val="none"/>
              </w:rPr>
            </w:pPr>
            <w:r>
              <w:rPr>
                <w:rFonts w:hint="eastAsia"/>
                <w:color w:val="auto"/>
                <w:kern w:val="0"/>
                <w:sz w:val="24"/>
                <w:highlight w:val="none"/>
              </w:rPr>
              <w:t>项目平面布置总体上简洁整齐，同时兼顾实用性；</w:t>
            </w:r>
            <w:r>
              <w:rPr>
                <w:rFonts w:hint="eastAsia"/>
                <w:color w:val="auto"/>
                <w:sz w:val="24"/>
                <w:highlight w:val="none"/>
              </w:rPr>
              <w:t>厂房内各功能分区布局以工艺专门化为设计原则，合理安排车间布局，功能分区合理、动力负荷集中、工艺流程顺畅、人货分流通畅、生产管理方便，符合环保、防火、安全、卫生的要求，</w:t>
            </w:r>
            <w:r>
              <w:rPr>
                <w:rFonts w:hint="eastAsia"/>
                <w:color w:val="auto"/>
                <w:kern w:val="0"/>
                <w:sz w:val="24"/>
                <w:highlight w:val="none"/>
              </w:rPr>
              <w:t>布置较为合理</w:t>
            </w:r>
            <w:r>
              <w:rPr>
                <w:rFonts w:hint="eastAsia"/>
                <w:snapToGrid w:val="0"/>
                <w:color w:val="auto"/>
                <w:kern w:val="0"/>
                <w:sz w:val="24"/>
                <w:szCs w:val="24"/>
                <w:highlight w:val="none"/>
              </w:rPr>
              <w:t>。</w:t>
            </w:r>
          </w:p>
          <w:p>
            <w:pPr>
              <w:autoSpaceDE w:val="0"/>
              <w:autoSpaceDN w:val="0"/>
              <w:adjustRightInd w:val="0"/>
              <w:spacing w:line="360" w:lineRule="auto"/>
              <w:rPr>
                <w:b/>
                <w:color w:val="auto"/>
                <w:sz w:val="24"/>
                <w:highlight w:val="none"/>
              </w:rPr>
            </w:pPr>
            <w:r>
              <w:rPr>
                <w:rFonts w:hint="eastAsia"/>
                <w:b/>
                <w:color w:val="auto"/>
                <w:sz w:val="24"/>
                <w:highlight w:val="none"/>
              </w:rPr>
              <w:t>9、劳动定员及工作制度</w:t>
            </w:r>
          </w:p>
          <w:p>
            <w:pPr>
              <w:adjustRightInd w:val="0"/>
              <w:snapToGrid w:val="0"/>
              <w:spacing w:line="360" w:lineRule="auto"/>
              <w:ind w:firstLine="480" w:firstLineChars="200"/>
              <w:rPr>
                <w:color w:val="auto"/>
                <w:sz w:val="24"/>
                <w:highlight w:val="none"/>
              </w:rPr>
            </w:pPr>
            <w:r>
              <w:rPr>
                <w:rFonts w:hAnsi="宋体"/>
                <w:color w:val="auto"/>
                <w:sz w:val="24"/>
                <w:highlight w:val="none"/>
              </w:rPr>
              <w:t>项目</w:t>
            </w:r>
            <w:r>
              <w:rPr>
                <w:rFonts w:hint="eastAsia" w:hAnsi="宋体"/>
                <w:color w:val="auto"/>
                <w:sz w:val="24"/>
                <w:highlight w:val="none"/>
              </w:rPr>
              <w:t>劳动定员</w:t>
            </w:r>
            <w:r>
              <w:rPr>
                <w:rFonts w:hint="eastAsia"/>
                <w:color w:val="auto"/>
                <w:sz w:val="24"/>
                <w:highlight w:val="none"/>
              </w:rPr>
              <w:t>10</w:t>
            </w:r>
            <w:r>
              <w:rPr>
                <w:rFonts w:hAnsi="宋体"/>
                <w:color w:val="auto"/>
                <w:sz w:val="24"/>
                <w:highlight w:val="none"/>
              </w:rPr>
              <w:t>人</w:t>
            </w:r>
            <w:r>
              <w:rPr>
                <w:rFonts w:hint="eastAsia" w:hAnsi="宋体"/>
                <w:color w:val="auto"/>
                <w:sz w:val="24"/>
                <w:highlight w:val="none"/>
              </w:rPr>
              <w:t>，不在厂内食宿</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项目实行8小时工作制，预计年生产300天，夜间不生产。</w:t>
            </w:r>
          </w:p>
          <w:p>
            <w:pPr>
              <w:autoSpaceDE w:val="0"/>
              <w:autoSpaceDN w:val="0"/>
              <w:adjustRightInd w:val="0"/>
              <w:spacing w:line="360" w:lineRule="auto"/>
              <w:rPr>
                <w:b/>
                <w:bCs/>
                <w:color w:val="auto"/>
                <w:spacing w:val="4"/>
                <w:sz w:val="24"/>
                <w:highlight w:val="none"/>
              </w:rPr>
            </w:pPr>
            <w:r>
              <w:rPr>
                <w:rFonts w:hint="eastAsia"/>
                <w:b/>
                <w:color w:val="auto"/>
                <w:sz w:val="24"/>
                <w:highlight w:val="none"/>
              </w:rPr>
              <w:t>10、工程进度</w:t>
            </w:r>
          </w:p>
          <w:p>
            <w:pPr>
              <w:autoSpaceDE w:val="0"/>
              <w:autoSpaceDN w:val="0"/>
              <w:adjustRightInd w:val="0"/>
              <w:spacing w:line="360" w:lineRule="auto"/>
              <w:ind w:firstLine="480" w:firstLineChars="200"/>
              <w:rPr>
                <w:b/>
                <w:color w:val="auto"/>
                <w:sz w:val="24"/>
                <w:highlight w:val="none"/>
              </w:rPr>
            </w:pPr>
            <w:r>
              <w:rPr>
                <w:rFonts w:hint="eastAsia"/>
                <w:color w:val="auto"/>
                <w:sz w:val="24"/>
                <w:highlight w:val="none"/>
              </w:rPr>
              <w:t>本项目计划202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3</w:t>
            </w:r>
            <w:r>
              <w:rPr>
                <w:rFonts w:hint="eastAsia"/>
                <w:color w:val="auto"/>
                <w:sz w:val="24"/>
                <w:highlight w:val="none"/>
              </w:rPr>
              <w:t>月开始安装建设，202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6</w:t>
            </w:r>
            <w:r>
              <w:rPr>
                <w:rFonts w:hint="eastAsia"/>
                <w:color w:val="auto"/>
                <w:sz w:val="24"/>
                <w:highlight w:val="none"/>
              </w:rPr>
              <w:t>月完成。</w:t>
            </w:r>
          </w:p>
          <w:p>
            <w:pPr>
              <w:autoSpaceDE w:val="0"/>
              <w:autoSpaceDN w:val="0"/>
              <w:adjustRightInd w:val="0"/>
              <w:spacing w:line="360" w:lineRule="auto"/>
              <w:rPr>
                <w:b/>
                <w:color w:val="auto"/>
                <w:sz w:val="24"/>
                <w:highlight w:val="none"/>
              </w:rPr>
            </w:pPr>
            <w:r>
              <w:rPr>
                <w:rFonts w:hint="eastAsia"/>
                <w:b/>
                <w:color w:val="auto"/>
                <w:sz w:val="24"/>
                <w:highlight w:val="none"/>
              </w:rPr>
              <w:t>11、公用工程</w:t>
            </w:r>
          </w:p>
          <w:p>
            <w:pPr>
              <w:spacing w:line="360" w:lineRule="auto"/>
              <w:ind w:firstLine="482" w:firstLineChars="200"/>
              <w:rPr>
                <w:b/>
                <w:bCs/>
                <w:color w:val="auto"/>
                <w:spacing w:val="4"/>
                <w:sz w:val="24"/>
                <w:highlight w:val="none"/>
              </w:rPr>
            </w:pPr>
            <w:r>
              <w:rPr>
                <w:b/>
                <w:color w:val="auto"/>
                <w:sz w:val="24"/>
                <w:highlight w:val="none"/>
              </w:rPr>
              <w:t>（1）给</w:t>
            </w:r>
            <w:r>
              <w:rPr>
                <w:rFonts w:hAnsi="宋体"/>
                <w:b/>
                <w:bCs/>
                <w:color w:val="auto"/>
                <w:spacing w:val="4"/>
                <w:sz w:val="24"/>
                <w:highlight w:val="none"/>
              </w:rPr>
              <w:t>水</w:t>
            </w:r>
          </w:p>
          <w:p>
            <w:pPr>
              <w:autoSpaceDE w:val="0"/>
              <w:autoSpaceDN w:val="0"/>
              <w:spacing w:line="360" w:lineRule="auto"/>
              <w:ind w:firstLine="480" w:firstLineChars="200"/>
              <w:rPr>
                <w:color w:val="auto"/>
                <w:sz w:val="24"/>
                <w:highlight w:val="none"/>
              </w:rPr>
            </w:pPr>
            <w:r>
              <w:rPr>
                <w:rFonts w:hint="eastAsia" w:ascii="宋体"/>
                <w:color w:val="auto"/>
                <w:sz w:val="24"/>
                <w:highlight w:val="none"/>
              </w:rPr>
              <w:t>项目用水全部由邵阳自来水公司供给，从市政供水管网引入</w:t>
            </w:r>
            <w:r>
              <w:rPr>
                <w:rFonts w:hint="eastAsia"/>
                <w:color w:val="auto"/>
                <w:sz w:val="24"/>
                <w:highlight w:val="none"/>
              </w:rPr>
              <w:t>，</w:t>
            </w:r>
            <w:r>
              <w:rPr>
                <w:rFonts w:hint="eastAsia"/>
                <w:bCs/>
                <w:color w:val="auto"/>
                <w:sz w:val="24"/>
                <w:highlight w:val="none"/>
              </w:rPr>
              <w:t>并按消防规范设置一定数量的室外地上式消火栓。</w:t>
            </w:r>
          </w:p>
          <w:p>
            <w:pPr>
              <w:spacing w:line="360" w:lineRule="auto"/>
              <w:ind w:firstLine="482" w:firstLineChars="200"/>
              <w:rPr>
                <w:b/>
                <w:color w:val="auto"/>
                <w:sz w:val="24"/>
                <w:highlight w:val="none"/>
              </w:rPr>
            </w:pPr>
            <w:r>
              <w:rPr>
                <w:rFonts w:hint="eastAsia"/>
                <w:b/>
                <w:color w:val="auto"/>
                <w:sz w:val="24"/>
                <w:highlight w:val="none"/>
              </w:rPr>
              <w:t>（2）排水</w:t>
            </w:r>
          </w:p>
          <w:p>
            <w:pPr>
              <w:spacing w:line="360" w:lineRule="auto"/>
              <w:ind w:firstLine="480" w:firstLineChars="200"/>
              <w:rPr>
                <w:rFonts w:ascii="宋体"/>
                <w:color w:val="auto"/>
                <w:sz w:val="24"/>
                <w:highlight w:val="none"/>
              </w:rPr>
            </w:pPr>
            <w:r>
              <w:rPr>
                <w:rFonts w:hint="eastAsia" w:ascii="宋体"/>
                <w:color w:val="auto"/>
                <w:sz w:val="24"/>
                <w:highlight w:val="none"/>
              </w:rPr>
              <w:t>项目排水实行雨污分流制。项目租赁现有厂房，厂区雨水管沟建设完善，雨水经雨水沟汇集后外排雨水沟渠；喷淋废水经沉淀过滤后循环使用，循环废水每年更换一次，收集交由有资质单位处理，不外排；生活污水经化粪池处理后用做农肥。</w:t>
            </w:r>
          </w:p>
          <w:p>
            <w:pPr>
              <w:spacing w:line="360" w:lineRule="auto"/>
              <w:ind w:firstLine="482" w:firstLineChars="200"/>
              <w:rPr>
                <w:b/>
                <w:color w:val="auto"/>
                <w:sz w:val="24"/>
                <w:highlight w:val="none"/>
              </w:rPr>
            </w:pPr>
            <w:r>
              <w:rPr>
                <w:rFonts w:hint="eastAsia"/>
                <w:b/>
                <w:color w:val="auto"/>
                <w:sz w:val="24"/>
                <w:highlight w:val="none"/>
              </w:rPr>
              <w:t>（3）水平衡</w:t>
            </w:r>
          </w:p>
          <w:p>
            <w:pPr>
              <w:spacing w:line="360" w:lineRule="auto"/>
              <w:ind w:firstLine="482" w:firstLineChars="200"/>
              <w:rPr>
                <w:b/>
                <w:color w:val="auto"/>
                <w:sz w:val="24"/>
                <w:highlight w:val="none"/>
              </w:rPr>
            </w:pPr>
            <w:r>
              <w:rPr>
                <w:rFonts w:hint="eastAsia"/>
                <w:b/>
                <w:color w:val="auto"/>
                <w:sz w:val="24"/>
                <w:highlight w:val="none"/>
              </w:rPr>
              <w:object>
                <v:shape id="_x0000_i1025" o:spt="75" type="#_x0000_t75" style="height:198.15pt;width:374.2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spacing w:line="360" w:lineRule="auto"/>
              <w:ind w:firstLine="422" w:firstLineChars="200"/>
              <w:jc w:val="center"/>
              <w:rPr>
                <w:b/>
                <w:color w:val="auto"/>
                <w:szCs w:val="21"/>
                <w:highlight w:val="none"/>
              </w:rPr>
            </w:pPr>
            <w:r>
              <w:rPr>
                <w:rFonts w:hint="eastAsia"/>
                <w:b/>
                <w:color w:val="auto"/>
                <w:szCs w:val="21"/>
                <w:highlight w:val="none"/>
              </w:rPr>
              <w:t>图2-1 水平衡图</w:t>
            </w:r>
          </w:p>
          <w:p>
            <w:pPr>
              <w:spacing w:line="360" w:lineRule="auto"/>
              <w:ind w:firstLine="482" w:firstLineChars="200"/>
              <w:rPr>
                <w:b/>
                <w:color w:val="auto"/>
                <w:sz w:val="24"/>
                <w:highlight w:val="none"/>
              </w:rPr>
            </w:pPr>
            <w:r>
              <w:rPr>
                <w:b/>
                <w:color w:val="auto"/>
                <w:sz w:val="24"/>
                <w:highlight w:val="none"/>
              </w:rPr>
              <w:t>（</w:t>
            </w:r>
            <w:r>
              <w:rPr>
                <w:rFonts w:hint="eastAsia"/>
                <w:b/>
                <w:color w:val="auto"/>
                <w:sz w:val="24"/>
                <w:highlight w:val="none"/>
              </w:rPr>
              <w:t>5</w:t>
            </w:r>
            <w:r>
              <w:rPr>
                <w:b/>
                <w:color w:val="auto"/>
                <w:sz w:val="24"/>
                <w:highlight w:val="none"/>
              </w:rPr>
              <w:t>）供配电</w:t>
            </w:r>
          </w:p>
          <w:p>
            <w:pPr>
              <w:spacing w:line="360" w:lineRule="auto"/>
              <w:ind w:firstLine="480" w:firstLineChars="200"/>
              <w:rPr>
                <w:color w:val="auto"/>
                <w:sz w:val="24"/>
                <w:highlight w:val="none"/>
              </w:rPr>
            </w:pPr>
            <w:r>
              <w:rPr>
                <w:rFonts w:hint="eastAsia"/>
                <w:color w:val="auto"/>
                <w:sz w:val="24"/>
                <w:highlight w:val="none"/>
              </w:rPr>
              <w:t>本项目</w:t>
            </w:r>
            <w:r>
              <w:rPr>
                <w:rFonts w:hAnsi="宋体"/>
                <w:bCs/>
                <w:color w:val="auto"/>
                <w:sz w:val="24"/>
                <w:highlight w:val="none"/>
              </w:rPr>
              <w:t>用电由</w:t>
            </w:r>
            <w:r>
              <w:rPr>
                <w:rFonts w:hint="eastAsia" w:hAnsi="宋体"/>
                <w:bCs/>
                <w:color w:val="auto"/>
                <w:sz w:val="24"/>
                <w:highlight w:val="none"/>
              </w:rPr>
              <w:t>邵阳电力公司</w:t>
            </w:r>
            <w:r>
              <w:rPr>
                <w:rFonts w:hAnsi="宋体"/>
                <w:bCs/>
                <w:color w:val="auto"/>
                <w:sz w:val="24"/>
                <w:highlight w:val="none"/>
              </w:rPr>
              <w:t>供应</w:t>
            </w:r>
            <w:r>
              <w:rPr>
                <w:rFonts w:hint="eastAsia"/>
                <w:color w:val="auto"/>
                <w:sz w:val="24"/>
                <w:highlight w:val="none"/>
              </w:rPr>
              <w:t>，由城市电网接入厂区配电房，再输送至各用电单位。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21"/>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工艺流程和产排污环节</w:t>
            </w:r>
          </w:p>
        </w:tc>
        <w:tc>
          <w:tcPr>
            <w:tcW w:w="8161" w:type="dxa"/>
          </w:tcPr>
          <w:p>
            <w:pPr>
              <w:numPr>
                <w:ilvl w:val="0"/>
                <w:numId w:val="3"/>
              </w:numPr>
              <w:autoSpaceDE w:val="0"/>
              <w:autoSpaceDN w:val="0"/>
              <w:adjustRightInd w:val="0"/>
              <w:spacing w:line="360" w:lineRule="auto"/>
              <w:rPr>
                <w:b/>
                <w:color w:val="auto"/>
                <w:sz w:val="24"/>
                <w:highlight w:val="none"/>
              </w:rPr>
            </w:pPr>
            <w:r>
              <w:rPr>
                <w:rFonts w:hint="eastAsia"/>
                <w:b/>
                <w:color w:val="auto"/>
                <w:sz w:val="24"/>
                <w:highlight w:val="none"/>
              </w:rPr>
              <w:t>营运期工艺流程及产污节点</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本项目生产工艺流程及产污节点见下图。</w:t>
            </w:r>
            <w:r>
              <w:rPr>
                <w:rFonts w:hint="eastAsia"/>
                <w:color w:val="auto"/>
                <w:sz w:val="24"/>
                <w:highlight w:val="none"/>
              </w:rPr>
              <w:object>
                <v:shape id="_x0000_i1026" o:spt="75" type="#_x0000_t75" style="height:87.9pt;width:391.2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spacing w:line="360" w:lineRule="auto"/>
              <w:jc w:val="center"/>
              <w:rPr>
                <w:color w:val="auto"/>
                <w:sz w:val="24"/>
                <w:highlight w:val="none"/>
                <w:u w:val="single"/>
              </w:rPr>
            </w:pPr>
            <w:r>
              <w:rPr>
                <w:rFonts w:hint="eastAsia" w:hAnsi="宋体"/>
                <w:b/>
                <w:color w:val="auto"/>
                <w:szCs w:val="21"/>
                <w:highlight w:val="none"/>
              </w:rPr>
              <w:t>图2-2 生产工艺流程及产污节点图</w:t>
            </w:r>
          </w:p>
          <w:p>
            <w:pPr>
              <w:tabs>
                <w:tab w:val="left" w:pos="823"/>
              </w:tabs>
              <w:spacing w:line="360" w:lineRule="auto"/>
              <w:jc w:val="left"/>
              <w:rPr>
                <w:b/>
                <w:bCs/>
                <w:color w:val="auto"/>
                <w:sz w:val="24"/>
                <w:highlight w:val="none"/>
              </w:rPr>
            </w:pPr>
            <w:r>
              <w:rPr>
                <w:rFonts w:hint="eastAsia"/>
                <w:b/>
                <w:bCs/>
                <w:color w:val="auto"/>
                <w:sz w:val="24"/>
                <w:highlight w:val="none"/>
              </w:rPr>
              <w:t>工艺流程简述：</w:t>
            </w:r>
          </w:p>
          <w:p>
            <w:pPr>
              <w:pStyle w:val="111"/>
              <w:ind w:firstLine="482"/>
              <w:jc w:val="both"/>
              <w:rPr>
                <w:color w:val="auto"/>
                <w:sz w:val="24"/>
                <w:szCs w:val="24"/>
                <w:highlight w:val="none"/>
              </w:rPr>
            </w:pPr>
            <w:r>
              <w:rPr>
                <w:rFonts w:hint="eastAsia"/>
                <w:b/>
                <w:bCs/>
                <w:color w:val="auto"/>
                <w:sz w:val="24"/>
                <w:szCs w:val="24"/>
                <w:highlight w:val="none"/>
              </w:rPr>
              <w:t>下料</w:t>
            </w:r>
            <w:r>
              <w:rPr>
                <w:rFonts w:hint="eastAsia"/>
                <w:color w:val="auto"/>
                <w:sz w:val="24"/>
                <w:szCs w:val="24"/>
                <w:highlight w:val="none"/>
              </w:rPr>
              <w:t>：根据订单设计图选择材料（方管钢材、镀锌板、亚克力板），并使用激光切割机将材料切割成合适的大小及形状。本项目使用两台激光切割机，一台切割金属材料、一台切割塑料材料。此过程产生的切割粉尘由切割机自带的收集装置处理。</w:t>
            </w:r>
          </w:p>
          <w:p>
            <w:pPr>
              <w:pStyle w:val="111"/>
              <w:ind w:firstLine="482"/>
              <w:jc w:val="both"/>
              <w:rPr>
                <w:color w:val="auto"/>
                <w:sz w:val="24"/>
                <w:szCs w:val="24"/>
                <w:highlight w:val="none"/>
              </w:rPr>
            </w:pPr>
            <w:r>
              <w:rPr>
                <w:rFonts w:hint="eastAsia"/>
                <w:b/>
                <w:bCs/>
                <w:color w:val="auto"/>
                <w:sz w:val="24"/>
                <w:szCs w:val="24"/>
                <w:highlight w:val="none"/>
              </w:rPr>
              <w:t>加工</w:t>
            </w:r>
            <w:r>
              <w:rPr>
                <w:rFonts w:hint="eastAsia"/>
                <w:color w:val="auto"/>
                <w:sz w:val="24"/>
                <w:szCs w:val="24"/>
                <w:highlight w:val="none"/>
              </w:rPr>
              <w:t>：根据材料不同选取不同的加工方式。</w:t>
            </w:r>
          </w:p>
          <w:p>
            <w:pPr>
              <w:pStyle w:val="111"/>
              <w:ind w:firstLine="480"/>
              <w:jc w:val="both"/>
              <w:rPr>
                <w:color w:val="auto"/>
                <w:sz w:val="24"/>
                <w:szCs w:val="24"/>
                <w:highlight w:val="none"/>
              </w:rPr>
            </w:pPr>
            <w:r>
              <w:rPr>
                <w:rFonts w:hint="eastAsia"/>
                <w:color w:val="auto"/>
                <w:sz w:val="24"/>
                <w:szCs w:val="24"/>
                <w:highlight w:val="none"/>
              </w:rPr>
              <w:t>①焊接：将切割好的金属材料焊接成相应形状。此过程产生的焊接烟气由移动式焊接烟气净化器处理。</w:t>
            </w:r>
          </w:p>
          <w:p>
            <w:pPr>
              <w:pStyle w:val="111"/>
              <w:ind w:firstLine="480"/>
              <w:jc w:val="both"/>
              <w:rPr>
                <w:color w:val="auto"/>
                <w:sz w:val="24"/>
                <w:szCs w:val="24"/>
                <w:highlight w:val="none"/>
              </w:rPr>
            </w:pPr>
            <w:r>
              <w:rPr>
                <w:rFonts w:hint="eastAsia"/>
                <w:color w:val="auto"/>
                <w:sz w:val="24"/>
                <w:szCs w:val="24"/>
                <w:highlight w:val="none"/>
              </w:rPr>
              <w:t>②雕刻：将亚克力板雕刻成需要的字体和形状。此过程产生的雕刻粉尘由雕刻机自带的除尘设备处理。</w:t>
            </w:r>
          </w:p>
          <w:p>
            <w:pPr>
              <w:pStyle w:val="111"/>
              <w:ind w:firstLine="482"/>
              <w:jc w:val="both"/>
              <w:rPr>
                <w:color w:val="auto"/>
                <w:sz w:val="24"/>
                <w:szCs w:val="24"/>
                <w:highlight w:val="none"/>
              </w:rPr>
            </w:pPr>
            <w:r>
              <w:rPr>
                <w:rFonts w:hint="eastAsia"/>
                <w:b/>
                <w:bCs/>
                <w:color w:val="auto"/>
                <w:sz w:val="24"/>
                <w:szCs w:val="24"/>
                <w:highlight w:val="none"/>
              </w:rPr>
              <w:t>上色</w:t>
            </w:r>
            <w:r>
              <w:rPr>
                <w:rFonts w:hint="eastAsia"/>
                <w:color w:val="auto"/>
                <w:sz w:val="24"/>
                <w:szCs w:val="24"/>
                <w:highlight w:val="none"/>
              </w:rPr>
              <w:t>：根据颜色、图案及质感的不同选取不同的上色工艺（其中钢材不上色）。</w:t>
            </w:r>
          </w:p>
          <w:p>
            <w:pPr>
              <w:pStyle w:val="111"/>
              <w:ind w:firstLine="480"/>
              <w:jc w:val="both"/>
              <w:rPr>
                <w:rFonts w:hAnsi="宋体"/>
                <w:color w:val="auto"/>
                <w:sz w:val="24"/>
                <w:szCs w:val="24"/>
                <w:highlight w:val="none"/>
              </w:rPr>
            </w:pPr>
            <w:r>
              <w:rPr>
                <w:rFonts w:hint="eastAsia"/>
                <w:color w:val="auto"/>
                <w:sz w:val="24"/>
                <w:szCs w:val="24"/>
                <w:highlight w:val="none"/>
              </w:rPr>
              <w:t>①喷漆：喷漆工序于水帘式喷漆房中进行，喷漆前需先检查产品是否属于良品，产品表面是否光滑，表面灰尘和附着物须清理干净。本项目部分使用水性油漆，部分使用油性油漆。该过程产生的漆雾由水帘柜喷淋处理，VOCs由</w:t>
            </w:r>
            <w:r>
              <w:rPr>
                <w:rFonts w:hint="eastAsia" w:hAnsi="宋体"/>
                <w:color w:val="auto"/>
                <w:sz w:val="24"/>
                <w:szCs w:val="24"/>
                <w:highlight w:val="none"/>
              </w:rPr>
              <w:t>UV光解活性炭一体化设备处理+15m排气筒排放。</w:t>
            </w:r>
          </w:p>
          <w:p>
            <w:pPr>
              <w:pStyle w:val="111"/>
              <w:ind w:firstLine="480"/>
              <w:jc w:val="both"/>
              <w:rPr>
                <w:rFonts w:ascii="Arial" w:hAnsi="Arial" w:cs="Arial"/>
                <w:color w:val="auto"/>
                <w:sz w:val="24"/>
                <w:szCs w:val="24"/>
                <w:highlight w:val="none"/>
                <w:shd w:val="clear" w:color="auto" w:fill="FFFFFF"/>
              </w:rPr>
            </w:pPr>
            <w:r>
              <w:rPr>
                <w:rFonts w:hint="eastAsia" w:hAnsi="宋体"/>
                <w:color w:val="auto"/>
                <w:sz w:val="24"/>
                <w:szCs w:val="24"/>
                <w:highlight w:val="none"/>
              </w:rPr>
              <w:t>②喷粉：喷粉在封闭式喷粉房中进行，</w:t>
            </w:r>
            <w:r>
              <w:rPr>
                <w:rFonts w:ascii="Arial" w:hAnsi="Arial" w:cs="Arial"/>
                <w:color w:val="auto"/>
                <w:sz w:val="24"/>
                <w:szCs w:val="24"/>
                <w:highlight w:val="none"/>
                <w:shd w:val="clear" w:color="auto" w:fill="FFFFFF"/>
              </w:rPr>
              <w:t>在喷枪与</w:t>
            </w:r>
            <w:r>
              <w:rPr>
                <w:rFonts w:hint="eastAsia" w:ascii="Arial" w:hAnsi="Arial" w:cs="Arial"/>
                <w:color w:val="auto"/>
                <w:sz w:val="24"/>
                <w:szCs w:val="24"/>
                <w:highlight w:val="none"/>
                <w:shd w:val="clear" w:color="auto" w:fill="FFFFFF"/>
              </w:rPr>
              <w:t>材料</w:t>
            </w:r>
            <w:r>
              <w:rPr>
                <w:rFonts w:ascii="Arial" w:hAnsi="Arial" w:cs="Arial"/>
                <w:color w:val="auto"/>
                <w:sz w:val="24"/>
                <w:szCs w:val="24"/>
                <w:highlight w:val="none"/>
                <w:shd w:val="clear" w:color="auto" w:fill="FFFFFF"/>
              </w:rPr>
              <w:t>之间形成一个高压电晕放电电场，当粉末粒子由喷枪口喷出经过放电区时，便补集了大量的电子，成为带负电的微粒，在静电吸引的作用下，被吸附到带正电荷的工件上去。当粉末附着到一定厚度时，则会发生"同性相斥"的作用，不能再吸附粉末，从而使各部分的粉层厚度均匀</w:t>
            </w:r>
            <w:r>
              <w:rPr>
                <w:rFonts w:hint="eastAsia" w:ascii="Arial" w:hAnsi="Arial" w:cs="Arial"/>
                <w:color w:val="auto"/>
                <w:sz w:val="24"/>
                <w:szCs w:val="24"/>
                <w:highlight w:val="none"/>
                <w:shd w:val="clear" w:color="auto" w:fill="FFFFFF"/>
              </w:rPr>
              <w:t>。此过程产生的颗粒物先经布袋除尘器+塑粉回收机收集回用。</w:t>
            </w:r>
          </w:p>
          <w:p>
            <w:pPr>
              <w:pStyle w:val="111"/>
              <w:ind w:firstLine="480"/>
              <w:jc w:val="both"/>
              <w:rPr>
                <w:color w:val="auto"/>
                <w:sz w:val="24"/>
                <w:szCs w:val="24"/>
                <w:highlight w:val="none"/>
              </w:rPr>
            </w:pPr>
            <w:r>
              <w:rPr>
                <w:rFonts w:hint="eastAsia" w:ascii="Arial" w:hAnsi="Arial" w:cs="Arial"/>
                <w:color w:val="auto"/>
                <w:sz w:val="24"/>
                <w:szCs w:val="24"/>
                <w:highlight w:val="none"/>
                <w:shd w:val="clear" w:color="auto" w:fill="FFFFFF"/>
              </w:rPr>
              <w:t>③丝网印刷：部分小型广告牌中间的图案及字体可能用到丝网印刷，本项目丝网印刷在喷漆房内进行，在丝网印板一端倒上涂料，通过刮板使涂料通过丝网构成的涂料区，将图案印于材料上。此过程产</w:t>
            </w:r>
            <w:r>
              <w:rPr>
                <w:color w:val="auto"/>
                <w:sz w:val="24"/>
                <w:szCs w:val="24"/>
                <w:highlight w:val="none"/>
                <w:shd w:val="clear" w:color="auto" w:fill="FFFFFF"/>
              </w:rPr>
              <w:t>生的VOCs</w:t>
            </w:r>
            <w:r>
              <w:rPr>
                <w:rFonts w:hint="eastAsia"/>
                <w:color w:val="auto"/>
                <w:sz w:val="24"/>
                <w:szCs w:val="24"/>
                <w:highlight w:val="none"/>
                <w:shd w:val="clear" w:color="auto" w:fill="FFFFFF"/>
              </w:rPr>
              <w:t>由</w:t>
            </w:r>
            <w:r>
              <w:rPr>
                <w:rFonts w:hint="eastAsia" w:hAnsi="宋体"/>
                <w:color w:val="auto"/>
                <w:sz w:val="24"/>
                <w:szCs w:val="24"/>
                <w:highlight w:val="none"/>
              </w:rPr>
              <w:t>UV光解活性炭一体化设备处理+15m排气筒排放。</w:t>
            </w:r>
          </w:p>
          <w:p>
            <w:pPr>
              <w:pStyle w:val="111"/>
              <w:ind w:firstLine="482"/>
              <w:jc w:val="both"/>
              <w:rPr>
                <w:rFonts w:hAnsi="宋体"/>
                <w:color w:val="auto"/>
                <w:sz w:val="24"/>
                <w:szCs w:val="24"/>
                <w:highlight w:val="none"/>
              </w:rPr>
            </w:pPr>
            <w:r>
              <w:rPr>
                <w:rFonts w:hint="eastAsia"/>
                <w:b/>
                <w:bCs/>
                <w:color w:val="auto"/>
                <w:sz w:val="24"/>
                <w:szCs w:val="24"/>
                <w:highlight w:val="none"/>
              </w:rPr>
              <w:t>烘干：</w:t>
            </w:r>
            <w:r>
              <w:rPr>
                <w:rFonts w:hint="eastAsia"/>
                <w:color w:val="auto"/>
                <w:sz w:val="24"/>
                <w:szCs w:val="24"/>
                <w:highlight w:val="none"/>
              </w:rPr>
              <w:t>将上好色的材料送进烤房内（其中喷漆材料需要烘干，喷粉材料需要加热固化，使用同一套烤房），烤房为液化气加热（烟气直接加热）。此过程产生的VOCs由</w:t>
            </w:r>
            <w:r>
              <w:rPr>
                <w:rFonts w:hint="eastAsia" w:hAnsi="宋体"/>
                <w:color w:val="auto"/>
                <w:sz w:val="24"/>
                <w:szCs w:val="24"/>
                <w:highlight w:val="none"/>
              </w:rPr>
              <w:t>UV光解活性炭一体化设备处理+15m排气筒排放。</w:t>
            </w:r>
          </w:p>
          <w:p>
            <w:pPr>
              <w:pStyle w:val="111"/>
              <w:ind w:firstLine="482"/>
              <w:jc w:val="both"/>
              <w:rPr>
                <w:color w:val="auto"/>
                <w:sz w:val="24"/>
                <w:szCs w:val="24"/>
                <w:highlight w:val="none"/>
              </w:rPr>
            </w:pPr>
            <w:r>
              <w:rPr>
                <w:rFonts w:hint="eastAsia"/>
                <w:b/>
                <w:bCs/>
                <w:color w:val="auto"/>
                <w:sz w:val="24"/>
                <w:szCs w:val="24"/>
                <w:highlight w:val="none"/>
              </w:rPr>
              <w:t>组装</w:t>
            </w:r>
            <w:r>
              <w:rPr>
                <w:rFonts w:hint="eastAsia"/>
                <w:color w:val="auto"/>
                <w:sz w:val="24"/>
                <w:szCs w:val="24"/>
                <w:highlight w:val="none"/>
              </w:rPr>
              <w:t>：使用吸塑机将亚克力板与金属框架组合到一起，部分发光广告牌需装入电路。</w:t>
            </w:r>
          </w:p>
          <w:p>
            <w:pPr>
              <w:pStyle w:val="111"/>
              <w:ind w:firstLine="482"/>
              <w:jc w:val="both"/>
              <w:rPr>
                <w:color w:val="auto"/>
                <w:sz w:val="24"/>
                <w:szCs w:val="24"/>
                <w:highlight w:val="none"/>
              </w:rPr>
            </w:pPr>
            <w:r>
              <w:rPr>
                <w:rFonts w:hint="eastAsia"/>
                <w:b/>
                <w:bCs/>
                <w:color w:val="auto"/>
                <w:sz w:val="24"/>
                <w:szCs w:val="24"/>
                <w:highlight w:val="none"/>
              </w:rPr>
              <w:t>检验、入库</w:t>
            </w:r>
            <w:r>
              <w:rPr>
                <w:rFonts w:hint="eastAsia"/>
                <w:color w:val="auto"/>
                <w:sz w:val="24"/>
                <w:szCs w:val="24"/>
                <w:highlight w:val="none"/>
              </w:rPr>
              <w:t>：将检验合格的产品包装入库，不合格产品外售资源回收单位。</w:t>
            </w:r>
          </w:p>
          <w:p>
            <w:pPr>
              <w:autoSpaceDE w:val="0"/>
              <w:autoSpaceDN w:val="0"/>
              <w:adjustRightInd w:val="0"/>
              <w:spacing w:line="360" w:lineRule="auto"/>
              <w:rPr>
                <w:b/>
                <w:color w:val="auto"/>
                <w:sz w:val="24"/>
                <w:highlight w:val="none"/>
              </w:rPr>
            </w:pPr>
            <w:r>
              <w:rPr>
                <w:rFonts w:hint="eastAsia"/>
                <w:b/>
                <w:color w:val="auto"/>
                <w:sz w:val="24"/>
                <w:highlight w:val="none"/>
              </w:rPr>
              <w:t>2、</w:t>
            </w:r>
            <w:r>
              <w:rPr>
                <w:b/>
                <w:color w:val="auto"/>
                <w:sz w:val="24"/>
                <w:highlight w:val="none"/>
              </w:rPr>
              <w:t>主要</w:t>
            </w:r>
            <w:r>
              <w:rPr>
                <w:rFonts w:hint="eastAsia"/>
                <w:b/>
                <w:color w:val="auto"/>
                <w:sz w:val="24"/>
                <w:highlight w:val="none"/>
              </w:rPr>
              <w:t>污染工序</w:t>
            </w:r>
          </w:p>
          <w:p>
            <w:pPr>
              <w:spacing w:line="360" w:lineRule="auto"/>
              <w:ind w:firstLine="480" w:firstLineChars="200"/>
              <w:rPr>
                <w:b/>
                <w:color w:val="auto"/>
                <w:sz w:val="24"/>
                <w:highlight w:val="none"/>
              </w:rPr>
            </w:pPr>
            <w:r>
              <w:rPr>
                <w:rFonts w:hint="eastAsia"/>
                <w:color w:val="auto"/>
                <w:sz w:val="24"/>
                <w:highlight w:val="none"/>
              </w:rPr>
              <w:t>运营期污染环节详见表2-10。</w:t>
            </w:r>
          </w:p>
          <w:p>
            <w:pPr>
              <w:jc w:val="center"/>
              <w:rPr>
                <w:b/>
                <w:color w:val="auto"/>
                <w:szCs w:val="21"/>
                <w:highlight w:val="none"/>
              </w:rPr>
            </w:pPr>
            <w:r>
              <w:rPr>
                <w:b/>
                <w:color w:val="auto"/>
                <w:szCs w:val="21"/>
                <w:highlight w:val="none"/>
              </w:rPr>
              <w:t>表</w:t>
            </w:r>
            <w:r>
              <w:rPr>
                <w:rFonts w:hint="eastAsia"/>
                <w:b/>
                <w:color w:val="auto"/>
                <w:szCs w:val="21"/>
                <w:highlight w:val="none"/>
              </w:rPr>
              <w:t xml:space="preserve">2-10 </w:t>
            </w:r>
            <w:r>
              <w:rPr>
                <w:b/>
                <w:color w:val="auto"/>
                <w:szCs w:val="21"/>
                <w:highlight w:val="none"/>
              </w:rPr>
              <w:t xml:space="preserve"> </w:t>
            </w:r>
            <w:r>
              <w:rPr>
                <w:rFonts w:hint="eastAsia"/>
                <w:b/>
                <w:color w:val="auto"/>
                <w:szCs w:val="21"/>
                <w:highlight w:val="none"/>
              </w:rPr>
              <w:t>运营期污染环节统计表</w:t>
            </w:r>
          </w:p>
          <w:tbl>
            <w:tblPr>
              <w:tblStyle w:val="25"/>
              <w:tblW w:w="72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9"/>
              <w:gridCol w:w="2784"/>
              <w:gridCol w:w="1440"/>
              <w:gridCol w:w="243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tcBorders>
                    <w:tl2br w:val="nil"/>
                    <w:tr2bl w:val="nil"/>
                  </w:tcBorders>
                  <w:vAlign w:val="center"/>
                </w:tcPr>
                <w:p>
                  <w:pPr>
                    <w:snapToGrid w:val="0"/>
                    <w:jc w:val="center"/>
                    <w:rPr>
                      <w:color w:val="auto"/>
                      <w:szCs w:val="21"/>
                      <w:highlight w:val="none"/>
                    </w:rPr>
                  </w:pPr>
                  <w:r>
                    <w:rPr>
                      <w:rFonts w:hint="eastAsia"/>
                      <w:color w:val="auto"/>
                      <w:szCs w:val="21"/>
                      <w:highlight w:val="none"/>
                    </w:rPr>
                    <w:t>内容</w:t>
                  </w: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来源</w:t>
                  </w:r>
                </w:p>
              </w:tc>
              <w:tc>
                <w:tcPr>
                  <w:tcW w:w="1440" w:type="dxa"/>
                  <w:tcBorders>
                    <w:tl2br w:val="nil"/>
                    <w:tr2bl w:val="nil"/>
                  </w:tcBorders>
                  <w:vAlign w:val="center"/>
                </w:tcPr>
                <w:p>
                  <w:pPr>
                    <w:snapToGrid w:val="0"/>
                    <w:jc w:val="center"/>
                    <w:rPr>
                      <w:color w:val="auto"/>
                      <w:szCs w:val="21"/>
                      <w:highlight w:val="none"/>
                    </w:rPr>
                  </w:pPr>
                  <w:r>
                    <w:rPr>
                      <w:rFonts w:hint="eastAsia"/>
                      <w:color w:val="auto"/>
                      <w:szCs w:val="21"/>
                      <w:highlight w:val="none"/>
                    </w:rPr>
                    <w:t>污染物</w:t>
                  </w:r>
                </w:p>
              </w:tc>
              <w:tc>
                <w:tcPr>
                  <w:tcW w:w="24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主要污染因子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废水</w:t>
                  </w: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员工</w:t>
                  </w:r>
                </w:p>
              </w:tc>
              <w:tc>
                <w:tcPr>
                  <w:tcW w:w="1440" w:type="dxa"/>
                  <w:tcBorders>
                    <w:tl2br w:val="nil"/>
                    <w:tr2bl w:val="nil"/>
                  </w:tcBorders>
                  <w:vAlign w:val="center"/>
                </w:tcPr>
                <w:p>
                  <w:pPr>
                    <w:snapToGrid w:val="0"/>
                    <w:jc w:val="center"/>
                    <w:rPr>
                      <w:color w:val="auto"/>
                      <w:szCs w:val="21"/>
                      <w:highlight w:val="none"/>
                    </w:rPr>
                  </w:pPr>
                  <w:r>
                    <w:rPr>
                      <w:rFonts w:hint="eastAsia"/>
                      <w:color w:val="auto"/>
                      <w:szCs w:val="21"/>
                      <w:highlight w:val="none"/>
                    </w:rPr>
                    <w:t>生活污水</w:t>
                  </w:r>
                </w:p>
              </w:tc>
              <w:tc>
                <w:tcPr>
                  <w:tcW w:w="24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COD、氨氮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生产区</w:t>
                  </w:r>
                </w:p>
              </w:tc>
              <w:tc>
                <w:tcPr>
                  <w:tcW w:w="1440" w:type="dxa"/>
                  <w:tcBorders>
                    <w:tl2br w:val="nil"/>
                    <w:tr2bl w:val="nil"/>
                  </w:tcBorders>
                  <w:vAlign w:val="center"/>
                </w:tcPr>
                <w:p>
                  <w:pPr>
                    <w:snapToGrid w:val="0"/>
                    <w:jc w:val="center"/>
                    <w:rPr>
                      <w:color w:val="auto"/>
                      <w:szCs w:val="21"/>
                      <w:highlight w:val="none"/>
                    </w:rPr>
                  </w:pPr>
                  <w:r>
                    <w:rPr>
                      <w:rFonts w:hint="eastAsia"/>
                      <w:color w:val="auto"/>
                      <w:szCs w:val="21"/>
                      <w:highlight w:val="none"/>
                    </w:rPr>
                    <w:t>喷漆废水</w:t>
                  </w:r>
                </w:p>
              </w:tc>
              <w:tc>
                <w:tcPr>
                  <w:tcW w:w="24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COD、SS</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废气</w:t>
                  </w: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加工（切割、雕刻）</w:t>
                  </w:r>
                </w:p>
              </w:tc>
              <w:tc>
                <w:tcPr>
                  <w:tcW w:w="1440" w:type="dxa"/>
                  <w:tcBorders>
                    <w:tl2br w:val="nil"/>
                    <w:tr2bl w:val="nil"/>
                  </w:tcBorders>
                  <w:vAlign w:val="center"/>
                </w:tcPr>
                <w:p>
                  <w:pPr>
                    <w:snapToGrid w:val="0"/>
                    <w:jc w:val="center"/>
                    <w:rPr>
                      <w:color w:val="auto"/>
                      <w:szCs w:val="21"/>
                      <w:highlight w:val="none"/>
                    </w:rPr>
                  </w:pPr>
                  <w:r>
                    <w:rPr>
                      <w:rFonts w:hint="eastAsia"/>
                      <w:color w:val="auto"/>
                      <w:szCs w:val="21"/>
                      <w:highlight w:val="none"/>
                    </w:rPr>
                    <w:t>加工废气</w:t>
                  </w:r>
                </w:p>
              </w:tc>
              <w:tc>
                <w:tcPr>
                  <w:tcW w:w="24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颗粒物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喷漆</w:t>
                  </w:r>
                </w:p>
              </w:tc>
              <w:tc>
                <w:tcPr>
                  <w:tcW w:w="1440" w:type="dxa"/>
                  <w:tcBorders>
                    <w:tl2br w:val="nil"/>
                    <w:tr2bl w:val="nil"/>
                  </w:tcBorders>
                  <w:vAlign w:val="center"/>
                </w:tcPr>
                <w:p>
                  <w:pPr>
                    <w:snapToGrid w:val="0"/>
                    <w:jc w:val="center"/>
                    <w:rPr>
                      <w:color w:val="auto"/>
                      <w:szCs w:val="21"/>
                      <w:highlight w:val="none"/>
                    </w:rPr>
                  </w:pPr>
                  <w:r>
                    <w:rPr>
                      <w:rFonts w:hint="eastAsia"/>
                      <w:color w:val="auto"/>
                      <w:szCs w:val="21"/>
                      <w:highlight w:val="none"/>
                    </w:rPr>
                    <w:t>喷漆废气</w:t>
                  </w:r>
                </w:p>
              </w:tc>
              <w:tc>
                <w:tcPr>
                  <w:tcW w:w="24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颗粒物（漆雾）、VOCs、二甲苯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烤房</w:t>
                  </w:r>
                </w:p>
              </w:tc>
              <w:tc>
                <w:tcPr>
                  <w:tcW w:w="1440" w:type="dxa"/>
                  <w:tcBorders>
                    <w:tl2br w:val="nil"/>
                    <w:tr2bl w:val="nil"/>
                  </w:tcBorders>
                  <w:vAlign w:val="center"/>
                </w:tcPr>
                <w:p>
                  <w:pPr>
                    <w:snapToGrid w:val="0"/>
                    <w:jc w:val="center"/>
                    <w:rPr>
                      <w:color w:val="auto"/>
                      <w:szCs w:val="21"/>
                      <w:highlight w:val="none"/>
                    </w:rPr>
                  </w:pPr>
                  <w:r>
                    <w:rPr>
                      <w:rFonts w:hint="eastAsia"/>
                      <w:color w:val="auto"/>
                      <w:szCs w:val="21"/>
                      <w:highlight w:val="none"/>
                    </w:rPr>
                    <w:t>烘干废气</w:t>
                  </w:r>
                </w:p>
              </w:tc>
              <w:tc>
                <w:tcPr>
                  <w:tcW w:w="24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VOCs、二甲苯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喷粉</w:t>
                  </w:r>
                </w:p>
              </w:tc>
              <w:tc>
                <w:tcPr>
                  <w:tcW w:w="1440" w:type="dxa"/>
                  <w:tcBorders>
                    <w:tl2br w:val="nil"/>
                    <w:tr2bl w:val="nil"/>
                  </w:tcBorders>
                  <w:vAlign w:val="center"/>
                </w:tcPr>
                <w:p>
                  <w:pPr>
                    <w:snapToGrid w:val="0"/>
                    <w:jc w:val="center"/>
                    <w:rPr>
                      <w:color w:val="auto"/>
                      <w:szCs w:val="21"/>
                      <w:highlight w:val="none"/>
                    </w:rPr>
                  </w:pPr>
                  <w:r>
                    <w:rPr>
                      <w:rFonts w:hint="eastAsia"/>
                      <w:color w:val="auto"/>
                      <w:szCs w:val="21"/>
                      <w:highlight w:val="none"/>
                    </w:rPr>
                    <w:t>粉末涂料</w:t>
                  </w:r>
                </w:p>
              </w:tc>
              <w:tc>
                <w:tcPr>
                  <w:tcW w:w="24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颗粒物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焊接</w:t>
                  </w:r>
                </w:p>
              </w:tc>
              <w:tc>
                <w:tcPr>
                  <w:tcW w:w="1440" w:type="dxa"/>
                  <w:tcBorders>
                    <w:tl2br w:val="nil"/>
                    <w:tr2bl w:val="nil"/>
                  </w:tcBorders>
                  <w:vAlign w:val="center"/>
                </w:tcPr>
                <w:p>
                  <w:pPr>
                    <w:snapToGrid w:val="0"/>
                    <w:jc w:val="center"/>
                    <w:rPr>
                      <w:color w:val="auto"/>
                      <w:szCs w:val="21"/>
                      <w:highlight w:val="none"/>
                    </w:rPr>
                  </w:pPr>
                  <w:r>
                    <w:rPr>
                      <w:rFonts w:hint="eastAsia"/>
                      <w:color w:val="auto"/>
                      <w:szCs w:val="21"/>
                      <w:highlight w:val="none"/>
                    </w:rPr>
                    <w:t>焊接烟气</w:t>
                  </w:r>
                </w:p>
              </w:tc>
              <w:tc>
                <w:tcPr>
                  <w:tcW w:w="24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颗粒物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烘干</w:t>
                  </w:r>
                </w:p>
              </w:tc>
              <w:tc>
                <w:tcPr>
                  <w:tcW w:w="1440" w:type="dxa"/>
                  <w:tcBorders>
                    <w:tl2br w:val="nil"/>
                    <w:tr2bl w:val="nil"/>
                  </w:tcBorders>
                  <w:vAlign w:val="center"/>
                </w:tcPr>
                <w:p>
                  <w:pPr>
                    <w:snapToGrid w:val="0"/>
                    <w:jc w:val="center"/>
                    <w:rPr>
                      <w:color w:val="auto"/>
                      <w:szCs w:val="21"/>
                      <w:highlight w:val="none"/>
                    </w:rPr>
                  </w:pPr>
                  <w:r>
                    <w:rPr>
                      <w:rFonts w:hint="eastAsia"/>
                      <w:color w:val="auto"/>
                      <w:szCs w:val="21"/>
                      <w:highlight w:val="none"/>
                    </w:rPr>
                    <w:t>天然气燃烧废气</w:t>
                  </w:r>
                </w:p>
              </w:tc>
              <w:tc>
                <w:tcPr>
                  <w:tcW w:w="2435" w:type="dxa"/>
                  <w:tcBorders>
                    <w:tl2br w:val="nil"/>
                    <w:tr2bl w:val="nil"/>
                  </w:tcBorders>
                  <w:vAlign w:val="center"/>
                </w:tcPr>
                <w:p>
                  <w:pPr>
                    <w:snapToGrid w:val="0"/>
                    <w:jc w:val="center"/>
                    <w:rPr>
                      <w:color w:val="auto"/>
                      <w:szCs w:val="21"/>
                      <w:highlight w:val="none"/>
                    </w:rPr>
                  </w:pPr>
                  <w:r>
                    <w:rPr>
                      <w:rFonts w:hint="eastAsia"/>
                      <w:color w:val="auto"/>
                      <w:szCs w:val="21"/>
                      <w:highlight w:val="none"/>
                    </w:rPr>
                    <w:t>二氧化硫、氮氧化物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tcBorders>
                    <w:tl2br w:val="nil"/>
                    <w:tr2bl w:val="nil"/>
                  </w:tcBorders>
                  <w:vAlign w:val="center"/>
                </w:tcPr>
                <w:p>
                  <w:pPr>
                    <w:snapToGrid w:val="0"/>
                    <w:jc w:val="center"/>
                    <w:rPr>
                      <w:color w:val="auto"/>
                      <w:szCs w:val="21"/>
                      <w:highlight w:val="none"/>
                    </w:rPr>
                  </w:pPr>
                  <w:r>
                    <w:rPr>
                      <w:rFonts w:hint="eastAsia"/>
                      <w:color w:val="auto"/>
                      <w:szCs w:val="21"/>
                      <w:highlight w:val="none"/>
                    </w:rPr>
                    <w:t>噪声</w:t>
                  </w: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生产设备</w:t>
                  </w:r>
                </w:p>
              </w:tc>
              <w:tc>
                <w:tcPr>
                  <w:tcW w:w="3875" w:type="dxa"/>
                  <w:gridSpan w:val="2"/>
                  <w:tcBorders>
                    <w:tl2br w:val="nil"/>
                    <w:tr2bl w:val="nil"/>
                  </w:tcBorders>
                  <w:vAlign w:val="center"/>
                </w:tcPr>
                <w:p>
                  <w:pPr>
                    <w:snapToGrid w:val="0"/>
                    <w:ind w:left="-105" w:leftChars="-50" w:right="-105" w:rightChars="-50"/>
                    <w:jc w:val="center"/>
                    <w:rPr>
                      <w:color w:val="auto"/>
                      <w:szCs w:val="21"/>
                      <w:highlight w:val="none"/>
                    </w:rPr>
                  </w:pPr>
                  <w:r>
                    <w:rPr>
                      <w:rFonts w:hint="eastAsia"/>
                      <w:color w:val="auto"/>
                      <w:szCs w:val="21"/>
                      <w:highlight w:val="none"/>
                    </w:rPr>
                    <w:t>等效连续A声级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restart"/>
                  <w:tcBorders>
                    <w:tl2br w:val="nil"/>
                    <w:tr2bl w:val="nil"/>
                  </w:tcBorders>
                  <w:vAlign w:val="center"/>
                </w:tcPr>
                <w:p>
                  <w:pPr>
                    <w:snapToGrid w:val="0"/>
                    <w:jc w:val="center"/>
                    <w:rPr>
                      <w:color w:val="auto"/>
                      <w:szCs w:val="21"/>
                      <w:highlight w:val="none"/>
                    </w:rPr>
                  </w:pPr>
                  <w:r>
                    <w:rPr>
                      <w:rFonts w:hint="eastAsia"/>
                      <w:color w:val="auto"/>
                      <w:szCs w:val="21"/>
                      <w:highlight w:val="none"/>
                    </w:rPr>
                    <w:t>固废</w:t>
                  </w:r>
                </w:p>
              </w:tc>
              <w:tc>
                <w:tcPr>
                  <w:tcW w:w="2784" w:type="dxa"/>
                  <w:tcBorders>
                    <w:tl2br w:val="nil"/>
                    <w:tr2bl w:val="nil"/>
                  </w:tcBorders>
                  <w:vAlign w:val="center"/>
                </w:tcPr>
                <w:p>
                  <w:pPr>
                    <w:jc w:val="center"/>
                    <w:rPr>
                      <w:color w:val="auto"/>
                      <w:szCs w:val="21"/>
                      <w:highlight w:val="none"/>
                    </w:rPr>
                  </w:pPr>
                  <w:r>
                    <w:rPr>
                      <w:rFonts w:hint="eastAsia"/>
                      <w:color w:val="auto"/>
                      <w:szCs w:val="21"/>
                      <w:highlight w:val="none"/>
                    </w:rPr>
                    <w:t>原料加工</w:t>
                  </w:r>
                </w:p>
              </w:tc>
              <w:tc>
                <w:tcPr>
                  <w:tcW w:w="3875" w:type="dxa"/>
                  <w:gridSpan w:val="2"/>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废边角料、残次品、粉尘（主要为金属和塑料）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vMerge w:val="restart"/>
                  <w:tcBorders>
                    <w:tl2br w:val="nil"/>
                    <w:tr2bl w:val="nil"/>
                  </w:tcBorders>
                  <w:vAlign w:val="center"/>
                </w:tcPr>
                <w:p>
                  <w:pPr>
                    <w:jc w:val="center"/>
                    <w:rPr>
                      <w:color w:val="auto"/>
                      <w:kern w:val="1"/>
                      <w:szCs w:val="21"/>
                      <w:highlight w:val="none"/>
                    </w:rPr>
                  </w:pPr>
                  <w:r>
                    <w:rPr>
                      <w:rFonts w:hint="eastAsia"/>
                      <w:color w:val="auto"/>
                      <w:kern w:val="1"/>
                      <w:szCs w:val="21"/>
                      <w:highlight w:val="none"/>
                    </w:rPr>
                    <w:t>喷漆</w:t>
                  </w:r>
                  <w:r>
                    <w:rPr>
                      <w:rFonts w:hint="eastAsia"/>
                      <w:color w:val="auto"/>
                      <w:szCs w:val="21"/>
                      <w:highlight w:val="none"/>
                    </w:rPr>
                    <w:t>及喷漆废水处理</w:t>
                  </w:r>
                </w:p>
              </w:tc>
              <w:tc>
                <w:tcPr>
                  <w:tcW w:w="3875" w:type="dxa"/>
                  <w:gridSpan w:val="2"/>
                  <w:tcBorders>
                    <w:tl2br w:val="nil"/>
                    <w:tr2bl w:val="nil"/>
                  </w:tcBorders>
                  <w:vAlign w:val="center"/>
                </w:tcPr>
                <w:p>
                  <w:pPr>
                    <w:jc w:val="center"/>
                    <w:rPr>
                      <w:color w:val="auto"/>
                      <w:szCs w:val="21"/>
                      <w:highlight w:val="none"/>
                    </w:rPr>
                  </w:pPr>
                  <w:r>
                    <w:rPr>
                      <w:rFonts w:hint="eastAsia"/>
                      <w:color w:val="auto"/>
                      <w:szCs w:val="21"/>
                      <w:highlight w:val="none"/>
                    </w:rPr>
                    <w:t>含油漆废物（漆渣）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vMerge w:val="continue"/>
                  <w:tcBorders>
                    <w:tl2br w:val="nil"/>
                    <w:tr2bl w:val="nil"/>
                  </w:tcBorders>
                  <w:vAlign w:val="center"/>
                </w:tcPr>
                <w:p>
                  <w:pPr>
                    <w:jc w:val="center"/>
                    <w:rPr>
                      <w:color w:val="auto"/>
                      <w:kern w:val="1"/>
                      <w:szCs w:val="21"/>
                      <w:highlight w:val="none"/>
                    </w:rPr>
                  </w:pPr>
                </w:p>
              </w:tc>
              <w:tc>
                <w:tcPr>
                  <w:tcW w:w="3875" w:type="dxa"/>
                  <w:gridSpan w:val="2"/>
                  <w:tcBorders>
                    <w:tl2br w:val="nil"/>
                    <w:tr2bl w:val="nil"/>
                  </w:tcBorders>
                  <w:vAlign w:val="center"/>
                </w:tcPr>
                <w:p>
                  <w:pPr>
                    <w:jc w:val="center"/>
                    <w:rPr>
                      <w:color w:val="auto"/>
                      <w:szCs w:val="21"/>
                      <w:highlight w:val="none"/>
                    </w:rPr>
                  </w:pPr>
                  <w:r>
                    <w:rPr>
                      <w:rFonts w:hint="eastAsia"/>
                      <w:color w:val="auto"/>
                      <w:szCs w:val="21"/>
                      <w:highlight w:val="none"/>
                    </w:rPr>
                    <w:t>喷淋废水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喷漆</w:t>
                  </w:r>
                </w:p>
              </w:tc>
              <w:tc>
                <w:tcPr>
                  <w:tcW w:w="3875" w:type="dxa"/>
                  <w:gridSpan w:val="2"/>
                  <w:tcBorders>
                    <w:tl2br w:val="nil"/>
                    <w:tr2bl w:val="nil"/>
                  </w:tcBorders>
                  <w:vAlign w:val="center"/>
                </w:tcPr>
                <w:p>
                  <w:pPr>
                    <w:jc w:val="center"/>
                    <w:rPr>
                      <w:color w:val="auto"/>
                      <w:szCs w:val="21"/>
                      <w:highlight w:val="none"/>
                    </w:rPr>
                  </w:pPr>
                  <w:r>
                    <w:rPr>
                      <w:rFonts w:hint="eastAsia"/>
                      <w:color w:val="auto"/>
                      <w:szCs w:val="21"/>
                      <w:highlight w:val="none"/>
                    </w:rPr>
                    <w:t>废油漆桶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喷粉</w:t>
                  </w:r>
                </w:p>
              </w:tc>
              <w:tc>
                <w:tcPr>
                  <w:tcW w:w="3875" w:type="dxa"/>
                  <w:gridSpan w:val="2"/>
                  <w:tcBorders>
                    <w:tl2br w:val="nil"/>
                    <w:tr2bl w:val="nil"/>
                  </w:tcBorders>
                  <w:vAlign w:val="center"/>
                </w:tcPr>
                <w:p>
                  <w:pPr>
                    <w:jc w:val="center"/>
                    <w:rPr>
                      <w:color w:val="auto"/>
                      <w:szCs w:val="21"/>
                      <w:highlight w:val="none"/>
                    </w:rPr>
                  </w:pPr>
                  <w:r>
                    <w:rPr>
                      <w:rFonts w:hint="eastAsia"/>
                      <w:color w:val="auto"/>
                      <w:szCs w:val="21"/>
                      <w:highlight w:val="none"/>
                    </w:rPr>
                    <w:t>废粉末涂料箱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jc w:val="center"/>
                    <w:rPr>
                      <w:color w:val="auto"/>
                      <w:szCs w:val="21"/>
                      <w:highlight w:val="none"/>
                    </w:rPr>
                  </w:pPr>
                  <w:r>
                    <w:rPr>
                      <w:rFonts w:hint="eastAsia"/>
                      <w:color w:val="auto"/>
                      <w:szCs w:val="21"/>
                      <w:highlight w:val="none"/>
                    </w:rPr>
                    <w:t>生产</w:t>
                  </w:r>
                </w:p>
              </w:tc>
              <w:tc>
                <w:tcPr>
                  <w:tcW w:w="3875" w:type="dxa"/>
                  <w:gridSpan w:val="2"/>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包装废物、废抹布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jc w:val="center"/>
                    <w:rPr>
                      <w:color w:val="auto"/>
                      <w:szCs w:val="21"/>
                      <w:highlight w:val="none"/>
                    </w:rPr>
                  </w:pPr>
                  <w:r>
                    <w:rPr>
                      <w:rFonts w:hint="eastAsia"/>
                      <w:color w:val="auto"/>
                      <w:szCs w:val="21"/>
                      <w:highlight w:val="none"/>
                    </w:rPr>
                    <w:t>组装</w:t>
                  </w:r>
                </w:p>
              </w:tc>
              <w:tc>
                <w:tcPr>
                  <w:tcW w:w="3875" w:type="dxa"/>
                  <w:gridSpan w:val="2"/>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废灯带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jc w:val="center"/>
                    <w:rPr>
                      <w:color w:val="auto"/>
                      <w:szCs w:val="21"/>
                      <w:highlight w:val="none"/>
                    </w:rPr>
                  </w:pPr>
                  <w:r>
                    <w:rPr>
                      <w:rFonts w:hint="eastAsia"/>
                      <w:color w:val="auto"/>
                      <w:szCs w:val="21"/>
                      <w:highlight w:val="none"/>
                    </w:rPr>
                    <w:t>设备维修保养</w:t>
                  </w:r>
                </w:p>
              </w:tc>
              <w:tc>
                <w:tcPr>
                  <w:tcW w:w="3875" w:type="dxa"/>
                  <w:gridSpan w:val="2"/>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废机油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vMerge w:val="restart"/>
                  <w:tcBorders>
                    <w:tl2br w:val="nil"/>
                    <w:tr2bl w:val="nil"/>
                  </w:tcBorders>
                  <w:vAlign w:val="center"/>
                </w:tcPr>
                <w:p>
                  <w:pPr>
                    <w:jc w:val="center"/>
                    <w:rPr>
                      <w:color w:val="auto"/>
                      <w:szCs w:val="21"/>
                      <w:highlight w:val="none"/>
                    </w:rPr>
                  </w:pPr>
                  <w:r>
                    <w:rPr>
                      <w:rFonts w:hint="eastAsia"/>
                      <w:color w:val="auto"/>
                      <w:szCs w:val="21"/>
                      <w:highlight w:val="none"/>
                    </w:rPr>
                    <w:t>废气处理</w:t>
                  </w:r>
                </w:p>
              </w:tc>
              <w:tc>
                <w:tcPr>
                  <w:tcW w:w="3875" w:type="dxa"/>
                  <w:gridSpan w:val="2"/>
                  <w:tcBorders>
                    <w:tl2br w:val="nil"/>
                    <w:tr2bl w:val="nil"/>
                  </w:tcBorders>
                  <w:vAlign w:val="center"/>
                </w:tcPr>
                <w:p>
                  <w:pPr>
                    <w:jc w:val="center"/>
                    <w:rPr>
                      <w:color w:val="auto"/>
                      <w:szCs w:val="21"/>
                      <w:highlight w:val="none"/>
                    </w:rPr>
                  </w:pPr>
                  <w:r>
                    <w:rPr>
                      <w:rFonts w:hint="eastAsia"/>
                      <w:color w:val="auto"/>
                      <w:szCs w:val="21"/>
                      <w:highlight w:val="none"/>
                    </w:rPr>
                    <w:t>废UV灯管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vMerge w:val="continue"/>
                  <w:tcBorders>
                    <w:tl2br w:val="nil"/>
                    <w:tr2bl w:val="nil"/>
                  </w:tcBorders>
                  <w:vAlign w:val="center"/>
                </w:tcPr>
                <w:p>
                  <w:pPr>
                    <w:jc w:val="center"/>
                    <w:rPr>
                      <w:color w:val="auto"/>
                      <w:szCs w:val="21"/>
                      <w:highlight w:val="none"/>
                    </w:rPr>
                  </w:pPr>
                </w:p>
              </w:tc>
              <w:tc>
                <w:tcPr>
                  <w:tcW w:w="3875" w:type="dxa"/>
                  <w:gridSpan w:val="2"/>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废活性炭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609" w:type="dxa"/>
                  <w:vMerge w:val="continue"/>
                  <w:tcBorders>
                    <w:tl2br w:val="nil"/>
                    <w:tr2bl w:val="nil"/>
                  </w:tcBorders>
                  <w:vAlign w:val="center"/>
                </w:tcPr>
                <w:p>
                  <w:pPr>
                    <w:snapToGrid w:val="0"/>
                    <w:jc w:val="center"/>
                    <w:rPr>
                      <w:color w:val="auto"/>
                      <w:szCs w:val="21"/>
                      <w:highlight w:val="none"/>
                    </w:rPr>
                  </w:pPr>
                </w:p>
              </w:tc>
              <w:tc>
                <w:tcPr>
                  <w:tcW w:w="2784" w:type="dxa"/>
                  <w:tcBorders>
                    <w:tl2br w:val="nil"/>
                    <w:tr2bl w:val="nil"/>
                  </w:tcBorders>
                  <w:vAlign w:val="center"/>
                </w:tcPr>
                <w:p>
                  <w:pPr>
                    <w:snapToGrid w:val="0"/>
                    <w:jc w:val="center"/>
                    <w:rPr>
                      <w:color w:val="auto"/>
                      <w:szCs w:val="21"/>
                      <w:highlight w:val="none"/>
                    </w:rPr>
                  </w:pPr>
                  <w:r>
                    <w:rPr>
                      <w:rFonts w:hint="eastAsia"/>
                      <w:color w:val="auto"/>
                      <w:szCs w:val="21"/>
                      <w:highlight w:val="none"/>
                    </w:rPr>
                    <w:t>员工</w:t>
                  </w:r>
                </w:p>
              </w:tc>
              <w:tc>
                <w:tcPr>
                  <w:tcW w:w="3875" w:type="dxa"/>
                  <w:gridSpan w:val="2"/>
                  <w:tcBorders>
                    <w:tl2br w:val="nil"/>
                    <w:tr2bl w:val="nil"/>
                  </w:tcBorders>
                  <w:vAlign w:val="center"/>
                </w:tcPr>
                <w:p>
                  <w:pPr>
                    <w:snapToGrid w:val="0"/>
                    <w:ind w:left="-105" w:leftChars="-50" w:right="-105" w:rightChars="-50"/>
                    <w:jc w:val="center"/>
                    <w:rPr>
                      <w:color w:val="auto"/>
                      <w:szCs w:val="21"/>
                      <w:highlight w:val="none"/>
                    </w:rPr>
                  </w:pPr>
                  <w:r>
                    <w:rPr>
                      <w:rFonts w:hint="eastAsia"/>
                      <w:color w:val="auto"/>
                      <w:szCs w:val="21"/>
                      <w:highlight w:val="none"/>
                    </w:rPr>
                    <w:t>生活垃圾</w:t>
                  </w:r>
                </w:p>
              </w:tc>
            </w:tr>
          </w:tbl>
          <w:p>
            <w:pPr>
              <w:spacing w:line="360" w:lineRule="auto"/>
              <w:rPr>
                <w:rFonts w:ascii="宋体" w:hAnsi="宋体"/>
                <w:bCs/>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23" w:type="dxa"/>
            <w:vAlign w:val="center"/>
          </w:tcPr>
          <w:p>
            <w:pPr>
              <w:pStyle w:val="21"/>
              <w:adjustRightInd w:val="0"/>
              <w:snapToGrid w:val="0"/>
              <w:spacing w:before="0" w:beforeAutospacing="0" w:after="0" w:afterAutospacing="0"/>
              <w:jc w:val="center"/>
              <w:rPr>
                <w:rFonts w:cs="宋体"/>
                <w:color w:val="auto"/>
                <w:szCs w:val="24"/>
                <w:highlight w:val="none"/>
              </w:rPr>
            </w:pPr>
            <w:r>
              <w:rPr>
                <w:rFonts w:hint="eastAsia" w:cs="宋体"/>
                <w:bCs/>
                <w:color w:val="auto"/>
                <w:szCs w:val="24"/>
                <w:highlight w:val="none"/>
              </w:rPr>
              <w:t>与项目有关的原有环境污染问题</w:t>
            </w:r>
          </w:p>
        </w:tc>
        <w:tc>
          <w:tcPr>
            <w:tcW w:w="8161" w:type="dxa"/>
            <w:vAlign w:val="center"/>
          </w:tcPr>
          <w:p>
            <w:pPr>
              <w:spacing w:line="360" w:lineRule="auto"/>
              <w:ind w:firstLine="480" w:firstLineChars="200"/>
              <w:rPr>
                <w:color w:val="auto"/>
                <w:sz w:val="24"/>
                <w:highlight w:val="none"/>
              </w:rPr>
            </w:pPr>
            <w:r>
              <w:rPr>
                <w:rFonts w:hint="eastAsia"/>
                <w:color w:val="auto"/>
                <w:sz w:val="24"/>
                <w:highlight w:val="none"/>
              </w:rPr>
              <w:t>原熊家桥页岩砖厂已</w:t>
            </w:r>
            <w:r>
              <w:rPr>
                <w:rFonts w:hint="eastAsia"/>
                <w:color w:val="auto"/>
                <w:sz w:val="24"/>
                <w:highlight w:val="none"/>
                <w:lang w:eastAsia="zh-CN"/>
              </w:rPr>
              <w:t>关停</w:t>
            </w:r>
            <w:r>
              <w:rPr>
                <w:rFonts w:hint="eastAsia"/>
                <w:color w:val="auto"/>
                <w:sz w:val="24"/>
                <w:highlight w:val="none"/>
              </w:rPr>
              <w:t>多年，</w:t>
            </w:r>
            <w:r>
              <w:rPr>
                <w:rFonts w:hint="eastAsia"/>
                <w:color w:val="auto"/>
                <w:sz w:val="24"/>
                <w:highlight w:val="none"/>
                <w:lang w:eastAsia="zh-CN"/>
              </w:rPr>
              <w:t>但相关用地手续齐全，现已拆除原砖厂厂房，新建了钢架结构厂房。</w:t>
            </w:r>
            <w:r>
              <w:rPr>
                <w:rFonts w:hint="eastAsia"/>
                <w:color w:val="auto"/>
                <w:sz w:val="24"/>
                <w:highlight w:val="none"/>
              </w:rPr>
              <w:t>邵阳宝庆天龙标识字业广告有限公司租赁</w:t>
            </w:r>
            <w:r>
              <w:rPr>
                <w:rFonts w:hint="eastAsia"/>
                <w:color w:val="auto"/>
                <w:sz w:val="24"/>
                <w:highlight w:val="none"/>
                <w:lang w:eastAsia="zh-CN"/>
              </w:rPr>
              <w:t>该厂新建厂房</w:t>
            </w:r>
            <w:r>
              <w:rPr>
                <w:rFonts w:hint="eastAsia"/>
                <w:color w:val="auto"/>
                <w:sz w:val="24"/>
                <w:highlight w:val="none"/>
              </w:rPr>
              <w:t>1112m</w:t>
            </w:r>
            <w:r>
              <w:rPr>
                <w:rFonts w:hint="eastAsia"/>
                <w:color w:val="auto"/>
                <w:sz w:val="24"/>
                <w:highlight w:val="none"/>
                <w:vertAlign w:val="superscript"/>
              </w:rPr>
              <w:t>2</w:t>
            </w:r>
            <w:r>
              <w:rPr>
                <w:rFonts w:hint="eastAsia"/>
                <w:color w:val="auto"/>
                <w:sz w:val="24"/>
                <w:highlight w:val="none"/>
              </w:rPr>
              <w:t>，无原有环境污染问题。</w:t>
            </w:r>
          </w:p>
          <w:p>
            <w:pPr>
              <w:pStyle w:val="8"/>
              <w:tabs>
                <w:tab w:val="left" w:pos="1021"/>
              </w:tabs>
              <w:spacing w:line="360" w:lineRule="auto"/>
              <w:ind w:firstLine="480" w:firstLineChars="200"/>
              <w:rPr>
                <w:rFonts w:ascii="宋体" w:hAnsi="宋体"/>
                <w:bCs/>
                <w:color w:val="auto"/>
                <w:sz w:val="24"/>
                <w:szCs w:val="24"/>
                <w:highlight w:val="none"/>
              </w:rPr>
            </w:pPr>
          </w:p>
        </w:tc>
      </w:tr>
    </w:tbl>
    <w:p>
      <w:pPr>
        <w:pStyle w:val="21"/>
        <w:jc w:val="center"/>
        <w:rPr>
          <w:rFonts w:ascii="黑体" w:hAnsi="黑体" w:eastAsia="黑体"/>
          <w:snapToGrid w:val="0"/>
          <w:color w:val="auto"/>
          <w:sz w:val="36"/>
          <w:szCs w:val="36"/>
          <w:highlight w:val="none"/>
        </w:rPr>
        <w:sectPr>
          <w:pgSz w:w="11906" w:h="16838"/>
          <w:pgMar w:top="1701" w:right="1531" w:bottom="1701" w:left="1531" w:header="851" w:footer="851" w:gutter="0"/>
          <w:pgNumType w:fmt="numberInDash"/>
          <w:cols w:space="720" w:num="1"/>
          <w:docGrid w:linePitch="312" w:charSpace="0"/>
        </w:sectPr>
      </w:pPr>
    </w:p>
    <w:p>
      <w:pPr>
        <w:pStyle w:val="21"/>
        <w:jc w:val="center"/>
        <w:outlineLvl w:val="0"/>
        <w:rPr>
          <w:rFonts w:ascii="黑体" w:hAnsi="黑体" w:eastAsia="黑体"/>
          <w:snapToGrid w:val="0"/>
          <w:color w:val="auto"/>
          <w:sz w:val="30"/>
          <w:szCs w:val="30"/>
          <w:highlight w:val="none"/>
        </w:rPr>
      </w:pPr>
      <w:bookmarkStart w:id="7" w:name="_Toc25199"/>
      <w:r>
        <w:rPr>
          <w:rFonts w:hint="eastAsia" w:ascii="黑体" w:hAnsi="黑体" w:eastAsia="黑体"/>
          <w:snapToGrid w:val="0"/>
          <w:color w:val="auto"/>
          <w:sz w:val="30"/>
          <w:szCs w:val="30"/>
          <w:highlight w:val="none"/>
        </w:rPr>
        <w:t>三、区域环境质量现状、环境保护目标及评价标准</w:t>
      </w:r>
      <w:bookmarkEnd w:id="7"/>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0" w:type="dxa"/>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区域</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环境</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质量</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现状</w:t>
            </w:r>
          </w:p>
        </w:tc>
        <w:tc>
          <w:tcPr>
            <w:tcW w:w="8190" w:type="dxa"/>
            <w:vAlign w:val="center"/>
          </w:tcPr>
          <w:p>
            <w:pPr>
              <w:spacing w:line="360" w:lineRule="auto"/>
              <w:rPr>
                <w:rFonts w:eastAsiaTheme="minorEastAsia"/>
                <w:b/>
                <w:color w:val="auto"/>
                <w:sz w:val="24"/>
                <w:highlight w:val="none"/>
              </w:rPr>
            </w:pPr>
            <w:r>
              <w:rPr>
                <w:rFonts w:hint="eastAsia" w:eastAsiaTheme="minorEastAsia"/>
                <w:b/>
                <w:color w:val="auto"/>
                <w:sz w:val="24"/>
                <w:highlight w:val="none"/>
              </w:rPr>
              <w:t>1</w:t>
            </w:r>
            <w:r>
              <w:rPr>
                <w:rFonts w:eastAsiaTheme="minorEastAsia"/>
                <w:b/>
                <w:color w:val="auto"/>
                <w:sz w:val="24"/>
                <w:highlight w:val="none"/>
              </w:rPr>
              <w:t>、</w:t>
            </w:r>
            <w:r>
              <w:rPr>
                <w:rFonts w:hint="eastAsia" w:eastAsiaTheme="minorEastAsia"/>
                <w:b/>
                <w:color w:val="auto"/>
                <w:sz w:val="24"/>
                <w:highlight w:val="none"/>
              </w:rPr>
              <w:t>大气环境</w:t>
            </w:r>
          </w:p>
          <w:p>
            <w:pPr>
              <w:pStyle w:val="51"/>
              <w:rPr>
                <w:b/>
                <w:bCs/>
                <w:color w:val="auto"/>
                <w:highlight w:val="none"/>
              </w:rPr>
            </w:pPr>
            <w:r>
              <w:rPr>
                <w:rFonts w:hint="eastAsia"/>
                <w:b/>
                <w:bCs/>
                <w:color w:val="auto"/>
                <w:highlight w:val="none"/>
              </w:rPr>
              <w:t>（1）空气质量达标区判定</w:t>
            </w:r>
          </w:p>
          <w:p>
            <w:pPr>
              <w:spacing w:line="360" w:lineRule="auto"/>
              <w:ind w:firstLine="480" w:firstLineChars="200"/>
              <w:rPr>
                <w:color w:val="auto"/>
                <w:kern w:val="0"/>
                <w:sz w:val="24"/>
                <w:highlight w:val="none"/>
              </w:rPr>
            </w:pPr>
            <w:r>
              <w:rPr>
                <w:color w:val="auto"/>
                <w:kern w:val="0"/>
                <w:sz w:val="24"/>
                <w:highlight w:val="none"/>
              </w:rPr>
              <w:t>本次评价</w:t>
            </w:r>
            <w:r>
              <w:rPr>
                <w:rFonts w:hint="eastAsia"/>
                <w:color w:val="auto"/>
                <w:kern w:val="0"/>
                <w:sz w:val="24"/>
                <w:highlight w:val="none"/>
              </w:rPr>
              <w:t>引用邵阳市生态环境局官网公布的2022年1-12月环境质量月报全市平均值，邵阳市环境质量监测结果见表</w:t>
            </w:r>
            <w:r>
              <w:rPr>
                <w:color w:val="auto"/>
                <w:kern w:val="0"/>
                <w:sz w:val="24"/>
                <w:highlight w:val="none"/>
              </w:rPr>
              <w:t>3</w:t>
            </w:r>
            <w:r>
              <w:rPr>
                <w:rFonts w:hint="eastAsia"/>
                <w:color w:val="auto"/>
                <w:kern w:val="0"/>
                <w:sz w:val="24"/>
                <w:highlight w:val="none"/>
              </w:rPr>
              <w:t>-1。</w:t>
            </w:r>
          </w:p>
          <w:p>
            <w:pPr>
              <w:jc w:val="center"/>
              <w:rPr>
                <w:b/>
                <w:color w:val="auto"/>
                <w:kern w:val="0"/>
                <w:szCs w:val="21"/>
                <w:highlight w:val="none"/>
                <w:lang w:val="zh-CN"/>
              </w:rPr>
            </w:pPr>
            <w:r>
              <w:rPr>
                <w:rFonts w:hint="eastAsia"/>
                <w:b/>
                <w:color w:val="auto"/>
                <w:kern w:val="0"/>
                <w:szCs w:val="21"/>
                <w:highlight w:val="none"/>
                <w:lang w:val="zh-CN"/>
              </w:rPr>
              <w:t>表</w:t>
            </w:r>
            <w:r>
              <w:rPr>
                <w:b/>
                <w:color w:val="auto"/>
                <w:kern w:val="0"/>
                <w:szCs w:val="21"/>
                <w:highlight w:val="none"/>
                <w:lang w:val="zh-CN"/>
              </w:rPr>
              <w:t>3</w:t>
            </w:r>
            <w:r>
              <w:rPr>
                <w:rFonts w:hint="eastAsia"/>
                <w:b/>
                <w:color w:val="auto"/>
                <w:kern w:val="0"/>
                <w:szCs w:val="21"/>
                <w:highlight w:val="none"/>
                <w:lang w:val="zh-CN"/>
              </w:rPr>
              <w:t>-1  邵阳市空气质量现状评价表</w:t>
            </w:r>
          </w:p>
          <w:tbl>
            <w:tblPr>
              <w:tblStyle w:val="25"/>
              <w:tblW w:w="483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330"/>
              <w:gridCol w:w="1145"/>
              <w:gridCol w:w="856"/>
              <w:gridCol w:w="1519"/>
              <w:gridCol w:w="9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547" w:type="pct"/>
                  <w:vAlign w:val="center"/>
                </w:tcPr>
                <w:p>
                  <w:pPr>
                    <w:ind w:right="-78" w:rightChars="-37"/>
                    <w:jc w:val="center"/>
                    <w:rPr>
                      <w:rStyle w:val="118"/>
                      <w:color w:val="auto"/>
                      <w:szCs w:val="21"/>
                      <w:highlight w:val="none"/>
                    </w:rPr>
                  </w:pPr>
                  <w:r>
                    <w:rPr>
                      <w:bCs/>
                      <w:color w:val="auto"/>
                      <w:szCs w:val="21"/>
                      <w:highlight w:val="none"/>
                    </w:rPr>
                    <w:t>污染物</w:t>
                  </w:r>
                </w:p>
              </w:tc>
              <w:tc>
                <w:tcPr>
                  <w:tcW w:w="1515" w:type="pct"/>
                  <w:vAlign w:val="center"/>
                </w:tcPr>
                <w:p>
                  <w:pPr>
                    <w:ind w:right="-78" w:rightChars="-37"/>
                    <w:jc w:val="center"/>
                    <w:rPr>
                      <w:rStyle w:val="118"/>
                      <w:color w:val="auto"/>
                      <w:szCs w:val="21"/>
                      <w:highlight w:val="none"/>
                    </w:rPr>
                  </w:pPr>
                  <w:r>
                    <w:rPr>
                      <w:bCs/>
                      <w:color w:val="auto"/>
                      <w:szCs w:val="21"/>
                      <w:highlight w:val="none"/>
                    </w:rPr>
                    <w:t>年评价指标</w:t>
                  </w:r>
                </w:p>
              </w:tc>
              <w:tc>
                <w:tcPr>
                  <w:tcW w:w="745" w:type="pct"/>
                  <w:vAlign w:val="center"/>
                </w:tcPr>
                <w:p>
                  <w:pPr>
                    <w:ind w:right="-78" w:rightChars="-37"/>
                    <w:jc w:val="center"/>
                    <w:rPr>
                      <w:color w:val="auto"/>
                      <w:highlight w:val="none"/>
                    </w:rPr>
                  </w:pPr>
                  <w:r>
                    <w:rPr>
                      <w:color w:val="auto"/>
                      <w:highlight w:val="none"/>
                    </w:rPr>
                    <w:t>现状浓度</w:t>
                  </w:r>
                </w:p>
              </w:tc>
              <w:tc>
                <w:tcPr>
                  <w:tcW w:w="557" w:type="pct"/>
                  <w:vAlign w:val="center"/>
                </w:tcPr>
                <w:p>
                  <w:pPr>
                    <w:ind w:right="-78" w:rightChars="-37"/>
                    <w:jc w:val="center"/>
                    <w:rPr>
                      <w:rStyle w:val="118"/>
                      <w:color w:val="auto"/>
                      <w:szCs w:val="21"/>
                      <w:highlight w:val="none"/>
                    </w:rPr>
                  </w:pPr>
                  <w:r>
                    <w:rPr>
                      <w:bCs/>
                      <w:color w:val="auto"/>
                      <w:szCs w:val="21"/>
                      <w:highlight w:val="none"/>
                    </w:rPr>
                    <w:t>标准值</w:t>
                  </w:r>
                </w:p>
              </w:tc>
              <w:tc>
                <w:tcPr>
                  <w:tcW w:w="989" w:type="pct"/>
                  <w:vAlign w:val="center"/>
                </w:tcPr>
                <w:p>
                  <w:pPr>
                    <w:ind w:right="-78" w:rightChars="-37"/>
                    <w:jc w:val="center"/>
                    <w:rPr>
                      <w:rStyle w:val="118"/>
                      <w:color w:val="auto"/>
                      <w:szCs w:val="21"/>
                      <w:highlight w:val="none"/>
                    </w:rPr>
                  </w:pPr>
                  <w:r>
                    <w:rPr>
                      <w:bCs/>
                      <w:color w:val="auto"/>
                      <w:szCs w:val="21"/>
                      <w:highlight w:val="none"/>
                    </w:rPr>
                    <w:t>占标率（%）</w:t>
                  </w:r>
                </w:p>
              </w:tc>
              <w:tc>
                <w:tcPr>
                  <w:tcW w:w="645" w:type="pct"/>
                  <w:vAlign w:val="center"/>
                </w:tcPr>
                <w:p>
                  <w:pPr>
                    <w:ind w:right="-78" w:rightChars="-37"/>
                    <w:jc w:val="center"/>
                    <w:rPr>
                      <w:rStyle w:val="118"/>
                      <w:color w:val="auto"/>
                      <w:szCs w:val="21"/>
                      <w:highlight w:val="none"/>
                    </w:rPr>
                  </w:pPr>
                  <w:r>
                    <w:rPr>
                      <w:bCs/>
                      <w:color w:val="auto"/>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47" w:type="pct"/>
                  <w:vAlign w:val="center"/>
                </w:tcPr>
                <w:p>
                  <w:pPr>
                    <w:tabs>
                      <w:tab w:val="left" w:pos="1021"/>
                    </w:tabs>
                    <w:adjustRightInd w:val="0"/>
                    <w:snapToGrid w:val="0"/>
                    <w:jc w:val="center"/>
                    <w:rPr>
                      <w:rStyle w:val="118"/>
                      <w:color w:val="auto"/>
                      <w:szCs w:val="21"/>
                      <w:highlight w:val="none"/>
                    </w:rPr>
                  </w:pPr>
                  <w:r>
                    <w:rPr>
                      <w:color w:val="auto"/>
                      <w:kern w:val="0"/>
                      <w:highlight w:val="none"/>
                    </w:rPr>
                    <w:t>SO</w:t>
                  </w:r>
                  <w:r>
                    <w:rPr>
                      <w:color w:val="auto"/>
                      <w:kern w:val="0"/>
                      <w:highlight w:val="none"/>
                      <w:vertAlign w:val="subscript"/>
                    </w:rPr>
                    <w:t>2</w:t>
                  </w:r>
                </w:p>
              </w:tc>
              <w:tc>
                <w:tcPr>
                  <w:tcW w:w="1515" w:type="pct"/>
                  <w:vAlign w:val="center"/>
                </w:tcPr>
                <w:p>
                  <w:pPr>
                    <w:tabs>
                      <w:tab w:val="left" w:pos="1021"/>
                    </w:tabs>
                    <w:adjustRightInd w:val="0"/>
                    <w:snapToGrid w:val="0"/>
                    <w:jc w:val="center"/>
                    <w:rPr>
                      <w:rStyle w:val="118"/>
                      <w:color w:val="auto"/>
                      <w:szCs w:val="21"/>
                      <w:highlight w:val="none"/>
                    </w:rPr>
                  </w:pPr>
                  <w:r>
                    <w:rPr>
                      <w:color w:val="auto"/>
                      <w:kern w:val="0"/>
                      <w:highlight w:val="none"/>
                    </w:rPr>
                    <w:t>年平均质量浓度</w:t>
                  </w:r>
                </w:p>
              </w:tc>
              <w:tc>
                <w:tcPr>
                  <w:tcW w:w="745" w:type="pct"/>
                  <w:vAlign w:val="center"/>
                </w:tcPr>
                <w:p>
                  <w:pPr>
                    <w:tabs>
                      <w:tab w:val="left" w:pos="1021"/>
                    </w:tabs>
                    <w:adjustRightInd w:val="0"/>
                    <w:snapToGrid w:val="0"/>
                    <w:jc w:val="center"/>
                    <w:rPr>
                      <w:color w:val="auto"/>
                      <w:kern w:val="0"/>
                      <w:highlight w:val="none"/>
                    </w:rPr>
                  </w:pPr>
                  <w:r>
                    <w:rPr>
                      <w:rFonts w:hint="eastAsia"/>
                      <w:color w:val="auto"/>
                      <w:kern w:val="0"/>
                      <w:highlight w:val="none"/>
                    </w:rPr>
                    <w:t>11</w:t>
                  </w:r>
                  <w:r>
                    <w:rPr>
                      <w:color w:val="auto"/>
                      <w:kern w:val="0"/>
                      <w:highlight w:val="none"/>
                    </w:rPr>
                    <w:t>ug/m³</w:t>
                  </w:r>
                </w:p>
              </w:tc>
              <w:tc>
                <w:tcPr>
                  <w:tcW w:w="557" w:type="pct"/>
                  <w:vAlign w:val="center"/>
                </w:tcPr>
                <w:p>
                  <w:pPr>
                    <w:tabs>
                      <w:tab w:val="left" w:pos="1021"/>
                    </w:tabs>
                    <w:adjustRightInd w:val="0"/>
                    <w:snapToGrid w:val="0"/>
                    <w:jc w:val="center"/>
                    <w:rPr>
                      <w:rStyle w:val="118"/>
                      <w:color w:val="auto"/>
                      <w:szCs w:val="21"/>
                      <w:highlight w:val="none"/>
                    </w:rPr>
                  </w:pPr>
                  <w:r>
                    <w:rPr>
                      <w:color w:val="auto"/>
                      <w:kern w:val="0"/>
                      <w:highlight w:val="none"/>
                    </w:rPr>
                    <w:t>60</w:t>
                  </w:r>
                </w:p>
              </w:tc>
              <w:tc>
                <w:tcPr>
                  <w:tcW w:w="989" w:type="pct"/>
                  <w:vAlign w:val="center"/>
                </w:tcPr>
                <w:p>
                  <w:pPr>
                    <w:tabs>
                      <w:tab w:val="left" w:pos="1021"/>
                    </w:tabs>
                    <w:adjustRightInd w:val="0"/>
                    <w:snapToGrid w:val="0"/>
                    <w:jc w:val="center"/>
                    <w:rPr>
                      <w:rStyle w:val="118"/>
                      <w:color w:val="auto"/>
                      <w:szCs w:val="21"/>
                      <w:highlight w:val="none"/>
                    </w:rPr>
                  </w:pPr>
                  <w:r>
                    <w:rPr>
                      <w:rFonts w:hint="eastAsia"/>
                      <w:color w:val="auto"/>
                      <w:kern w:val="0"/>
                      <w:highlight w:val="none"/>
                    </w:rPr>
                    <w:t>18.3</w:t>
                  </w:r>
                </w:p>
              </w:tc>
              <w:tc>
                <w:tcPr>
                  <w:tcW w:w="645" w:type="pct"/>
                  <w:vAlign w:val="center"/>
                </w:tcPr>
                <w:p>
                  <w:pPr>
                    <w:tabs>
                      <w:tab w:val="left" w:pos="1021"/>
                    </w:tabs>
                    <w:adjustRightInd w:val="0"/>
                    <w:snapToGrid w:val="0"/>
                    <w:jc w:val="center"/>
                    <w:rPr>
                      <w:rStyle w:val="118"/>
                      <w:color w:val="auto"/>
                      <w:szCs w:val="21"/>
                      <w:highlight w:val="none"/>
                    </w:rPr>
                  </w:pPr>
                  <w:r>
                    <w:rPr>
                      <w:color w:val="auto"/>
                      <w:kern w:val="0"/>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vAlign w:val="center"/>
                </w:tcPr>
                <w:p>
                  <w:pPr>
                    <w:tabs>
                      <w:tab w:val="left" w:pos="1021"/>
                    </w:tabs>
                    <w:adjustRightInd w:val="0"/>
                    <w:snapToGrid w:val="0"/>
                    <w:jc w:val="center"/>
                    <w:rPr>
                      <w:rStyle w:val="118"/>
                      <w:color w:val="auto"/>
                      <w:szCs w:val="21"/>
                      <w:highlight w:val="none"/>
                    </w:rPr>
                  </w:pPr>
                  <w:r>
                    <w:rPr>
                      <w:color w:val="auto"/>
                      <w:kern w:val="0"/>
                      <w:highlight w:val="none"/>
                    </w:rPr>
                    <w:t>NO</w:t>
                  </w:r>
                  <w:r>
                    <w:rPr>
                      <w:color w:val="auto"/>
                      <w:kern w:val="0"/>
                      <w:highlight w:val="none"/>
                      <w:vertAlign w:val="subscript"/>
                    </w:rPr>
                    <w:t>2</w:t>
                  </w:r>
                </w:p>
              </w:tc>
              <w:tc>
                <w:tcPr>
                  <w:tcW w:w="1515" w:type="pct"/>
                  <w:vAlign w:val="center"/>
                </w:tcPr>
                <w:p>
                  <w:pPr>
                    <w:tabs>
                      <w:tab w:val="left" w:pos="1021"/>
                    </w:tabs>
                    <w:adjustRightInd w:val="0"/>
                    <w:snapToGrid w:val="0"/>
                    <w:jc w:val="center"/>
                    <w:rPr>
                      <w:rStyle w:val="118"/>
                      <w:color w:val="auto"/>
                      <w:szCs w:val="21"/>
                      <w:highlight w:val="none"/>
                    </w:rPr>
                  </w:pPr>
                  <w:r>
                    <w:rPr>
                      <w:color w:val="auto"/>
                      <w:kern w:val="0"/>
                      <w:highlight w:val="none"/>
                    </w:rPr>
                    <w:t>年平均质量浓度</w:t>
                  </w:r>
                </w:p>
              </w:tc>
              <w:tc>
                <w:tcPr>
                  <w:tcW w:w="745" w:type="pct"/>
                  <w:vAlign w:val="center"/>
                </w:tcPr>
                <w:p>
                  <w:pPr>
                    <w:tabs>
                      <w:tab w:val="left" w:pos="1021"/>
                    </w:tabs>
                    <w:adjustRightInd w:val="0"/>
                    <w:snapToGrid w:val="0"/>
                    <w:jc w:val="center"/>
                    <w:rPr>
                      <w:color w:val="auto"/>
                      <w:kern w:val="0"/>
                      <w:highlight w:val="none"/>
                    </w:rPr>
                  </w:pPr>
                  <w:r>
                    <w:rPr>
                      <w:rFonts w:hint="eastAsia"/>
                      <w:color w:val="auto"/>
                      <w:kern w:val="0"/>
                      <w:highlight w:val="none"/>
                    </w:rPr>
                    <w:t>13</w:t>
                  </w:r>
                  <w:r>
                    <w:rPr>
                      <w:color w:val="auto"/>
                      <w:kern w:val="0"/>
                      <w:highlight w:val="none"/>
                    </w:rPr>
                    <w:t>ug/m³</w:t>
                  </w:r>
                </w:p>
              </w:tc>
              <w:tc>
                <w:tcPr>
                  <w:tcW w:w="557" w:type="pct"/>
                  <w:vAlign w:val="center"/>
                </w:tcPr>
                <w:p>
                  <w:pPr>
                    <w:tabs>
                      <w:tab w:val="left" w:pos="1021"/>
                    </w:tabs>
                    <w:adjustRightInd w:val="0"/>
                    <w:snapToGrid w:val="0"/>
                    <w:jc w:val="center"/>
                    <w:rPr>
                      <w:rStyle w:val="118"/>
                      <w:color w:val="auto"/>
                      <w:szCs w:val="21"/>
                      <w:highlight w:val="none"/>
                    </w:rPr>
                  </w:pPr>
                  <w:r>
                    <w:rPr>
                      <w:color w:val="auto"/>
                      <w:kern w:val="0"/>
                      <w:highlight w:val="none"/>
                    </w:rPr>
                    <w:t>40</w:t>
                  </w:r>
                </w:p>
              </w:tc>
              <w:tc>
                <w:tcPr>
                  <w:tcW w:w="989" w:type="pct"/>
                  <w:vAlign w:val="center"/>
                </w:tcPr>
                <w:p>
                  <w:pPr>
                    <w:tabs>
                      <w:tab w:val="left" w:pos="1021"/>
                    </w:tabs>
                    <w:adjustRightInd w:val="0"/>
                    <w:snapToGrid w:val="0"/>
                    <w:jc w:val="center"/>
                    <w:rPr>
                      <w:rStyle w:val="118"/>
                      <w:color w:val="auto"/>
                      <w:szCs w:val="21"/>
                      <w:highlight w:val="none"/>
                    </w:rPr>
                  </w:pPr>
                  <w:r>
                    <w:rPr>
                      <w:rFonts w:hint="eastAsia"/>
                      <w:color w:val="auto"/>
                      <w:kern w:val="0"/>
                      <w:highlight w:val="none"/>
                    </w:rPr>
                    <w:t>32.5</w:t>
                  </w:r>
                </w:p>
              </w:tc>
              <w:tc>
                <w:tcPr>
                  <w:tcW w:w="645" w:type="pct"/>
                  <w:vAlign w:val="center"/>
                </w:tcPr>
                <w:p>
                  <w:pPr>
                    <w:tabs>
                      <w:tab w:val="left" w:pos="1021"/>
                    </w:tabs>
                    <w:adjustRightInd w:val="0"/>
                    <w:snapToGrid w:val="0"/>
                    <w:jc w:val="center"/>
                    <w:rPr>
                      <w:rStyle w:val="118"/>
                      <w:color w:val="auto"/>
                      <w:szCs w:val="21"/>
                      <w:highlight w:val="none"/>
                    </w:rPr>
                  </w:pPr>
                  <w:r>
                    <w:rPr>
                      <w:color w:val="auto"/>
                      <w:kern w:val="0"/>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547" w:type="pct"/>
                  <w:vAlign w:val="center"/>
                </w:tcPr>
                <w:p>
                  <w:pPr>
                    <w:tabs>
                      <w:tab w:val="left" w:pos="1021"/>
                    </w:tabs>
                    <w:adjustRightInd w:val="0"/>
                    <w:snapToGrid w:val="0"/>
                    <w:jc w:val="center"/>
                    <w:rPr>
                      <w:rStyle w:val="118"/>
                      <w:color w:val="auto"/>
                      <w:szCs w:val="21"/>
                      <w:highlight w:val="none"/>
                    </w:rPr>
                  </w:pPr>
                  <w:r>
                    <w:rPr>
                      <w:color w:val="auto"/>
                      <w:kern w:val="0"/>
                      <w:highlight w:val="none"/>
                    </w:rPr>
                    <w:t>PM</w:t>
                  </w:r>
                  <w:r>
                    <w:rPr>
                      <w:color w:val="auto"/>
                      <w:kern w:val="0"/>
                      <w:highlight w:val="none"/>
                      <w:vertAlign w:val="subscript"/>
                    </w:rPr>
                    <w:t>10</w:t>
                  </w:r>
                </w:p>
              </w:tc>
              <w:tc>
                <w:tcPr>
                  <w:tcW w:w="1515" w:type="pct"/>
                  <w:vAlign w:val="center"/>
                </w:tcPr>
                <w:p>
                  <w:pPr>
                    <w:tabs>
                      <w:tab w:val="left" w:pos="1021"/>
                    </w:tabs>
                    <w:adjustRightInd w:val="0"/>
                    <w:snapToGrid w:val="0"/>
                    <w:jc w:val="center"/>
                    <w:rPr>
                      <w:rStyle w:val="118"/>
                      <w:color w:val="auto"/>
                      <w:szCs w:val="21"/>
                      <w:highlight w:val="none"/>
                    </w:rPr>
                  </w:pPr>
                  <w:r>
                    <w:rPr>
                      <w:color w:val="auto"/>
                      <w:kern w:val="0"/>
                      <w:highlight w:val="none"/>
                    </w:rPr>
                    <w:t>年平均质量浓度</w:t>
                  </w:r>
                </w:p>
              </w:tc>
              <w:tc>
                <w:tcPr>
                  <w:tcW w:w="745" w:type="pct"/>
                  <w:vAlign w:val="center"/>
                </w:tcPr>
                <w:p>
                  <w:pPr>
                    <w:tabs>
                      <w:tab w:val="left" w:pos="1021"/>
                    </w:tabs>
                    <w:adjustRightInd w:val="0"/>
                    <w:snapToGrid w:val="0"/>
                    <w:jc w:val="center"/>
                    <w:rPr>
                      <w:color w:val="auto"/>
                      <w:kern w:val="0"/>
                      <w:highlight w:val="none"/>
                    </w:rPr>
                  </w:pPr>
                  <w:r>
                    <w:rPr>
                      <w:rFonts w:hint="eastAsia"/>
                      <w:color w:val="auto"/>
                      <w:kern w:val="0"/>
                      <w:highlight w:val="none"/>
                    </w:rPr>
                    <w:t>49</w:t>
                  </w:r>
                  <w:r>
                    <w:rPr>
                      <w:color w:val="auto"/>
                      <w:kern w:val="0"/>
                      <w:highlight w:val="none"/>
                    </w:rPr>
                    <w:t>ug/m³</w:t>
                  </w:r>
                </w:p>
              </w:tc>
              <w:tc>
                <w:tcPr>
                  <w:tcW w:w="557" w:type="pct"/>
                  <w:vAlign w:val="center"/>
                </w:tcPr>
                <w:p>
                  <w:pPr>
                    <w:tabs>
                      <w:tab w:val="left" w:pos="1021"/>
                    </w:tabs>
                    <w:adjustRightInd w:val="0"/>
                    <w:snapToGrid w:val="0"/>
                    <w:jc w:val="center"/>
                    <w:rPr>
                      <w:rStyle w:val="118"/>
                      <w:color w:val="auto"/>
                      <w:szCs w:val="21"/>
                      <w:highlight w:val="none"/>
                    </w:rPr>
                  </w:pPr>
                  <w:r>
                    <w:rPr>
                      <w:color w:val="auto"/>
                      <w:kern w:val="0"/>
                      <w:highlight w:val="none"/>
                    </w:rPr>
                    <w:t>70</w:t>
                  </w:r>
                </w:p>
              </w:tc>
              <w:tc>
                <w:tcPr>
                  <w:tcW w:w="989" w:type="pct"/>
                  <w:vAlign w:val="center"/>
                </w:tcPr>
                <w:p>
                  <w:pPr>
                    <w:tabs>
                      <w:tab w:val="left" w:pos="1021"/>
                    </w:tabs>
                    <w:adjustRightInd w:val="0"/>
                    <w:snapToGrid w:val="0"/>
                    <w:jc w:val="center"/>
                    <w:rPr>
                      <w:rStyle w:val="118"/>
                      <w:color w:val="auto"/>
                      <w:szCs w:val="21"/>
                      <w:highlight w:val="none"/>
                    </w:rPr>
                  </w:pPr>
                  <w:r>
                    <w:rPr>
                      <w:rFonts w:hint="eastAsia"/>
                      <w:color w:val="auto"/>
                      <w:kern w:val="0"/>
                      <w:highlight w:val="none"/>
                    </w:rPr>
                    <w:t>70.0</w:t>
                  </w:r>
                </w:p>
              </w:tc>
              <w:tc>
                <w:tcPr>
                  <w:tcW w:w="645" w:type="pct"/>
                  <w:vAlign w:val="center"/>
                </w:tcPr>
                <w:p>
                  <w:pPr>
                    <w:tabs>
                      <w:tab w:val="left" w:pos="1021"/>
                    </w:tabs>
                    <w:adjustRightInd w:val="0"/>
                    <w:snapToGrid w:val="0"/>
                    <w:jc w:val="center"/>
                    <w:rPr>
                      <w:rStyle w:val="118"/>
                      <w:color w:val="auto"/>
                      <w:szCs w:val="21"/>
                      <w:highlight w:val="none"/>
                    </w:rPr>
                  </w:pPr>
                  <w:r>
                    <w:rPr>
                      <w:color w:val="auto"/>
                      <w:kern w:val="0"/>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vAlign w:val="center"/>
                </w:tcPr>
                <w:p>
                  <w:pPr>
                    <w:tabs>
                      <w:tab w:val="left" w:pos="1021"/>
                    </w:tabs>
                    <w:adjustRightInd w:val="0"/>
                    <w:snapToGrid w:val="0"/>
                    <w:jc w:val="center"/>
                    <w:rPr>
                      <w:rStyle w:val="118"/>
                      <w:color w:val="auto"/>
                      <w:szCs w:val="21"/>
                      <w:highlight w:val="none"/>
                    </w:rPr>
                  </w:pPr>
                  <w:r>
                    <w:rPr>
                      <w:color w:val="auto"/>
                      <w:kern w:val="0"/>
                      <w:highlight w:val="none"/>
                    </w:rPr>
                    <w:t>PM</w:t>
                  </w:r>
                  <w:r>
                    <w:rPr>
                      <w:color w:val="auto"/>
                      <w:kern w:val="0"/>
                      <w:highlight w:val="none"/>
                      <w:vertAlign w:val="subscript"/>
                    </w:rPr>
                    <w:t>2.5</w:t>
                  </w:r>
                </w:p>
              </w:tc>
              <w:tc>
                <w:tcPr>
                  <w:tcW w:w="1515" w:type="pct"/>
                  <w:vAlign w:val="center"/>
                </w:tcPr>
                <w:p>
                  <w:pPr>
                    <w:tabs>
                      <w:tab w:val="left" w:pos="1021"/>
                    </w:tabs>
                    <w:adjustRightInd w:val="0"/>
                    <w:snapToGrid w:val="0"/>
                    <w:jc w:val="center"/>
                    <w:rPr>
                      <w:rStyle w:val="118"/>
                      <w:color w:val="auto"/>
                      <w:szCs w:val="21"/>
                      <w:highlight w:val="none"/>
                    </w:rPr>
                  </w:pPr>
                  <w:r>
                    <w:rPr>
                      <w:color w:val="auto"/>
                      <w:kern w:val="0"/>
                      <w:highlight w:val="none"/>
                    </w:rPr>
                    <w:t>年平均质量浓度</w:t>
                  </w:r>
                </w:p>
              </w:tc>
              <w:tc>
                <w:tcPr>
                  <w:tcW w:w="745" w:type="pct"/>
                  <w:vAlign w:val="center"/>
                </w:tcPr>
                <w:p>
                  <w:pPr>
                    <w:tabs>
                      <w:tab w:val="left" w:pos="1021"/>
                    </w:tabs>
                    <w:adjustRightInd w:val="0"/>
                    <w:snapToGrid w:val="0"/>
                    <w:jc w:val="center"/>
                    <w:rPr>
                      <w:color w:val="auto"/>
                      <w:kern w:val="0"/>
                      <w:highlight w:val="none"/>
                    </w:rPr>
                  </w:pPr>
                  <w:r>
                    <w:rPr>
                      <w:rFonts w:hint="eastAsia"/>
                      <w:color w:val="auto"/>
                      <w:kern w:val="0"/>
                      <w:highlight w:val="none"/>
                    </w:rPr>
                    <w:t>34</w:t>
                  </w:r>
                  <w:r>
                    <w:rPr>
                      <w:color w:val="auto"/>
                      <w:kern w:val="0"/>
                      <w:highlight w:val="none"/>
                    </w:rPr>
                    <w:t>ug/m³</w:t>
                  </w:r>
                </w:p>
              </w:tc>
              <w:tc>
                <w:tcPr>
                  <w:tcW w:w="557" w:type="pct"/>
                  <w:vAlign w:val="center"/>
                </w:tcPr>
                <w:p>
                  <w:pPr>
                    <w:tabs>
                      <w:tab w:val="left" w:pos="1021"/>
                    </w:tabs>
                    <w:adjustRightInd w:val="0"/>
                    <w:snapToGrid w:val="0"/>
                    <w:jc w:val="center"/>
                    <w:rPr>
                      <w:rStyle w:val="118"/>
                      <w:color w:val="auto"/>
                      <w:szCs w:val="21"/>
                      <w:highlight w:val="none"/>
                    </w:rPr>
                  </w:pPr>
                  <w:r>
                    <w:rPr>
                      <w:color w:val="auto"/>
                      <w:kern w:val="0"/>
                      <w:highlight w:val="none"/>
                    </w:rPr>
                    <w:t>35</w:t>
                  </w:r>
                </w:p>
              </w:tc>
              <w:tc>
                <w:tcPr>
                  <w:tcW w:w="989" w:type="pct"/>
                  <w:vAlign w:val="center"/>
                </w:tcPr>
                <w:p>
                  <w:pPr>
                    <w:tabs>
                      <w:tab w:val="left" w:pos="1021"/>
                    </w:tabs>
                    <w:adjustRightInd w:val="0"/>
                    <w:snapToGrid w:val="0"/>
                    <w:jc w:val="center"/>
                    <w:rPr>
                      <w:rStyle w:val="118"/>
                      <w:color w:val="auto"/>
                      <w:szCs w:val="21"/>
                      <w:highlight w:val="none"/>
                    </w:rPr>
                  </w:pPr>
                  <w:r>
                    <w:rPr>
                      <w:rFonts w:hint="eastAsia"/>
                      <w:color w:val="auto"/>
                      <w:kern w:val="0"/>
                      <w:highlight w:val="none"/>
                    </w:rPr>
                    <w:t>97.1</w:t>
                  </w:r>
                </w:p>
              </w:tc>
              <w:tc>
                <w:tcPr>
                  <w:tcW w:w="645" w:type="pct"/>
                  <w:vAlign w:val="center"/>
                </w:tcPr>
                <w:p>
                  <w:pPr>
                    <w:tabs>
                      <w:tab w:val="left" w:pos="1021"/>
                    </w:tabs>
                    <w:adjustRightInd w:val="0"/>
                    <w:snapToGrid w:val="0"/>
                    <w:jc w:val="center"/>
                    <w:rPr>
                      <w:rStyle w:val="118"/>
                      <w:color w:val="auto"/>
                      <w:szCs w:val="21"/>
                      <w:highlight w:val="none"/>
                    </w:rPr>
                  </w:pPr>
                  <w:r>
                    <w:rPr>
                      <w:color w:val="auto"/>
                      <w:kern w:val="0"/>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vAlign w:val="center"/>
                </w:tcPr>
                <w:p>
                  <w:pPr>
                    <w:tabs>
                      <w:tab w:val="left" w:pos="1021"/>
                    </w:tabs>
                    <w:adjustRightInd w:val="0"/>
                    <w:snapToGrid w:val="0"/>
                    <w:jc w:val="center"/>
                    <w:rPr>
                      <w:rStyle w:val="118"/>
                      <w:color w:val="auto"/>
                      <w:szCs w:val="21"/>
                      <w:highlight w:val="none"/>
                    </w:rPr>
                  </w:pPr>
                  <w:r>
                    <w:rPr>
                      <w:color w:val="auto"/>
                      <w:kern w:val="0"/>
                      <w:highlight w:val="none"/>
                    </w:rPr>
                    <w:t>CO</w:t>
                  </w:r>
                </w:p>
              </w:tc>
              <w:tc>
                <w:tcPr>
                  <w:tcW w:w="1515" w:type="pct"/>
                  <w:vAlign w:val="center"/>
                </w:tcPr>
                <w:p>
                  <w:pPr>
                    <w:tabs>
                      <w:tab w:val="left" w:pos="1021"/>
                    </w:tabs>
                    <w:adjustRightInd w:val="0"/>
                    <w:snapToGrid w:val="0"/>
                    <w:jc w:val="center"/>
                    <w:rPr>
                      <w:rStyle w:val="118"/>
                      <w:color w:val="auto"/>
                      <w:szCs w:val="21"/>
                      <w:highlight w:val="none"/>
                    </w:rPr>
                  </w:pPr>
                  <w:r>
                    <w:rPr>
                      <w:color w:val="auto"/>
                      <w:kern w:val="0"/>
                      <w:highlight w:val="none"/>
                    </w:rPr>
                    <w:t>24h平均质量浓度</w:t>
                  </w:r>
                </w:p>
              </w:tc>
              <w:tc>
                <w:tcPr>
                  <w:tcW w:w="745" w:type="pct"/>
                  <w:vAlign w:val="center"/>
                </w:tcPr>
                <w:p>
                  <w:pPr>
                    <w:tabs>
                      <w:tab w:val="left" w:pos="1021"/>
                    </w:tabs>
                    <w:adjustRightInd w:val="0"/>
                    <w:snapToGrid w:val="0"/>
                    <w:jc w:val="center"/>
                    <w:rPr>
                      <w:color w:val="auto"/>
                      <w:kern w:val="0"/>
                      <w:highlight w:val="none"/>
                    </w:rPr>
                  </w:pPr>
                  <w:r>
                    <w:rPr>
                      <w:rFonts w:hint="eastAsia"/>
                      <w:color w:val="auto"/>
                      <w:kern w:val="0"/>
                      <w:highlight w:val="none"/>
                    </w:rPr>
                    <w:t>0.9</w:t>
                  </w:r>
                  <w:r>
                    <w:rPr>
                      <w:color w:val="auto"/>
                      <w:kern w:val="0"/>
                      <w:highlight w:val="none"/>
                    </w:rPr>
                    <w:t>mg/m</w:t>
                  </w:r>
                  <w:r>
                    <w:rPr>
                      <w:color w:val="auto"/>
                      <w:kern w:val="0"/>
                      <w:highlight w:val="none"/>
                      <w:vertAlign w:val="superscript"/>
                    </w:rPr>
                    <w:t>3</w:t>
                  </w:r>
                </w:p>
              </w:tc>
              <w:tc>
                <w:tcPr>
                  <w:tcW w:w="557" w:type="pct"/>
                  <w:vAlign w:val="center"/>
                </w:tcPr>
                <w:p>
                  <w:pPr>
                    <w:tabs>
                      <w:tab w:val="left" w:pos="1021"/>
                    </w:tabs>
                    <w:adjustRightInd w:val="0"/>
                    <w:snapToGrid w:val="0"/>
                    <w:jc w:val="center"/>
                    <w:rPr>
                      <w:rStyle w:val="118"/>
                      <w:color w:val="auto"/>
                      <w:szCs w:val="21"/>
                      <w:highlight w:val="none"/>
                    </w:rPr>
                  </w:pPr>
                  <w:r>
                    <w:rPr>
                      <w:color w:val="auto"/>
                      <w:kern w:val="0"/>
                      <w:highlight w:val="none"/>
                    </w:rPr>
                    <w:t>4</w:t>
                  </w:r>
                </w:p>
              </w:tc>
              <w:tc>
                <w:tcPr>
                  <w:tcW w:w="989" w:type="pct"/>
                  <w:vAlign w:val="center"/>
                </w:tcPr>
                <w:p>
                  <w:pPr>
                    <w:tabs>
                      <w:tab w:val="left" w:pos="1021"/>
                    </w:tabs>
                    <w:adjustRightInd w:val="0"/>
                    <w:snapToGrid w:val="0"/>
                    <w:jc w:val="center"/>
                    <w:rPr>
                      <w:rStyle w:val="118"/>
                      <w:color w:val="auto"/>
                      <w:szCs w:val="21"/>
                      <w:highlight w:val="none"/>
                    </w:rPr>
                  </w:pPr>
                  <w:r>
                    <w:rPr>
                      <w:rFonts w:hint="eastAsia"/>
                      <w:color w:val="auto"/>
                      <w:kern w:val="0"/>
                      <w:highlight w:val="none"/>
                    </w:rPr>
                    <w:t>22.5</w:t>
                  </w:r>
                </w:p>
              </w:tc>
              <w:tc>
                <w:tcPr>
                  <w:tcW w:w="645" w:type="pct"/>
                  <w:vAlign w:val="center"/>
                </w:tcPr>
                <w:p>
                  <w:pPr>
                    <w:tabs>
                      <w:tab w:val="left" w:pos="1021"/>
                    </w:tabs>
                    <w:adjustRightInd w:val="0"/>
                    <w:snapToGrid w:val="0"/>
                    <w:jc w:val="center"/>
                    <w:rPr>
                      <w:rStyle w:val="118"/>
                      <w:color w:val="auto"/>
                      <w:szCs w:val="21"/>
                      <w:highlight w:val="none"/>
                    </w:rPr>
                  </w:pPr>
                  <w:r>
                    <w:rPr>
                      <w:color w:val="auto"/>
                      <w:kern w:val="0"/>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vAlign w:val="center"/>
                </w:tcPr>
                <w:p>
                  <w:pPr>
                    <w:tabs>
                      <w:tab w:val="left" w:pos="1021"/>
                    </w:tabs>
                    <w:adjustRightInd w:val="0"/>
                    <w:snapToGrid w:val="0"/>
                    <w:jc w:val="center"/>
                    <w:rPr>
                      <w:rStyle w:val="118"/>
                      <w:color w:val="auto"/>
                      <w:szCs w:val="21"/>
                      <w:highlight w:val="none"/>
                    </w:rPr>
                  </w:pPr>
                  <w:r>
                    <w:rPr>
                      <w:color w:val="auto"/>
                      <w:kern w:val="0"/>
                      <w:highlight w:val="none"/>
                    </w:rPr>
                    <w:t>O</w:t>
                  </w:r>
                  <w:r>
                    <w:rPr>
                      <w:color w:val="auto"/>
                      <w:kern w:val="0"/>
                      <w:highlight w:val="none"/>
                      <w:vertAlign w:val="subscript"/>
                    </w:rPr>
                    <w:t>3</w:t>
                  </w:r>
                </w:p>
              </w:tc>
              <w:tc>
                <w:tcPr>
                  <w:tcW w:w="1515" w:type="pct"/>
                  <w:vAlign w:val="center"/>
                </w:tcPr>
                <w:p>
                  <w:pPr>
                    <w:tabs>
                      <w:tab w:val="left" w:pos="1021"/>
                    </w:tabs>
                    <w:adjustRightInd w:val="0"/>
                    <w:snapToGrid w:val="0"/>
                    <w:jc w:val="center"/>
                    <w:rPr>
                      <w:rStyle w:val="118"/>
                      <w:color w:val="auto"/>
                      <w:szCs w:val="21"/>
                      <w:highlight w:val="none"/>
                    </w:rPr>
                  </w:pPr>
                  <w:r>
                    <w:rPr>
                      <w:color w:val="auto"/>
                      <w:kern w:val="0"/>
                      <w:highlight w:val="none"/>
                    </w:rPr>
                    <w:t>最大8h平均质量浓度</w:t>
                  </w:r>
                </w:p>
              </w:tc>
              <w:tc>
                <w:tcPr>
                  <w:tcW w:w="745" w:type="pct"/>
                  <w:vAlign w:val="center"/>
                </w:tcPr>
                <w:p>
                  <w:pPr>
                    <w:tabs>
                      <w:tab w:val="left" w:pos="1021"/>
                    </w:tabs>
                    <w:adjustRightInd w:val="0"/>
                    <w:snapToGrid w:val="0"/>
                    <w:jc w:val="center"/>
                    <w:rPr>
                      <w:color w:val="auto"/>
                      <w:kern w:val="0"/>
                      <w:highlight w:val="none"/>
                    </w:rPr>
                  </w:pPr>
                  <w:r>
                    <w:rPr>
                      <w:rFonts w:hint="eastAsia"/>
                      <w:color w:val="auto"/>
                      <w:kern w:val="0"/>
                      <w:highlight w:val="none"/>
                    </w:rPr>
                    <w:t>143</w:t>
                  </w:r>
                  <w:r>
                    <w:rPr>
                      <w:color w:val="auto"/>
                      <w:kern w:val="0"/>
                      <w:highlight w:val="none"/>
                    </w:rPr>
                    <w:t>ug/m³</w:t>
                  </w:r>
                </w:p>
              </w:tc>
              <w:tc>
                <w:tcPr>
                  <w:tcW w:w="557" w:type="pct"/>
                  <w:vAlign w:val="center"/>
                </w:tcPr>
                <w:p>
                  <w:pPr>
                    <w:tabs>
                      <w:tab w:val="left" w:pos="1021"/>
                    </w:tabs>
                    <w:adjustRightInd w:val="0"/>
                    <w:snapToGrid w:val="0"/>
                    <w:jc w:val="center"/>
                    <w:rPr>
                      <w:rStyle w:val="118"/>
                      <w:color w:val="auto"/>
                      <w:szCs w:val="21"/>
                      <w:highlight w:val="none"/>
                    </w:rPr>
                  </w:pPr>
                  <w:r>
                    <w:rPr>
                      <w:color w:val="auto"/>
                      <w:kern w:val="0"/>
                      <w:highlight w:val="none"/>
                    </w:rPr>
                    <w:t>160</w:t>
                  </w:r>
                </w:p>
              </w:tc>
              <w:tc>
                <w:tcPr>
                  <w:tcW w:w="989" w:type="pct"/>
                  <w:vAlign w:val="center"/>
                </w:tcPr>
                <w:p>
                  <w:pPr>
                    <w:tabs>
                      <w:tab w:val="left" w:pos="1021"/>
                    </w:tabs>
                    <w:adjustRightInd w:val="0"/>
                    <w:snapToGrid w:val="0"/>
                    <w:jc w:val="center"/>
                    <w:rPr>
                      <w:rStyle w:val="118"/>
                      <w:color w:val="auto"/>
                      <w:szCs w:val="21"/>
                      <w:highlight w:val="none"/>
                    </w:rPr>
                  </w:pPr>
                  <w:r>
                    <w:rPr>
                      <w:rFonts w:hint="eastAsia"/>
                      <w:color w:val="auto"/>
                      <w:kern w:val="0"/>
                      <w:highlight w:val="none"/>
                    </w:rPr>
                    <w:t>89.4</w:t>
                  </w:r>
                </w:p>
              </w:tc>
              <w:tc>
                <w:tcPr>
                  <w:tcW w:w="645" w:type="pct"/>
                  <w:vAlign w:val="center"/>
                </w:tcPr>
                <w:p>
                  <w:pPr>
                    <w:tabs>
                      <w:tab w:val="left" w:pos="1021"/>
                    </w:tabs>
                    <w:adjustRightInd w:val="0"/>
                    <w:snapToGrid w:val="0"/>
                    <w:jc w:val="center"/>
                    <w:rPr>
                      <w:rStyle w:val="118"/>
                      <w:color w:val="auto"/>
                      <w:szCs w:val="21"/>
                      <w:highlight w:val="none"/>
                    </w:rPr>
                  </w:pPr>
                  <w:r>
                    <w:rPr>
                      <w:color w:val="auto"/>
                      <w:kern w:val="0"/>
                      <w:highlight w:val="none"/>
                    </w:rPr>
                    <w:t>达标</w:t>
                  </w:r>
                </w:p>
              </w:tc>
            </w:tr>
          </w:tbl>
          <w:p>
            <w:pPr>
              <w:spacing w:line="360" w:lineRule="auto"/>
              <w:ind w:firstLine="480" w:firstLineChars="200"/>
              <w:rPr>
                <w:color w:val="auto"/>
                <w:sz w:val="24"/>
                <w:highlight w:val="none"/>
                <w:u w:val="single"/>
              </w:rPr>
            </w:pPr>
            <w:r>
              <w:rPr>
                <w:rFonts w:hint="eastAsia"/>
                <w:color w:val="auto"/>
                <w:kern w:val="0"/>
                <w:sz w:val="24"/>
                <w:highlight w:val="none"/>
              </w:rPr>
              <w:t>经判定，项目所在区域为环境空气质量达标区域。</w:t>
            </w:r>
          </w:p>
          <w:p>
            <w:pPr>
              <w:spacing w:line="360" w:lineRule="auto"/>
              <w:ind w:firstLine="482" w:firstLineChars="200"/>
              <w:rPr>
                <w:b/>
                <w:color w:val="auto"/>
                <w:sz w:val="24"/>
                <w:highlight w:val="none"/>
              </w:rPr>
            </w:pPr>
            <w:r>
              <w:rPr>
                <w:rFonts w:hint="eastAsia"/>
                <w:b/>
                <w:color w:val="auto"/>
                <w:sz w:val="24"/>
                <w:highlight w:val="none"/>
              </w:rPr>
              <w:t>（2）其他污染物环境质量现状</w:t>
            </w:r>
          </w:p>
          <w:p>
            <w:pPr>
              <w:adjustRightInd w:val="0"/>
              <w:snapToGrid w:val="0"/>
              <w:spacing w:line="360" w:lineRule="auto"/>
              <w:ind w:firstLine="480" w:firstLineChars="200"/>
              <w:rPr>
                <w:color w:val="auto"/>
                <w:sz w:val="24"/>
                <w:highlight w:val="none"/>
              </w:rPr>
            </w:pPr>
            <w:r>
              <w:rPr>
                <w:rFonts w:hint="eastAsia"/>
                <w:color w:val="auto"/>
                <w:sz w:val="24"/>
                <w:highlight w:val="none"/>
                <w:lang w:eastAsia="zh-CN"/>
              </w:rPr>
              <w:t>根据建设项目环境影响报告表编制技术指南（污染影响类），区环境质量现状应根据项目所在功能区及适用的国家、地方环境质量标准，以及地方环境质量管理要求评价大气环境质量现状达标情况。</w:t>
            </w:r>
            <w:r>
              <w:rPr>
                <w:color w:val="auto"/>
                <w:sz w:val="24"/>
                <w:highlight w:val="none"/>
              </w:rPr>
              <w:t>本次环评</w:t>
            </w:r>
            <w:r>
              <w:rPr>
                <w:rFonts w:hint="eastAsia"/>
                <w:color w:val="auto"/>
                <w:sz w:val="24"/>
                <w:highlight w:val="none"/>
              </w:rPr>
              <w:t>引用</w:t>
            </w:r>
            <w:r>
              <w:rPr>
                <w:rFonts w:hint="eastAsia" w:ascii="宋体" w:hAnsi="宋体" w:cs="宋体"/>
                <w:color w:val="auto"/>
                <w:sz w:val="24"/>
                <w:highlight w:val="none"/>
              </w:rPr>
              <w:t>邵阳市广发再生资源回收有限公司改扩建项目委托</w:t>
            </w:r>
            <w:r>
              <w:rPr>
                <w:rFonts w:hint="eastAsia"/>
                <w:bCs/>
                <w:snapToGrid w:val="0"/>
                <w:color w:val="auto"/>
                <w:kern w:val="0"/>
                <w:sz w:val="24"/>
                <w:highlight w:val="none"/>
              </w:rPr>
              <w:t>湖南谱实检测技术有限公司</w:t>
            </w:r>
            <w:r>
              <w:rPr>
                <w:bCs/>
                <w:snapToGrid w:val="0"/>
                <w:color w:val="auto"/>
                <w:kern w:val="0"/>
                <w:sz w:val="24"/>
                <w:highlight w:val="none"/>
              </w:rPr>
              <w:t>于20</w:t>
            </w:r>
            <w:r>
              <w:rPr>
                <w:rFonts w:hint="eastAsia"/>
                <w:bCs/>
                <w:snapToGrid w:val="0"/>
                <w:color w:val="auto"/>
                <w:kern w:val="0"/>
                <w:sz w:val="24"/>
                <w:highlight w:val="none"/>
              </w:rPr>
              <w:t>22</w:t>
            </w:r>
            <w:r>
              <w:rPr>
                <w:bCs/>
                <w:snapToGrid w:val="0"/>
                <w:color w:val="auto"/>
                <w:kern w:val="0"/>
                <w:sz w:val="24"/>
                <w:highlight w:val="none"/>
              </w:rPr>
              <w:t>年</w:t>
            </w:r>
            <w:r>
              <w:rPr>
                <w:rFonts w:hint="eastAsia"/>
                <w:bCs/>
                <w:snapToGrid w:val="0"/>
                <w:color w:val="auto"/>
                <w:kern w:val="0"/>
                <w:sz w:val="24"/>
                <w:highlight w:val="none"/>
              </w:rPr>
              <w:t>9</w:t>
            </w:r>
            <w:r>
              <w:rPr>
                <w:bCs/>
                <w:snapToGrid w:val="0"/>
                <w:color w:val="auto"/>
                <w:kern w:val="0"/>
                <w:sz w:val="24"/>
                <w:highlight w:val="none"/>
              </w:rPr>
              <w:t>月</w:t>
            </w:r>
            <w:r>
              <w:rPr>
                <w:rFonts w:hint="eastAsia"/>
                <w:bCs/>
                <w:snapToGrid w:val="0"/>
                <w:color w:val="auto"/>
                <w:kern w:val="0"/>
                <w:sz w:val="24"/>
                <w:highlight w:val="none"/>
              </w:rPr>
              <w:t>1</w:t>
            </w:r>
            <w:r>
              <w:rPr>
                <w:bCs/>
                <w:snapToGrid w:val="0"/>
                <w:color w:val="auto"/>
                <w:kern w:val="0"/>
                <w:sz w:val="24"/>
                <w:highlight w:val="none"/>
              </w:rPr>
              <w:t>日至20</w:t>
            </w:r>
            <w:r>
              <w:rPr>
                <w:rFonts w:hint="eastAsia"/>
                <w:bCs/>
                <w:snapToGrid w:val="0"/>
                <w:color w:val="auto"/>
                <w:kern w:val="0"/>
                <w:sz w:val="24"/>
                <w:highlight w:val="none"/>
              </w:rPr>
              <w:t>22</w:t>
            </w:r>
            <w:r>
              <w:rPr>
                <w:bCs/>
                <w:snapToGrid w:val="0"/>
                <w:color w:val="auto"/>
                <w:kern w:val="0"/>
                <w:sz w:val="24"/>
                <w:highlight w:val="none"/>
              </w:rPr>
              <w:t>年</w:t>
            </w:r>
            <w:r>
              <w:rPr>
                <w:rFonts w:hint="eastAsia"/>
                <w:bCs/>
                <w:snapToGrid w:val="0"/>
                <w:color w:val="auto"/>
                <w:kern w:val="0"/>
                <w:sz w:val="24"/>
                <w:highlight w:val="none"/>
              </w:rPr>
              <w:t>9</w:t>
            </w:r>
            <w:r>
              <w:rPr>
                <w:bCs/>
                <w:snapToGrid w:val="0"/>
                <w:color w:val="auto"/>
                <w:kern w:val="0"/>
                <w:sz w:val="24"/>
                <w:highlight w:val="none"/>
              </w:rPr>
              <w:t>月</w:t>
            </w:r>
            <w:r>
              <w:rPr>
                <w:rFonts w:hint="eastAsia"/>
                <w:bCs/>
                <w:snapToGrid w:val="0"/>
                <w:color w:val="auto"/>
                <w:kern w:val="0"/>
                <w:sz w:val="24"/>
                <w:highlight w:val="none"/>
              </w:rPr>
              <w:t>3</w:t>
            </w:r>
            <w:r>
              <w:rPr>
                <w:bCs/>
                <w:snapToGrid w:val="0"/>
                <w:color w:val="auto"/>
                <w:kern w:val="0"/>
                <w:sz w:val="24"/>
                <w:highlight w:val="none"/>
              </w:rPr>
              <w:t>日对所在地</w:t>
            </w:r>
            <w:r>
              <w:rPr>
                <w:rFonts w:hint="eastAsia"/>
                <w:bCs/>
                <w:snapToGrid w:val="0"/>
                <w:color w:val="auto"/>
                <w:kern w:val="0"/>
                <w:sz w:val="24"/>
                <w:highlight w:val="none"/>
              </w:rPr>
              <w:t>大气环境质量现状</w:t>
            </w:r>
            <w:r>
              <w:rPr>
                <w:bCs/>
                <w:snapToGrid w:val="0"/>
                <w:color w:val="auto"/>
                <w:kern w:val="0"/>
                <w:sz w:val="24"/>
                <w:highlight w:val="none"/>
              </w:rPr>
              <w:t>进行</w:t>
            </w:r>
            <w:r>
              <w:rPr>
                <w:rFonts w:hint="eastAsia"/>
                <w:bCs/>
                <w:snapToGrid w:val="0"/>
                <w:color w:val="auto"/>
                <w:kern w:val="0"/>
                <w:sz w:val="24"/>
                <w:highlight w:val="none"/>
              </w:rPr>
              <w:t>的</w:t>
            </w:r>
            <w:r>
              <w:rPr>
                <w:bCs/>
                <w:snapToGrid w:val="0"/>
                <w:color w:val="auto"/>
                <w:kern w:val="0"/>
                <w:sz w:val="24"/>
                <w:highlight w:val="none"/>
              </w:rPr>
              <w:t>监测</w:t>
            </w:r>
            <w:r>
              <w:rPr>
                <w:rFonts w:hint="eastAsia"/>
                <w:bCs/>
                <w:snapToGrid w:val="0"/>
                <w:color w:val="auto"/>
                <w:kern w:val="0"/>
                <w:sz w:val="24"/>
                <w:highlight w:val="none"/>
              </w:rPr>
              <w:t>数据，该项目位于</w:t>
            </w:r>
            <w:r>
              <w:rPr>
                <w:color w:val="auto"/>
                <w:sz w:val="24"/>
                <w:highlight w:val="none"/>
              </w:rPr>
              <w:t>邵阳市</w:t>
            </w:r>
            <w:r>
              <w:rPr>
                <w:rFonts w:hint="eastAsia"/>
                <w:color w:val="auto"/>
                <w:sz w:val="24"/>
                <w:highlight w:val="none"/>
              </w:rPr>
              <w:t>北塔区丰江社区青云路万事达工贸园旁，距离本项目约3km。监测结果见下表。</w:t>
            </w:r>
          </w:p>
          <w:p>
            <w:pPr>
              <w:pStyle w:val="112"/>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表3-</w:t>
            </w:r>
            <w:r>
              <w:rPr>
                <w:rFonts w:hint="eastAsia" w:ascii="Times New Roman" w:hAnsi="Times New Roman" w:cs="Times New Roman"/>
                <w:b/>
                <w:bCs/>
                <w:color w:val="auto"/>
                <w:sz w:val="21"/>
                <w:szCs w:val="21"/>
                <w:highlight w:val="none"/>
              </w:rPr>
              <w:t>2</w:t>
            </w:r>
            <w:r>
              <w:rPr>
                <w:rFonts w:ascii="Times New Roman" w:hAnsi="Times New Roman" w:cs="Times New Roman"/>
                <w:b/>
                <w:bCs/>
                <w:color w:val="auto"/>
                <w:sz w:val="21"/>
                <w:szCs w:val="21"/>
                <w:highlight w:val="none"/>
              </w:rPr>
              <w:t xml:space="preserve">  其他污染物环境质量现状监测结果</w:t>
            </w:r>
          </w:p>
          <w:tbl>
            <w:tblPr>
              <w:tblStyle w:val="25"/>
              <w:tblW w:w="35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49"/>
              <w:gridCol w:w="630"/>
              <w:gridCol w:w="746"/>
              <w:gridCol w:w="1101"/>
              <w:gridCol w:w="652"/>
              <w:gridCol w:w="597"/>
              <w:gridCol w:w="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0" w:type="pct"/>
                  <w:vMerge w:val="restart"/>
                  <w:tcBorders>
                    <w:tl2br w:val="nil"/>
                    <w:tr2bl w:val="nil"/>
                  </w:tcBorders>
                  <w:vAlign w:val="center"/>
                </w:tcPr>
                <w:p>
                  <w:pPr>
                    <w:jc w:val="center"/>
                    <w:rPr>
                      <w:bCs/>
                      <w:color w:val="auto"/>
                      <w:szCs w:val="21"/>
                      <w:highlight w:val="none"/>
                    </w:rPr>
                  </w:pPr>
                  <w:r>
                    <w:rPr>
                      <w:rFonts w:hint="eastAsia"/>
                      <w:bCs/>
                      <w:color w:val="auto"/>
                      <w:szCs w:val="21"/>
                      <w:highlight w:val="none"/>
                    </w:rPr>
                    <w:t>监测点位</w:t>
                  </w:r>
                </w:p>
              </w:tc>
              <w:tc>
                <w:tcPr>
                  <w:tcW w:w="654" w:type="pct"/>
                  <w:vMerge w:val="restart"/>
                  <w:tcBorders>
                    <w:tl2br w:val="nil"/>
                    <w:tr2bl w:val="nil"/>
                  </w:tcBorders>
                  <w:vAlign w:val="center"/>
                </w:tcPr>
                <w:p>
                  <w:pPr>
                    <w:jc w:val="center"/>
                    <w:rPr>
                      <w:bCs/>
                      <w:color w:val="auto"/>
                      <w:szCs w:val="21"/>
                      <w:highlight w:val="none"/>
                    </w:rPr>
                  </w:pPr>
                  <w:r>
                    <w:rPr>
                      <w:rFonts w:hint="eastAsia"/>
                      <w:bCs/>
                      <w:color w:val="auto"/>
                      <w:szCs w:val="21"/>
                      <w:highlight w:val="none"/>
                    </w:rPr>
                    <w:t>污染物</w:t>
                  </w:r>
                </w:p>
              </w:tc>
              <w:tc>
                <w:tcPr>
                  <w:tcW w:w="552" w:type="pct"/>
                  <w:vMerge w:val="restart"/>
                  <w:tcBorders>
                    <w:tl2br w:val="nil"/>
                    <w:tr2bl w:val="nil"/>
                  </w:tcBorders>
                  <w:vAlign w:val="center"/>
                </w:tcPr>
                <w:p>
                  <w:pPr>
                    <w:jc w:val="center"/>
                    <w:rPr>
                      <w:bCs/>
                      <w:color w:val="auto"/>
                      <w:szCs w:val="21"/>
                      <w:highlight w:val="none"/>
                    </w:rPr>
                  </w:pPr>
                  <w:r>
                    <w:rPr>
                      <w:rFonts w:hint="eastAsia"/>
                      <w:bCs/>
                      <w:color w:val="auto"/>
                      <w:szCs w:val="21"/>
                      <w:highlight w:val="none"/>
                    </w:rPr>
                    <w:t>平均时间</w:t>
                  </w:r>
                </w:p>
              </w:tc>
              <w:tc>
                <w:tcPr>
                  <w:tcW w:w="652" w:type="pct"/>
                  <w:vMerge w:val="restart"/>
                  <w:tcBorders>
                    <w:tl2br w:val="nil"/>
                    <w:tr2bl w:val="nil"/>
                  </w:tcBorders>
                  <w:vAlign w:val="center"/>
                </w:tcPr>
                <w:p>
                  <w:pPr>
                    <w:jc w:val="center"/>
                    <w:rPr>
                      <w:bCs/>
                      <w:color w:val="auto"/>
                      <w:szCs w:val="21"/>
                      <w:highlight w:val="none"/>
                    </w:rPr>
                  </w:pPr>
                  <w:r>
                    <w:rPr>
                      <w:rFonts w:hint="eastAsia"/>
                      <w:bCs/>
                      <w:color w:val="auto"/>
                      <w:szCs w:val="21"/>
                      <w:highlight w:val="none"/>
                    </w:rPr>
                    <w:t>评价标准µg/m</w:t>
                  </w:r>
                  <w:r>
                    <w:rPr>
                      <w:rFonts w:hint="eastAsia"/>
                      <w:bCs/>
                      <w:color w:val="auto"/>
                      <w:szCs w:val="21"/>
                      <w:highlight w:val="none"/>
                      <w:vertAlign w:val="superscript"/>
                    </w:rPr>
                    <w:t>3</w:t>
                  </w:r>
                </w:p>
              </w:tc>
              <w:tc>
                <w:tcPr>
                  <w:tcW w:w="963" w:type="pct"/>
                  <w:vMerge w:val="restart"/>
                  <w:tcBorders>
                    <w:tl2br w:val="nil"/>
                    <w:tr2bl w:val="nil"/>
                  </w:tcBorders>
                  <w:vAlign w:val="center"/>
                </w:tcPr>
                <w:p>
                  <w:pPr>
                    <w:jc w:val="center"/>
                    <w:rPr>
                      <w:bCs/>
                      <w:color w:val="auto"/>
                      <w:szCs w:val="21"/>
                      <w:highlight w:val="none"/>
                    </w:rPr>
                  </w:pPr>
                  <w:r>
                    <w:rPr>
                      <w:rFonts w:hint="eastAsia"/>
                      <w:bCs/>
                      <w:color w:val="auto"/>
                      <w:szCs w:val="21"/>
                      <w:highlight w:val="none"/>
                    </w:rPr>
                    <w:t>监测浓度范围µg/m</w:t>
                  </w:r>
                  <w:r>
                    <w:rPr>
                      <w:rFonts w:hint="eastAsia"/>
                      <w:bCs/>
                      <w:color w:val="auto"/>
                      <w:szCs w:val="21"/>
                      <w:highlight w:val="none"/>
                      <w:vertAlign w:val="superscript"/>
                    </w:rPr>
                    <w:t>3</w:t>
                  </w:r>
                </w:p>
              </w:tc>
              <w:tc>
                <w:tcPr>
                  <w:tcW w:w="571" w:type="pct"/>
                  <w:vMerge w:val="restart"/>
                  <w:tcBorders>
                    <w:tl2br w:val="nil"/>
                    <w:tr2bl w:val="nil"/>
                  </w:tcBorders>
                  <w:vAlign w:val="center"/>
                </w:tcPr>
                <w:p>
                  <w:pPr>
                    <w:jc w:val="center"/>
                    <w:rPr>
                      <w:bCs/>
                      <w:color w:val="auto"/>
                      <w:szCs w:val="21"/>
                      <w:highlight w:val="none"/>
                    </w:rPr>
                  </w:pPr>
                  <w:r>
                    <w:rPr>
                      <w:rFonts w:hint="eastAsia"/>
                      <w:bCs/>
                      <w:color w:val="auto"/>
                      <w:szCs w:val="21"/>
                      <w:highlight w:val="none"/>
                    </w:rPr>
                    <w:t>最大浓度占标率%</w:t>
                  </w:r>
                </w:p>
              </w:tc>
              <w:tc>
                <w:tcPr>
                  <w:tcW w:w="523" w:type="pct"/>
                  <w:vMerge w:val="restart"/>
                  <w:tcBorders>
                    <w:tl2br w:val="nil"/>
                    <w:tr2bl w:val="nil"/>
                  </w:tcBorders>
                  <w:vAlign w:val="center"/>
                </w:tcPr>
                <w:p>
                  <w:pPr>
                    <w:jc w:val="center"/>
                    <w:rPr>
                      <w:bCs/>
                      <w:color w:val="auto"/>
                      <w:szCs w:val="21"/>
                      <w:highlight w:val="none"/>
                    </w:rPr>
                  </w:pPr>
                  <w:r>
                    <w:rPr>
                      <w:rFonts w:hint="eastAsia"/>
                      <w:bCs/>
                      <w:color w:val="auto"/>
                      <w:szCs w:val="21"/>
                      <w:highlight w:val="none"/>
                    </w:rPr>
                    <w:t>超标率%</w:t>
                  </w:r>
                </w:p>
              </w:tc>
              <w:tc>
                <w:tcPr>
                  <w:tcW w:w="551" w:type="pct"/>
                  <w:vMerge w:val="restart"/>
                  <w:tcBorders>
                    <w:tl2br w:val="nil"/>
                    <w:tr2bl w:val="nil"/>
                  </w:tcBorders>
                  <w:vAlign w:val="center"/>
                </w:tcPr>
                <w:p>
                  <w:pPr>
                    <w:jc w:val="center"/>
                    <w:rPr>
                      <w:bCs/>
                      <w:color w:val="auto"/>
                      <w:szCs w:val="21"/>
                      <w:highlight w:val="none"/>
                    </w:rPr>
                  </w:pPr>
                  <w:r>
                    <w:rPr>
                      <w:rFonts w:hint="eastAsia"/>
                      <w:bCs/>
                      <w:color w:val="auto"/>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0" w:type="pct"/>
                  <w:vMerge w:val="continue"/>
                  <w:tcBorders>
                    <w:tl2br w:val="nil"/>
                    <w:tr2bl w:val="nil"/>
                  </w:tcBorders>
                  <w:vAlign w:val="center"/>
                </w:tcPr>
                <w:p>
                  <w:pPr>
                    <w:jc w:val="center"/>
                    <w:rPr>
                      <w:bCs/>
                      <w:color w:val="auto"/>
                      <w:szCs w:val="21"/>
                      <w:highlight w:val="none"/>
                    </w:rPr>
                  </w:pPr>
                </w:p>
              </w:tc>
              <w:tc>
                <w:tcPr>
                  <w:tcW w:w="654" w:type="pct"/>
                  <w:vMerge w:val="continue"/>
                  <w:tcBorders>
                    <w:tl2br w:val="nil"/>
                    <w:tr2bl w:val="nil"/>
                  </w:tcBorders>
                  <w:vAlign w:val="center"/>
                </w:tcPr>
                <w:p>
                  <w:pPr>
                    <w:jc w:val="center"/>
                    <w:rPr>
                      <w:bCs/>
                      <w:color w:val="auto"/>
                      <w:szCs w:val="21"/>
                      <w:highlight w:val="none"/>
                    </w:rPr>
                  </w:pPr>
                </w:p>
              </w:tc>
              <w:tc>
                <w:tcPr>
                  <w:tcW w:w="552" w:type="pct"/>
                  <w:vMerge w:val="continue"/>
                  <w:tcBorders>
                    <w:tl2br w:val="nil"/>
                    <w:tr2bl w:val="nil"/>
                  </w:tcBorders>
                  <w:vAlign w:val="center"/>
                </w:tcPr>
                <w:p>
                  <w:pPr>
                    <w:jc w:val="center"/>
                    <w:rPr>
                      <w:bCs/>
                      <w:color w:val="auto"/>
                      <w:szCs w:val="21"/>
                      <w:highlight w:val="none"/>
                    </w:rPr>
                  </w:pPr>
                </w:p>
              </w:tc>
              <w:tc>
                <w:tcPr>
                  <w:tcW w:w="652" w:type="pct"/>
                  <w:vMerge w:val="continue"/>
                  <w:tcBorders>
                    <w:tl2br w:val="nil"/>
                    <w:tr2bl w:val="nil"/>
                  </w:tcBorders>
                  <w:vAlign w:val="center"/>
                </w:tcPr>
                <w:p>
                  <w:pPr>
                    <w:jc w:val="center"/>
                    <w:rPr>
                      <w:bCs/>
                      <w:color w:val="auto"/>
                      <w:szCs w:val="21"/>
                      <w:highlight w:val="none"/>
                    </w:rPr>
                  </w:pPr>
                </w:p>
              </w:tc>
              <w:tc>
                <w:tcPr>
                  <w:tcW w:w="963" w:type="pct"/>
                  <w:vMerge w:val="continue"/>
                  <w:tcBorders>
                    <w:tl2br w:val="nil"/>
                    <w:tr2bl w:val="nil"/>
                  </w:tcBorders>
                  <w:vAlign w:val="center"/>
                </w:tcPr>
                <w:p>
                  <w:pPr>
                    <w:jc w:val="center"/>
                    <w:rPr>
                      <w:bCs/>
                      <w:color w:val="auto"/>
                      <w:szCs w:val="21"/>
                      <w:highlight w:val="none"/>
                    </w:rPr>
                  </w:pPr>
                </w:p>
              </w:tc>
              <w:tc>
                <w:tcPr>
                  <w:tcW w:w="571" w:type="pct"/>
                  <w:vMerge w:val="continue"/>
                  <w:tcBorders>
                    <w:tl2br w:val="nil"/>
                    <w:tr2bl w:val="nil"/>
                  </w:tcBorders>
                  <w:vAlign w:val="center"/>
                </w:tcPr>
                <w:p>
                  <w:pPr>
                    <w:jc w:val="center"/>
                    <w:rPr>
                      <w:bCs/>
                      <w:color w:val="auto"/>
                      <w:szCs w:val="21"/>
                      <w:highlight w:val="none"/>
                    </w:rPr>
                  </w:pPr>
                </w:p>
              </w:tc>
              <w:tc>
                <w:tcPr>
                  <w:tcW w:w="523" w:type="pct"/>
                  <w:vMerge w:val="continue"/>
                  <w:tcBorders>
                    <w:tl2br w:val="nil"/>
                    <w:tr2bl w:val="nil"/>
                  </w:tcBorders>
                  <w:vAlign w:val="center"/>
                </w:tcPr>
                <w:p>
                  <w:pPr>
                    <w:jc w:val="center"/>
                    <w:rPr>
                      <w:bCs/>
                      <w:color w:val="auto"/>
                      <w:szCs w:val="21"/>
                      <w:highlight w:val="none"/>
                    </w:rPr>
                  </w:pPr>
                </w:p>
              </w:tc>
              <w:tc>
                <w:tcPr>
                  <w:tcW w:w="551" w:type="pct"/>
                  <w:vMerge w:val="continue"/>
                  <w:tcBorders>
                    <w:tl2br w:val="nil"/>
                    <w:tr2bl w:val="nil"/>
                  </w:tcBorders>
                  <w:vAlign w:val="center"/>
                </w:tcPr>
                <w:p>
                  <w:pPr>
                    <w:jc w:val="center"/>
                    <w:rPr>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vMerge w:val="restart"/>
                  <w:tcBorders>
                    <w:tl2br w:val="nil"/>
                    <w:tr2bl w:val="nil"/>
                  </w:tcBorders>
                  <w:vAlign w:val="center"/>
                </w:tcPr>
                <w:p>
                  <w:pPr>
                    <w:jc w:val="center"/>
                    <w:rPr>
                      <w:bCs/>
                      <w:color w:val="auto"/>
                      <w:szCs w:val="21"/>
                      <w:highlight w:val="none"/>
                    </w:rPr>
                  </w:pPr>
                  <w:r>
                    <w:rPr>
                      <w:rFonts w:hint="eastAsia"/>
                      <w:bCs/>
                      <w:color w:val="auto"/>
                      <w:szCs w:val="21"/>
                      <w:highlight w:val="none"/>
                    </w:rPr>
                    <w:t>G1</w:t>
                  </w:r>
                </w:p>
              </w:tc>
              <w:tc>
                <w:tcPr>
                  <w:tcW w:w="654" w:type="pct"/>
                  <w:tcBorders>
                    <w:tl2br w:val="nil"/>
                    <w:tr2bl w:val="nil"/>
                  </w:tcBorders>
                  <w:vAlign w:val="center"/>
                </w:tcPr>
                <w:p>
                  <w:pPr>
                    <w:jc w:val="center"/>
                    <w:rPr>
                      <w:bCs/>
                      <w:color w:val="auto"/>
                      <w:szCs w:val="21"/>
                      <w:highlight w:val="none"/>
                    </w:rPr>
                  </w:pPr>
                  <w:r>
                    <w:rPr>
                      <w:color w:val="auto"/>
                      <w:szCs w:val="21"/>
                      <w:highlight w:val="none"/>
                    </w:rPr>
                    <w:t>TVOC</w:t>
                  </w:r>
                </w:p>
              </w:tc>
              <w:tc>
                <w:tcPr>
                  <w:tcW w:w="552" w:type="pct"/>
                  <w:tcBorders>
                    <w:tl2br w:val="nil"/>
                    <w:tr2bl w:val="nil"/>
                  </w:tcBorders>
                  <w:vAlign w:val="center"/>
                </w:tcPr>
                <w:p>
                  <w:pPr>
                    <w:jc w:val="center"/>
                    <w:rPr>
                      <w:bCs/>
                      <w:color w:val="auto"/>
                      <w:szCs w:val="21"/>
                      <w:highlight w:val="none"/>
                    </w:rPr>
                  </w:pPr>
                  <w:r>
                    <w:rPr>
                      <w:rFonts w:hint="eastAsia"/>
                      <w:color w:val="auto"/>
                      <w:szCs w:val="21"/>
                      <w:highlight w:val="none"/>
                    </w:rPr>
                    <w:t>8h均值</w:t>
                  </w:r>
                </w:p>
              </w:tc>
              <w:tc>
                <w:tcPr>
                  <w:tcW w:w="652" w:type="pct"/>
                  <w:tcBorders>
                    <w:tl2br w:val="nil"/>
                    <w:tr2bl w:val="nil"/>
                  </w:tcBorders>
                  <w:vAlign w:val="center"/>
                </w:tcPr>
                <w:p>
                  <w:pPr>
                    <w:jc w:val="center"/>
                    <w:rPr>
                      <w:bCs/>
                      <w:color w:val="auto"/>
                      <w:szCs w:val="21"/>
                      <w:highlight w:val="none"/>
                    </w:rPr>
                  </w:pPr>
                  <w:r>
                    <w:rPr>
                      <w:rFonts w:hint="eastAsia"/>
                      <w:color w:val="auto"/>
                      <w:szCs w:val="21"/>
                      <w:highlight w:val="none"/>
                    </w:rPr>
                    <w:t>600</w:t>
                  </w:r>
                </w:p>
              </w:tc>
              <w:tc>
                <w:tcPr>
                  <w:tcW w:w="963" w:type="pct"/>
                  <w:tcBorders>
                    <w:tl2br w:val="nil"/>
                    <w:tr2bl w:val="nil"/>
                  </w:tcBorders>
                  <w:vAlign w:val="center"/>
                </w:tcPr>
                <w:p>
                  <w:pPr>
                    <w:jc w:val="center"/>
                    <w:rPr>
                      <w:bCs/>
                      <w:color w:val="auto"/>
                      <w:szCs w:val="21"/>
                      <w:highlight w:val="none"/>
                    </w:rPr>
                  </w:pPr>
                  <w:r>
                    <w:rPr>
                      <w:rFonts w:hint="eastAsia"/>
                      <w:color w:val="auto"/>
                      <w:szCs w:val="21"/>
                      <w:highlight w:val="none"/>
                    </w:rPr>
                    <w:t>0.17~0.21</w:t>
                  </w:r>
                </w:p>
              </w:tc>
              <w:tc>
                <w:tcPr>
                  <w:tcW w:w="571" w:type="pct"/>
                  <w:tcBorders>
                    <w:tl2br w:val="nil"/>
                    <w:tr2bl w:val="nil"/>
                  </w:tcBorders>
                  <w:vAlign w:val="center"/>
                </w:tcPr>
                <w:p>
                  <w:pPr>
                    <w:jc w:val="center"/>
                    <w:rPr>
                      <w:bCs/>
                      <w:color w:val="auto"/>
                      <w:szCs w:val="21"/>
                      <w:highlight w:val="none"/>
                    </w:rPr>
                  </w:pPr>
                  <w:r>
                    <w:rPr>
                      <w:rFonts w:hint="eastAsia"/>
                      <w:bCs/>
                      <w:color w:val="auto"/>
                      <w:szCs w:val="21"/>
                      <w:highlight w:val="none"/>
                    </w:rPr>
                    <w:t>/</w:t>
                  </w:r>
                </w:p>
              </w:tc>
              <w:tc>
                <w:tcPr>
                  <w:tcW w:w="523" w:type="pct"/>
                  <w:tcBorders>
                    <w:tl2br w:val="nil"/>
                    <w:tr2bl w:val="nil"/>
                  </w:tcBorders>
                  <w:vAlign w:val="center"/>
                </w:tcPr>
                <w:p>
                  <w:pPr>
                    <w:jc w:val="center"/>
                    <w:rPr>
                      <w:bCs/>
                      <w:color w:val="auto"/>
                      <w:szCs w:val="21"/>
                      <w:highlight w:val="none"/>
                    </w:rPr>
                  </w:pPr>
                  <w:r>
                    <w:rPr>
                      <w:rFonts w:hint="eastAsia"/>
                      <w:bCs/>
                      <w:color w:val="auto"/>
                      <w:szCs w:val="21"/>
                      <w:highlight w:val="none"/>
                    </w:rPr>
                    <w:t>0</w:t>
                  </w:r>
                </w:p>
              </w:tc>
              <w:tc>
                <w:tcPr>
                  <w:tcW w:w="551" w:type="pct"/>
                  <w:tcBorders>
                    <w:tl2br w:val="nil"/>
                    <w:tr2bl w:val="nil"/>
                  </w:tcBorders>
                  <w:vAlign w:val="center"/>
                </w:tcPr>
                <w:p>
                  <w:pPr>
                    <w:jc w:val="center"/>
                    <w:rPr>
                      <w:bCs/>
                      <w:color w:val="auto"/>
                      <w:szCs w:val="21"/>
                      <w:highlight w:val="none"/>
                    </w:rPr>
                  </w:pPr>
                  <w:r>
                    <w:rPr>
                      <w:rFonts w:hint="eastAsia"/>
                      <w:bCs/>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vMerge w:val="continue"/>
                  <w:tcBorders>
                    <w:tl2br w:val="nil"/>
                    <w:tr2bl w:val="nil"/>
                  </w:tcBorders>
                  <w:vAlign w:val="center"/>
                </w:tcPr>
                <w:p>
                  <w:pPr>
                    <w:jc w:val="center"/>
                    <w:rPr>
                      <w:bCs/>
                      <w:color w:val="auto"/>
                      <w:szCs w:val="21"/>
                      <w:highlight w:val="none"/>
                    </w:rPr>
                  </w:pPr>
                </w:p>
              </w:tc>
              <w:tc>
                <w:tcPr>
                  <w:tcW w:w="654" w:type="pct"/>
                  <w:tcBorders>
                    <w:tl2br w:val="nil"/>
                    <w:tr2bl w:val="nil"/>
                  </w:tcBorders>
                  <w:vAlign w:val="center"/>
                </w:tcPr>
                <w:p>
                  <w:pPr>
                    <w:jc w:val="center"/>
                    <w:rPr>
                      <w:bCs/>
                      <w:color w:val="auto"/>
                      <w:szCs w:val="21"/>
                      <w:highlight w:val="none"/>
                    </w:rPr>
                  </w:pPr>
                  <w:r>
                    <w:rPr>
                      <w:rFonts w:hint="eastAsia"/>
                      <w:color w:val="auto"/>
                      <w:szCs w:val="21"/>
                      <w:highlight w:val="none"/>
                    </w:rPr>
                    <w:t>TSP</w:t>
                  </w:r>
                </w:p>
              </w:tc>
              <w:tc>
                <w:tcPr>
                  <w:tcW w:w="552" w:type="pct"/>
                  <w:tcBorders>
                    <w:tl2br w:val="nil"/>
                    <w:tr2bl w:val="nil"/>
                  </w:tcBorders>
                  <w:vAlign w:val="center"/>
                </w:tcPr>
                <w:p>
                  <w:pPr>
                    <w:jc w:val="center"/>
                    <w:rPr>
                      <w:bCs/>
                      <w:color w:val="auto"/>
                      <w:szCs w:val="21"/>
                      <w:highlight w:val="none"/>
                    </w:rPr>
                  </w:pPr>
                  <w:r>
                    <w:rPr>
                      <w:rFonts w:hint="eastAsia"/>
                      <w:color w:val="auto"/>
                      <w:szCs w:val="21"/>
                      <w:highlight w:val="none"/>
                    </w:rPr>
                    <w:t>24h均值</w:t>
                  </w:r>
                </w:p>
              </w:tc>
              <w:tc>
                <w:tcPr>
                  <w:tcW w:w="652" w:type="pct"/>
                  <w:tcBorders>
                    <w:tl2br w:val="nil"/>
                    <w:tr2bl w:val="nil"/>
                  </w:tcBorders>
                  <w:vAlign w:val="center"/>
                </w:tcPr>
                <w:p>
                  <w:pPr>
                    <w:jc w:val="center"/>
                    <w:rPr>
                      <w:bCs/>
                      <w:color w:val="auto"/>
                      <w:szCs w:val="21"/>
                      <w:highlight w:val="none"/>
                    </w:rPr>
                  </w:pPr>
                  <w:r>
                    <w:rPr>
                      <w:rFonts w:hint="eastAsia"/>
                      <w:color w:val="auto"/>
                      <w:szCs w:val="21"/>
                      <w:highlight w:val="none"/>
                    </w:rPr>
                    <w:t>300</w:t>
                  </w:r>
                </w:p>
              </w:tc>
              <w:tc>
                <w:tcPr>
                  <w:tcW w:w="963" w:type="pct"/>
                  <w:tcBorders>
                    <w:tl2br w:val="nil"/>
                    <w:tr2bl w:val="nil"/>
                  </w:tcBorders>
                  <w:vAlign w:val="center"/>
                </w:tcPr>
                <w:p>
                  <w:pPr>
                    <w:ind w:left="-42" w:leftChars="-20" w:right="-63" w:rightChars="-30"/>
                    <w:jc w:val="center"/>
                    <w:rPr>
                      <w:bCs/>
                      <w:color w:val="auto"/>
                      <w:szCs w:val="21"/>
                      <w:highlight w:val="none"/>
                    </w:rPr>
                  </w:pPr>
                  <w:r>
                    <w:rPr>
                      <w:rFonts w:hint="eastAsia"/>
                      <w:color w:val="auto"/>
                      <w:szCs w:val="21"/>
                      <w:highlight w:val="none"/>
                    </w:rPr>
                    <w:t>0.115~0.147</w:t>
                  </w:r>
                </w:p>
              </w:tc>
              <w:tc>
                <w:tcPr>
                  <w:tcW w:w="571" w:type="pct"/>
                  <w:tcBorders>
                    <w:tl2br w:val="nil"/>
                    <w:tr2bl w:val="nil"/>
                  </w:tcBorders>
                  <w:vAlign w:val="center"/>
                </w:tcPr>
                <w:p>
                  <w:pPr>
                    <w:jc w:val="center"/>
                    <w:rPr>
                      <w:bCs/>
                      <w:color w:val="auto"/>
                      <w:szCs w:val="21"/>
                      <w:highlight w:val="none"/>
                    </w:rPr>
                  </w:pPr>
                  <w:r>
                    <w:rPr>
                      <w:rFonts w:hint="eastAsia"/>
                      <w:bCs/>
                      <w:color w:val="auto"/>
                      <w:szCs w:val="21"/>
                      <w:highlight w:val="none"/>
                    </w:rPr>
                    <w:t>/</w:t>
                  </w:r>
                </w:p>
              </w:tc>
              <w:tc>
                <w:tcPr>
                  <w:tcW w:w="523" w:type="pct"/>
                  <w:tcBorders>
                    <w:tl2br w:val="nil"/>
                    <w:tr2bl w:val="nil"/>
                  </w:tcBorders>
                  <w:vAlign w:val="center"/>
                </w:tcPr>
                <w:p>
                  <w:pPr>
                    <w:jc w:val="center"/>
                    <w:rPr>
                      <w:bCs/>
                      <w:color w:val="auto"/>
                      <w:szCs w:val="21"/>
                      <w:highlight w:val="none"/>
                    </w:rPr>
                  </w:pPr>
                  <w:r>
                    <w:rPr>
                      <w:rFonts w:hint="eastAsia"/>
                      <w:bCs/>
                      <w:color w:val="auto"/>
                      <w:szCs w:val="21"/>
                      <w:highlight w:val="none"/>
                    </w:rPr>
                    <w:t>0</w:t>
                  </w:r>
                </w:p>
              </w:tc>
              <w:tc>
                <w:tcPr>
                  <w:tcW w:w="551" w:type="pct"/>
                  <w:tcBorders>
                    <w:tl2br w:val="nil"/>
                    <w:tr2bl w:val="nil"/>
                  </w:tcBorders>
                  <w:vAlign w:val="center"/>
                </w:tcPr>
                <w:p>
                  <w:pPr>
                    <w:jc w:val="center"/>
                    <w:rPr>
                      <w:bCs/>
                      <w:color w:val="auto"/>
                      <w:szCs w:val="21"/>
                      <w:highlight w:val="none"/>
                    </w:rPr>
                  </w:pPr>
                  <w:r>
                    <w:rPr>
                      <w:rFonts w:hint="eastAsia"/>
                      <w:bCs/>
                      <w:color w:val="auto"/>
                      <w:szCs w:val="21"/>
                      <w:highlight w:val="none"/>
                    </w:rPr>
                    <w:t>达标</w:t>
                  </w:r>
                </w:p>
              </w:tc>
            </w:tr>
          </w:tbl>
          <w:p>
            <w:pPr>
              <w:spacing w:line="500" w:lineRule="exact"/>
              <w:ind w:firstLine="480" w:firstLineChars="200"/>
              <w:rPr>
                <w:color w:val="auto"/>
                <w:sz w:val="24"/>
                <w:highlight w:val="none"/>
              </w:rPr>
            </w:pPr>
            <w:r>
              <w:rPr>
                <w:color w:val="auto"/>
                <w:sz w:val="24"/>
                <w:highlight w:val="none"/>
              </w:rPr>
              <w:t>根据监测结果可知，</w:t>
            </w:r>
            <w:r>
              <w:rPr>
                <w:rFonts w:hint="eastAsia"/>
                <w:color w:val="auto"/>
                <w:sz w:val="24"/>
                <w:highlight w:val="none"/>
              </w:rPr>
              <w:t>TVOC能满足《环境影响评价技术导则 大气环境》（HJ2.2-2018）附录D中表D.1规定的限值要求；TSP能满足《环境空气质量标准》（GB3095-2012）及修改清单中二级标准限值。</w:t>
            </w:r>
          </w:p>
          <w:p>
            <w:pPr>
              <w:autoSpaceDE w:val="0"/>
              <w:autoSpaceDN w:val="0"/>
              <w:spacing w:line="360" w:lineRule="auto"/>
              <w:ind w:firstLine="480" w:firstLineChars="200"/>
              <w:rPr>
                <w:bCs/>
                <w:color w:val="auto"/>
                <w:sz w:val="24"/>
                <w:highlight w:val="none"/>
              </w:rPr>
            </w:pPr>
          </w:p>
          <w:p>
            <w:pPr>
              <w:spacing w:line="360" w:lineRule="auto"/>
              <w:rPr>
                <w:rFonts w:eastAsiaTheme="minorEastAsia"/>
                <w:b/>
                <w:color w:val="auto"/>
                <w:sz w:val="24"/>
                <w:highlight w:val="none"/>
              </w:rPr>
            </w:pPr>
            <w:r>
              <w:rPr>
                <w:rFonts w:hint="eastAsia" w:eastAsiaTheme="minorEastAsia"/>
                <w:b/>
                <w:color w:val="auto"/>
                <w:sz w:val="24"/>
                <w:highlight w:val="none"/>
              </w:rPr>
              <w:t>2</w:t>
            </w:r>
            <w:r>
              <w:rPr>
                <w:rFonts w:eastAsiaTheme="minorEastAsia"/>
                <w:b/>
                <w:color w:val="auto"/>
                <w:sz w:val="24"/>
                <w:highlight w:val="none"/>
              </w:rPr>
              <w:t>、</w:t>
            </w:r>
            <w:r>
              <w:rPr>
                <w:rFonts w:hint="eastAsia" w:eastAsiaTheme="minorEastAsia"/>
                <w:b/>
                <w:color w:val="auto"/>
                <w:sz w:val="24"/>
                <w:highlight w:val="none"/>
              </w:rPr>
              <w:t>地表水环境</w:t>
            </w:r>
          </w:p>
          <w:p>
            <w:pPr>
              <w:spacing w:line="360" w:lineRule="auto"/>
              <w:ind w:firstLine="480" w:firstLineChars="200"/>
              <w:rPr>
                <w:color w:val="auto"/>
                <w:kern w:val="0"/>
                <w:sz w:val="24"/>
                <w:highlight w:val="none"/>
              </w:rPr>
            </w:pPr>
            <w:r>
              <w:rPr>
                <w:color w:val="auto"/>
                <w:kern w:val="0"/>
                <w:sz w:val="24"/>
                <w:highlight w:val="none"/>
              </w:rPr>
              <w:t>本次评价</w:t>
            </w:r>
            <w:r>
              <w:rPr>
                <w:rFonts w:hint="eastAsia"/>
                <w:color w:val="auto"/>
                <w:kern w:val="0"/>
                <w:sz w:val="24"/>
                <w:highlight w:val="none"/>
              </w:rPr>
              <w:t>引用邵阳市生态环境局官网公布的2022年1-12月水环境质量月报，选取了离本项目最近的柏树和工业街水厂两个监测断面数据。邵阳市环境质量监测结果见下表。</w:t>
            </w:r>
          </w:p>
          <w:p>
            <w:pPr>
              <w:jc w:val="center"/>
              <w:rPr>
                <w:b/>
                <w:color w:val="auto"/>
                <w:kern w:val="0"/>
                <w:sz w:val="24"/>
                <w:highlight w:val="none"/>
              </w:rPr>
            </w:pPr>
            <w:r>
              <w:rPr>
                <w:rFonts w:hint="eastAsia"/>
                <w:b/>
                <w:color w:val="auto"/>
                <w:kern w:val="0"/>
                <w:szCs w:val="21"/>
                <w:highlight w:val="none"/>
                <w:lang w:val="zh-CN"/>
              </w:rPr>
              <w:t>表3-</w:t>
            </w:r>
            <w:r>
              <w:rPr>
                <w:rFonts w:hint="eastAsia"/>
                <w:b/>
                <w:color w:val="auto"/>
                <w:kern w:val="0"/>
                <w:szCs w:val="21"/>
                <w:highlight w:val="none"/>
              </w:rPr>
              <w:t>3</w:t>
            </w:r>
            <w:r>
              <w:rPr>
                <w:b/>
                <w:color w:val="auto"/>
                <w:kern w:val="0"/>
                <w:szCs w:val="21"/>
                <w:highlight w:val="none"/>
              </w:rPr>
              <w:t xml:space="preserve">  </w:t>
            </w:r>
            <w:r>
              <w:rPr>
                <w:rFonts w:hint="eastAsia"/>
                <w:b/>
                <w:color w:val="auto"/>
                <w:kern w:val="0"/>
                <w:szCs w:val="21"/>
                <w:highlight w:val="none"/>
              </w:rPr>
              <w:t>邵阳市地表水水质状况</w:t>
            </w:r>
          </w:p>
          <w:tbl>
            <w:tblPr>
              <w:tblStyle w:val="25"/>
              <w:tblW w:w="7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12"/>
              <w:gridCol w:w="1312"/>
              <w:gridCol w:w="2437"/>
              <w:gridCol w:w="24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2624" w:type="dxa"/>
                  <w:gridSpan w:val="2"/>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河流名称</w:t>
                  </w:r>
                </w:p>
              </w:tc>
              <w:tc>
                <w:tcPr>
                  <w:tcW w:w="4874" w:type="dxa"/>
                  <w:gridSpan w:val="2"/>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资江干流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624" w:type="dxa"/>
                  <w:gridSpan w:val="2"/>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断面名称</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柏树</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工业街水厂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624" w:type="dxa"/>
                  <w:gridSpan w:val="2"/>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所属市州</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邵阳市</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邵阳市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624" w:type="dxa"/>
                  <w:gridSpan w:val="2"/>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断面属性</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省控</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省控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restart"/>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水质类别</w:t>
                  </w: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2022.1</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2022.2</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2022.3</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2022.4</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2022.5</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2022.6</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2022.7</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olor w:val="auto"/>
                      <w:szCs w:val="21"/>
                      <w:highlight w:val="none"/>
                      <w:shd w:val="clear" w:color="auto" w:fill="FFFFFF"/>
                    </w:rPr>
                    <w:t>均优于</w:t>
                  </w: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rFonts w:hint="eastAsia"/>
                      <w:color w:val="auto"/>
                      <w:szCs w:val="21"/>
                      <w:highlight w:val="none"/>
                      <w:shd w:val="clear" w:color="auto" w:fill="FFFFFF"/>
                    </w:rPr>
                    <w:t>均优于</w:t>
                  </w: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2022.8</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olor w:val="auto"/>
                      <w:szCs w:val="21"/>
                      <w:highlight w:val="none"/>
                      <w:shd w:val="clear" w:color="auto" w:fill="FFFFFF"/>
                    </w:rPr>
                    <w:t>均优于</w:t>
                  </w: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rFonts w:hint="eastAsia"/>
                      <w:color w:val="auto"/>
                      <w:szCs w:val="21"/>
                      <w:highlight w:val="none"/>
                      <w:shd w:val="clear" w:color="auto" w:fill="FFFFFF"/>
                    </w:rPr>
                    <w:t>均优于</w:t>
                  </w: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2022.9</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olor w:val="auto"/>
                      <w:szCs w:val="21"/>
                      <w:highlight w:val="none"/>
                      <w:shd w:val="clear" w:color="auto" w:fill="FFFFFF"/>
                    </w:rPr>
                    <w:t>均优于</w:t>
                  </w: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rFonts w:hint="eastAsia"/>
                      <w:color w:val="auto"/>
                      <w:szCs w:val="21"/>
                      <w:highlight w:val="none"/>
                      <w:shd w:val="clear" w:color="auto" w:fill="FFFFFF"/>
                    </w:rPr>
                    <w:t>均优于</w:t>
                  </w: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2022.10</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olor w:val="auto"/>
                      <w:szCs w:val="21"/>
                      <w:highlight w:val="none"/>
                      <w:shd w:val="clear" w:color="auto" w:fill="FFFFFF"/>
                    </w:rPr>
                    <w:t>均优于</w:t>
                  </w: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rFonts w:hint="eastAsia"/>
                      <w:color w:val="auto"/>
                      <w:szCs w:val="21"/>
                      <w:highlight w:val="none"/>
                      <w:shd w:val="clear" w:color="auto" w:fill="FFFFFF"/>
                    </w:rPr>
                    <w:t>均优于</w:t>
                  </w: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2022.11</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olor w:val="auto"/>
                      <w:szCs w:val="21"/>
                      <w:highlight w:val="none"/>
                      <w:shd w:val="clear" w:color="auto" w:fill="FFFFFF"/>
                    </w:rPr>
                    <w:t>均优于</w:t>
                  </w: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rFonts w:hint="eastAsia"/>
                      <w:color w:val="auto"/>
                      <w:szCs w:val="21"/>
                      <w:highlight w:val="none"/>
                      <w:shd w:val="clear" w:color="auto" w:fill="FFFFFF"/>
                    </w:rPr>
                    <w:t>均优于</w:t>
                  </w: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8" w:hRule="exact"/>
                <w:jc w:val="center"/>
              </w:trPr>
              <w:tc>
                <w:tcPr>
                  <w:tcW w:w="1312" w:type="dxa"/>
                  <w:vMerge w:val="continue"/>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p>
              </w:tc>
              <w:tc>
                <w:tcPr>
                  <w:tcW w:w="1312"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2022.12</w:t>
                  </w:r>
                </w:p>
              </w:tc>
              <w:tc>
                <w:tcPr>
                  <w:tcW w:w="2437" w:type="dxa"/>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olor w:val="auto"/>
                      <w:szCs w:val="21"/>
                      <w:highlight w:val="none"/>
                      <w:shd w:val="clear" w:color="auto" w:fill="FFFFFF"/>
                    </w:rPr>
                    <w:t>均优于</w:t>
                  </w:r>
                  <w:r>
                    <w:rPr>
                      <w:color w:val="auto"/>
                      <w:szCs w:val="21"/>
                      <w:highlight w:val="none"/>
                      <w:shd w:val="clear" w:color="auto" w:fill="FFFFFF"/>
                    </w:rPr>
                    <w:t>II类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rFonts w:hint="eastAsia"/>
                      <w:color w:val="auto"/>
                      <w:szCs w:val="21"/>
                      <w:highlight w:val="none"/>
                      <w:shd w:val="clear" w:color="auto" w:fill="FFFFFF"/>
                    </w:rPr>
                    <w:t>均优于</w:t>
                  </w:r>
                  <w:r>
                    <w:rPr>
                      <w:color w:val="auto"/>
                      <w:szCs w:val="21"/>
                      <w:highlight w:val="none"/>
                      <w:shd w:val="clear" w:color="auto" w:fill="FFFFFF"/>
                    </w:rPr>
                    <w:t>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2624" w:type="dxa"/>
                  <w:gridSpan w:val="2"/>
                  <w:tcBorders>
                    <w:tl2br w:val="nil"/>
                    <w:tr2bl w:val="nil"/>
                  </w:tcBorders>
                  <w:tcMar>
                    <w:top w:w="15" w:type="dxa"/>
                    <w:left w:w="15" w:type="dxa"/>
                    <w:right w:w="15" w:type="dxa"/>
                  </w:tcMar>
                  <w:vAlign w:val="center"/>
                </w:tcPr>
                <w:p>
                  <w:pPr>
                    <w:widowControl/>
                    <w:jc w:val="center"/>
                    <w:textAlignment w:val="center"/>
                    <w:rPr>
                      <w:rFonts w:cs="宋体"/>
                      <w:color w:val="auto"/>
                      <w:kern w:val="0"/>
                      <w:szCs w:val="21"/>
                      <w:highlight w:val="none"/>
                      <w:lang w:bidi="ar"/>
                    </w:rPr>
                  </w:pPr>
                  <w:r>
                    <w:rPr>
                      <w:rFonts w:hint="eastAsia" w:cs="宋体"/>
                      <w:color w:val="auto"/>
                      <w:kern w:val="0"/>
                      <w:szCs w:val="21"/>
                      <w:highlight w:val="none"/>
                      <w:lang w:bidi="ar"/>
                    </w:rPr>
                    <w:t>执行标准（GB3838-2002）</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color w:val="auto"/>
                      <w:szCs w:val="21"/>
                      <w:highlight w:val="none"/>
                      <w:shd w:val="clear" w:color="auto" w:fill="FFFFFF"/>
                    </w:rPr>
                    <w:t>Ⅲ类</w:t>
                  </w:r>
                </w:p>
              </w:tc>
              <w:tc>
                <w:tcPr>
                  <w:tcW w:w="2437" w:type="dxa"/>
                  <w:tcBorders>
                    <w:tl2br w:val="nil"/>
                    <w:tr2bl w:val="nil"/>
                  </w:tcBorders>
                  <w:tcMar>
                    <w:top w:w="15" w:type="dxa"/>
                    <w:left w:w="15" w:type="dxa"/>
                    <w:right w:w="15" w:type="dxa"/>
                  </w:tcMar>
                  <w:vAlign w:val="center"/>
                </w:tcPr>
                <w:p>
                  <w:pPr>
                    <w:widowControl/>
                    <w:jc w:val="center"/>
                    <w:textAlignment w:val="center"/>
                    <w:rPr>
                      <w:color w:val="auto"/>
                      <w:szCs w:val="21"/>
                      <w:highlight w:val="none"/>
                      <w:shd w:val="clear" w:color="auto" w:fill="FFFFFF"/>
                    </w:rPr>
                  </w:pPr>
                  <w:r>
                    <w:rPr>
                      <w:color w:val="auto"/>
                      <w:szCs w:val="21"/>
                      <w:highlight w:val="none"/>
                      <w:shd w:val="clear" w:color="auto" w:fill="FFFFFF"/>
                    </w:rPr>
                    <w:t>Ⅲ类</w:t>
                  </w:r>
                </w:p>
              </w:tc>
            </w:tr>
          </w:tbl>
          <w:p>
            <w:pPr>
              <w:spacing w:line="360" w:lineRule="auto"/>
              <w:ind w:firstLine="480" w:firstLineChars="200"/>
              <w:rPr>
                <w:color w:val="auto"/>
                <w:sz w:val="24"/>
                <w:highlight w:val="none"/>
              </w:rPr>
            </w:pPr>
            <w:r>
              <w:rPr>
                <w:rFonts w:hint="eastAsia"/>
                <w:color w:val="auto"/>
                <w:kern w:val="0"/>
                <w:sz w:val="24"/>
                <w:highlight w:val="none"/>
              </w:rPr>
              <w:t>由上表可知，邵阳市地表水水质状况较好。</w:t>
            </w:r>
          </w:p>
          <w:p>
            <w:pPr>
              <w:spacing w:line="360" w:lineRule="auto"/>
              <w:rPr>
                <w:rFonts w:eastAsiaTheme="minorEastAsia"/>
                <w:b/>
                <w:color w:val="auto"/>
                <w:sz w:val="24"/>
                <w:highlight w:val="none"/>
              </w:rPr>
            </w:pPr>
            <w:r>
              <w:rPr>
                <w:rFonts w:eastAsiaTheme="minorEastAsia"/>
                <w:b/>
                <w:color w:val="auto"/>
                <w:sz w:val="24"/>
                <w:highlight w:val="none"/>
              </w:rPr>
              <w:t>3</w:t>
            </w:r>
            <w:r>
              <w:rPr>
                <w:rFonts w:hAnsiTheme="minorEastAsia" w:eastAsiaTheme="minorEastAsia"/>
                <w:b/>
                <w:color w:val="auto"/>
                <w:sz w:val="24"/>
                <w:highlight w:val="none"/>
              </w:rPr>
              <w:t>、声环境</w:t>
            </w:r>
          </w:p>
          <w:p>
            <w:pPr>
              <w:spacing w:line="360" w:lineRule="auto"/>
              <w:ind w:firstLine="480" w:firstLineChars="200"/>
              <w:rPr>
                <w:color w:val="auto"/>
                <w:sz w:val="24"/>
                <w:highlight w:val="none"/>
              </w:rPr>
            </w:pPr>
            <w:r>
              <w:rPr>
                <w:color w:val="auto"/>
                <w:sz w:val="24"/>
                <w:highlight w:val="none"/>
              </w:rPr>
              <w:t>本次环评</w:t>
            </w:r>
            <w:r>
              <w:rPr>
                <w:rFonts w:hint="eastAsia"/>
                <w:color w:val="auto"/>
                <w:sz w:val="24"/>
                <w:highlight w:val="none"/>
              </w:rPr>
              <w:t>委托湖南华环检测技术有限公司于2023年5月25日对项目厂界四周进行了声环境质量检测，监测结果如下：</w:t>
            </w:r>
          </w:p>
          <w:p>
            <w:pPr>
              <w:pStyle w:val="112"/>
              <w:jc w:val="center"/>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表3-</w:t>
            </w:r>
            <w:r>
              <w:rPr>
                <w:rFonts w:hint="eastAsia" w:ascii="Times New Roman" w:hAnsi="Times New Roman" w:cs="Times New Roman"/>
                <w:b/>
                <w:bCs/>
                <w:color w:val="auto"/>
                <w:sz w:val="21"/>
                <w:szCs w:val="21"/>
                <w:highlight w:val="none"/>
              </w:rPr>
              <w:t>4</w:t>
            </w:r>
            <w:r>
              <w:rPr>
                <w:rFonts w:ascii="Times New Roman" w:hAnsi="Times New Roman" w:cs="Times New Roman"/>
                <w:b/>
                <w:bCs/>
                <w:color w:val="auto"/>
                <w:sz w:val="21"/>
                <w:szCs w:val="21"/>
                <w:highlight w:val="none"/>
              </w:rPr>
              <w:t xml:space="preserve">  </w:t>
            </w:r>
            <w:r>
              <w:rPr>
                <w:rFonts w:hint="eastAsia" w:ascii="Times New Roman" w:hAnsi="Times New Roman" w:cs="Times New Roman"/>
                <w:b/>
                <w:bCs/>
                <w:color w:val="auto"/>
                <w:sz w:val="21"/>
                <w:szCs w:val="21"/>
                <w:highlight w:val="none"/>
              </w:rPr>
              <w:t>声环境质量现状</w:t>
            </w:r>
          </w:p>
          <w:tbl>
            <w:tblPr>
              <w:tblStyle w:val="26"/>
              <w:tblW w:w="79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1396"/>
              <w:gridCol w:w="1373"/>
              <w:gridCol w:w="1477"/>
              <w:gridCol w:w="13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07" w:type="dxa"/>
                  <w:vMerge w:val="restart"/>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监测点位</w:t>
                  </w:r>
                </w:p>
              </w:tc>
              <w:tc>
                <w:tcPr>
                  <w:tcW w:w="2769" w:type="dxa"/>
                  <w:gridSpan w:val="2"/>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监测日期及检测结果</w:t>
                  </w:r>
                </w:p>
              </w:tc>
              <w:tc>
                <w:tcPr>
                  <w:tcW w:w="2778" w:type="dxa"/>
                  <w:gridSpan w:val="2"/>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vMerge w:val="continue"/>
                  <w:tcBorders>
                    <w:tl2br w:val="nil"/>
                    <w:tr2bl w:val="nil"/>
                  </w:tcBorders>
                  <w:vAlign w:val="center"/>
                </w:tcPr>
                <w:p>
                  <w:pPr>
                    <w:jc w:val="center"/>
                    <w:rPr>
                      <w:rFonts w:eastAsiaTheme="minorEastAsia"/>
                      <w:bCs/>
                      <w:color w:val="auto"/>
                      <w:szCs w:val="21"/>
                      <w:highlight w:val="none"/>
                    </w:rPr>
                  </w:pPr>
                </w:p>
              </w:tc>
              <w:tc>
                <w:tcPr>
                  <w:tcW w:w="2769" w:type="dxa"/>
                  <w:gridSpan w:val="2"/>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2023.5.25</w:t>
                  </w:r>
                </w:p>
              </w:tc>
              <w:tc>
                <w:tcPr>
                  <w:tcW w:w="1477" w:type="dxa"/>
                  <w:vMerge w:val="restart"/>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昼间</w:t>
                  </w:r>
                </w:p>
              </w:tc>
              <w:tc>
                <w:tcPr>
                  <w:tcW w:w="1301" w:type="dxa"/>
                  <w:vMerge w:val="restart"/>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vMerge w:val="continue"/>
                  <w:tcBorders>
                    <w:tl2br w:val="nil"/>
                    <w:tr2bl w:val="nil"/>
                  </w:tcBorders>
                  <w:vAlign w:val="center"/>
                </w:tcPr>
                <w:p>
                  <w:pPr>
                    <w:jc w:val="center"/>
                    <w:rPr>
                      <w:rFonts w:eastAsiaTheme="minorEastAsia"/>
                      <w:bCs/>
                      <w:color w:val="auto"/>
                      <w:szCs w:val="21"/>
                      <w:highlight w:val="none"/>
                    </w:rPr>
                  </w:pPr>
                </w:p>
              </w:tc>
              <w:tc>
                <w:tcPr>
                  <w:tcW w:w="1396"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昼间</w:t>
                  </w:r>
                </w:p>
              </w:tc>
              <w:tc>
                <w:tcPr>
                  <w:tcW w:w="1373"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夜间</w:t>
                  </w:r>
                </w:p>
              </w:tc>
              <w:tc>
                <w:tcPr>
                  <w:tcW w:w="1477" w:type="dxa"/>
                  <w:vMerge w:val="continue"/>
                  <w:tcBorders>
                    <w:tl2br w:val="nil"/>
                    <w:tr2bl w:val="nil"/>
                  </w:tcBorders>
                  <w:vAlign w:val="center"/>
                </w:tcPr>
                <w:p>
                  <w:pPr>
                    <w:jc w:val="center"/>
                    <w:rPr>
                      <w:rFonts w:eastAsiaTheme="minorEastAsia"/>
                      <w:bCs/>
                      <w:color w:val="auto"/>
                      <w:szCs w:val="21"/>
                      <w:highlight w:val="none"/>
                    </w:rPr>
                  </w:pPr>
                </w:p>
              </w:tc>
              <w:tc>
                <w:tcPr>
                  <w:tcW w:w="1301" w:type="dxa"/>
                  <w:vMerge w:val="continue"/>
                  <w:tcBorders>
                    <w:tl2br w:val="nil"/>
                    <w:tr2bl w:val="nil"/>
                  </w:tcBorders>
                  <w:vAlign w:val="center"/>
                </w:tcPr>
                <w:p>
                  <w:pPr>
                    <w:jc w:val="center"/>
                    <w:rPr>
                      <w:rFonts w:eastAsiaTheme="minorEastAsia"/>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407"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N1项目东面厂界外1m</w:t>
                  </w:r>
                </w:p>
              </w:tc>
              <w:tc>
                <w:tcPr>
                  <w:tcW w:w="1396"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47</w:t>
                  </w:r>
                </w:p>
              </w:tc>
              <w:tc>
                <w:tcPr>
                  <w:tcW w:w="1373"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41</w:t>
                  </w:r>
                </w:p>
              </w:tc>
              <w:tc>
                <w:tcPr>
                  <w:tcW w:w="1477" w:type="dxa"/>
                  <w:vMerge w:val="restart"/>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60</w:t>
                  </w:r>
                </w:p>
              </w:tc>
              <w:tc>
                <w:tcPr>
                  <w:tcW w:w="1301" w:type="dxa"/>
                  <w:vMerge w:val="restart"/>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N2项目南面厂界外1m</w:t>
                  </w:r>
                </w:p>
              </w:tc>
              <w:tc>
                <w:tcPr>
                  <w:tcW w:w="1396"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48</w:t>
                  </w:r>
                </w:p>
              </w:tc>
              <w:tc>
                <w:tcPr>
                  <w:tcW w:w="1373"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41</w:t>
                  </w:r>
                </w:p>
              </w:tc>
              <w:tc>
                <w:tcPr>
                  <w:tcW w:w="1477" w:type="dxa"/>
                  <w:vMerge w:val="continue"/>
                  <w:tcBorders>
                    <w:tl2br w:val="nil"/>
                    <w:tr2bl w:val="nil"/>
                  </w:tcBorders>
                  <w:vAlign w:val="center"/>
                </w:tcPr>
                <w:p>
                  <w:pPr>
                    <w:jc w:val="center"/>
                    <w:rPr>
                      <w:rFonts w:eastAsiaTheme="minorEastAsia"/>
                      <w:bCs/>
                      <w:color w:val="auto"/>
                      <w:szCs w:val="21"/>
                      <w:highlight w:val="none"/>
                    </w:rPr>
                  </w:pPr>
                </w:p>
              </w:tc>
              <w:tc>
                <w:tcPr>
                  <w:tcW w:w="1301" w:type="dxa"/>
                  <w:vMerge w:val="continue"/>
                  <w:tcBorders>
                    <w:tl2br w:val="nil"/>
                    <w:tr2bl w:val="nil"/>
                  </w:tcBorders>
                  <w:vAlign w:val="center"/>
                </w:tcPr>
                <w:p>
                  <w:pPr>
                    <w:jc w:val="center"/>
                    <w:rPr>
                      <w:rFonts w:eastAsiaTheme="minorEastAsia"/>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N3项目西面厂界外1m</w:t>
                  </w:r>
                </w:p>
              </w:tc>
              <w:tc>
                <w:tcPr>
                  <w:tcW w:w="1396"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49</w:t>
                  </w:r>
                </w:p>
              </w:tc>
              <w:tc>
                <w:tcPr>
                  <w:tcW w:w="1373"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42</w:t>
                  </w:r>
                </w:p>
              </w:tc>
              <w:tc>
                <w:tcPr>
                  <w:tcW w:w="1477" w:type="dxa"/>
                  <w:vMerge w:val="continue"/>
                  <w:tcBorders>
                    <w:tl2br w:val="nil"/>
                    <w:tr2bl w:val="nil"/>
                  </w:tcBorders>
                  <w:vAlign w:val="center"/>
                </w:tcPr>
                <w:p>
                  <w:pPr>
                    <w:jc w:val="center"/>
                    <w:rPr>
                      <w:rFonts w:eastAsiaTheme="minorEastAsia"/>
                      <w:bCs/>
                      <w:color w:val="auto"/>
                      <w:szCs w:val="21"/>
                      <w:highlight w:val="none"/>
                    </w:rPr>
                  </w:pPr>
                </w:p>
              </w:tc>
              <w:tc>
                <w:tcPr>
                  <w:tcW w:w="1301" w:type="dxa"/>
                  <w:vMerge w:val="continue"/>
                  <w:tcBorders>
                    <w:tl2br w:val="nil"/>
                    <w:tr2bl w:val="nil"/>
                  </w:tcBorders>
                  <w:vAlign w:val="center"/>
                </w:tcPr>
                <w:p>
                  <w:pPr>
                    <w:jc w:val="center"/>
                    <w:rPr>
                      <w:rFonts w:eastAsiaTheme="minorEastAsia"/>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07"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N4项目北面厂界外1m</w:t>
                  </w:r>
                </w:p>
              </w:tc>
              <w:tc>
                <w:tcPr>
                  <w:tcW w:w="1396"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48</w:t>
                  </w:r>
                </w:p>
              </w:tc>
              <w:tc>
                <w:tcPr>
                  <w:tcW w:w="1373" w:type="dxa"/>
                  <w:tcBorders>
                    <w:tl2br w:val="nil"/>
                    <w:tr2bl w:val="nil"/>
                  </w:tcBorders>
                  <w:vAlign w:val="center"/>
                </w:tcPr>
                <w:p>
                  <w:pPr>
                    <w:jc w:val="center"/>
                    <w:rPr>
                      <w:rFonts w:eastAsiaTheme="minorEastAsia"/>
                      <w:bCs/>
                      <w:color w:val="auto"/>
                      <w:szCs w:val="21"/>
                      <w:highlight w:val="none"/>
                    </w:rPr>
                  </w:pPr>
                  <w:r>
                    <w:rPr>
                      <w:rFonts w:hint="eastAsia" w:eastAsiaTheme="minorEastAsia"/>
                      <w:bCs/>
                      <w:color w:val="auto"/>
                      <w:szCs w:val="21"/>
                      <w:highlight w:val="none"/>
                    </w:rPr>
                    <w:t>40</w:t>
                  </w:r>
                </w:p>
              </w:tc>
              <w:tc>
                <w:tcPr>
                  <w:tcW w:w="1477" w:type="dxa"/>
                  <w:vMerge w:val="continue"/>
                  <w:tcBorders>
                    <w:tl2br w:val="nil"/>
                    <w:tr2bl w:val="nil"/>
                  </w:tcBorders>
                  <w:vAlign w:val="center"/>
                </w:tcPr>
                <w:p>
                  <w:pPr>
                    <w:jc w:val="center"/>
                    <w:rPr>
                      <w:rFonts w:eastAsiaTheme="minorEastAsia"/>
                      <w:bCs/>
                      <w:color w:val="auto"/>
                      <w:szCs w:val="21"/>
                      <w:highlight w:val="none"/>
                    </w:rPr>
                  </w:pPr>
                </w:p>
              </w:tc>
              <w:tc>
                <w:tcPr>
                  <w:tcW w:w="1301" w:type="dxa"/>
                  <w:vMerge w:val="continue"/>
                  <w:tcBorders>
                    <w:tl2br w:val="nil"/>
                    <w:tr2bl w:val="nil"/>
                  </w:tcBorders>
                  <w:vAlign w:val="center"/>
                </w:tcPr>
                <w:p>
                  <w:pPr>
                    <w:jc w:val="center"/>
                    <w:rPr>
                      <w:rFonts w:eastAsiaTheme="minorEastAsia"/>
                      <w:bCs/>
                      <w:color w:val="auto"/>
                      <w:szCs w:val="21"/>
                      <w:highlight w:val="none"/>
                    </w:rPr>
                  </w:pPr>
                </w:p>
              </w:tc>
            </w:tr>
          </w:tbl>
          <w:p>
            <w:pPr>
              <w:spacing w:line="360" w:lineRule="auto"/>
              <w:ind w:firstLine="480" w:firstLineChars="200"/>
              <w:rPr>
                <w:rFonts w:hAnsi="宋体"/>
                <w:color w:val="auto"/>
                <w:sz w:val="24"/>
                <w:highlight w:val="none"/>
              </w:rPr>
            </w:pPr>
            <w:r>
              <w:rPr>
                <w:rFonts w:hint="eastAsia" w:eastAsiaTheme="minorEastAsia"/>
                <w:bCs/>
                <w:color w:val="auto"/>
                <w:sz w:val="24"/>
                <w:highlight w:val="none"/>
              </w:rPr>
              <w:t xml:space="preserve">根据监测结果，本项目厂界四周均满足《声环境质量标准》（GB3096-2008）2类标准。 </w:t>
            </w:r>
            <w:r>
              <w:rPr>
                <w:rFonts w:hint="eastAsia" w:eastAsiaTheme="minorEastAsia"/>
                <w:b/>
                <w:color w:val="auto"/>
                <w:sz w:val="24"/>
                <w:highlight w:val="none"/>
              </w:rPr>
              <w:t xml:space="preserve">                                                             </w:t>
            </w:r>
          </w:p>
          <w:p>
            <w:pPr>
              <w:spacing w:line="360" w:lineRule="auto"/>
              <w:rPr>
                <w:rFonts w:eastAsiaTheme="minorEastAsia"/>
                <w:b/>
                <w:color w:val="auto"/>
                <w:sz w:val="24"/>
                <w:highlight w:val="none"/>
              </w:rPr>
            </w:pPr>
            <w:r>
              <w:rPr>
                <w:rFonts w:hint="eastAsia" w:eastAsiaTheme="minorEastAsia"/>
                <w:b/>
                <w:color w:val="auto"/>
                <w:sz w:val="24"/>
                <w:highlight w:val="none"/>
              </w:rPr>
              <w:t>4、生态环境</w:t>
            </w:r>
          </w:p>
          <w:p>
            <w:pPr>
              <w:adjustRightInd w:val="0"/>
              <w:snapToGrid w:val="0"/>
              <w:spacing w:line="360" w:lineRule="auto"/>
              <w:ind w:firstLine="480" w:firstLineChars="200"/>
              <w:jc w:val="left"/>
              <w:rPr>
                <w:color w:val="auto"/>
                <w:sz w:val="24"/>
                <w:highlight w:val="none"/>
              </w:rPr>
            </w:pPr>
            <w:r>
              <w:rPr>
                <w:color w:val="auto"/>
                <w:sz w:val="24"/>
                <w:highlight w:val="none"/>
              </w:rPr>
              <w:t>根据《建设项目环境影响报告表编制技术指南（污染影响类）（试行）》中提到的“产业园区外建设项目新增用地且用地范围内含有生态环境保护目标时，应进行生态现状调查”。本项目</w:t>
            </w:r>
            <w:r>
              <w:rPr>
                <w:rFonts w:hint="eastAsia"/>
                <w:color w:val="auto"/>
                <w:sz w:val="24"/>
                <w:highlight w:val="none"/>
              </w:rPr>
              <w:t>租赁现有厂房，用地范围内无生态环境保护目标</w:t>
            </w:r>
            <w:r>
              <w:rPr>
                <w:color w:val="auto"/>
                <w:sz w:val="24"/>
                <w:highlight w:val="none"/>
              </w:rPr>
              <w:t>，故可不开展现状调查。</w:t>
            </w:r>
          </w:p>
          <w:p>
            <w:pPr>
              <w:spacing w:line="360" w:lineRule="auto"/>
              <w:rPr>
                <w:rFonts w:eastAsiaTheme="minorEastAsia"/>
                <w:b/>
                <w:color w:val="auto"/>
                <w:sz w:val="24"/>
                <w:highlight w:val="none"/>
              </w:rPr>
            </w:pPr>
            <w:r>
              <w:rPr>
                <w:rFonts w:eastAsiaTheme="minorEastAsia"/>
                <w:b/>
                <w:color w:val="auto"/>
                <w:sz w:val="24"/>
                <w:highlight w:val="none"/>
              </w:rPr>
              <w:t>5</w:t>
            </w:r>
            <w:r>
              <w:rPr>
                <w:rFonts w:hAnsiTheme="minorEastAsia" w:eastAsiaTheme="minorEastAsia"/>
                <w:b/>
                <w:color w:val="auto"/>
                <w:sz w:val="24"/>
                <w:highlight w:val="none"/>
              </w:rPr>
              <w:t>、地下水、土壤环境</w:t>
            </w:r>
          </w:p>
          <w:p>
            <w:pPr>
              <w:pStyle w:val="24"/>
              <w:spacing w:after="0" w:line="360" w:lineRule="auto"/>
              <w:ind w:left="0" w:leftChars="0" w:firstLine="480"/>
              <w:rPr>
                <w:color w:val="auto"/>
                <w:sz w:val="24"/>
                <w:szCs w:val="24"/>
                <w:highlight w:val="none"/>
              </w:rPr>
            </w:pPr>
            <w:r>
              <w:rPr>
                <w:rFonts w:hint="eastAsia"/>
                <w:color w:val="auto"/>
                <w:sz w:val="24"/>
                <w:szCs w:val="24"/>
                <w:highlight w:val="none"/>
              </w:rPr>
              <w:t>本项目</w:t>
            </w:r>
            <w:r>
              <w:rPr>
                <w:color w:val="auto"/>
                <w:sz w:val="24"/>
                <w:szCs w:val="24"/>
                <w:highlight w:val="none"/>
              </w:rPr>
              <w:t>根据《建设项目环境影响报告表编制技术指南（污染影响类）（试行）》中提到的“原则上不开展环境质量现状调查。建设项目存在土壤、地下水环境污染途径的，应结合污染源、保护目标分布情况开展现状调查以留作背景值”。本项目</w:t>
            </w:r>
            <w:r>
              <w:rPr>
                <w:rFonts w:hint="eastAsia"/>
                <w:color w:val="auto"/>
                <w:sz w:val="24"/>
                <w:szCs w:val="24"/>
                <w:highlight w:val="none"/>
              </w:rPr>
              <w:t>租赁现有厂房</w:t>
            </w:r>
            <w:r>
              <w:rPr>
                <w:color w:val="auto"/>
                <w:sz w:val="24"/>
                <w:szCs w:val="24"/>
                <w:highlight w:val="none"/>
              </w:rPr>
              <w:t>，厂区地面全部进行硬化</w:t>
            </w:r>
            <w:r>
              <w:rPr>
                <w:rFonts w:hint="eastAsia"/>
                <w:color w:val="auto"/>
                <w:sz w:val="24"/>
                <w:szCs w:val="24"/>
                <w:highlight w:val="none"/>
              </w:rPr>
              <w:t>。</w:t>
            </w:r>
          </w:p>
          <w:p>
            <w:pPr>
              <w:pStyle w:val="24"/>
              <w:spacing w:after="0" w:line="360" w:lineRule="auto"/>
              <w:ind w:left="0" w:leftChars="0" w:firstLine="480"/>
              <w:rPr>
                <w:color w:val="auto"/>
                <w:sz w:val="24"/>
                <w:szCs w:val="24"/>
                <w:highlight w:val="none"/>
              </w:rPr>
            </w:pPr>
            <w:r>
              <w:rPr>
                <w:rFonts w:hint="eastAsia"/>
                <w:color w:val="auto"/>
                <w:sz w:val="24"/>
                <w:szCs w:val="24"/>
                <w:highlight w:val="none"/>
              </w:rPr>
              <w:t>①地下水</w:t>
            </w:r>
          </w:p>
          <w:p>
            <w:pPr>
              <w:pStyle w:val="33"/>
              <w:adjustRightInd/>
              <w:spacing w:line="360" w:lineRule="auto"/>
              <w:ind w:firstLine="480" w:firstLineChars="200"/>
              <w:rPr>
                <w:rFonts w:ascii="Times New Roman" w:cs="Times New Roman"/>
                <w:color w:val="auto"/>
                <w:highlight w:val="none"/>
                <w:shd w:val="clear" w:color="auto" w:fill="FFFFFF"/>
              </w:rPr>
            </w:pPr>
            <w:r>
              <w:rPr>
                <w:rFonts w:ascii="Times New Roman" w:cs="Times New Roman"/>
                <w:color w:val="auto"/>
                <w:highlight w:val="none"/>
                <w:shd w:val="clear" w:color="auto" w:fill="FFFFFF"/>
              </w:rPr>
              <w:t>本项目营运期可能</w:t>
            </w:r>
            <w:r>
              <w:rPr>
                <w:rFonts w:hint="eastAsia" w:ascii="Times New Roman" w:cs="Times New Roman"/>
                <w:color w:val="auto"/>
                <w:highlight w:val="none"/>
                <w:shd w:val="clear" w:color="auto" w:fill="FFFFFF"/>
              </w:rPr>
              <w:t>存在的</w:t>
            </w:r>
            <w:r>
              <w:rPr>
                <w:rFonts w:ascii="Times New Roman" w:cs="Times New Roman"/>
                <w:color w:val="auto"/>
                <w:highlight w:val="none"/>
                <w:shd w:val="clear" w:color="auto" w:fill="FFFFFF"/>
              </w:rPr>
              <w:t>地下水污染的途径</w:t>
            </w:r>
            <w:r>
              <w:rPr>
                <w:rFonts w:hint="eastAsia" w:ascii="Times New Roman" w:cs="Times New Roman"/>
                <w:color w:val="auto"/>
                <w:highlight w:val="none"/>
                <w:shd w:val="clear" w:color="auto" w:fill="FFFFFF"/>
              </w:rPr>
              <w:t>主要为油类物质及喷淋废水泄漏</w:t>
            </w:r>
            <w:r>
              <w:rPr>
                <w:rFonts w:ascii="Times New Roman" w:cs="Times New Roman"/>
                <w:color w:val="auto"/>
                <w:highlight w:val="none"/>
                <w:shd w:val="clear" w:color="auto" w:fill="FFFFFF"/>
              </w:rPr>
              <w:t>污染地下水</w:t>
            </w:r>
            <w:r>
              <w:rPr>
                <w:rFonts w:hint="eastAsia" w:ascii="Times New Roman" w:cs="Times New Roman"/>
                <w:color w:val="auto"/>
                <w:highlight w:val="none"/>
                <w:shd w:val="clear" w:color="auto" w:fill="FFFFFF"/>
              </w:rPr>
              <w:t>。</w:t>
            </w:r>
          </w:p>
          <w:p>
            <w:pPr>
              <w:pStyle w:val="33"/>
              <w:adjustRightInd/>
              <w:spacing w:line="360" w:lineRule="auto"/>
              <w:ind w:firstLine="480" w:firstLineChars="200"/>
              <w:rPr>
                <w:rFonts w:ascii="Times New Roman" w:cs="Times New Roman"/>
                <w:color w:val="auto"/>
                <w:highlight w:val="none"/>
                <w:shd w:val="clear" w:color="auto" w:fill="FFFFFF"/>
              </w:rPr>
            </w:pPr>
            <w:r>
              <w:rPr>
                <w:rFonts w:hint="eastAsia" w:ascii="Times New Roman" w:cs="Times New Roman"/>
                <w:color w:val="auto"/>
                <w:highlight w:val="none"/>
              </w:rPr>
              <w:t>建设方对油类物质存放区域和喷淋区域进行分区防渗处理，</w:t>
            </w:r>
            <w:r>
              <w:rPr>
                <w:rFonts w:ascii="Times New Roman" w:cs="Times New Roman"/>
                <w:color w:val="auto"/>
                <w:highlight w:val="none"/>
              </w:rPr>
              <w:t>建设单位定期检查防渗措施，若发现有损害，及时修补。采取以上措施后，可有效防止</w:t>
            </w:r>
            <w:r>
              <w:rPr>
                <w:rFonts w:hint="eastAsia" w:ascii="Times New Roman" w:cs="Times New Roman"/>
                <w:color w:val="auto"/>
                <w:highlight w:val="none"/>
              </w:rPr>
              <w:t>油类物质和喷淋废水</w:t>
            </w:r>
            <w:r>
              <w:rPr>
                <w:rFonts w:ascii="Times New Roman" w:cs="Times New Roman"/>
                <w:color w:val="auto"/>
                <w:highlight w:val="none"/>
              </w:rPr>
              <w:t>通过跑、冒、滴、漏对地下水环境带来的威胁</w:t>
            </w:r>
            <w:r>
              <w:rPr>
                <w:rFonts w:hint="eastAsia" w:ascii="Times New Roman" w:cs="Times New Roman"/>
                <w:color w:val="auto"/>
                <w:highlight w:val="none"/>
              </w:rPr>
              <w:t>，</w:t>
            </w:r>
            <w:r>
              <w:rPr>
                <w:rFonts w:ascii="Times New Roman" w:cs="Times New Roman"/>
                <w:color w:val="auto"/>
                <w:highlight w:val="none"/>
                <w:shd w:val="clear" w:color="auto" w:fill="FFFFFF"/>
              </w:rPr>
              <w:t>不会对</w:t>
            </w:r>
            <w:r>
              <w:rPr>
                <w:rFonts w:hint="eastAsia" w:ascii="Times New Roman" w:cs="Times New Roman"/>
                <w:color w:val="auto"/>
                <w:highlight w:val="none"/>
                <w:shd w:val="clear" w:color="auto" w:fill="FFFFFF"/>
              </w:rPr>
              <w:t>地下水</w:t>
            </w:r>
            <w:r>
              <w:rPr>
                <w:rFonts w:ascii="Times New Roman" w:cs="Times New Roman"/>
                <w:color w:val="auto"/>
                <w:highlight w:val="none"/>
                <w:shd w:val="clear" w:color="auto" w:fill="FFFFFF"/>
              </w:rPr>
              <w:t>环境产生影响</w:t>
            </w:r>
            <w:r>
              <w:rPr>
                <w:rFonts w:ascii="Times New Roman" w:cs="Times New Roman"/>
                <w:color w:val="auto"/>
                <w:highlight w:val="none"/>
              </w:rPr>
              <w:t>。</w:t>
            </w:r>
            <w:r>
              <w:rPr>
                <w:rFonts w:hint="eastAsia" w:ascii="Times New Roman" w:cs="Times New Roman"/>
                <w:color w:val="auto"/>
                <w:highlight w:val="none"/>
              </w:rPr>
              <w:t>且项目</w:t>
            </w:r>
            <w:r>
              <w:rPr>
                <w:rFonts w:ascii="Times New Roman" w:cs="Times New Roman"/>
                <w:color w:val="auto"/>
                <w:highlight w:val="none"/>
              </w:rPr>
              <w:t>周边</w:t>
            </w:r>
            <w:r>
              <w:rPr>
                <w:rFonts w:hint="eastAsia" w:ascii="Times New Roman" w:cs="Times New Roman"/>
                <w:color w:val="auto"/>
                <w:highlight w:val="none"/>
              </w:rPr>
              <w:t>居民饮用水采用自来水，</w:t>
            </w:r>
            <w:r>
              <w:rPr>
                <w:rFonts w:ascii="Times New Roman" w:cs="Times New Roman"/>
                <w:color w:val="auto"/>
                <w:highlight w:val="none"/>
              </w:rPr>
              <w:t>无集中式饮用水源等特殊地下水资源保护区</w:t>
            </w:r>
            <w:r>
              <w:rPr>
                <w:rFonts w:ascii="Times New Roman" w:cs="Times New Roman"/>
                <w:color w:val="auto"/>
                <w:highlight w:val="none"/>
                <w:shd w:val="clear" w:color="auto" w:fill="FFFFFF"/>
              </w:rPr>
              <w:t>。</w:t>
            </w:r>
          </w:p>
          <w:p>
            <w:pPr>
              <w:pStyle w:val="33"/>
              <w:adjustRightInd/>
              <w:spacing w:line="360" w:lineRule="auto"/>
              <w:ind w:firstLine="480" w:firstLineChars="200"/>
              <w:rPr>
                <w:rFonts w:ascii="Times New Roman" w:cs="Times New Roman"/>
                <w:color w:val="auto"/>
                <w:highlight w:val="none"/>
                <w:shd w:val="clear" w:color="auto" w:fill="FFFFFF"/>
              </w:rPr>
            </w:pPr>
            <w:r>
              <w:rPr>
                <w:rFonts w:hint="eastAsia" w:ascii="Times New Roman" w:cs="Times New Roman"/>
                <w:color w:val="auto"/>
                <w:highlight w:val="none"/>
                <w:shd w:val="clear" w:color="auto" w:fill="FFFFFF"/>
              </w:rPr>
              <w:t>综上，项目</w:t>
            </w:r>
            <w:r>
              <w:rPr>
                <w:rFonts w:ascii="Times New Roman" w:cs="Times New Roman"/>
                <w:color w:val="auto"/>
                <w:highlight w:val="none"/>
                <w:shd w:val="clear" w:color="auto" w:fill="FFFFFF"/>
              </w:rPr>
              <w:t>在采取以上措施后，可有效防止污染物进入地下水体，从而减轻乃至杜绝对地下水环境的影响。</w:t>
            </w:r>
          </w:p>
          <w:p>
            <w:pPr>
              <w:pStyle w:val="24"/>
              <w:spacing w:after="0" w:line="360" w:lineRule="auto"/>
              <w:ind w:left="0" w:leftChars="0" w:firstLine="480"/>
              <w:rPr>
                <w:color w:val="auto"/>
                <w:sz w:val="24"/>
                <w:szCs w:val="24"/>
                <w:highlight w:val="none"/>
              </w:rPr>
            </w:pPr>
            <w:r>
              <w:rPr>
                <w:rFonts w:hint="eastAsia"/>
                <w:color w:val="auto"/>
                <w:sz w:val="24"/>
                <w:szCs w:val="24"/>
                <w:highlight w:val="none"/>
              </w:rPr>
              <w:t>②土壤</w:t>
            </w:r>
          </w:p>
          <w:p>
            <w:pPr>
              <w:pStyle w:val="33"/>
              <w:adjustRightInd/>
              <w:spacing w:line="360" w:lineRule="auto"/>
              <w:ind w:firstLine="480" w:firstLineChars="200"/>
              <w:rPr>
                <w:rFonts w:ascii="Times New Roman" w:cs="Times New Roman"/>
                <w:color w:val="auto"/>
                <w:highlight w:val="none"/>
                <w:shd w:val="clear" w:color="auto" w:fill="FFFFFF"/>
              </w:rPr>
            </w:pPr>
            <w:r>
              <w:rPr>
                <w:rFonts w:ascii="Times New Roman" w:cs="Times New Roman"/>
                <w:color w:val="auto"/>
                <w:highlight w:val="none"/>
                <w:shd w:val="clear" w:color="auto" w:fill="FFFFFF"/>
              </w:rPr>
              <w:t>本项目为污染影响型建设项目</w:t>
            </w:r>
            <w:r>
              <w:rPr>
                <w:rFonts w:hint="eastAsia" w:ascii="Times New Roman" w:cs="Times New Roman"/>
                <w:color w:val="auto"/>
                <w:highlight w:val="none"/>
                <w:shd w:val="clear" w:color="auto" w:fill="FFFFFF"/>
              </w:rPr>
              <w:t>，租赁厂房进行项目建设</w:t>
            </w:r>
            <w:r>
              <w:rPr>
                <w:rFonts w:ascii="Times New Roman" w:cs="Times New Roman"/>
                <w:color w:val="auto"/>
                <w:highlight w:val="none"/>
                <w:shd w:val="clear" w:color="auto" w:fill="FFFFFF"/>
              </w:rPr>
              <w:t>，不涉及施工期土壤环境影响。因此本项目对土壤环境的影响主要体现在：废气排放进入大气后，随将于沉降</w:t>
            </w:r>
            <w:r>
              <w:rPr>
                <w:rFonts w:hint="eastAsia" w:ascii="Times New Roman" w:cs="Times New Roman"/>
                <w:color w:val="auto"/>
                <w:highlight w:val="none"/>
                <w:shd w:val="clear" w:color="auto" w:fill="FFFFFF"/>
              </w:rPr>
              <w:t>于</w:t>
            </w:r>
            <w:r>
              <w:rPr>
                <w:rFonts w:ascii="Times New Roman" w:cs="Times New Roman"/>
                <w:color w:val="auto"/>
                <w:highlight w:val="none"/>
                <w:shd w:val="clear" w:color="auto" w:fill="FFFFFF"/>
              </w:rPr>
              <w:t>地表而对土壤造成影响；液态物料发生泄漏通过地面漫流的形式渗入周边土壤。</w:t>
            </w:r>
          </w:p>
          <w:p>
            <w:pPr>
              <w:pStyle w:val="33"/>
              <w:adjustRightInd/>
              <w:spacing w:line="360" w:lineRule="auto"/>
              <w:ind w:firstLine="480" w:firstLineChars="200"/>
              <w:rPr>
                <w:rFonts w:ascii="Times New Roman" w:cs="Times New Roman"/>
                <w:color w:val="auto"/>
                <w:highlight w:val="none"/>
                <w:shd w:val="clear" w:color="auto" w:fill="FFFFFF"/>
              </w:rPr>
            </w:pPr>
            <w:r>
              <w:rPr>
                <w:rFonts w:ascii="Times New Roman" w:cs="Times New Roman"/>
                <w:color w:val="auto"/>
                <w:highlight w:val="none"/>
                <w:shd w:val="clear" w:color="auto" w:fill="FFFFFF"/>
              </w:rPr>
              <w:t>项目废气及物料对土壤环境的影响如下：</w:t>
            </w:r>
          </w:p>
          <w:p>
            <w:pPr>
              <w:pStyle w:val="33"/>
              <w:adjustRightInd/>
              <w:spacing w:line="360" w:lineRule="auto"/>
              <w:ind w:firstLine="480" w:firstLineChars="200"/>
              <w:rPr>
                <w:rFonts w:ascii="Times New Roman" w:cs="Times New Roman"/>
                <w:color w:val="auto"/>
                <w:highlight w:val="none"/>
                <w:shd w:val="clear" w:color="auto" w:fill="FFFFFF"/>
              </w:rPr>
            </w:pPr>
            <w:r>
              <w:rPr>
                <w:rFonts w:hint="eastAsia" w:ascii="Times New Roman" w:cs="Times New Roman"/>
                <w:color w:val="auto"/>
                <w:highlight w:val="none"/>
                <w:shd w:val="clear" w:color="auto" w:fill="FFFFFF"/>
              </w:rPr>
              <w:t>（1）</w:t>
            </w:r>
            <w:r>
              <w:rPr>
                <w:rFonts w:ascii="Times New Roman" w:cs="Times New Roman"/>
                <w:color w:val="auto"/>
                <w:highlight w:val="none"/>
                <w:shd w:val="clear" w:color="auto" w:fill="FFFFFF"/>
              </w:rPr>
              <w:t>废气对土壤环境的影响</w:t>
            </w:r>
          </w:p>
          <w:p>
            <w:pPr>
              <w:pStyle w:val="33"/>
              <w:adjustRightInd/>
              <w:spacing w:line="360" w:lineRule="auto"/>
              <w:ind w:firstLine="480" w:firstLineChars="200"/>
              <w:rPr>
                <w:rFonts w:ascii="Times New Roman" w:cs="Times New Roman"/>
                <w:color w:val="auto"/>
                <w:highlight w:val="none"/>
                <w:shd w:val="clear" w:color="auto" w:fill="FFFFFF"/>
              </w:rPr>
            </w:pPr>
            <w:r>
              <w:rPr>
                <w:rFonts w:ascii="Times New Roman" w:cs="Times New Roman"/>
                <w:color w:val="auto"/>
                <w:highlight w:val="none"/>
                <w:shd w:val="clear" w:color="auto" w:fill="FFFFFF"/>
              </w:rPr>
              <w:t>本项目过程中产生的废气</w:t>
            </w:r>
            <w:r>
              <w:rPr>
                <w:rFonts w:hint="eastAsia" w:ascii="Times New Roman" w:cs="Times New Roman"/>
                <w:color w:val="auto"/>
                <w:highlight w:val="none"/>
                <w:shd w:val="clear" w:color="auto" w:fill="FFFFFF"/>
              </w:rPr>
              <w:t>主要为VOCs，项目设置</w:t>
            </w:r>
            <w:r>
              <w:rPr>
                <w:rFonts w:ascii="Times New Roman" w:cs="Times New Roman"/>
                <w:color w:val="auto"/>
                <w:highlight w:val="none"/>
              </w:rPr>
              <w:t>UV光</w:t>
            </w:r>
            <w:r>
              <w:rPr>
                <w:rFonts w:hint="eastAsia" w:ascii="Times New Roman" w:cs="Times New Roman"/>
                <w:color w:val="auto"/>
                <w:highlight w:val="none"/>
              </w:rPr>
              <w:t>解</w:t>
            </w:r>
            <w:r>
              <w:rPr>
                <w:rFonts w:ascii="Times New Roman" w:cs="Times New Roman"/>
                <w:color w:val="auto"/>
                <w:highlight w:val="none"/>
              </w:rPr>
              <w:t>+活性炭吸附处理后再经</w:t>
            </w:r>
            <w:r>
              <w:rPr>
                <w:rFonts w:hint="eastAsia" w:ascii="Times New Roman" w:cs="Times New Roman"/>
                <w:color w:val="auto"/>
                <w:highlight w:val="none"/>
              </w:rPr>
              <w:t>15m排气筒</w:t>
            </w:r>
            <w:r>
              <w:rPr>
                <w:rFonts w:ascii="Times New Roman" w:cs="Times New Roman"/>
                <w:color w:val="auto"/>
                <w:highlight w:val="none"/>
              </w:rPr>
              <w:t>排</w:t>
            </w:r>
            <w:r>
              <w:rPr>
                <w:color w:val="auto"/>
                <w:highlight w:val="none"/>
              </w:rPr>
              <w:t>放</w:t>
            </w:r>
            <w:r>
              <w:rPr>
                <w:rFonts w:hint="eastAsia"/>
                <w:color w:val="auto"/>
                <w:highlight w:val="none"/>
              </w:rPr>
              <w:t>，</w:t>
            </w:r>
            <w:r>
              <w:rPr>
                <w:rFonts w:hint="eastAsia" w:hAnsi="宋体"/>
                <w:color w:val="auto"/>
                <w:highlight w:val="none"/>
              </w:rPr>
              <w:t>其中喷漆废气先经过水帘喷淋处理再进入废气处理设施处理</w:t>
            </w:r>
            <w:r>
              <w:rPr>
                <w:rFonts w:ascii="Times New Roman" w:cs="Times New Roman"/>
                <w:color w:val="auto"/>
                <w:highlight w:val="none"/>
                <w:shd w:val="clear" w:color="auto" w:fill="FFFFFF"/>
              </w:rPr>
              <w:t>。通过</w:t>
            </w:r>
            <w:r>
              <w:rPr>
                <w:rFonts w:hint="eastAsia" w:ascii="Times New Roman" w:cs="Times New Roman"/>
                <w:color w:val="auto"/>
                <w:highlight w:val="none"/>
                <w:shd w:val="clear" w:color="auto" w:fill="FFFFFF"/>
              </w:rPr>
              <w:t>现场调查</w:t>
            </w:r>
            <w:r>
              <w:rPr>
                <w:rFonts w:ascii="Times New Roman" w:cs="Times New Roman"/>
                <w:color w:val="auto"/>
                <w:highlight w:val="none"/>
                <w:shd w:val="clear" w:color="auto" w:fill="FFFFFF"/>
              </w:rPr>
              <w:t>，</w:t>
            </w:r>
            <w:r>
              <w:rPr>
                <w:rFonts w:hint="eastAsia" w:ascii="Times New Roman" w:cs="Times New Roman"/>
                <w:color w:val="auto"/>
                <w:highlight w:val="none"/>
                <w:shd w:val="clear" w:color="auto" w:fill="FFFFFF"/>
              </w:rPr>
              <w:t>项目租赁现有厂房，道路和</w:t>
            </w:r>
            <w:r>
              <w:rPr>
                <w:rFonts w:ascii="Times New Roman" w:cs="Times New Roman"/>
                <w:color w:val="auto"/>
                <w:highlight w:val="none"/>
                <w:shd w:val="clear" w:color="auto" w:fill="FFFFFF"/>
              </w:rPr>
              <w:t>厂区地面</w:t>
            </w:r>
            <w:r>
              <w:rPr>
                <w:rFonts w:hint="eastAsia" w:ascii="Times New Roman" w:cs="Times New Roman"/>
                <w:color w:val="auto"/>
                <w:highlight w:val="none"/>
                <w:shd w:val="clear" w:color="auto" w:fill="FFFFFF"/>
              </w:rPr>
              <w:t>均采取</w:t>
            </w:r>
            <w:r>
              <w:rPr>
                <w:rFonts w:ascii="Times New Roman" w:cs="Times New Roman"/>
                <w:color w:val="auto"/>
                <w:highlight w:val="none"/>
                <w:shd w:val="clear" w:color="auto" w:fill="FFFFFF"/>
              </w:rPr>
              <w:t>水泥硬化，具有较好的防渗、防腐功能，废气沉降很难渗透到土壤当中。因此不会对周围土壤环境产生明显影响。</w:t>
            </w:r>
          </w:p>
          <w:p>
            <w:pPr>
              <w:pStyle w:val="33"/>
              <w:adjustRightInd/>
              <w:spacing w:line="360" w:lineRule="auto"/>
              <w:ind w:firstLine="480" w:firstLineChars="200"/>
              <w:rPr>
                <w:rFonts w:ascii="Times New Roman" w:cs="Times New Roman"/>
                <w:color w:val="auto"/>
                <w:highlight w:val="none"/>
                <w:shd w:val="clear" w:color="auto" w:fill="FFFFFF"/>
              </w:rPr>
            </w:pPr>
            <w:r>
              <w:rPr>
                <w:rFonts w:hint="eastAsia" w:ascii="Times New Roman" w:cs="Times New Roman"/>
                <w:color w:val="auto"/>
                <w:highlight w:val="none"/>
                <w:shd w:val="clear" w:color="auto" w:fill="FFFFFF"/>
              </w:rPr>
              <w:t>（2）</w:t>
            </w:r>
            <w:r>
              <w:rPr>
                <w:rFonts w:ascii="Times New Roman" w:cs="Times New Roman"/>
                <w:color w:val="auto"/>
                <w:highlight w:val="none"/>
                <w:shd w:val="clear" w:color="auto" w:fill="FFFFFF"/>
              </w:rPr>
              <w:t>液体物料、废水等对土壤环境的影响</w:t>
            </w:r>
          </w:p>
          <w:p>
            <w:pPr>
              <w:pStyle w:val="33"/>
              <w:adjustRightInd/>
              <w:spacing w:line="360" w:lineRule="auto"/>
              <w:ind w:firstLine="480" w:firstLineChars="200"/>
              <w:rPr>
                <w:rFonts w:ascii="Times New Roman" w:cs="Times New Roman"/>
                <w:color w:val="auto"/>
                <w:highlight w:val="none"/>
                <w:shd w:val="clear" w:color="auto" w:fill="FFFFFF"/>
              </w:rPr>
            </w:pPr>
            <w:r>
              <w:rPr>
                <w:rFonts w:ascii="Times New Roman" w:cs="Times New Roman"/>
                <w:color w:val="auto"/>
                <w:highlight w:val="none"/>
                <w:shd w:val="clear" w:color="auto" w:fill="FFFFFF"/>
              </w:rPr>
              <w:t>本项目主要的液体物料为</w:t>
            </w:r>
            <w:r>
              <w:rPr>
                <w:rFonts w:hint="eastAsia" w:ascii="Times New Roman" w:cs="Times New Roman"/>
                <w:color w:val="auto"/>
                <w:highlight w:val="none"/>
              </w:rPr>
              <w:t>油类物质，</w:t>
            </w:r>
            <w:r>
              <w:rPr>
                <w:rFonts w:hint="eastAsia" w:ascii="Times New Roman" w:cs="Times New Roman"/>
                <w:color w:val="auto"/>
                <w:kern w:val="0"/>
                <w:highlight w:val="none"/>
                <w:lang w:bidi="ar"/>
              </w:rPr>
              <w:t>均桶装暂存至封闭式仓库内，</w:t>
            </w:r>
            <w:r>
              <w:rPr>
                <w:rFonts w:hint="eastAsia" w:ascii="Times New Roman" w:cs="Times New Roman"/>
                <w:color w:val="auto"/>
                <w:highlight w:val="none"/>
              </w:rPr>
              <w:t>危险废物均桶装暂存至危废暂存间内定期交由有资质的公司处理；喷淋区域设有截流防渗措施，</w:t>
            </w:r>
            <w:r>
              <w:rPr>
                <w:rFonts w:ascii="Times New Roman" w:cs="Times New Roman"/>
                <w:color w:val="auto"/>
                <w:highlight w:val="none"/>
                <w:shd w:val="clear" w:color="auto" w:fill="FFFFFF"/>
              </w:rPr>
              <w:t>厂区地面全部做好水泥硬化，具有较好的防渗、防腐功能，因此不会对土壤环境产生明显影响。</w:t>
            </w:r>
          </w:p>
          <w:p>
            <w:pPr>
              <w:pStyle w:val="33"/>
              <w:adjustRightInd/>
              <w:spacing w:line="360" w:lineRule="auto"/>
              <w:ind w:firstLine="480" w:firstLineChars="200"/>
              <w:rPr>
                <w:rFonts w:ascii="Times New Roman" w:cs="Times New Roman"/>
                <w:b/>
                <w:color w:val="auto"/>
                <w:highlight w:val="none"/>
              </w:rPr>
            </w:pPr>
            <w:r>
              <w:rPr>
                <w:color w:val="auto"/>
                <w:highlight w:val="none"/>
                <w:shd w:val="clear" w:color="auto" w:fill="FFFFFF"/>
              </w:rPr>
              <w:t>综上所述，本项目从源头控制物料</w:t>
            </w:r>
            <w:r>
              <w:rPr>
                <w:rFonts w:hint="eastAsia"/>
                <w:color w:val="auto"/>
                <w:highlight w:val="none"/>
                <w:shd w:val="clear" w:color="auto" w:fill="FFFFFF"/>
              </w:rPr>
              <w:t>和废水泄漏</w:t>
            </w:r>
            <w:r>
              <w:rPr>
                <w:color w:val="auto"/>
                <w:highlight w:val="none"/>
                <w:shd w:val="clear" w:color="auto" w:fill="FFFFFF"/>
              </w:rPr>
              <w:t>，同时采取可视可控措施，若发生泄</w:t>
            </w:r>
            <w:r>
              <w:rPr>
                <w:rFonts w:hint="eastAsia"/>
                <w:color w:val="auto"/>
                <w:highlight w:val="none"/>
                <w:shd w:val="clear" w:color="auto" w:fill="FFFFFF"/>
              </w:rPr>
              <w:t>漏</w:t>
            </w:r>
            <w:r>
              <w:rPr>
                <w:color w:val="auto"/>
                <w:highlight w:val="none"/>
                <w:shd w:val="clear" w:color="auto" w:fill="FFFFFF"/>
              </w:rPr>
              <w:t>可及时发现，通过采取以上措施，</w:t>
            </w:r>
            <w:r>
              <w:rPr>
                <w:rFonts w:ascii="Times New Roman" w:cs="Times New Roman"/>
                <w:color w:val="auto"/>
                <w:highlight w:val="none"/>
                <w:shd w:val="clear" w:color="auto" w:fill="FFFFFF"/>
              </w:rPr>
              <w:t>项目生产过程中</w:t>
            </w:r>
            <w:r>
              <w:rPr>
                <w:rFonts w:hint="eastAsia" w:ascii="Times New Roman" w:cs="Times New Roman"/>
                <w:color w:val="auto"/>
                <w:highlight w:val="none"/>
                <w:shd w:val="clear" w:color="auto" w:fill="FFFFFF"/>
              </w:rPr>
              <w:t>基本无</w:t>
            </w:r>
            <w:r>
              <w:rPr>
                <w:rFonts w:ascii="Times New Roman" w:cs="Times New Roman"/>
                <w:color w:val="auto"/>
                <w:highlight w:val="none"/>
                <w:shd w:val="clear" w:color="auto" w:fill="FFFFFF"/>
              </w:rPr>
              <w:t>有害物质进入土壤，不会对周围土壤环境产生明显影响。</w:t>
            </w:r>
          </w:p>
          <w:p>
            <w:pPr>
              <w:spacing w:line="360" w:lineRule="auto"/>
              <w:rPr>
                <w:rFonts w:eastAsiaTheme="minorEastAsia"/>
                <w:b/>
                <w:color w:val="auto"/>
                <w:sz w:val="24"/>
                <w:highlight w:val="none"/>
              </w:rPr>
            </w:pPr>
            <w:r>
              <w:rPr>
                <w:rFonts w:hint="eastAsia" w:eastAsiaTheme="minorEastAsia"/>
                <w:b/>
                <w:color w:val="auto"/>
                <w:sz w:val="24"/>
                <w:highlight w:val="none"/>
              </w:rPr>
              <w:t>6</w:t>
            </w:r>
            <w:r>
              <w:rPr>
                <w:rFonts w:hAnsiTheme="minorEastAsia" w:eastAsiaTheme="minorEastAsia"/>
                <w:b/>
                <w:color w:val="auto"/>
                <w:sz w:val="24"/>
                <w:highlight w:val="none"/>
              </w:rPr>
              <w:t>、</w:t>
            </w:r>
            <w:r>
              <w:rPr>
                <w:rFonts w:hint="eastAsia" w:hAnsiTheme="minorEastAsia" w:eastAsiaTheme="minorEastAsia"/>
                <w:b/>
                <w:color w:val="auto"/>
                <w:sz w:val="24"/>
                <w:highlight w:val="none"/>
              </w:rPr>
              <w:t>电磁辐射</w:t>
            </w:r>
          </w:p>
          <w:p>
            <w:pPr>
              <w:spacing w:line="360" w:lineRule="auto"/>
              <w:ind w:firstLine="480" w:firstLineChars="200"/>
              <w:rPr>
                <w:rFonts w:ascii="宋体" w:hAnsi="宋体" w:cs="宋体"/>
                <w:color w:val="auto"/>
                <w:kern w:val="0"/>
                <w:sz w:val="24"/>
                <w:highlight w:val="none"/>
              </w:rPr>
            </w:pPr>
            <w:r>
              <w:rPr>
                <w:rFonts w:hint="eastAsia"/>
                <w:color w:val="auto"/>
                <w:sz w:val="24"/>
                <w:highlight w:val="none"/>
              </w:rPr>
              <w:t>本项目</w:t>
            </w:r>
            <w:r>
              <w:rPr>
                <w:color w:val="auto"/>
                <w:sz w:val="24"/>
                <w:highlight w:val="none"/>
              </w:rPr>
              <w:t>不属于新建或改建、扩建广播、差转台、电视塔台、卫星地球上行站、雷达等电磁辐射类项目，不需开展电磁辐射监测与评价。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环境</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保护</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目标</w:t>
            </w:r>
          </w:p>
        </w:tc>
        <w:tc>
          <w:tcPr>
            <w:tcW w:w="8190" w:type="dxa"/>
            <w:vAlign w:val="center"/>
          </w:tcPr>
          <w:p>
            <w:pPr>
              <w:spacing w:line="360" w:lineRule="auto"/>
              <w:rPr>
                <w:rFonts w:hAnsiTheme="minorEastAsia" w:eastAsiaTheme="minorEastAsia"/>
                <w:b/>
                <w:color w:val="auto"/>
                <w:sz w:val="24"/>
                <w:highlight w:val="none"/>
              </w:rPr>
            </w:pPr>
            <w:r>
              <w:rPr>
                <w:rFonts w:hint="eastAsia" w:eastAsiaTheme="minorEastAsia"/>
                <w:b/>
                <w:color w:val="auto"/>
                <w:sz w:val="24"/>
                <w:highlight w:val="none"/>
              </w:rPr>
              <w:t>1</w:t>
            </w:r>
            <w:r>
              <w:rPr>
                <w:rFonts w:hAnsiTheme="minorEastAsia" w:eastAsiaTheme="minorEastAsia"/>
                <w:b/>
                <w:color w:val="auto"/>
                <w:sz w:val="24"/>
                <w:highlight w:val="none"/>
              </w:rPr>
              <w:t>、</w:t>
            </w:r>
            <w:r>
              <w:rPr>
                <w:rFonts w:hint="eastAsia" w:hAnsiTheme="minorEastAsia" w:eastAsiaTheme="minorEastAsia"/>
                <w:b/>
                <w:color w:val="auto"/>
                <w:sz w:val="24"/>
                <w:highlight w:val="none"/>
              </w:rPr>
              <w:t>大气环境</w:t>
            </w:r>
          </w:p>
          <w:p>
            <w:pPr>
              <w:spacing w:line="360" w:lineRule="auto"/>
              <w:ind w:firstLine="480" w:firstLineChars="200"/>
              <w:rPr>
                <w:color w:val="auto"/>
                <w:sz w:val="24"/>
                <w:highlight w:val="none"/>
              </w:rPr>
            </w:pPr>
            <w:r>
              <w:rPr>
                <w:rFonts w:hint="eastAsia"/>
                <w:color w:val="auto"/>
                <w:sz w:val="24"/>
                <w:highlight w:val="none"/>
              </w:rPr>
              <w:t>本项目周边500米范围内大气环境保护敏感目标分布</w:t>
            </w:r>
            <w:r>
              <w:rPr>
                <w:color w:val="auto"/>
                <w:sz w:val="24"/>
                <w:highlight w:val="none"/>
              </w:rPr>
              <w:t>情况详见</w:t>
            </w:r>
            <w:r>
              <w:rPr>
                <w:rFonts w:hint="eastAsia"/>
                <w:color w:val="auto"/>
                <w:sz w:val="24"/>
                <w:highlight w:val="none"/>
              </w:rPr>
              <w:t>下</w:t>
            </w:r>
            <w:r>
              <w:rPr>
                <w:color w:val="auto"/>
                <w:sz w:val="24"/>
                <w:highlight w:val="none"/>
              </w:rPr>
              <w:t>表。</w:t>
            </w:r>
          </w:p>
          <w:p>
            <w:pPr>
              <w:adjustRightInd w:val="0"/>
              <w:snapToGrid w:val="0"/>
              <w:jc w:val="center"/>
              <w:rPr>
                <w:b/>
                <w:bCs/>
                <w:color w:val="auto"/>
                <w:szCs w:val="21"/>
                <w:highlight w:val="none"/>
              </w:rPr>
            </w:pPr>
            <w:r>
              <w:rPr>
                <w:b/>
                <w:bCs/>
                <w:color w:val="auto"/>
                <w:szCs w:val="21"/>
                <w:highlight w:val="none"/>
              </w:rPr>
              <w:t>表3-</w:t>
            </w:r>
            <w:r>
              <w:rPr>
                <w:rFonts w:hint="eastAsia"/>
                <w:b/>
                <w:bCs/>
                <w:color w:val="auto"/>
                <w:szCs w:val="21"/>
                <w:highlight w:val="none"/>
              </w:rPr>
              <w:t>5</w:t>
            </w:r>
            <w:r>
              <w:rPr>
                <w:b/>
                <w:bCs/>
                <w:color w:val="auto"/>
                <w:szCs w:val="21"/>
                <w:highlight w:val="none"/>
              </w:rPr>
              <w:t xml:space="preserve"> 环境保护目标一览表</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440"/>
              <w:gridCol w:w="1178"/>
              <w:gridCol w:w="1131"/>
              <w:gridCol w:w="1413"/>
              <w:gridCol w:w="683"/>
              <w:gridCol w:w="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43" w:type="pct"/>
                  <w:vMerge w:val="restart"/>
                  <w:tcBorders>
                    <w:tl2br w:val="nil"/>
                    <w:tr2bl w:val="nil"/>
                  </w:tcBorders>
                  <w:vAlign w:val="center"/>
                </w:tcPr>
                <w:p>
                  <w:pPr>
                    <w:jc w:val="center"/>
                    <w:rPr>
                      <w:color w:val="auto"/>
                      <w:szCs w:val="21"/>
                      <w:highlight w:val="none"/>
                    </w:rPr>
                  </w:pPr>
                  <w:r>
                    <w:rPr>
                      <w:color w:val="auto"/>
                      <w:szCs w:val="21"/>
                      <w:highlight w:val="none"/>
                    </w:rPr>
                    <w:t>名称</w:t>
                  </w:r>
                </w:p>
              </w:tc>
              <w:tc>
                <w:tcPr>
                  <w:tcW w:w="1647" w:type="pct"/>
                  <w:gridSpan w:val="2"/>
                  <w:tcBorders>
                    <w:tl2br w:val="nil"/>
                    <w:tr2bl w:val="nil"/>
                  </w:tcBorders>
                  <w:vAlign w:val="center"/>
                </w:tcPr>
                <w:p>
                  <w:pPr>
                    <w:jc w:val="center"/>
                    <w:rPr>
                      <w:color w:val="auto"/>
                      <w:szCs w:val="21"/>
                      <w:highlight w:val="none"/>
                    </w:rPr>
                  </w:pPr>
                  <w:r>
                    <w:rPr>
                      <w:color w:val="auto"/>
                      <w:szCs w:val="21"/>
                      <w:highlight w:val="none"/>
                    </w:rPr>
                    <w:t>坐标</w:t>
                  </w:r>
                </w:p>
              </w:tc>
              <w:tc>
                <w:tcPr>
                  <w:tcW w:w="711" w:type="pct"/>
                  <w:vMerge w:val="restart"/>
                  <w:tcBorders>
                    <w:tl2br w:val="nil"/>
                    <w:tr2bl w:val="nil"/>
                  </w:tcBorders>
                  <w:vAlign w:val="center"/>
                </w:tcPr>
                <w:p>
                  <w:pPr>
                    <w:jc w:val="center"/>
                    <w:rPr>
                      <w:color w:val="auto"/>
                      <w:szCs w:val="21"/>
                      <w:highlight w:val="none"/>
                    </w:rPr>
                  </w:pPr>
                  <w:r>
                    <w:rPr>
                      <w:color w:val="auto"/>
                      <w:szCs w:val="21"/>
                      <w:highlight w:val="none"/>
                    </w:rPr>
                    <w:t>保护对象</w:t>
                  </w:r>
                </w:p>
              </w:tc>
              <w:tc>
                <w:tcPr>
                  <w:tcW w:w="889" w:type="pct"/>
                  <w:vMerge w:val="restart"/>
                  <w:tcBorders>
                    <w:tl2br w:val="nil"/>
                    <w:tr2bl w:val="nil"/>
                  </w:tcBorders>
                  <w:vAlign w:val="center"/>
                </w:tcPr>
                <w:p>
                  <w:pPr>
                    <w:jc w:val="center"/>
                    <w:rPr>
                      <w:color w:val="auto"/>
                      <w:szCs w:val="21"/>
                      <w:highlight w:val="none"/>
                    </w:rPr>
                  </w:pPr>
                  <w:r>
                    <w:rPr>
                      <w:color w:val="auto"/>
                      <w:szCs w:val="21"/>
                      <w:highlight w:val="none"/>
                    </w:rPr>
                    <w:t>保护内容</w:t>
                  </w:r>
                </w:p>
              </w:tc>
              <w:tc>
                <w:tcPr>
                  <w:tcW w:w="430" w:type="pct"/>
                  <w:vMerge w:val="restart"/>
                  <w:tcBorders>
                    <w:tl2br w:val="nil"/>
                    <w:tr2bl w:val="nil"/>
                  </w:tcBorders>
                  <w:vAlign w:val="center"/>
                </w:tcPr>
                <w:p>
                  <w:pPr>
                    <w:jc w:val="center"/>
                    <w:rPr>
                      <w:color w:val="auto"/>
                      <w:szCs w:val="21"/>
                      <w:highlight w:val="none"/>
                    </w:rPr>
                  </w:pPr>
                  <w:r>
                    <w:rPr>
                      <w:color w:val="auto"/>
                      <w:szCs w:val="21"/>
                      <w:highlight w:val="none"/>
                    </w:rPr>
                    <w:t>方位</w:t>
                  </w:r>
                </w:p>
              </w:tc>
              <w:tc>
                <w:tcPr>
                  <w:tcW w:w="576" w:type="pct"/>
                  <w:vMerge w:val="restart"/>
                  <w:tcBorders>
                    <w:tl2br w:val="nil"/>
                    <w:tr2bl w:val="nil"/>
                  </w:tcBorders>
                  <w:vAlign w:val="center"/>
                </w:tcPr>
                <w:p>
                  <w:pPr>
                    <w:jc w:val="center"/>
                    <w:rPr>
                      <w:color w:val="auto"/>
                      <w:szCs w:val="21"/>
                      <w:highlight w:val="none"/>
                    </w:rPr>
                  </w:pPr>
                  <w:r>
                    <w:rPr>
                      <w:color w:val="auto"/>
                      <w:szCs w:val="21"/>
                      <w:highlight w:val="none"/>
                    </w:rPr>
                    <w:t>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43" w:type="pct"/>
                  <w:vMerge w:val="continue"/>
                  <w:tcBorders>
                    <w:tl2br w:val="nil"/>
                    <w:tr2bl w:val="nil"/>
                  </w:tcBorders>
                  <w:vAlign w:val="center"/>
                </w:tcPr>
                <w:p>
                  <w:pPr>
                    <w:jc w:val="center"/>
                    <w:rPr>
                      <w:color w:val="auto"/>
                      <w:szCs w:val="21"/>
                      <w:highlight w:val="none"/>
                    </w:rPr>
                  </w:pPr>
                </w:p>
              </w:tc>
              <w:tc>
                <w:tcPr>
                  <w:tcW w:w="906" w:type="pct"/>
                  <w:tcBorders>
                    <w:tl2br w:val="nil"/>
                    <w:tr2bl w:val="nil"/>
                  </w:tcBorders>
                  <w:vAlign w:val="center"/>
                </w:tcPr>
                <w:p>
                  <w:pPr>
                    <w:jc w:val="center"/>
                    <w:rPr>
                      <w:color w:val="auto"/>
                      <w:szCs w:val="21"/>
                      <w:highlight w:val="none"/>
                    </w:rPr>
                  </w:pPr>
                  <w:r>
                    <w:rPr>
                      <w:rFonts w:hint="eastAsia"/>
                      <w:color w:val="auto"/>
                      <w:szCs w:val="21"/>
                      <w:highlight w:val="none"/>
                    </w:rPr>
                    <w:t>经度</w:t>
                  </w:r>
                </w:p>
              </w:tc>
              <w:tc>
                <w:tcPr>
                  <w:tcW w:w="741" w:type="pct"/>
                  <w:tcBorders>
                    <w:tl2br w:val="nil"/>
                    <w:tr2bl w:val="nil"/>
                  </w:tcBorders>
                  <w:vAlign w:val="center"/>
                </w:tcPr>
                <w:p>
                  <w:pPr>
                    <w:jc w:val="center"/>
                    <w:rPr>
                      <w:color w:val="auto"/>
                      <w:szCs w:val="21"/>
                      <w:highlight w:val="none"/>
                    </w:rPr>
                  </w:pPr>
                  <w:r>
                    <w:rPr>
                      <w:rFonts w:hint="eastAsia"/>
                      <w:color w:val="auto"/>
                      <w:szCs w:val="21"/>
                      <w:highlight w:val="none"/>
                    </w:rPr>
                    <w:t>维度</w:t>
                  </w:r>
                </w:p>
              </w:tc>
              <w:tc>
                <w:tcPr>
                  <w:tcW w:w="711" w:type="pct"/>
                  <w:vMerge w:val="continue"/>
                  <w:tcBorders>
                    <w:tl2br w:val="nil"/>
                    <w:tr2bl w:val="nil"/>
                  </w:tcBorders>
                  <w:vAlign w:val="center"/>
                </w:tcPr>
                <w:p>
                  <w:pPr>
                    <w:jc w:val="center"/>
                    <w:rPr>
                      <w:color w:val="auto"/>
                      <w:szCs w:val="21"/>
                      <w:highlight w:val="none"/>
                    </w:rPr>
                  </w:pPr>
                </w:p>
              </w:tc>
              <w:tc>
                <w:tcPr>
                  <w:tcW w:w="889" w:type="pct"/>
                  <w:vMerge w:val="continue"/>
                  <w:tcBorders>
                    <w:tl2br w:val="nil"/>
                    <w:tr2bl w:val="nil"/>
                  </w:tcBorders>
                  <w:vAlign w:val="center"/>
                </w:tcPr>
                <w:p>
                  <w:pPr>
                    <w:jc w:val="center"/>
                    <w:rPr>
                      <w:color w:val="auto"/>
                      <w:szCs w:val="21"/>
                      <w:highlight w:val="none"/>
                    </w:rPr>
                  </w:pPr>
                </w:p>
              </w:tc>
              <w:tc>
                <w:tcPr>
                  <w:tcW w:w="430" w:type="pct"/>
                  <w:vMerge w:val="continue"/>
                  <w:tcBorders>
                    <w:tl2br w:val="nil"/>
                    <w:tr2bl w:val="nil"/>
                  </w:tcBorders>
                  <w:vAlign w:val="center"/>
                </w:tcPr>
                <w:p>
                  <w:pPr>
                    <w:jc w:val="center"/>
                    <w:rPr>
                      <w:color w:val="auto"/>
                      <w:szCs w:val="21"/>
                      <w:highlight w:val="none"/>
                    </w:rPr>
                  </w:pPr>
                </w:p>
              </w:tc>
              <w:tc>
                <w:tcPr>
                  <w:tcW w:w="576" w:type="pct"/>
                  <w:vMerge w:val="continue"/>
                  <w:tcBorders>
                    <w:tl2br w:val="nil"/>
                    <w:tr2bl w:val="nil"/>
                  </w:tcBorders>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43"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望城坡</w:t>
                  </w:r>
                  <w:r>
                    <w:rPr>
                      <w:rFonts w:ascii="Times New Roman" w:hAnsi="Times New Roman" w:eastAsia="宋体"/>
                      <w:color w:val="auto"/>
                      <w:sz w:val="21"/>
                      <w:highlight w:val="none"/>
                    </w:rPr>
                    <w:t>村居民</w:t>
                  </w:r>
                </w:p>
              </w:tc>
              <w:tc>
                <w:tcPr>
                  <w:tcW w:w="906" w:type="pct"/>
                  <w:tcBorders>
                    <w:tl2br w:val="nil"/>
                    <w:tr2bl w:val="nil"/>
                  </w:tcBorders>
                  <w:vAlign w:val="center"/>
                </w:tcPr>
                <w:p>
                  <w:pPr>
                    <w:jc w:val="center"/>
                    <w:rPr>
                      <w:color w:val="auto"/>
                      <w:szCs w:val="21"/>
                      <w:highlight w:val="none"/>
                    </w:rPr>
                  </w:pPr>
                  <w:r>
                    <w:rPr>
                      <w:rFonts w:hint="eastAsia"/>
                      <w:color w:val="auto"/>
                      <w:szCs w:val="21"/>
                      <w:highlight w:val="none"/>
                    </w:rPr>
                    <w:t>111°25′36.68″</w:t>
                  </w:r>
                </w:p>
              </w:tc>
              <w:tc>
                <w:tcPr>
                  <w:tcW w:w="741" w:type="pct"/>
                  <w:tcBorders>
                    <w:tl2br w:val="nil"/>
                    <w:tr2bl w:val="nil"/>
                  </w:tcBorders>
                  <w:vAlign w:val="center"/>
                </w:tcPr>
                <w:p>
                  <w:pPr>
                    <w:jc w:val="center"/>
                    <w:rPr>
                      <w:color w:val="auto"/>
                      <w:szCs w:val="21"/>
                      <w:highlight w:val="none"/>
                    </w:rPr>
                  </w:pPr>
                  <w:r>
                    <w:rPr>
                      <w:rFonts w:hint="eastAsia"/>
                      <w:color w:val="auto"/>
                      <w:szCs w:val="21"/>
                      <w:highlight w:val="none"/>
                    </w:rPr>
                    <w:t>27°16′15.57″</w:t>
                  </w:r>
                </w:p>
              </w:tc>
              <w:tc>
                <w:tcPr>
                  <w:tcW w:w="711" w:type="pct"/>
                  <w:tcBorders>
                    <w:tl2br w:val="nil"/>
                    <w:tr2bl w:val="nil"/>
                  </w:tcBorders>
                  <w:vAlign w:val="center"/>
                </w:tcPr>
                <w:p>
                  <w:pPr>
                    <w:jc w:val="center"/>
                    <w:rPr>
                      <w:color w:val="auto"/>
                      <w:szCs w:val="21"/>
                      <w:highlight w:val="none"/>
                    </w:rPr>
                  </w:pPr>
                  <w:r>
                    <w:rPr>
                      <w:color w:val="auto"/>
                      <w:szCs w:val="21"/>
                      <w:highlight w:val="none"/>
                    </w:rPr>
                    <w:t>居民</w:t>
                  </w:r>
                </w:p>
              </w:tc>
              <w:tc>
                <w:tcPr>
                  <w:tcW w:w="889"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约40</w:t>
                  </w:r>
                  <w:r>
                    <w:rPr>
                      <w:rFonts w:ascii="Times New Roman" w:hAnsi="Times New Roman" w:eastAsia="宋体"/>
                      <w:color w:val="auto"/>
                      <w:sz w:val="21"/>
                      <w:highlight w:val="none"/>
                    </w:rPr>
                    <w:t>户，</w:t>
                  </w:r>
                  <w:r>
                    <w:rPr>
                      <w:rFonts w:hint="eastAsia" w:ascii="Times New Roman" w:hAnsi="Times New Roman" w:eastAsia="宋体"/>
                      <w:color w:val="auto"/>
                      <w:sz w:val="21"/>
                      <w:highlight w:val="none"/>
                    </w:rPr>
                    <w:t>120</w:t>
                  </w:r>
                  <w:r>
                    <w:rPr>
                      <w:rFonts w:ascii="Times New Roman" w:hAnsi="Times New Roman" w:eastAsia="宋体"/>
                      <w:color w:val="auto"/>
                      <w:sz w:val="21"/>
                      <w:highlight w:val="none"/>
                    </w:rPr>
                    <w:t>人</w:t>
                  </w:r>
                </w:p>
              </w:tc>
              <w:tc>
                <w:tcPr>
                  <w:tcW w:w="430"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东北</w:t>
                  </w:r>
                </w:p>
              </w:tc>
              <w:tc>
                <w:tcPr>
                  <w:tcW w:w="576" w:type="pct"/>
                  <w:tcBorders>
                    <w:tl2br w:val="nil"/>
                    <w:tr2bl w:val="nil"/>
                  </w:tcBorders>
                  <w:vAlign w:val="center"/>
                </w:tcPr>
                <w:p>
                  <w:pPr>
                    <w:jc w:val="center"/>
                    <w:rPr>
                      <w:color w:val="auto"/>
                      <w:szCs w:val="21"/>
                      <w:highlight w:val="none"/>
                    </w:rPr>
                  </w:pPr>
                  <w:r>
                    <w:rPr>
                      <w:rFonts w:hint="eastAsia"/>
                      <w:color w:val="auto"/>
                      <w:szCs w:val="21"/>
                      <w:highlight w:val="none"/>
                    </w:rPr>
                    <w:t>200-500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tcBorders>
                    <w:tl2br w:val="nil"/>
                    <w:tr2bl w:val="nil"/>
                  </w:tcBorders>
                  <w:vAlign w:val="center"/>
                </w:tcPr>
                <w:p>
                  <w:pPr>
                    <w:jc w:val="center"/>
                    <w:rPr>
                      <w:color w:val="auto"/>
                      <w:szCs w:val="21"/>
                      <w:highlight w:val="none"/>
                    </w:rPr>
                  </w:pPr>
                  <w:r>
                    <w:rPr>
                      <w:rFonts w:hint="eastAsia"/>
                      <w:color w:val="auto"/>
                      <w:szCs w:val="21"/>
                      <w:highlight w:val="none"/>
                    </w:rPr>
                    <w:t>槐树社区居民</w:t>
                  </w:r>
                </w:p>
              </w:tc>
              <w:tc>
                <w:tcPr>
                  <w:tcW w:w="906" w:type="pct"/>
                  <w:tcBorders>
                    <w:tl2br w:val="nil"/>
                    <w:tr2bl w:val="nil"/>
                  </w:tcBorders>
                  <w:vAlign w:val="center"/>
                </w:tcPr>
                <w:p>
                  <w:pPr>
                    <w:jc w:val="center"/>
                    <w:rPr>
                      <w:color w:val="auto"/>
                      <w:szCs w:val="21"/>
                      <w:highlight w:val="none"/>
                    </w:rPr>
                  </w:pPr>
                  <w:r>
                    <w:rPr>
                      <w:rFonts w:hint="eastAsia"/>
                      <w:color w:val="auto"/>
                      <w:szCs w:val="21"/>
                      <w:highlight w:val="none"/>
                    </w:rPr>
                    <w:t>111°25′41.93″</w:t>
                  </w:r>
                </w:p>
              </w:tc>
              <w:tc>
                <w:tcPr>
                  <w:tcW w:w="741" w:type="pct"/>
                  <w:tcBorders>
                    <w:tl2br w:val="nil"/>
                    <w:tr2bl w:val="nil"/>
                  </w:tcBorders>
                  <w:vAlign w:val="center"/>
                </w:tcPr>
                <w:p>
                  <w:pPr>
                    <w:jc w:val="center"/>
                    <w:rPr>
                      <w:color w:val="auto"/>
                      <w:szCs w:val="21"/>
                      <w:highlight w:val="none"/>
                    </w:rPr>
                  </w:pPr>
                  <w:r>
                    <w:rPr>
                      <w:rFonts w:hint="eastAsia"/>
                      <w:color w:val="auto"/>
                      <w:szCs w:val="21"/>
                      <w:highlight w:val="none"/>
                    </w:rPr>
                    <w:t>27°16′03.51″</w:t>
                  </w:r>
                </w:p>
              </w:tc>
              <w:tc>
                <w:tcPr>
                  <w:tcW w:w="711" w:type="pct"/>
                  <w:tcBorders>
                    <w:tl2br w:val="nil"/>
                    <w:tr2bl w:val="nil"/>
                  </w:tcBorders>
                  <w:vAlign w:val="center"/>
                </w:tcPr>
                <w:p>
                  <w:pPr>
                    <w:jc w:val="center"/>
                    <w:rPr>
                      <w:color w:val="auto"/>
                      <w:szCs w:val="21"/>
                      <w:highlight w:val="none"/>
                    </w:rPr>
                  </w:pPr>
                  <w:r>
                    <w:rPr>
                      <w:color w:val="auto"/>
                      <w:szCs w:val="21"/>
                      <w:highlight w:val="none"/>
                    </w:rPr>
                    <w:t>居民</w:t>
                  </w:r>
                </w:p>
              </w:tc>
              <w:tc>
                <w:tcPr>
                  <w:tcW w:w="889"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约42户，126人</w:t>
                  </w:r>
                </w:p>
              </w:tc>
              <w:tc>
                <w:tcPr>
                  <w:tcW w:w="430"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东南</w:t>
                  </w:r>
                </w:p>
              </w:tc>
              <w:tc>
                <w:tcPr>
                  <w:tcW w:w="576" w:type="pct"/>
                  <w:tcBorders>
                    <w:tl2br w:val="nil"/>
                    <w:tr2bl w:val="nil"/>
                  </w:tcBorders>
                  <w:vAlign w:val="center"/>
                </w:tcPr>
                <w:p>
                  <w:pPr>
                    <w:jc w:val="center"/>
                    <w:rPr>
                      <w:color w:val="auto"/>
                      <w:szCs w:val="21"/>
                      <w:highlight w:val="none"/>
                    </w:rPr>
                  </w:pPr>
                  <w:r>
                    <w:rPr>
                      <w:rFonts w:hint="eastAsia"/>
                      <w:color w:val="auto"/>
                      <w:szCs w:val="21"/>
                      <w:highlight w:val="none"/>
                    </w:rPr>
                    <w:t>130-500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3" w:type="pct"/>
                  <w:tcBorders>
                    <w:tl2br w:val="nil"/>
                    <w:tr2bl w:val="nil"/>
                  </w:tcBorders>
                  <w:vAlign w:val="center"/>
                </w:tcPr>
                <w:p>
                  <w:pPr>
                    <w:jc w:val="center"/>
                    <w:rPr>
                      <w:color w:val="auto"/>
                      <w:szCs w:val="21"/>
                      <w:highlight w:val="none"/>
                    </w:rPr>
                  </w:pPr>
                  <w:r>
                    <w:rPr>
                      <w:rFonts w:hint="eastAsia"/>
                      <w:color w:val="auto"/>
                      <w:szCs w:val="21"/>
                      <w:highlight w:val="none"/>
                    </w:rPr>
                    <w:t>曾家冲居民</w:t>
                  </w:r>
                </w:p>
              </w:tc>
              <w:tc>
                <w:tcPr>
                  <w:tcW w:w="906" w:type="pct"/>
                  <w:tcBorders>
                    <w:tl2br w:val="nil"/>
                    <w:tr2bl w:val="nil"/>
                  </w:tcBorders>
                  <w:vAlign w:val="center"/>
                </w:tcPr>
                <w:p>
                  <w:pPr>
                    <w:jc w:val="center"/>
                    <w:rPr>
                      <w:color w:val="auto"/>
                      <w:szCs w:val="21"/>
                      <w:highlight w:val="none"/>
                    </w:rPr>
                  </w:pPr>
                  <w:r>
                    <w:rPr>
                      <w:rFonts w:hint="eastAsia"/>
                      <w:color w:val="auto"/>
                      <w:szCs w:val="21"/>
                      <w:highlight w:val="none"/>
                    </w:rPr>
                    <w:t>111°25′32.67″</w:t>
                  </w:r>
                </w:p>
              </w:tc>
              <w:tc>
                <w:tcPr>
                  <w:tcW w:w="741" w:type="pct"/>
                  <w:tcBorders>
                    <w:tl2br w:val="nil"/>
                    <w:tr2bl w:val="nil"/>
                  </w:tcBorders>
                  <w:vAlign w:val="center"/>
                </w:tcPr>
                <w:p>
                  <w:pPr>
                    <w:jc w:val="center"/>
                    <w:rPr>
                      <w:color w:val="auto"/>
                      <w:szCs w:val="21"/>
                      <w:highlight w:val="none"/>
                    </w:rPr>
                  </w:pPr>
                  <w:r>
                    <w:rPr>
                      <w:rFonts w:hint="eastAsia"/>
                      <w:color w:val="auto"/>
                      <w:szCs w:val="21"/>
                      <w:highlight w:val="none"/>
                    </w:rPr>
                    <w:t>27°16′02.44″</w:t>
                  </w:r>
                </w:p>
              </w:tc>
              <w:tc>
                <w:tcPr>
                  <w:tcW w:w="711" w:type="pct"/>
                  <w:tcBorders>
                    <w:tl2br w:val="nil"/>
                    <w:tr2bl w:val="nil"/>
                  </w:tcBorders>
                  <w:vAlign w:val="center"/>
                </w:tcPr>
                <w:p>
                  <w:pPr>
                    <w:jc w:val="center"/>
                    <w:rPr>
                      <w:color w:val="auto"/>
                      <w:szCs w:val="21"/>
                      <w:highlight w:val="none"/>
                    </w:rPr>
                  </w:pPr>
                  <w:r>
                    <w:rPr>
                      <w:color w:val="auto"/>
                      <w:szCs w:val="21"/>
                      <w:highlight w:val="none"/>
                    </w:rPr>
                    <w:t>居民</w:t>
                  </w:r>
                </w:p>
              </w:tc>
              <w:tc>
                <w:tcPr>
                  <w:tcW w:w="889"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约20户，60人</w:t>
                  </w:r>
                </w:p>
              </w:tc>
              <w:tc>
                <w:tcPr>
                  <w:tcW w:w="430"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南</w:t>
                  </w:r>
                </w:p>
              </w:tc>
              <w:tc>
                <w:tcPr>
                  <w:tcW w:w="576" w:type="pct"/>
                  <w:tcBorders>
                    <w:tl2br w:val="nil"/>
                    <w:tr2bl w:val="nil"/>
                  </w:tcBorders>
                  <w:vAlign w:val="center"/>
                </w:tcPr>
                <w:p>
                  <w:pPr>
                    <w:jc w:val="center"/>
                    <w:rPr>
                      <w:color w:val="auto"/>
                      <w:szCs w:val="21"/>
                      <w:highlight w:val="none"/>
                    </w:rPr>
                  </w:pPr>
                  <w:r>
                    <w:rPr>
                      <w:rFonts w:hint="eastAsia"/>
                      <w:color w:val="auto"/>
                      <w:szCs w:val="21"/>
                      <w:highlight w:val="none"/>
                    </w:rPr>
                    <w:t>150-300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望城坡村居民</w:t>
                  </w:r>
                </w:p>
              </w:tc>
              <w:tc>
                <w:tcPr>
                  <w:tcW w:w="906" w:type="pct"/>
                  <w:tcBorders>
                    <w:tl2br w:val="nil"/>
                    <w:tr2bl w:val="nil"/>
                  </w:tcBorders>
                  <w:vAlign w:val="center"/>
                </w:tcPr>
                <w:p>
                  <w:pPr>
                    <w:jc w:val="center"/>
                    <w:rPr>
                      <w:color w:val="auto"/>
                      <w:szCs w:val="21"/>
                      <w:highlight w:val="none"/>
                    </w:rPr>
                  </w:pPr>
                  <w:r>
                    <w:rPr>
                      <w:rFonts w:hint="eastAsia"/>
                      <w:color w:val="auto"/>
                      <w:szCs w:val="21"/>
                      <w:highlight w:val="none"/>
                    </w:rPr>
                    <w:t>111°25′26.38″</w:t>
                  </w:r>
                </w:p>
              </w:tc>
              <w:tc>
                <w:tcPr>
                  <w:tcW w:w="741" w:type="pct"/>
                  <w:tcBorders>
                    <w:tl2br w:val="nil"/>
                    <w:tr2bl w:val="nil"/>
                  </w:tcBorders>
                  <w:vAlign w:val="center"/>
                </w:tcPr>
                <w:p>
                  <w:pPr>
                    <w:jc w:val="center"/>
                    <w:rPr>
                      <w:color w:val="auto"/>
                      <w:szCs w:val="21"/>
                      <w:highlight w:val="none"/>
                    </w:rPr>
                  </w:pPr>
                  <w:r>
                    <w:rPr>
                      <w:rFonts w:hint="eastAsia"/>
                      <w:color w:val="auto"/>
                      <w:szCs w:val="21"/>
                      <w:highlight w:val="none"/>
                    </w:rPr>
                    <w:t>27°16′14.33″</w:t>
                  </w:r>
                </w:p>
              </w:tc>
              <w:tc>
                <w:tcPr>
                  <w:tcW w:w="711" w:type="pct"/>
                  <w:tcBorders>
                    <w:tl2br w:val="nil"/>
                    <w:tr2bl w:val="nil"/>
                  </w:tcBorders>
                  <w:vAlign w:val="center"/>
                </w:tcPr>
                <w:p>
                  <w:pPr>
                    <w:jc w:val="center"/>
                    <w:rPr>
                      <w:color w:val="auto"/>
                      <w:szCs w:val="21"/>
                      <w:highlight w:val="none"/>
                    </w:rPr>
                  </w:pPr>
                  <w:r>
                    <w:rPr>
                      <w:rFonts w:hint="eastAsia"/>
                      <w:color w:val="auto"/>
                      <w:szCs w:val="21"/>
                      <w:highlight w:val="none"/>
                    </w:rPr>
                    <w:t>居民</w:t>
                  </w:r>
                </w:p>
              </w:tc>
              <w:tc>
                <w:tcPr>
                  <w:tcW w:w="889"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约50户，150人</w:t>
                  </w:r>
                </w:p>
              </w:tc>
              <w:tc>
                <w:tcPr>
                  <w:tcW w:w="430"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西北</w:t>
                  </w:r>
                </w:p>
              </w:tc>
              <w:tc>
                <w:tcPr>
                  <w:tcW w:w="576" w:type="pct"/>
                  <w:tcBorders>
                    <w:tl2br w:val="nil"/>
                    <w:tr2bl w:val="nil"/>
                  </w:tcBorders>
                  <w:vAlign w:val="center"/>
                </w:tcPr>
                <w:p>
                  <w:pPr>
                    <w:jc w:val="center"/>
                    <w:rPr>
                      <w:color w:val="auto"/>
                      <w:szCs w:val="21"/>
                      <w:highlight w:val="none"/>
                    </w:rPr>
                  </w:pPr>
                  <w:r>
                    <w:rPr>
                      <w:rFonts w:hint="eastAsia"/>
                      <w:color w:val="auto"/>
                      <w:szCs w:val="21"/>
                      <w:highlight w:val="none"/>
                    </w:rPr>
                    <w:t>170-500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望城坡</w:t>
                  </w:r>
                  <w:r>
                    <w:rPr>
                      <w:rFonts w:ascii="Times New Roman" w:hAnsi="Times New Roman" w:eastAsia="宋体"/>
                      <w:color w:val="auto"/>
                      <w:sz w:val="21"/>
                      <w:highlight w:val="none"/>
                    </w:rPr>
                    <w:t>村居民</w:t>
                  </w:r>
                </w:p>
              </w:tc>
              <w:tc>
                <w:tcPr>
                  <w:tcW w:w="1440" w:type="dxa"/>
                  <w:tcBorders>
                    <w:tl2br w:val="nil"/>
                    <w:tr2bl w:val="nil"/>
                  </w:tcBorders>
                  <w:vAlign w:val="center"/>
                </w:tcPr>
                <w:p>
                  <w:pPr>
                    <w:jc w:val="center"/>
                    <w:rPr>
                      <w:color w:val="auto"/>
                      <w:szCs w:val="21"/>
                      <w:highlight w:val="none"/>
                    </w:rPr>
                  </w:pPr>
                  <w:r>
                    <w:rPr>
                      <w:rFonts w:hint="eastAsia"/>
                      <w:color w:val="auto"/>
                      <w:szCs w:val="21"/>
                      <w:highlight w:val="none"/>
                    </w:rPr>
                    <w:t>111°25′33.30″</w:t>
                  </w:r>
                </w:p>
              </w:tc>
              <w:tc>
                <w:tcPr>
                  <w:tcW w:w="1177" w:type="dxa"/>
                  <w:tcBorders>
                    <w:tl2br w:val="nil"/>
                    <w:tr2bl w:val="nil"/>
                  </w:tcBorders>
                  <w:vAlign w:val="center"/>
                </w:tcPr>
                <w:p>
                  <w:pPr>
                    <w:jc w:val="center"/>
                    <w:rPr>
                      <w:color w:val="auto"/>
                      <w:szCs w:val="21"/>
                      <w:highlight w:val="none"/>
                    </w:rPr>
                  </w:pPr>
                  <w:r>
                    <w:rPr>
                      <w:rFonts w:hint="eastAsia"/>
                      <w:color w:val="auto"/>
                      <w:szCs w:val="21"/>
                      <w:highlight w:val="none"/>
                    </w:rPr>
                    <w:t>27°16′16.82″</w:t>
                  </w:r>
                </w:p>
              </w:tc>
              <w:tc>
                <w:tcPr>
                  <w:tcW w:w="711" w:type="pct"/>
                  <w:tcBorders>
                    <w:tl2br w:val="nil"/>
                    <w:tr2bl w:val="nil"/>
                  </w:tcBorders>
                  <w:vAlign w:val="center"/>
                </w:tcPr>
                <w:p>
                  <w:pPr>
                    <w:jc w:val="center"/>
                    <w:rPr>
                      <w:color w:val="auto"/>
                      <w:szCs w:val="21"/>
                      <w:highlight w:val="none"/>
                    </w:rPr>
                  </w:pPr>
                  <w:r>
                    <w:rPr>
                      <w:rFonts w:hint="eastAsia"/>
                      <w:color w:val="auto"/>
                      <w:szCs w:val="21"/>
                      <w:highlight w:val="none"/>
                    </w:rPr>
                    <w:t>居民</w:t>
                  </w:r>
                </w:p>
              </w:tc>
              <w:tc>
                <w:tcPr>
                  <w:tcW w:w="889"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约6户18人</w:t>
                  </w:r>
                </w:p>
              </w:tc>
              <w:tc>
                <w:tcPr>
                  <w:tcW w:w="430"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北</w:t>
                  </w:r>
                </w:p>
              </w:tc>
              <w:tc>
                <w:tcPr>
                  <w:tcW w:w="576" w:type="pct"/>
                  <w:tcBorders>
                    <w:tl2br w:val="nil"/>
                    <w:tr2bl w:val="nil"/>
                  </w:tcBorders>
                  <w:vAlign w:val="center"/>
                </w:tcPr>
                <w:p>
                  <w:pPr>
                    <w:jc w:val="center"/>
                    <w:rPr>
                      <w:color w:val="auto"/>
                      <w:szCs w:val="21"/>
                      <w:highlight w:val="none"/>
                    </w:rPr>
                  </w:pPr>
                  <w:r>
                    <w:rPr>
                      <w:rFonts w:hint="eastAsia"/>
                      <w:color w:val="auto"/>
                      <w:szCs w:val="21"/>
                      <w:highlight w:val="none"/>
                    </w:rPr>
                    <w:t>100-200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3"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枫江溪</w:t>
                  </w:r>
                </w:p>
              </w:tc>
              <w:tc>
                <w:tcPr>
                  <w:tcW w:w="906" w:type="pct"/>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741" w:type="pct"/>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711" w:type="pct"/>
                  <w:tcBorders>
                    <w:tl2br w:val="nil"/>
                    <w:tr2bl w:val="nil"/>
                  </w:tcBorders>
                  <w:vAlign w:val="center"/>
                </w:tcPr>
                <w:p>
                  <w:pPr>
                    <w:jc w:val="center"/>
                    <w:rPr>
                      <w:color w:val="auto"/>
                      <w:szCs w:val="21"/>
                      <w:highlight w:val="none"/>
                    </w:rPr>
                  </w:pPr>
                  <w:r>
                    <w:rPr>
                      <w:rFonts w:hint="eastAsia"/>
                      <w:color w:val="auto"/>
                      <w:szCs w:val="21"/>
                      <w:highlight w:val="none"/>
                    </w:rPr>
                    <w:t>/</w:t>
                  </w:r>
                </w:p>
              </w:tc>
              <w:tc>
                <w:tcPr>
                  <w:tcW w:w="889"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w:t>
                  </w:r>
                </w:p>
              </w:tc>
              <w:tc>
                <w:tcPr>
                  <w:tcW w:w="430" w:type="pct"/>
                  <w:tcBorders>
                    <w:tl2br w:val="nil"/>
                    <w:tr2bl w:val="nil"/>
                  </w:tcBorders>
                  <w:vAlign w:val="center"/>
                </w:tcPr>
                <w:p>
                  <w:pPr>
                    <w:pStyle w:val="113"/>
                    <w:spacing w:after="0"/>
                    <w:rPr>
                      <w:rFonts w:ascii="Times New Roman" w:hAnsi="Times New Roman" w:eastAsia="宋体"/>
                      <w:color w:val="auto"/>
                      <w:sz w:val="21"/>
                      <w:highlight w:val="none"/>
                    </w:rPr>
                  </w:pPr>
                  <w:r>
                    <w:rPr>
                      <w:rFonts w:hint="eastAsia" w:ascii="Times New Roman" w:hAnsi="Times New Roman" w:eastAsia="宋体"/>
                      <w:color w:val="auto"/>
                      <w:sz w:val="21"/>
                      <w:highlight w:val="none"/>
                    </w:rPr>
                    <w:t>北</w:t>
                  </w:r>
                </w:p>
              </w:tc>
              <w:tc>
                <w:tcPr>
                  <w:tcW w:w="576" w:type="pct"/>
                  <w:tcBorders>
                    <w:tl2br w:val="nil"/>
                    <w:tr2bl w:val="nil"/>
                  </w:tcBorders>
                  <w:vAlign w:val="center"/>
                </w:tcPr>
                <w:p>
                  <w:pPr>
                    <w:jc w:val="center"/>
                    <w:rPr>
                      <w:color w:val="auto"/>
                      <w:szCs w:val="21"/>
                      <w:highlight w:val="none"/>
                    </w:rPr>
                  </w:pPr>
                  <w:r>
                    <w:rPr>
                      <w:rFonts w:hint="eastAsia"/>
                      <w:color w:val="auto"/>
                      <w:szCs w:val="21"/>
                      <w:highlight w:val="none"/>
                    </w:rPr>
                    <w:t>210</w:t>
                  </w:r>
                </w:p>
              </w:tc>
            </w:tr>
          </w:tbl>
          <w:p>
            <w:pPr>
              <w:spacing w:line="360" w:lineRule="auto"/>
              <w:rPr>
                <w:rFonts w:hAnsiTheme="minorEastAsia" w:eastAsiaTheme="minorEastAsia"/>
                <w:b/>
                <w:color w:val="auto"/>
                <w:sz w:val="24"/>
                <w:highlight w:val="none"/>
              </w:rPr>
            </w:pPr>
            <w:r>
              <w:rPr>
                <w:rFonts w:hint="eastAsia" w:eastAsiaTheme="minorEastAsia"/>
                <w:b/>
                <w:color w:val="auto"/>
                <w:sz w:val="24"/>
                <w:highlight w:val="none"/>
              </w:rPr>
              <w:t>2</w:t>
            </w:r>
            <w:r>
              <w:rPr>
                <w:rFonts w:hAnsiTheme="minorEastAsia" w:eastAsiaTheme="minorEastAsia"/>
                <w:b/>
                <w:color w:val="auto"/>
                <w:sz w:val="24"/>
                <w:highlight w:val="none"/>
              </w:rPr>
              <w:t>、</w:t>
            </w:r>
            <w:r>
              <w:rPr>
                <w:rFonts w:hint="eastAsia" w:hAnsiTheme="minorEastAsia" w:eastAsiaTheme="minorEastAsia"/>
                <w:b/>
                <w:color w:val="auto"/>
                <w:sz w:val="24"/>
                <w:highlight w:val="none"/>
              </w:rPr>
              <w:t>声环境</w:t>
            </w:r>
          </w:p>
          <w:p>
            <w:pPr>
              <w:spacing w:line="360" w:lineRule="auto"/>
              <w:ind w:firstLine="480" w:firstLineChars="200"/>
              <w:rPr>
                <w:rFonts w:eastAsiaTheme="minorEastAsia"/>
                <w:bCs/>
                <w:color w:val="auto"/>
                <w:sz w:val="24"/>
                <w:highlight w:val="none"/>
              </w:rPr>
            </w:pPr>
            <w:r>
              <w:rPr>
                <w:rFonts w:hint="eastAsia" w:eastAsiaTheme="minorEastAsia"/>
                <w:bCs/>
                <w:color w:val="auto"/>
                <w:sz w:val="24"/>
                <w:highlight w:val="none"/>
              </w:rPr>
              <w:t>本项目周围50m内无声环境敏感点分布。</w:t>
            </w:r>
          </w:p>
          <w:p>
            <w:pPr>
              <w:spacing w:line="360" w:lineRule="auto"/>
              <w:rPr>
                <w:rFonts w:hAnsiTheme="minorEastAsia" w:eastAsiaTheme="minorEastAsia"/>
                <w:b/>
                <w:color w:val="auto"/>
                <w:sz w:val="24"/>
                <w:highlight w:val="none"/>
              </w:rPr>
            </w:pPr>
            <w:r>
              <w:rPr>
                <w:rFonts w:hint="eastAsia" w:eastAsiaTheme="minorEastAsia"/>
                <w:b/>
                <w:color w:val="auto"/>
                <w:sz w:val="24"/>
                <w:highlight w:val="none"/>
              </w:rPr>
              <w:t>3</w:t>
            </w:r>
            <w:r>
              <w:rPr>
                <w:rFonts w:hAnsiTheme="minorEastAsia" w:eastAsiaTheme="minorEastAsia"/>
                <w:b/>
                <w:color w:val="auto"/>
                <w:sz w:val="24"/>
                <w:highlight w:val="none"/>
              </w:rPr>
              <w:t>、</w:t>
            </w:r>
            <w:r>
              <w:rPr>
                <w:rFonts w:hint="eastAsia" w:hAnsiTheme="minorEastAsia" w:eastAsiaTheme="minorEastAsia"/>
                <w:b/>
                <w:color w:val="auto"/>
                <w:sz w:val="24"/>
                <w:highlight w:val="none"/>
              </w:rPr>
              <w:t>地下水环境</w:t>
            </w:r>
          </w:p>
          <w:p>
            <w:pPr>
              <w:spacing w:line="360" w:lineRule="auto"/>
              <w:ind w:firstLine="480" w:firstLineChars="200"/>
              <w:rPr>
                <w:color w:val="auto"/>
                <w:sz w:val="24"/>
                <w:highlight w:val="none"/>
              </w:rPr>
            </w:pPr>
            <w:r>
              <w:rPr>
                <w:color w:val="auto"/>
                <w:sz w:val="24"/>
                <w:highlight w:val="none"/>
              </w:rPr>
              <w:t>本项目厂界外 500 米范围内无地下水集中式饮用水水源和热水、矿泉水、温泉等特殊地下水资源。</w:t>
            </w:r>
          </w:p>
          <w:p>
            <w:pPr>
              <w:spacing w:line="360" w:lineRule="auto"/>
              <w:rPr>
                <w:rFonts w:eastAsiaTheme="minorEastAsia"/>
                <w:b/>
                <w:color w:val="auto"/>
                <w:sz w:val="24"/>
                <w:highlight w:val="none"/>
              </w:rPr>
            </w:pPr>
            <w:r>
              <w:rPr>
                <w:rFonts w:hint="eastAsia" w:eastAsiaTheme="minorEastAsia"/>
                <w:b/>
                <w:color w:val="auto"/>
                <w:sz w:val="24"/>
                <w:highlight w:val="none"/>
              </w:rPr>
              <w:t>4、生态环境</w:t>
            </w:r>
          </w:p>
          <w:p>
            <w:pPr>
              <w:spacing w:line="360" w:lineRule="auto"/>
              <w:ind w:firstLine="480" w:firstLineChars="200"/>
              <w:rPr>
                <w:rFonts w:ascii="宋体" w:hAnsi="宋体" w:cs="宋体"/>
                <w:color w:val="auto"/>
                <w:kern w:val="0"/>
                <w:sz w:val="24"/>
                <w:highlight w:val="none"/>
              </w:rPr>
            </w:pPr>
            <w:r>
              <w:rPr>
                <w:rFonts w:hint="eastAsia" w:ascii="Calibri" w:hAnsi="Calibri"/>
                <w:color w:val="auto"/>
                <w:sz w:val="24"/>
                <w:highlight w:val="none"/>
              </w:rPr>
              <w:t>本项目租赁现有厂房，区域内无自然保护区、饮用水保护区和重点文物保护单位，区域内无珍稀野生动植物，</w:t>
            </w:r>
            <w:r>
              <w:rPr>
                <w:rFonts w:hint="eastAsia"/>
                <w:color w:val="auto"/>
                <w:sz w:val="24"/>
                <w:highlight w:val="none"/>
              </w:rPr>
              <w:t>周边无生态环境保护目标。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00" w:type="dxa"/>
            <w:tcMar>
              <w:left w:w="28" w:type="dxa"/>
              <w:right w:w="28" w:type="dxa"/>
            </w:tcMar>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污染</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物排</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放控</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制标</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准</w:t>
            </w:r>
          </w:p>
        </w:tc>
        <w:tc>
          <w:tcPr>
            <w:tcW w:w="8190" w:type="dxa"/>
            <w:vAlign w:val="center"/>
          </w:tcPr>
          <w:p>
            <w:pPr>
              <w:spacing w:before="120" w:beforeLines="50" w:line="360" w:lineRule="auto"/>
              <w:rPr>
                <w:color w:val="auto"/>
                <w:kern w:val="24"/>
                <w:sz w:val="24"/>
                <w:highlight w:val="none"/>
              </w:rPr>
            </w:pPr>
            <w:r>
              <w:rPr>
                <w:rFonts w:hint="eastAsia" w:eastAsiaTheme="minorEastAsia"/>
                <w:b/>
                <w:color w:val="auto"/>
                <w:sz w:val="24"/>
                <w:highlight w:val="none"/>
              </w:rPr>
              <w:t>1</w:t>
            </w:r>
            <w:r>
              <w:rPr>
                <w:rFonts w:eastAsiaTheme="minorEastAsia"/>
                <w:b/>
                <w:color w:val="auto"/>
                <w:sz w:val="24"/>
                <w:highlight w:val="none"/>
              </w:rPr>
              <w:t>、</w:t>
            </w:r>
            <w:r>
              <w:rPr>
                <w:rFonts w:hint="eastAsia" w:eastAsiaTheme="minorEastAsia"/>
                <w:b/>
                <w:color w:val="auto"/>
                <w:sz w:val="24"/>
                <w:highlight w:val="none"/>
              </w:rPr>
              <w:t>废水</w:t>
            </w:r>
            <w:r>
              <w:rPr>
                <w:rFonts w:eastAsiaTheme="minorEastAsia"/>
                <w:b/>
                <w:color w:val="auto"/>
                <w:sz w:val="24"/>
                <w:highlight w:val="none"/>
              </w:rPr>
              <w:t>排放标准</w:t>
            </w:r>
          </w:p>
          <w:p>
            <w:pPr>
              <w:spacing w:line="360" w:lineRule="auto"/>
              <w:ind w:firstLine="482"/>
              <w:rPr>
                <w:color w:val="auto"/>
                <w:sz w:val="24"/>
                <w:highlight w:val="none"/>
              </w:rPr>
            </w:pPr>
            <w:r>
              <w:rPr>
                <w:rFonts w:hint="eastAsia"/>
                <w:color w:val="auto"/>
                <w:sz w:val="24"/>
                <w:highlight w:val="none"/>
              </w:rPr>
              <w:t>本项目无生产废水排放，喷淋废水经沉淀过滤后循环使用，生活用水经化粪池处理后用做农肥。</w:t>
            </w:r>
          </w:p>
          <w:p>
            <w:pPr>
              <w:spacing w:line="360" w:lineRule="auto"/>
              <w:rPr>
                <w:rFonts w:eastAsiaTheme="minorEastAsia"/>
                <w:b/>
                <w:color w:val="auto"/>
                <w:sz w:val="24"/>
                <w:highlight w:val="none"/>
              </w:rPr>
            </w:pPr>
            <w:r>
              <w:rPr>
                <w:rFonts w:hint="eastAsia" w:eastAsiaTheme="minorEastAsia"/>
                <w:b/>
                <w:color w:val="auto"/>
                <w:sz w:val="24"/>
                <w:highlight w:val="none"/>
              </w:rPr>
              <w:t>2</w:t>
            </w:r>
            <w:r>
              <w:rPr>
                <w:rFonts w:eastAsiaTheme="minorEastAsia"/>
                <w:b/>
                <w:color w:val="auto"/>
                <w:sz w:val="24"/>
                <w:highlight w:val="none"/>
              </w:rPr>
              <w:t>、大气污染物排放标准</w:t>
            </w:r>
          </w:p>
          <w:p>
            <w:pPr>
              <w:spacing w:line="360" w:lineRule="auto"/>
              <w:ind w:firstLine="480" w:firstLineChars="200"/>
              <w:rPr>
                <w:color w:val="auto"/>
                <w:sz w:val="24"/>
                <w:highlight w:val="none"/>
              </w:rPr>
            </w:pPr>
            <w:r>
              <w:rPr>
                <w:rFonts w:hint="eastAsia" w:hAnsi="宋体"/>
                <w:color w:val="auto"/>
                <w:sz w:val="24"/>
                <w:highlight w:val="none"/>
              </w:rPr>
              <w:t>项目排放的颗粒物执行《大气污染物综合排放标准》（GB16297-1996）表2中二级标准及无组织排放监控浓度限值，VOCs（参考非甲烷总烃）及二甲苯执行DB43/1457-2017《印刷工业挥发性有机物排放标准》；</w:t>
            </w:r>
            <w:r>
              <w:rPr>
                <w:color w:val="auto"/>
                <w:sz w:val="24"/>
                <w:highlight w:val="none"/>
              </w:rPr>
              <w:t>项目</w:t>
            </w:r>
            <w:r>
              <w:rPr>
                <w:rFonts w:hint="eastAsia"/>
                <w:color w:val="auto"/>
                <w:sz w:val="24"/>
                <w:highlight w:val="none"/>
              </w:rPr>
              <w:t>燃气炉废气参考</w:t>
            </w:r>
            <w:r>
              <w:rPr>
                <w:color w:val="auto"/>
                <w:sz w:val="24"/>
                <w:highlight w:val="none"/>
              </w:rPr>
              <w:t>执行《湖南省工业炉窑大气污染综合治理实施方案》（湘环发[2020]6号）中浓度限值具体详见下表。</w:t>
            </w:r>
          </w:p>
          <w:p>
            <w:pPr>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3-6</w:t>
            </w:r>
            <w:r>
              <w:rPr>
                <w:b/>
                <w:color w:val="auto"/>
                <w:kern w:val="0"/>
                <w:szCs w:val="21"/>
                <w:highlight w:val="none"/>
              </w:rPr>
              <w:t xml:space="preserve">  大气污染物排放标准  </w:t>
            </w:r>
            <w:r>
              <w:rPr>
                <w:b/>
                <w:snapToGrid w:val="0"/>
                <w:color w:val="auto"/>
                <w:kern w:val="0"/>
                <w:szCs w:val="21"/>
                <w:highlight w:val="none"/>
              </w:rPr>
              <w:t>单位：</w:t>
            </w:r>
            <w:r>
              <w:rPr>
                <w:b/>
                <w:color w:val="auto"/>
                <w:szCs w:val="21"/>
                <w:highlight w:val="none"/>
              </w:rPr>
              <w:t>mg/m</w:t>
            </w:r>
            <w:r>
              <w:rPr>
                <w:b/>
                <w:color w:val="auto"/>
                <w:szCs w:val="21"/>
                <w:highlight w:val="none"/>
                <w:vertAlign w:val="superscript"/>
              </w:rPr>
              <w:t>3</w:t>
            </w:r>
          </w:p>
          <w:tbl>
            <w:tblPr>
              <w:tblStyle w:val="25"/>
              <w:tblW w:w="80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1504"/>
              <w:gridCol w:w="1323"/>
              <w:gridCol w:w="1398"/>
              <w:gridCol w:w="13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396" w:type="dxa"/>
                  <w:tcBorders>
                    <w:tl2br w:val="nil"/>
                    <w:tr2bl w:val="nil"/>
                  </w:tcBorders>
                  <w:vAlign w:val="center"/>
                </w:tcPr>
                <w:p>
                  <w:pPr>
                    <w:jc w:val="center"/>
                    <w:rPr>
                      <w:color w:val="auto"/>
                      <w:szCs w:val="21"/>
                      <w:highlight w:val="none"/>
                    </w:rPr>
                  </w:pPr>
                  <w:r>
                    <w:rPr>
                      <w:color w:val="auto"/>
                      <w:szCs w:val="21"/>
                      <w:highlight w:val="none"/>
                    </w:rPr>
                    <w:t>排放标准</w:t>
                  </w:r>
                </w:p>
              </w:tc>
              <w:tc>
                <w:tcPr>
                  <w:tcW w:w="1504" w:type="dxa"/>
                  <w:tcBorders>
                    <w:tl2br w:val="nil"/>
                    <w:tr2bl w:val="nil"/>
                  </w:tcBorders>
                  <w:vAlign w:val="center"/>
                </w:tcPr>
                <w:p>
                  <w:pPr>
                    <w:jc w:val="center"/>
                    <w:rPr>
                      <w:color w:val="auto"/>
                      <w:szCs w:val="21"/>
                      <w:highlight w:val="none"/>
                    </w:rPr>
                  </w:pPr>
                  <w:r>
                    <w:rPr>
                      <w:color w:val="auto"/>
                      <w:szCs w:val="21"/>
                      <w:highlight w:val="none"/>
                    </w:rPr>
                    <w:t>污染物项目</w:t>
                  </w:r>
                </w:p>
              </w:tc>
              <w:tc>
                <w:tcPr>
                  <w:tcW w:w="1323" w:type="dxa"/>
                  <w:tcBorders>
                    <w:tl2br w:val="nil"/>
                    <w:tr2bl w:val="nil"/>
                  </w:tcBorders>
                  <w:vAlign w:val="center"/>
                </w:tcPr>
                <w:p>
                  <w:pPr>
                    <w:jc w:val="center"/>
                    <w:rPr>
                      <w:color w:val="auto"/>
                      <w:szCs w:val="21"/>
                      <w:highlight w:val="none"/>
                    </w:rPr>
                  </w:pPr>
                  <w:r>
                    <w:rPr>
                      <w:color w:val="auto"/>
                      <w:szCs w:val="21"/>
                      <w:highlight w:val="none"/>
                    </w:rPr>
                    <w:t>标准限值</w:t>
                  </w:r>
                </w:p>
              </w:tc>
              <w:tc>
                <w:tcPr>
                  <w:tcW w:w="1398" w:type="dxa"/>
                  <w:tcBorders>
                    <w:tl2br w:val="nil"/>
                    <w:tr2bl w:val="nil"/>
                  </w:tcBorders>
                  <w:vAlign w:val="center"/>
                </w:tcPr>
                <w:p>
                  <w:pPr>
                    <w:jc w:val="center"/>
                    <w:rPr>
                      <w:color w:val="auto"/>
                      <w:highlight w:val="none"/>
                    </w:rPr>
                  </w:pPr>
                  <w:r>
                    <w:rPr>
                      <w:rFonts w:hint="eastAsia" w:ascii="宋体" w:hAnsi="宋体"/>
                      <w:color w:val="auto"/>
                      <w:szCs w:val="21"/>
                      <w:highlight w:val="none"/>
                    </w:rPr>
                    <w:t>污染物排放监控位置</w:t>
                  </w:r>
                </w:p>
              </w:tc>
              <w:tc>
                <w:tcPr>
                  <w:tcW w:w="1398" w:type="dxa"/>
                  <w:tcBorders>
                    <w:tl2br w:val="nil"/>
                    <w:tr2bl w:val="nil"/>
                  </w:tcBorders>
                  <w:vAlign w:val="center"/>
                </w:tcPr>
                <w:p>
                  <w:pPr>
                    <w:jc w:val="center"/>
                    <w:rPr>
                      <w:rFonts w:ascii="宋体" w:hAnsi="宋体"/>
                      <w:color w:val="auto"/>
                      <w:szCs w:val="21"/>
                      <w:highlight w:val="none"/>
                    </w:rPr>
                  </w:pPr>
                  <w:r>
                    <w:rPr>
                      <w:rFonts w:hint="eastAsia" w:ascii="宋体" w:hAnsi="宋体"/>
                      <w:color w:val="auto"/>
                      <w:szCs w:val="21"/>
                      <w:highlight w:val="none"/>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396" w:type="dxa"/>
                  <w:vMerge w:val="restart"/>
                  <w:tcBorders>
                    <w:tl2br w:val="nil"/>
                    <w:tr2bl w:val="nil"/>
                  </w:tcBorders>
                  <w:vAlign w:val="center"/>
                </w:tcPr>
                <w:p>
                  <w:pPr>
                    <w:jc w:val="center"/>
                    <w:rPr>
                      <w:color w:val="auto"/>
                      <w:szCs w:val="21"/>
                      <w:highlight w:val="none"/>
                    </w:rPr>
                  </w:pPr>
                  <w:r>
                    <w:rPr>
                      <w:color w:val="auto"/>
                      <w:szCs w:val="21"/>
                      <w:highlight w:val="none"/>
                    </w:rPr>
                    <w:t>《湖南省工业炉窑大气污染综合治理实施方案》（湘环发[2020]6号）</w:t>
                  </w:r>
                </w:p>
              </w:tc>
              <w:tc>
                <w:tcPr>
                  <w:tcW w:w="1504" w:type="dxa"/>
                  <w:tcBorders>
                    <w:tl2br w:val="nil"/>
                    <w:tr2bl w:val="nil"/>
                  </w:tcBorders>
                </w:tcPr>
                <w:p>
                  <w:pPr>
                    <w:jc w:val="center"/>
                    <w:rPr>
                      <w:color w:val="auto"/>
                      <w:szCs w:val="21"/>
                      <w:highlight w:val="none"/>
                    </w:rPr>
                  </w:pPr>
                  <w:r>
                    <w:rPr>
                      <w:color w:val="auto"/>
                      <w:szCs w:val="21"/>
                      <w:highlight w:val="none"/>
                    </w:rPr>
                    <w:t>二氧化硫</w:t>
                  </w:r>
                </w:p>
              </w:tc>
              <w:tc>
                <w:tcPr>
                  <w:tcW w:w="1323" w:type="dxa"/>
                  <w:tcBorders>
                    <w:tl2br w:val="nil"/>
                    <w:tr2bl w:val="nil"/>
                  </w:tcBorders>
                  <w:vAlign w:val="center"/>
                </w:tcPr>
                <w:p>
                  <w:pPr>
                    <w:jc w:val="center"/>
                    <w:rPr>
                      <w:color w:val="auto"/>
                      <w:szCs w:val="21"/>
                      <w:highlight w:val="none"/>
                    </w:rPr>
                  </w:pPr>
                  <w:r>
                    <w:rPr>
                      <w:color w:val="auto"/>
                      <w:szCs w:val="21"/>
                      <w:highlight w:val="none"/>
                    </w:rPr>
                    <w:t>200</w:t>
                  </w:r>
                </w:p>
              </w:tc>
              <w:tc>
                <w:tcPr>
                  <w:tcW w:w="1398" w:type="dxa"/>
                  <w:vMerge w:val="restart"/>
                  <w:tcBorders>
                    <w:tl2br w:val="nil"/>
                    <w:tr2bl w:val="nil"/>
                  </w:tcBorders>
                </w:tcPr>
                <w:p>
                  <w:pPr>
                    <w:jc w:val="center"/>
                    <w:rPr>
                      <w:color w:val="auto"/>
                      <w:szCs w:val="21"/>
                      <w:highlight w:val="none"/>
                    </w:rPr>
                  </w:pPr>
                  <w:r>
                    <w:rPr>
                      <w:rFonts w:hint="eastAsia"/>
                      <w:color w:val="auto"/>
                      <w:szCs w:val="21"/>
                      <w:highlight w:val="none"/>
                    </w:rPr>
                    <w:t>15m排气筒</w:t>
                  </w:r>
                </w:p>
              </w:tc>
              <w:tc>
                <w:tcPr>
                  <w:tcW w:w="1398" w:type="dxa"/>
                  <w:tcBorders>
                    <w:tl2br w:val="nil"/>
                    <w:tr2bl w:val="nil"/>
                  </w:tcBorders>
                </w:tcPr>
                <w:p>
                  <w:pPr>
                    <w:jc w:val="center"/>
                    <w:rPr>
                      <w:color w:val="auto"/>
                      <w:szCs w:val="21"/>
                      <w:highlight w:val="none"/>
                    </w:rPr>
                  </w:pP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396" w:type="dxa"/>
                  <w:vMerge w:val="continue"/>
                  <w:tcBorders>
                    <w:tl2br w:val="nil"/>
                    <w:tr2bl w:val="nil"/>
                  </w:tcBorders>
                  <w:vAlign w:val="center"/>
                </w:tcPr>
                <w:p>
                  <w:pPr>
                    <w:jc w:val="center"/>
                    <w:rPr>
                      <w:color w:val="auto"/>
                      <w:szCs w:val="21"/>
                      <w:highlight w:val="none"/>
                    </w:rPr>
                  </w:pPr>
                </w:p>
              </w:tc>
              <w:tc>
                <w:tcPr>
                  <w:tcW w:w="1504" w:type="dxa"/>
                  <w:tcBorders>
                    <w:tl2br w:val="nil"/>
                    <w:tr2bl w:val="nil"/>
                  </w:tcBorders>
                  <w:vAlign w:val="center"/>
                </w:tcPr>
                <w:p>
                  <w:pPr>
                    <w:jc w:val="center"/>
                    <w:rPr>
                      <w:color w:val="auto"/>
                      <w:szCs w:val="21"/>
                      <w:highlight w:val="none"/>
                    </w:rPr>
                  </w:pPr>
                  <w:r>
                    <w:rPr>
                      <w:color w:val="auto"/>
                      <w:szCs w:val="21"/>
                      <w:highlight w:val="none"/>
                    </w:rPr>
                    <w:t>氮氧化物</w:t>
                  </w:r>
                </w:p>
              </w:tc>
              <w:tc>
                <w:tcPr>
                  <w:tcW w:w="1323" w:type="dxa"/>
                  <w:tcBorders>
                    <w:tl2br w:val="nil"/>
                    <w:tr2bl w:val="nil"/>
                  </w:tcBorders>
                  <w:vAlign w:val="center"/>
                </w:tcPr>
                <w:p>
                  <w:pPr>
                    <w:jc w:val="center"/>
                    <w:rPr>
                      <w:color w:val="auto"/>
                      <w:szCs w:val="21"/>
                      <w:highlight w:val="none"/>
                    </w:rPr>
                  </w:pPr>
                  <w:r>
                    <w:rPr>
                      <w:color w:val="auto"/>
                      <w:szCs w:val="21"/>
                      <w:highlight w:val="none"/>
                    </w:rPr>
                    <w:t>300</w:t>
                  </w:r>
                </w:p>
              </w:tc>
              <w:tc>
                <w:tcPr>
                  <w:tcW w:w="1398" w:type="dxa"/>
                  <w:vMerge w:val="continue"/>
                  <w:tcBorders>
                    <w:tl2br w:val="nil"/>
                    <w:tr2bl w:val="nil"/>
                  </w:tcBorders>
                </w:tcPr>
                <w:p>
                  <w:pPr>
                    <w:jc w:val="center"/>
                    <w:rPr>
                      <w:color w:val="auto"/>
                      <w:szCs w:val="21"/>
                      <w:highlight w:val="none"/>
                    </w:rPr>
                  </w:pPr>
                </w:p>
              </w:tc>
              <w:tc>
                <w:tcPr>
                  <w:tcW w:w="1398" w:type="dxa"/>
                  <w:tcBorders>
                    <w:tl2br w:val="nil"/>
                    <w:tr2bl w:val="nil"/>
                  </w:tcBorders>
                </w:tcPr>
                <w:p>
                  <w:pPr>
                    <w:jc w:val="center"/>
                    <w:rPr>
                      <w:color w:val="auto"/>
                      <w:szCs w:val="21"/>
                      <w:highlight w:val="none"/>
                    </w:rPr>
                  </w:pPr>
                  <w:r>
                    <w:rPr>
                      <w:rFonts w:hint="eastAsia"/>
                      <w:color w:val="auto"/>
                      <w:szCs w:val="21"/>
                      <w:highlight w:val="none"/>
                    </w:rPr>
                    <w:t>/</w:t>
                  </w:r>
                </w:p>
              </w:tc>
            </w:tr>
          </w:tbl>
          <w:p>
            <w:pPr>
              <w:pStyle w:val="81"/>
              <w:ind w:firstLine="482"/>
              <w:rPr>
                <w:color w:val="auto"/>
                <w:szCs w:val="21"/>
                <w:highlight w:val="none"/>
              </w:rPr>
            </w:pPr>
            <w:r>
              <w:rPr>
                <w:rFonts w:hint="eastAsia"/>
                <w:color w:val="auto"/>
                <w:szCs w:val="21"/>
                <w:highlight w:val="none"/>
              </w:rPr>
              <w:t xml:space="preserve">表3-7  </w:t>
            </w:r>
            <w:r>
              <w:rPr>
                <w:rStyle w:val="82"/>
                <w:rFonts w:hint="eastAsia"/>
                <w:color w:val="auto"/>
                <w:szCs w:val="21"/>
                <w:highlight w:val="none"/>
              </w:rPr>
              <w:t>《大气污染物综合排放标准》（GB16297-1996）</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530"/>
              <w:gridCol w:w="1528"/>
              <w:gridCol w:w="2108"/>
              <w:gridCol w:w="1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91" w:type="dxa"/>
                  <w:vMerge w:val="restart"/>
                  <w:tcBorders>
                    <w:tl2br w:val="nil"/>
                    <w:tr2bl w:val="nil"/>
                  </w:tcBorders>
                  <w:vAlign w:val="center"/>
                </w:tcPr>
                <w:p>
                  <w:pPr>
                    <w:pStyle w:val="84"/>
                    <w:jc w:val="center"/>
                    <w:rPr>
                      <w:color w:val="auto"/>
                      <w:szCs w:val="21"/>
                      <w:highlight w:val="none"/>
                    </w:rPr>
                  </w:pPr>
                  <w:r>
                    <w:rPr>
                      <w:rFonts w:hint="eastAsia"/>
                      <w:color w:val="auto"/>
                      <w:szCs w:val="21"/>
                      <w:highlight w:val="none"/>
                    </w:rPr>
                    <w:t>污染物</w:t>
                  </w:r>
                </w:p>
              </w:tc>
              <w:tc>
                <w:tcPr>
                  <w:tcW w:w="1530" w:type="dxa"/>
                  <w:vMerge w:val="restart"/>
                  <w:tcBorders>
                    <w:tl2br w:val="nil"/>
                    <w:tr2bl w:val="nil"/>
                  </w:tcBorders>
                  <w:vAlign w:val="center"/>
                </w:tcPr>
                <w:p>
                  <w:pPr>
                    <w:pStyle w:val="84"/>
                    <w:jc w:val="center"/>
                    <w:rPr>
                      <w:color w:val="auto"/>
                      <w:szCs w:val="21"/>
                      <w:highlight w:val="none"/>
                    </w:rPr>
                  </w:pPr>
                  <w:r>
                    <w:rPr>
                      <w:rFonts w:hint="eastAsia"/>
                      <w:color w:val="auto"/>
                      <w:szCs w:val="21"/>
                      <w:highlight w:val="none"/>
                    </w:rPr>
                    <w:t>最高允许排放浓度mg/m</w:t>
                  </w:r>
                  <w:r>
                    <w:rPr>
                      <w:rFonts w:hint="eastAsia"/>
                      <w:color w:val="auto"/>
                      <w:szCs w:val="21"/>
                      <w:highlight w:val="none"/>
                      <w:vertAlign w:val="superscript"/>
                    </w:rPr>
                    <w:t>3</w:t>
                  </w:r>
                </w:p>
              </w:tc>
              <w:tc>
                <w:tcPr>
                  <w:tcW w:w="1528" w:type="dxa"/>
                  <w:vMerge w:val="restart"/>
                  <w:tcBorders>
                    <w:tl2br w:val="nil"/>
                    <w:tr2bl w:val="nil"/>
                  </w:tcBorders>
                  <w:vAlign w:val="center"/>
                </w:tcPr>
                <w:p>
                  <w:pPr>
                    <w:pStyle w:val="84"/>
                    <w:jc w:val="center"/>
                    <w:rPr>
                      <w:color w:val="auto"/>
                      <w:szCs w:val="21"/>
                      <w:highlight w:val="none"/>
                      <w:lang w:val="en-US"/>
                    </w:rPr>
                  </w:pPr>
                  <w:r>
                    <w:rPr>
                      <w:rFonts w:hint="eastAsia"/>
                      <w:color w:val="auto"/>
                      <w:szCs w:val="21"/>
                      <w:highlight w:val="none"/>
                    </w:rPr>
                    <w:t>最高允许排放速率kg/h</w:t>
                  </w:r>
                </w:p>
              </w:tc>
              <w:tc>
                <w:tcPr>
                  <w:tcW w:w="3701" w:type="dxa"/>
                  <w:gridSpan w:val="2"/>
                  <w:tcBorders>
                    <w:tl2br w:val="nil"/>
                    <w:tr2bl w:val="nil"/>
                  </w:tcBorders>
                  <w:vAlign w:val="center"/>
                </w:tcPr>
                <w:p>
                  <w:pPr>
                    <w:pStyle w:val="84"/>
                    <w:jc w:val="center"/>
                    <w:rPr>
                      <w:color w:val="auto"/>
                      <w:szCs w:val="21"/>
                      <w:highlight w:val="none"/>
                    </w:rPr>
                  </w:pPr>
                  <w:r>
                    <w:rPr>
                      <w:rFonts w:hint="eastAsia"/>
                      <w:color w:val="auto"/>
                      <w:szCs w:val="21"/>
                      <w:highlight w:val="none"/>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91" w:type="dxa"/>
                  <w:vMerge w:val="continue"/>
                  <w:tcBorders>
                    <w:tl2br w:val="nil"/>
                    <w:tr2bl w:val="nil"/>
                  </w:tcBorders>
                  <w:vAlign w:val="center"/>
                </w:tcPr>
                <w:p>
                  <w:pPr>
                    <w:pStyle w:val="84"/>
                    <w:jc w:val="center"/>
                    <w:rPr>
                      <w:color w:val="auto"/>
                      <w:szCs w:val="21"/>
                      <w:highlight w:val="none"/>
                    </w:rPr>
                  </w:pPr>
                </w:p>
              </w:tc>
              <w:tc>
                <w:tcPr>
                  <w:tcW w:w="1530" w:type="dxa"/>
                  <w:vMerge w:val="continue"/>
                  <w:tcBorders>
                    <w:tl2br w:val="nil"/>
                    <w:tr2bl w:val="nil"/>
                  </w:tcBorders>
                  <w:vAlign w:val="center"/>
                </w:tcPr>
                <w:p>
                  <w:pPr>
                    <w:pStyle w:val="84"/>
                    <w:jc w:val="center"/>
                    <w:rPr>
                      <w:color w:val="auto"/>
                      <w:szCs w:val="21"/>
                      <w:highlight w:val="none"/>
                    </w:rPr>
                  </w:pPr>
                </w:p>
              </w:tc>
              <w:tc>
                <w:tcPr>
                  <w:tcW w:w="1528" w:type="dxa"/>
                  <w:vMerge w:val="continue"/>
                  <w:tcBorders>
                    <w:tl2br w:val="nil"/>
                    <w:tr2bl w:val="nil"/>
                  </w:tcBorders>
                  <w:vAlign w:val="center"/>
                </w:tcPr>
                <w:p>
                  <w:pPr>
                    <w:pStyle w:val="84"/>
                    <w:jc w:val="center"/>
                    <w:rPr>
                      <w:color w:val="auto"/>
                      <w:szCs w:val="21"/>
                      <w:highlight w:val="none"/>
                    </w:rPr>
                  </w:pPr>
                </w:p>
              </w:tc>
              <w:tc>
                <w:tcPr>
                  <w:tcW w:w="2108"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rPr>
                    <w:t>监控点</w:t>
                  </w:r>
                </w:p>
              </w:tc>
              <w:tc>
                <w:tcPr>
                  <w:tcW w:w="1593" w:type="dxa"/>
                  <w:tcBorders>
                    <w:tl2br w:val="nil"/>
                    <w:tr2bl w:val="nil"/>
                  </w:tcBorders>
                  <w:vAlign w:val="center"/>
                </w:tcPr>
                <w:p>
                  <w:pPr>
                    <w:pStyle w:val="84"/>
                    <w:jc w:val="center"/>
                    <w:rPr>
                      <w:color w:val="auto"/>
                      <w:szCs w:val="21"/>
                      <w:highlight w:val="none"/>
                    </w:rPr>
                  </w:pPr>
                  <w:r>
                    <w:rPr>
                      <w:rFonts w:hint="eastAsia"/>
                      <w:color w:val="auto"/>
                      <w:szCs w:val="21"/>
                      <w:highlight w:val="none"/>
                    </w:rPr>
                    <w:t>浓度mg/m</w:t>
                  </w:r>
                  <w:r>
                    <w:rPr>
                      <w:rFonts w:hint="eastAsia"/>
                      <w:color w:val="auto"/>
                      <w:szCs w:val="21"/>
                      <w:highlight w:val="none"/>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91" w:type="dxa"/>
                  <w:tcBorders>
                    <w:tl2br w:val="nil"/>
                    <w:tr2bl w:val="nil"/>
                  </w:tcBorders>
                  <w:vAlign w:val="center"/>
                </w:tcPr>
                <w:p>
                  <w:pPr>
                    <w:pStyle w:val="84"/>
                    <w:jc w:val="center"/>
                    <w:rPr>
                      <w:color w:val="auto"/>
                      <w:szCs w:val="21"/>
                      <w:highlight w:val="none"/>
                    </w:rPr>
                  </w:pPr>
                  <w:r>
                    <w:rPr>
                      <w:rFonts w:hint="eastAsia"/>
                      <w:color w:val="auto"/>
                      <w:szCs w:val="21"/>
                      <w:highlight w:val="none"/>
                    </w:rPr>
                    <w:t>颗粒物</w:t>
                  </w:r>
                </w:p>
              </w:tc>
              <w:tc>
                <w:tcPr>
                  <w:tcW w:w="1530" w:type="dxa"/>
                  <w:tcBorders>
                    <w:tl2br w:val="nil"/>
                    <w:tr2bl w:val="nil"/>
                  </w:tcBorders>
                  <w:vAlign w:val="center"/>
                </w:tcPr>
                <w:p>
                  <w:pPr>
                    <w:pStyle w:val="84"/>
                    <w:jc w:val="center"/>
                    <w:rPr>
                      <w:color w:val="auto"/>
                      <w:szCs w:val="21"/>
                      <w:highlight w:val="none"/>
                    </w:rPr>
                  </w:pPr>
                  <w:r>
                    <w:rPr>
                      <w:rFonts w:hint="eastAsia"/>
                      <w:color w:val="auto"/>
                      <w:szCs w:val="21"/>
                      <w:highlight w:val="none"/>
                    </w:rPr>
                    <w:t>120</w:t>
                  </w:r>
                </w:p>
              </w:tc>
              <w:tc>
                <w:tcPr>
                  <w:tcW w:w="1528"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15</w:t>
                  </w:r>
                  <w:r>
                    <w:rPr>
                      <w:rFonts w:hint="eastAsia"/>
                      <w:color w:val="auto"/>
                      <w:szCs w:val="21"/>
                      <w:highlight w:val="none"/>
                    </w:rPr>
                    <w:t>m，</w:t>
                  </w:r>
                  <w:r>
                    <w:rPr>
                      <w:rFonts w:hint="eastAsia"/>
                      <w:color w:val="auto"/>
                      <w:szCs w:val="21"/>
                      <w:highlight w:val="none"/>
                      <w:lang w:val="en-US"/>
                    </w:rPr>
                    <w:t>60</w:t>
                  </w:r>
                </w:p>
              </w:tc>
              <w:tc>
                <w:tcPr>
                  <w:tcW w:w="2108"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周界外浓度最高点</w:t>
                  </w:r>
                </w:p>
              </w:tc>
              <w:tc>
                <w:tcPr>
                  <w:tcW w:w="1593" w:type="dxa"/>
                  <w:tcBorders>
                    <w:tl2br w:val="nil"/>
                    <w:tr2bl w:val="nil"/>
                  </w:tcBorders>
                  <w:vAlign w:val="center"/>
                </w:tcPr>
                <w:p>
                  <w:pPr>
                    <w:pStyle w:val="84"/>
                    <w:jc w:val="center"/>
                    <w:rPr>
                      <w:color w:val="auto"/>
                      <w:szCs w:val="21"/>
                      <w:highlight w:val="none"/>
                    </w:rPr>
                  </w:pPr>
                  <w:r>
                    <w:rPr>
                      <w:rFonts w:hint="eastAsia"/>
                      <w:color w:val="auto"/>
                      <w:szCs w:val="21"/>
                      <w:highlight w:val="none"/>
                    </w:rPr>
                    <w:t>1.0</w:t>
                  </w:r>
                </w:p>
              </w:tc>
            </w:tr>
          </w:tbl>
          <w:p>
            <w:pPr>
              <w:pStyle w:val="81"/>
              <w:ind w:firstLine="482"/>
              <w:rPr>
                <w:color w:val="auto"/>
                <w:szCs w:val="21"/>
                <w:highlight w:val="none"/>
              </w:rPr>
            </w:pPr>
            <w:r>
              <w:rPr>
                <w:rFonts w:hint="eastAsia"/>
                <w:color w:val="auto"/>
                <w:szCs w:val="21"/>
                <w:highlight w:val="none"/>
              </w:rPr>
              <w:t xml:space="preserve">表3-8 </w:t>
            </w:r>
            <w:r>
              <w:rPr>
                <w:rStyle w:val="82"/>
                <w:rFonts w:hint="eastAsia"/>
                <w:color w:val="auto"/>
                <w:szCs w:val="21"/>
                <w:highlight w:val="none"/>
              </w:rPr>
              <w:t>DB43/1457-2017《印刷工业挥发性有机物排放标准》</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095"/>
              <w:gridCol w:w="1125"/>
              <w:gridCol w:w="1590"/>
              <w:gridCol w:w="2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1" w:type="dxa"/>
                  <w:tcBorders>
                    <w:tl2br w:val="nil"/>
                    <w:tr2bl w:val="nil"/>
                  </w:tcBorders>
                  <w:vAlign w:val="center"/>
                </w:tcPr>
                <w:p>
                  <w:pPr>
                    <w:pStyle w:val="14"/>
                    <w:spacing w:after="0"/>
                    <w:ind w:left="0" w:leftChars="0"/>
                    <w:jc w:val="center"/>
                    <w:rPr>
                      <w:color w:val="auto"/>
                      <w:sz w:val="21"/>
                      <w:szCs w:val="21"/>
                      <w:highlight w:val="none"/>
                    </w:rPr>
                  </w:pPr>
                  <w:r>
                    <w:rPr>
                      <w:rFonts w:hint="eastAsia"/>
                      <w:color w:val="auto"/>
                      <w:sz w:val="21"/>
                      <w:szCs w:val="21"/>
                      <w:highlight w:val="none"/>
                    </w:rPr>
                    <w:t>污染物</w:t>
                  </w:r>
                </w:p>
              </w:tc>
              <w:tc>
                <w:tcPr>
                  <w:tcW w:w="1095"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排气筒高度（m）</w:t>
                  </w:r>
                </w:p>
              </w:tc>
              <w:tc>
                <w:tcPr>
                  <w:tcW w:w="1125"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排放速率</w:t>
                  </w:r>
                </w:p>
                <w:p>
                  <w:pPr>
                    <w:tabs>
                      <w:tab w:val="left" w:pos="1021"/>
                    </w:tabs>
                    <w:jc w:val="center"/>
                    <w:rPr>
                      <w:color w:val="auto"/>
                      <w:szCs w:val="21"/>
                      <w:highlight w:val="none"/>
                    </w:rPr>
                  </w:pPr>
                  <w:r>
                    <w:rPr>
                      <w:rFonts w:hint="eastAsia"/>
                      <w:color w:val="auto"/>
                      <w:szCs w:val="21"/>
                      <w:highlight w:val="none"/>
                    </w:rPr>
                    <w:t>（kg/h）</w:t>
                  </w:r>
                </w:p>
              </w:tc>
              <w:tc>
                <w:tcPr>
                  <w:tcW w:w="1590"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最高允许排放浓度（mg/m</w:t>
                  </w:r>
                  <w:r>
                    <w:rPr>
                      <w:rFonts w:hint="eastAsia"/>
                      <w:color w:val="auto"/>
                      <w:szCs w:val="21"/>
                      <w:highlight w:val="none"/>
                      <w:vertAlign w:val="superscript"/>
                    </w:rPr>
                    <w:t>3</w:t>
                  </w:r>
                  <w:r>
                    <w:rPr>
                      <w:rFonts w:hint="eastAsia"/>
                      <w:color w:val="auto"/>
                      <w:szCs w:val="21"/>
                      <w:highlight w:val="none"/>
                    </w:rPr>
                    <w:t>）</w:t>
                  </w:r>
                </w:p>
              </w:tc>
              <w:tc>
                <w:tcPr>
                  <w:tcW w:w="2619"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无组织排放监控浓度限值</w:t>
                  </w:r>
                </w:p>
                <w:p>
                  <w:pPr>
                    <w:tabs>
                      <w:tab w:val="left" w:pos="1021"/>
                    </w:tabs>
                    <w:jc w:val="center"/>
                    <w:rPr>
                      <w:color w:val="auto"/>
                      <w:szCs w:val="21"/>
                      <w:highlight w:val="none"/>
                    </w:rPr>
                  </w:pPr>
                  <w:r>
                    <w:rPr>
                      <w:rFonts w:hint="eastAsia"/>
                      <w:color w:val="auto"/>
                      <w:szCs w:val="21"/>
                      <w:highlight w:val="none"/>
                    </w:rPr>
                    <w:t>（周界外浓度最高值mg/m</w:t>
                  </w:r>
                  <w:r>
                    <w:rPr>
                      <w:rFonts w:hint="eastAsia"/>
                      <w:color w:val="auto"/>
                      <w:szCs w:val="21"/>
                      <w:highlight w:val="none"/>
                      <w:vertAlign w:val="superscript"/>
                    </w:rPr>
                    <w:t>3</w:t>
                  </w: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31" w:type="dxa"/>
                  <w:tcBorders>
                    <w:tl2br w:val="nil"/>
                    <w:tr2bl w:val="nil"/>
                  </w:tcBorders>
                  <w:vAlign w:val="center"/>
                </w:tcPr>
                <w:p>
                  <w:pPr>
                    <w:pStyle w:val="14"/>
                    <w:spacing w:after="0"/>
                    <w:ind w:left="0" w:leftChars="0"/>
                    <w:jc w:val="center"/>
                    <w:rPr>
                      <w:color w:val="auto"/>
                      <w:sz w:val="21"/>
                      <w:szCs w:val="21"/>
                      <w:highlight w:val="none"/>
                    </w:rPr>
                  </w:pPr>
                  <w:r>
                    <w:rPr>
                      <w:rFonts w:hint="eastAsia"/>
                      <w:color w:val="auto"/>
                      <w:sz w:val="21"/>
                      <w:szCs w:val="21"/>
                      <w:highlight w:val="none"/>
                    </w:rPr>
                    <w:t>VOCs</w:t>
                  </w:r>
                </w:p>
              </w:tc>
              <w:tc>
                <w:tcPr>
                  <w:tcW w:w="1095"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15</w:t>
                  </w:r>
                </w:p>
              </w:tc>
              <w:tc>
                <w:tcPr>
                  <w:tcW w:w="1125"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1.0</w:t>
                  </w:r>
                </w:p>
              </w:tc>
              <w:tc>
                <w:tcPr>
                  <w:tcW w:w="1590"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40</w:t>
                  </w:r>
                </w:p>
              </w:tc>
              <w:tc>
                <w:tcPr>
                  <w:tcW w:w="2619"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6（1h平均）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331" w:type="dxa"/>
                  <w:tcBorders>
                    <w:tl2br w:val="nil"/>
                    <w:tr2bl w:val="nil"/>
                  </w:tcBorders>
                  <w:vAlign w:val="center"/>
                </w:tcPr>
                <w:p>
                  <w:pPr>
                    <w:pStyle w:val="14"/>
                    <w:spacing w:after="0"/>
                    <w:ind w:left="0" w:leftChars="0"/>
                    <w:jc w:val="center"/>
                    <w:rPr>
                      <w:color w:val="auto"/>
                      <w:sz w:val="21"/>
                      <w:szCs w:val="21"/>
                      <w:highlight w:val="none"/>
                    </w:rPr>
                  </w:pPr>
                  <w:r>
                    <w:rPr>
                      <w:rFonts w:hint="eastAsia"/>
                      <w:color w:val="auto"/>
                      <w:sz w:val="21"/>
                      <w:szCs w:val="21"/>
                      <w:highlight w:val="none"/>
                    </w:rPr>
                    <w:t>二甲苯</w:t>
                  </w:r>
                </w:p>
              </w:tc>
              <w:tc>
                <w:tcPr>
                  <w:tcW w:w="1095"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15</w:t>
                  </w:r>
                </w:p>
              </w:tc>
              <w:tc>
                <w:tcPr>
                  <w:tcW w:w="1125"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0.5</w:t>
                  </w:r>
                </w:p>
              </w:tc>
              <w:tc>
                <w:tcPr>
                  <w:tcW w:w="1590"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8</w:t>
                  </w:r>
                </w:p>
              </w:tc>
              <w:tc>
                <w:tcPr>
                  <w:tcW w:w="2619" w:type="dxa"/>
                  <w:tcBorders>
                    <w:tl2br w:val="nil"/>
                    <w:tr2bl w:val="nil"/>
                  </w:tcBorders>
                  <w:vAlign w:val="center"/>
                </w:tcPr>
                <w:p>
                  <w:pPr>
                    <w:tabs>
                      <w:tab w:val="left" w:pos="1021"/>
                    </w:tabs>
                    <w:jc w:val="center"/>
                    <w:rPr>
                      <w:color w:val="auto"/>
                      <w:szCs w:val="21"/>
                      <w:highlight w:val="none"/>
                    </w:rPr>
                  </w:pPr>
                  <w:r>
                    <w:rPr>
                      <w:rFonts w:hint="eastAsia"/>
                      <w:color w:val="auto"/>
                      <w:szCs w:val="21"/>
                      <w:highlight w:val="none"/>
                    </w:rPr>
                    <w:t>0.4</w:t>
                  </w:r>
                </w:p>
              </w:tc>
            </w:tr>
          </w:tbl>
          <w:p>
            <w:pPr>
              <w:spacing w:line="360" w:lineRule="auto"/>
              <w:rPr>
                <w:rFonts w:eastAsiaTheme="minorEastAsia"/>
                <w:b/>
                <w:color w:val="auto"/>
                <w:sz w:val="24"/>
                <w:highlight w:val="none"/>
              </w:rPr>
            </w:pPr>
            <w:r>
              <w:rPr>
                <w:rFonts w:eastAsiaTheme="minorEastAsia"/>
                <w:b/>
                <w:color w:val="auto"/>
                <w:sz w:val="24"/>
                <w:highlight w:val="none"/>
              </w:rPr>
              <w:t>3、噪声排放标准</w:t>
            </w:r>
          </w:p>
          <w:p>
            <w:pPr>
              <w:spacing w:line="360" w:lineRule="auto"/>
              <w:ind w:firstLine="470" w:firstLineChars="196"/>
              <w:rPr>
                <w:color w:val="auto"/>
                <w:kern w:val="24"/>
                <w:sz w:val="24"/>
                <w:highlight w:val="none"/>
              </w:rPr>
            </w:pPr>
            <w:r>
              <w:rPr>
                <w:rFonts w:hint="eastAsia"/>
                <w:color w:val="auto"/>
                <w:kern w:val="24"/>
                <w:sz w:val="24"/>
                <w:highlight w:val="none"/>
              </w:rPr>
              <w:t>营运期</w:t>
            </w:r>
            <w:r>
              <w:rPr>
                <w:color w:val="auto"/>
                <w:kern w:val="24"/>
                <w:sz w:val="24"/>
                <w:highlight w:val="none"/>
              </w:rPr>
              <w:t>执行《工业企业厂界环境噪声排放标准》</w:t>
            </w:r>
            <w:r>
              <w:rPr>
                <w:rFonts w:hint="eastAsia"/>
                <w:color w:val="auto"/>
                <w:kern w:val="24"/>
                <w:sz w:val="24"/>
                <w:highlight w:val="none"/>
              </w:rPr>
              <w:t>（</w:t>
            </w:r>
            <w:r>
              <w:rPr>
                <w:color w:val="auto"/>
                <w:kern w:val="24"/>
                <w:sz w:val="24"/>
                <w:highlight w:val="none"/>
              </w:rPr>
              <w:t>GB12348-2008</w:t>
            </w:r>
            <w:r>
              <w:rPr>
                <w:rFonts w:hint="eastAsia"/>
                <w:color w:val="auto"/>
                <w:kern w:val="24"/>
                <w:sz w:val="24"/>
                <w:highlight w:val="none"/>
              </w:rPr>
              <w:t>）</w:t>
            </w:r>
            <w:r>
              <w:rPr>
                <w:color w:val="auto"/>
                <w:kern w:val="24"/>
                <w:sz w:val="24"/>
                <w:highlight w:val="none"/>
              </w:rPr>
              <w:t>中</w:t>
            </w:r>
            <w:r>
              <w:rPr>
                <w:rFonts w:hint="eastAsia"/>
                <w:color w:val="auto"/>
                <w:kern w:val="24"/>
                <w:sz w:val="24"/>
                <w:highlight w:val="none"/>
              </w:rPr>
              <w:t>2</w:t>
            </w:r>
            <w:r>
              <w:rPr>
                <w:color w:val="auto"/>
                <w:kern w:val="24"/>
                <w:sz w:val="24"/>
                <w:highlight w:val="none"/>
              </w:rPr>
              <w:t>类标准</w:t>
            </w:r>
            <w:r>
              <w:rPr>
                <w:rFonts w:hint="eastAsia"/>
                <w:color w:val="auto"/>
                <w:kern w:val="24"/>
                <w:sz w:val="24"/>
                <w:highlight w:val="none"/>
              </w:rPr>
              <w:t>。</w:t>
            </w:r>
          </w:p>
          <w:p>
            <w:pPr>
              <w:jc w:val="center"/>
              <w:rPr>
                <w:b/>
                <w:color w:val="auto"/>
                <w:kern w:val="0"/>
                <w:szCs w:val="21"/>
                <w:highlight w:val="none"/>
              </w:rPr>
            </w:pPr>
            <w:r>
              <w:rPr>
                <w:b/>
                <w:color w:val="auto"/>
                <w:kern w:val="0"/>
                <w:szCs w:val="21"/>
                <w:highlight w:val="none"/>
              </w:rPr>
              <w:t>表</w:t>
            </w:r>
            <w:r>
              <w:rPr>
                <w:rFonts w:hint="eastAsia"/>
                <w:b/>
                <w:color w:val="auto"/>
                <w:kern w:val="0"/>
                <w:szCs w:val="21"/>
                <w:highlight w:val="none"/>
              </w:rPr>
              <w:t>3-9</w:t>
            </w:r>
            <w:r>
              <w:rPr>
                <w:b/>
                <w:color w:val="auto"/>
                <w:kern w:val="0"/>
                <w:szCs w:val="21"/>
                <w:highlight w:val="none"/>
              </w:rPr>
              <w:t>《工业企业厂界环境噪声排放标准》（GB12348-2008）</w:t>
            </w:r>
          </w:p>
          <w:tbl>
            <w:tblPr>
              <w:tblStyle w:val="25"/>
              <w:tblW w:w="78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384"/>
              <w:gridCol w:w="1455"/>
              <w:gridCol w:w="1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235" w:type="dxa"/>
                  <w:vMerge w:val="restart"/>
                  <w:tcBorders>
                    <w:tl2br w:val="nil"/>
                    <w:tr2bl w:val="nil"/>
                  </w:tcBorders>
                  <w:vAlign w:val="center"/>
                </w:tcPr>
                <w:p>
                  <w:pPr>
                    <w:pStyle w:val="75"/>
                    <w:spacing w:line="240" w:lineRule="auto"/>
                    <w:jc w:val="center"/>
                    <w:rPr>
                      <w:rFonts w:eastAsia="宋体"/>
                      <w:color w:val="auto"/>
                      <w:sz w:val="21"/>
                      <w:szCs w:val="21"/>
                      <w:highlight w:val="none"/>
                    </w:rPr>
                  </w:pPr>
                  <w:r>
                    <w:rPr>
                      <w:rFonts w:eastAsia="宋体"/>
                      <w:color w:val="auto"/>
                      <w:sz w:val="21"/>
                      <w:szCs w:val="21"/>
                      <w:highlight w:val="none"/>
                    </w:rPr>
                    <w:t>厂界外声环境功能区类别</w:t>
                  </w:r>
                </w:p>
              </w:tc>
              <w:tc>
                <w:tcPr>
                  <w:tcW w:w="2384" w:type="dxa"/>
                  <w:vMerge w:val="restart"/>
                  <w:tcBorders>
                    <w:tl2br w:val="nil"/>
                    <w:tr2bl w:val="nil"/>
                  </w:tcBorders>
                  <w:vAlign w:val="center"/>
                </w:tcPr>
                <w:p>
                  <w:pPr>
                    <w:pStyle w:val="75"/>
                    <w:spacing w:line="240" w:lineRule="auto"/>
                    <w:jc w:val="center"/>
                    <w:rPr>
                      <w:rFonts w:eastAsia="宋体"/>
                      <w:color w:val="auto"/>
                      <w:sz w:val="21"/>
                      <w:szCs w:val="21"/>
                      <w:highlight w:val="none"/>
                    </w:rPr>
                  </w:pPr>
                  <w:r>
                    <w:rPr>
                      <w:rFonts w:eastAsia="宋体"/>
                      <w:color w:val="auto"/>
                      <w:sz w:val="21"/>
                      <w:szCs w:val="21"/>
                      <w:highlight w:val="none"/>
                    </w:rPr>
                    <w:t>执行标准</w:t>
                  </w:r>
                </w:p>
              </w:tc>
              <w:tc>
                <w:tcPr>
                  <w:tcW w:w="3256" w:type="dxa"/>
                  <w:gridSpan w:val="2"/>
                  <w:tcBorders>
                    <w:tl2br w:val="nil"/>
                    <w:tr2bl w:val="nil"/>
                  </w:tcBorders>
                  <w:vAlign w:val="center"/>
                </w:tcPr>
                <w:p>
                  <w:pPr>
                    <w:pStyle w:val="75"/>
                    <w:spacing w:line="240" w:lineRule="auto"/>
                    <w:jc w:val="center"/>
                    <w:rPr>
                      <w:rFonts w:eastAsia="宋体"/>
                      <w:color w:val="auto"/>
                      <w:sz w:val="21"/>
                      <w:szCs w:val="21"/>
                      <w:highlight w:val="none"/>
                    </w:rPr>
                  </w:pPr>
                  <w:r>
                    <w:rPr>
                      <w:rFonts w:eastAsia="宋体"/>
                      <w:color w:val="auto"/>
                      <w:sz w:val="21"/>
                      <w:szCs w:val="21"/>
                      <w:highlight w:val="none"/>
                    </w:rPr>
                    <w:t>标准值dB(A)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235" w:type="dxa"/>
                  <w:vMerge w:val="continue"/>
                  <w:tcBorders>
                    <w:tl2br w:val="nil"/>
                    <w:tr2bl w:val="nil"/>
                  </w:tcBorders>
                  <w:vAlign w:val="center"/>
                </w:tcPr>
                <w:p>
                  <w:pPr>
                    <w:pStyle w:val="75"/>
                    <w:spacing w:line="240" w:lineRule="auto"/>
                    <w:jc w:val="center"/>
                    <w:rPr>
                      <w:rFonts w:eastAsia="宋体"/>
                      <w:color w:val="auto"/>
                      <w:sz w:val="21"/>
                      <w:szCs w:val="21"/>
                      <w:highlight w:val="none"/>
                    </w:rPr>
                  </w:pPr>
                </w:p>
              </w:tc>
              <w:tc>
                <w:tcPr>
                  <w:tcW w:w="2384" w:type="dxa"/>
                  <w:vMerge w:val="continue"/>
                  <w:tcBorders>
                    <w:tl2br w:val="nil"/>
                    <w:tr2bl w:val="nil"/>
                  </w:tcBorders>
                  <w:vAlign w:val="center"/>
                </w:tcPr>
                <w:p>
                  <w:pPr>
                    <w:pStyle w:val="75"/>
                    <w:spacing w:line="240" w:lineRule="auto"/>
                    <w:jc w:val="center"/>
                    <w:rPr>
                      <w:rFonts w:eastAsia="宋体"/>
                      <w:color w:val="auto"/>
                      <w:sz w:val="21"/>
                      <w:szCs w:val="21"/>
                      <w:highlight w:val="none"/>
                    </w:rPr>
                  </w:pPr>
                </w:p>
              </w:tc>
              <w:tc>
                <w:tcPr>
                  <w:tcW w:w="1455" w:type="dxa"/>
                  <w:tcBorders>
                    <w:tl2br w:val="nil"/>
                    <w:tr2bl w:val="nil"/>
                  </w:tcBorders>
                  <w:vAlign w:val="center"/>
                </w:tcPr>
                <w:p>
                  <w:pPr>
                    <w:pStyle w:val="75"/>
                    <w:spacing w:line="240" w:lineRule="auto"/>
                    <w:jc w:val="center"/>
                    <w:rPr>
                      <w:rFonts w:eastAsia="宋体"/>
                      <w:color w:val="auto"/>
                      <w:sz w:val="21"/>
                      <w:szCs w:val="21"/>
                      <w:highlight w:val="none"/>
                    </w:rPr>
                  </w:pPr>
                  <w:r>
                    <w:rPr>
                      <w:rFonts w:eastAsia="宋体"/>
                      <w:color w:val="auto"/>
                      <w:sz w:val="21"/>
                      <w:szCs w:val="21"/>
                      <w:highlight w:val="none"/>
                    </w:rPr>
                    <w:t>昼间</w:t>
                  </w:r>
                </w:p>
              </w:tc>
              <w:tc>
                <w:tcPr>
                  <w:tcW w:w="1801" w:type="dxa"/>
                  <w:tcBorders>
                    <w:tl2br w:val="nil"/>
                    <w:tr2bl w:val="nil"/>
                  </w:tcBorders>
                  <w:vAlign w:val="center"/>
                </w:tcPr>
                <w:p>
                  <w:pPr>
                    <w:pStyle w:val="75"/>
                    <w:spacing w:line="240" w:lineRule="auto"/>
                    <w:jc w:val="center"/>
                    <w:rPr>
                      <w:rFonts w:eastAsia="宋体"/>
                      <w:color w:val="auto"/>
                      <w:sz w:val="21"/>
                      <w:szCs w:val="21"/>
                      <w:highlight w:val="none"/>
                    </w:rPr>
                  </w:pPr>
                  <w:r>
                    <w:rPr>
                      <w:rFonts w:eastAsia="宋体"/>
                      <w:color w:val="auto"/>
                      <w:sz w:val="21"/>
                      <w:szCs w:val="21"/>
                      <w:highlight w:val="none"/>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235" w:type="dxa"/>
                  <w:tcBorders>
                    <w:tl2br w:val="nil"/>
                    <w:tr2bl w:val="nil"/>
                  </w:tcBorders>
                  <w:vAlign w:val="center"/>
                </w:tcPr>
                <w:p>
                  <w:pPr>
                    <w:pStyle w:val="75"/>
                    <w:spacing w:line="240" w:lineRule="auto"/>
                    <w:jc w:val="center"/>
                    <w:rPr>
                      <w:rFonts w:eastAsia="宋体"/>
                      <w:color w:val="auto"/>
                      <w:sz w:val="21"/>
                      <w:szCs w:val="21"/>
                      <w:highlight w:val="none"/>
                    </w:rPr>
                  </w:pPr>
                  <w:r>
                    <w:rPr>
                      <w:rFonts w:hint="eastAsia" w:eastAsia="宋体"/>
                      <w:color w:val="auto"/>
                      <w:sz w:val="21"/>
                      <w:szCs w:val="21"/>
                      <w:highlight w:val="none"/>
                    </w:rPr>
                    <w:t>2</w:t>
                  </w:r>
                  <w:r>
                    <w:rPr>
                      <w:rFonts w:eastAsia="宋体"/>
                      <w:color w:val="auto"/>
                      <w:sz w:val="21"/>
                      <w:szCs w:val="21"/>
                      <w:highlight w:val="none"/>
                    </w:rPr>
                    <w:t>类</w:t>
                  </w:r>
                </w:p>
              </w:tc>
              <w:tc>
                <w:tcPr>
                  <w:tcW w:w="2384" w:type="dxa"/>
                  <w:tcBorders>
                    <w:tl2br w:val="nil"/>
                    <w:tr2bl w:val="nil"/>
                  </w:tcBorders>
                  <w:vAlign w:val="center"/>
                </w:tcPr>
                <w:p>
                  <w:pPr>
                    <w:pStyle w:val="75"/>
                    <w:spacing w:line="240" w:lineRule="auto"/>
                    <w:jc w:val="center"/>
                    <w:rPr>
                      <w:rFonts w:eastAsia="宋体"/>
                      <w:color w:val="auto"/>
                      <w:sz w:val="21"/>
                      <w:szCs w:val="21"/>
                      <w:highlight w:val="none"/>
                    </w:rPr>
                  </w:pPr>
                  <w:r>
                    <w:rPr>
                      <w:rFonts w:eastAsia="宋体"/>
                      <w:color w:val="auto"/>
                      <w:sz w:val="21"/>
                      <w:szCs w:val="21"/>
                      <w:highlight w:val="none"/>
                    </w:rPr>
                    <w:t>GB12348-2008</w:t>
                  </w:r>
                </w:p>
              </w:tc>
              <w:tc>
                <w:tcPr>
                  <w:tcW w:w="1455" w:type="dxa"/>
                  <w:tcBorders>
                    <w:tl2br w:val="nil"/>
                    <w:tr2bl w:val="nil"/>
                  </w:tcBorders>
                  <w:vAlign w:val="center"/>
                </w:tcPr>
                <w:p>
                  <w:pPr>
                    <w:pStyle w:val="75"/>
                    <w:spacing w:line="240" w:lineRule="auto"/>
                    <w:jc w:val="center"/>
                    <w:rPr>
                      <w:rFonts w:eastAsia="宋体"/>
                      <w:color w:val="auto"/>
                      <w:sz w:val="21"/>
                      <w:szCs w:val="21"/>
                      <w:highlight w:val="none"/>
                    </w:rPr>
                  </w:pPr>
                  <w:r>
                    <w:rPr>
                      <w:rFonts w:hint="eastAsia" w:eastAsia="宋体"/>
                      <w:color w:val="auto"/>
                      <w:sz w:val="21"/>
                      <w:szCs w:val="21"/>
                      <w:highlight w:val="none"/>
                    </w:rPr>
                    <w:t>60</w:t>
                  </w:r>
                </w:p>
              </w:tc>
              <w:tc>
                <w:tcPr>
                  <w:tcW w:w="1801" w:type="dxa"/>
                  <w:tcBorders>
                    <w:tl2br w:val="nil"/>
                    <w:tr2bl w:val="nil"/>
                  </w:tcBorders>
                  <w:vAlign w:val="center"/>
                </w:tcPr>
                <w:p>
                  <w:pPr>
                    <w:pStyle w:val="75"/>
                    <w:spacing w:line="240" w:lineRule="auto"/>
                    <w:jc w:val="center"/>
                    <w:rPr>
                      <w:rFonts w:eastAsia="宋体"/>
                      <w:color w:val="auto"/>
                      <w:sz w:val="21"/>
                      <w:szCs w:val="21"/>
                      <w:highlight w:val="none"/>
                    </w:rPr>
                  </w:pPr>
                  <w:r>
                    <w:rPr>
                      <w:rFonts w:hint="eastAsia" w:eastAsia="宋体"/>
                      <w:color w:val="auto"/>
                      <w:sz w:val="21"/>
                      <w:szCs w:val="21"/>
                      <w:highlight w:val="none"/>
                    </w:rPr>
                    <w:t>50</w:t>
                  </w:r>
                </w:p>
              </w:tc>
            </w:tr>
          </w:tbl>
          <w:p>
            <w:pPr>
              <w:spacing w:line="360" w:lineRule="auto"/>
              <w:rPr>
                <w:rFonts w:eastAsiaTheme="minorEastAsia"/>
                <w:b/>
                <w:color w:val="auto"/>
                <w:sz w:val="24"/>
                <w:highlight w:val="none"/>
              </w:rPr>
            </w:pPr>
            <w:r>
              <w:rPr>
                <w:rFonts w:eastAsiaTheme="minorEastAsia"/>
                <w:b/>
                <w:color w:val="auto"/>
                <w:sz w:val="24"/>
                <w:highlight w:val="none"/>
              </w:rPr>
              <w:t>4、固体废物</w:t>
            </w:r>
            <w:r>
              <w:rPr>
                <w:rFonts w:hint="eastAsia" w:eastAsiaTheme="minorEastAsia"/>
                <w:b/>
                <w:color w:val="auto"/>
                <w:sz w:val="24"/>
                <w:highlight w:val="none"/>
              </w:rPr>
              <w:t>控制标准</w:t>
            </w:r>
          </w:p>
          <w:p>
            <w:pPr>
              <w:spacing w:line="360" w:lineRule="auto"/>
              <w:ind w:firstLine="480" w:firstLineChars="200"/>
              <w:rPr>
                <w:rFonts w:ascii="宋体" w:hAnsi="宋体" w:cs="宋体"/>
                <w:color w:val="auto"/>
                <w:kern w:val="0"/>
                <w:sz w:val="24"/>
                <w:highlight w:val="none"/>
              </w:rPr>
            </w:pPr>
            <w:r>
              <w:rPr>
                <w:rFonts w:hint="eastAsia"/>
                <w:color w:val="auto"/>
                <w:kern w:val="24"/>
                <w:sz w:val="24"/>
                <w:highlight w:val="none"/>
              </w:rPr>
              <w:t>一般工业固体废物执行《一般工业固体废物贮存和填埋污染控制标准》（GB18599-2020），危险废物执行《危险废物贮存污染控制标准》（GB18597-2023），生活垃圾执行《生活垃圾填埋场污染控制标准》（GB16889-2008）。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9" w:hRule="atLeast"/>
          <w:jc w:val="center"/>
        </w:trPr>
        <w:tc>
          <w:tcPr>
            <w:tcW w:w="800" w:type="dxa"/>
            <w:vAlign w:val="center"/>
          </w:tcPr>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总量</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控制</w:t>
            </w:r>
          </w:p>
          <w:p>
            <w:pPr>
              <w:adjustRightInd w:val="0"/>
              <w:snapToGrid w:val="0"/>
              <w:jc w:val="center"/>
              <w:rPr>
                <w:rFonts w:ascii="宋体" w:hAnsi="宋体" w:cs="宋体"/>
                <w:color w:val="auto"/>
                <w:kern w:val="0"/>
                <w:sz w:val="24"/>
                <w:highlight w:val="none"/>
              </w:rPr>
            </w:pPr>
            <w:r>
              <w:rPr>
                <w:rFonts w:hint="eastAsia" w:ascii="宋体" w:hAnsi="宋体" w:cs="宋体"/>
                <w:color w:val="auto"/>
                <w:kern w:val="0"/>
                <w:sz w:val="24"/>
                <w:highlight w:val="none"/>
              </w:rPr>
              <w:t>指标</w:t>
            </w:r>
          </w:p>
        </w:tc>
        <w:tc>
          <w:tcPr>
            <w:tcW w:w="8190" w:type="dxa"/>
            <w:vAlign w:val="center"/>
          </w:tcPr>
          <w:p>
            <w:pPr>
              <w:adjustRightInd w:val="0"/>
              <w:snapToGrid w:val="0"/>
              <w:spacing w:before="120" w:beforeLines="50" w:line="360" w:lineRule="auto"/>
              <w:ind w:firstLine="480" w:firstLineChars="200"/>
              <w:jc w:val="left"/>
              <w:rPr>
                <w:color w:val="auto"/>
                <w:sz w:val="24"/>
                <w:highlight w:val="none"/>
              </w:rPr>
            </w:pPr>
          </w:p>
          <w:p>
            <w:pPr>
              <w:spacing w:line="360" w:lineRule="auto"/>
              <w:ind w:firstLine="480" w:firstLineChars="200"/>
              <w:rPr>
                <w:rFonts w:hAnsi="宋体"/>
                <w:bCs/>
                <w:color w:val="auto"/>
                <w:sz w:val="24"/>
                <w:highlight w:val="none"/>
              </w:rPr>
            </w:pPr>
            <w:r>
              <w:rPr>
                <w:rFonts w:hint="eastAsia"/>
                <w:color w:val="auto"/>
                <w:sz w:val="24"/>
                <w:highlight w:val="none"/>
              </w:rPr>
              <w:t>本项目无生产废水外排，根据项目实际情况，评价建议项目总量控制指标情况见下表</w:t>
            </w:r>
            <w:r>
              <w:rPr>
                <w:rFonts w:hint="eastAsia" w:hAnsi="宋体"/>
                <w:bCs/>
                <w:color w:val="auto"/>
                <w:sz w:val="24"/>
                <w:highlight w:val="none"/>
              </w:rPr>
              <w:t>。</w:t>
            </w:r>
          </w:p>
          <w:p>
            <w:pPr>
              <w:spacing w:line="300" w:lineRule="exact"/>
              <w:jc w:val="center"/>
              <w:rPr>
                <w:rFonts w:eastAsiaTheme="minorEastAsia"/>
                <w:b/>
                <w:bCs/>
                <w:color w:val="auto"/>
                <w:szCs w:val="21"/>
                <w:highlight w:val="none"/>
              </w:rPr>
            </w:pPr>
            <w:r>
              <w:rPr>
                <w:rFonts w:hAnsiTheme="minorEastAsia" w:eastAsiaTheme="minorEastAsia"/>
                <w:b/>
                <w:bCs/>
                <w:color w:val="auto"/>
                <w:szCs w:val="21"/>
                <w:highlight w:val="none"/>
              </w:rPr>
              <w:t>表</w:t>
            </w:r>
            <w:r>
              <w:rPr>
                <w:rFonts w:hint="eastAsia" w:eastAsiaTheme="minorEastAsia"/>
                <w:b/>
                <w:bCs/>
                <w:color w:val="auto"/>
                <w:szCs w:val="21"/>
                <w:highlight w:val="none"/>
              </w:rPr>
              <w:t>3</w:t>
            </w:r>
            <w:r>
              <w:rPr>
                <w:rFonts w:eastAsiaTheme="minorEastAsia"/>
                <w:b/>
                <w:bCs/>
                <w:color w:val="auto"/>
                <w:szCs w:val="21"/>
                <w:highlight w:val="none"/>
              </w:rPr>
              <w:t>-1</w:t>
            </w:r>
            <w:r>
              <w:rPr>
                <w:rFonts w:hint="eastAsia" w:eastAsiaTheme="minorEastAsia"/>
                <w:b/>
                <w:bCs/>
                <w:color w:val="auto"/>
                <w:szCs w:val="21"/>
                <w:highlight w:val="none"/>
              </w:rPr>
              <w:t>2  项目</w:t>
            </w:r>
            <w:r>
              <w:rPr>
                <w:rFonts w:hAnsiTheme="minorEastAsia" w:eastAsiaTheme="minorEastAsia"/>
                <w:b/>
                <w:bCs/>
                <w:color w:val="auto"/>
                <w:szCs w:val="21"/>
                <w:highlight w:val="none"/>
              </w:rPr>
              <w:t>总量控制指标</w:t>
            </w:r>
          </w:p>
          <w:tbl>
            <w:tblPr>
              <w:tblStyle w:val="59"/>
              <w:tblW w:w="74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16"/>
              <w:gridCol w:w="1955"/>
              <w:gridCol w:w="2112"/>
              <w:gridCol w:w="231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2" w:hRule="exact"/>
                <w:jc w:val="center"/>
              </w:trPr>
              <w:tc>
                <w:tcPr>
                  <w:tcW w:w="1016" w:type="dxa"/>
                  <w:tcBorders>
                    <w:tl2br w:val="nil"/>
                    <w:tr2bl w:val="nil"/>
                  </w:tcBorders>
                  <w:vAlign w:val="center"/>
                </w:tcPr>
                <w:p>
                  <w:pPr>
                    <w:pStyle w:val="60"/>
                    <w:spacing w:line="240" w:lineRule="exac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类别</w:t>
                  </w:r>
                </w:p>
              </w:tc>
              <w:tc>
                <w:tcPr>
                  <w:tcW w:w="1955" w:type="dxa"/>
                  <w:tcBorders>
                    <w:tl2br w:val="nil"/>
                    <w:tr2bl w:val="nil"/>
                  </w:tcBorders>
                  <w:vAlign w:val="center"/>
                </w:tcPr>
                <w:p>
                  <w:pPr>
                    <w:pStyle w:val="60"/>
                    <w:spacing w:line="240" w:lineRule="exac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pacing w:val="-1"/>
                      <w:sz w:val="21"/>
                      <w:szCs w:val="21"/>
                      <w:highlight w:val="none"/>
                      <w:lang w:eastAsia="zh-CN"/>
                    </w:rPr>
                    <w:t>总量控制因子</w:t>
                  </w:r>
                </w:p>
              </w:tc>
              <w:tc>
                <w:tcPr>
                  <w:tcW w:w="2112" w:type="dxa"/>
                  <w:tcBorders>
                    <w:tl2br w:val="nil"/>
                    <w:tr2bl w:val="nil"/>
                  </w:tcBorders>
                  <w:vAlign w:val="center"/>
                </w:tcPr>
                <w:p>
                  <w:pPr>
                    <w:pStyle w:val="60"/>
                    <w:spacing w:line="240" w:lineRule="exac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pacing w:val="-1"/>
                      <w:sz w:val="21"/>
                      <w:szCs w:val="21"/>
                      <w:highlight w:val="none"/>
                      <w:lang w:eastAsia="zh-CN"/>
                    </w:rPr>
                    <w:t>项目排放量</w:t>
                  </w:r>
                </w:p>
              </w:tc>
              <w:tc>
                <w:tcPr>
                  <w:tcW w:w="2317" w:type="dxa"/>
                  <w:tcBorders>
                    <w:tl2br w:val="nil"/>
                    <w:tr2bl w:val="nil"/>
                  </w:tcBorders>
                  <w:vAlign w:val="center"/>
                </w:tcPr>
                <w:p>
                  <w:pPr>
                    <w:pStyle w:val="60"/>
                    <w:spacing w:line="240" w:lineRule="exact"/>
                    <w:jc w:val="center"/>
                    <w:rPr>
                      <w:rFonts w:hint="default" w:ascii="Times New Roman" w:hAnsi="Times New Roman" w:cs="Times New Roman"/>
                      <w:color w:val="auto"/>
                      <w:spacing w:val="-1"/>
                      <w:sz w:val="21"/>
                      <w:szCs w:val="21"/>
                      <w:highlight w:val="none"/>
                      <w:lang w:eastAsia="zh-CN"/>
                    </w:rPr>
                  </w:pPr>
                  <w:r>
                    <w:rPr>
                      <w:rFonts w:hint="default" w:ascii="Times New Roman" w:hAnsi="Times New Roman" w:cs="Times New Roman"/>
                      <w:color w:val="auto"/>
                      <w:spacing w:val="-1"/>
                      <w:sz w:val="21"/>
                      <w:szCs w:val="21"/>
                      <w:highlight w:val="none"/>
                      <w:lang w:eastAsia="zh-CN"/>
                    </w:rPr>
                    <w:t>建议购买的总量控制指标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016" w:type="dxa"/>
                  <w:vMerge w:val="restart"/>
                  <w:tcBorders>
                    <w:tl2br w:val="nil"/>
                    <w:tr2bl w:val="nil"/>
                  </w:tcBorders>
                  <w:vAlign w:val="center"/>
                </w:tcPr>
                <w:p>
                  <w:pPr>
                    <w:pStyle w:val="60"/>
                    <w:spacing w:line="24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废气</w:t>
                  </w:r>
                </w:p>
              </w:tc>
              <w:tc>
                <w:tcPr>
                  <w:tcW w:w="1955" w:type="dxa"/>
                  <w:tcBorders>
                    <w:tl2br w:val="nil"/>
                    <w:tr2bl w:val="nil"/>
                  </w:tcBorders>
                  <w:vAlign w:val="center"/>
                </w:tcPr>
                <w:p>
                  <w:pPr>
                    <w:pStyle w:val="60"/>
                    <w:spacing w:line="240" w:lineRule="exact"/>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VOCs</w:t>
                  </w:r>
                </w:p>
              </w:tc>
              <w:tc>
                <w:tcPr>
                  <w:tcW w:w="2112" w:type="dxa"/>
                  <w:tcBorders>
                    <w:tl2br w:val="nil"/>
                    <w:tr2bl w:val="nil"/>
                  </w:tcBorders>
                  <w:vAlign w:val="center"/>
                </w:tcPr>
                <w:p>
                  <w:pPr>
                    <w:jc w:val="center"/>
                    <w:rPr>
                      <w:rFonts w:hint="default" w:ascii="Times New Roman" w:hAnsi="Times New Roman" w:cs="Times New Roman" w:eastAsiaTheme="minorEastAsia"/>
                      <w:color w:val="auto"/>
                      <w:kern w:val="0"/>
                      <w:szCs w:val="21"/>
                      <w:highlight w:val="none"/>
                      <w:lang w:eastAsia="en-US"/>
                    </w:rPr>
                  </w:pPr>
                  <w:r>
                    <w:rPr>
                      <w:rFonts w:hint="default" w:ascii="Times New Roman" w:hAnsi="Times New Roman" w:cs="Times New Roman" w:eastAsiaTheme="minorEastAsia"/>
                      <w:color w:val="auto"/>
                      <w:kern w:val="0"/>
                      <w:szCs w:val="21"/>
                      <w:highlight w:val="none"/>
                      <w:lang w:val="en-US" w:eastAsia="zh-CN"/>
                    </w:rPr>
                    <w:t>0.20267</w:t>
                  </w:r>
                  <w:r>
                    <w:rPr>
                      <w:rFonts w:hint="default" w:ascii="Times New Roman" w:hAnsi="Times New Roman" w:cs="Times New Roman"/>
                      <w:color w:val="auto"/>
                      <w:spacing w:val="-1"/>
                      <w:szCs w:val="21"/>
                      <w:highlight w:val="none"/>
                      <w:lang w:eastAsia="en-US"/>
                    </w:rPr>
                    <w:t>t/a</w:t>
                  </w:r>
                </w:p>
              </w:tc>
              <w:tc>
                <w:tcPr>
                  <w:tcW w:w="2317" w:type="dxa"/>
                  <w:tcBorders>
                    <w:tl2br w:val="nil"/>
                    <w:tr2bl w:val="nil"/>
                  </w:tcBorders>
                  <w:vAlign w:val="center"/>
                </w:tcPr>
                <w:p>
                  <w:pPr>
                    <w:jc w:val="center"/>
                    <w:rPr>
                      <w:rFonts w:hint="default" w:ascii="Times New Roman" w:hAnsi="Times New Roman" w:cs="Times New Roman" w:eastAsiaTheme="minorEastAsia"/>
                      <w:color w:val="auto"/>
                      <w:kern w:val="0"/>
                      <w:szCs w:val="21"/>
                      <w:highlight w:val="none"/>
                      <w:lang w:val="en-US" w:eastAsia="zh-CN"/>
                    </w:rPr>
                  </w:pPr>
                  <w:r>
                    <w:rPr>
                      <w:rFonts w:hint="default" w:ascii="Times New Roman" w:hAnsi="Times New Roman" w:cs="Times New Roman" w:eastAsiaTheme="minorEastAsia"/>
                      <w:color w:val="auto"/>
                      <w:kern w:val="0"/>
                      <w:szCs w:val="21"/>
                      <w:highlight w:val="none"/>
                      <w:lang w:val="en-US" w:eastAsia="zh-CN"/>
                    </w:rPr>
                    <w:t>0.2027</w:t>
                  </w:r>
                  <w:r>
                    <w:rPr>
                      <w:rFonts w:hint="default" w:ascii="Times New Roman" w:hAnsi="Times New Roman" w:cs="Times New Roman"/>
                      <w:color w:val="auto"/>
                      <w:spacing w:val="-1"/>
                      <w:szCs w:val="21"/>
                      <w:highlight w:val="none"/>
                      <w:lang w:eastAsia="en-US"/>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016" w:type="dxa"/>
                  <w:vMerge w:val="continue"/>
                  <w:tcBorders>
                    <w:tl2br w:val="nil"/>
                    <w:tr2bl w:val="nil"/>
                  </w:tcBorders>
                  <w:vAlign w:val="center"/>
                </w:tcPr>
                <w:p>
                  <w:pPr>
                    <w:pStyle w:val="60"/>
                    <w:spacing w:line="240" w:lineRule="exact"/>
                    <w:jc w:val="center"/>
                    <w:rPr>
                      <w:rFonts w:hint="default" w:ascii="Times New Roman" w:hAnsi="Times New Roman" w:cs="Times New Roman"/>
                      <w:color w:val="auto"/>
                      <w:sz w:val="21"/>
                      <w:szCs w:val="21"/>
                      <w:highlight w:val="none"/>
                    </w:rPr>
                  </w:pPr>
                </w:p>
              </w:tc>
              <w:tc>
                <w:tcPr>
                  <w:tcW w:w="1955" w:type="dxa"/>
                  <w:tcBorders>
                    <w:tl2br w:val="nil"/>
                    <w:tr2bl w:val="nil"/>
                  </w:tcBorders>
                  <w:vAlign w:val="center"/>
                </w:tcPr>
                <w:p>
                  <w:pPr>
                    <w:pStyle w:val="62"/>
                    <w:snapToGrid w:val="0"/>
                    <w:spacing w:line="260" w:lineRule="exact"/>
                    <w:jc w:val="center"/>
                    <w:rPr>
                      <w:rFonts w:hint="default" w:ascii="Times New Roman" w:hAnsi="Times New Roman" w:cs="Times New Roman"/>
                      <w:color w:val="auto"/>
                      <w:highlight w:val="none"/>
                      <w:lang w:eastAsia="en-US"/>
                    </w:rPr>
                  </w:pPr>
                  <w:r>
                    <w:rPr>
                      <w:rFonts w:hint="default" w:ascii="Times New Roman" w:hAnsi="Times New Roman" w:eastAsia="宋体" w:cs="Times New Roman"/>
                      <w:color w:val="auto"/>
                      <w:kern w:val="0"/>
                      <w:highlight w:val="none"/>
                      <w:lang w:eastAsia="en-US"/>
                    </w:rPr>
                    <w:t>SO</w:t>
                  </w:r>
                  <w:r>
                    <w:rPr>
                      <w:rFonts w:hint="default" w:ascii="Times New Roman" w:hAnsi="Times New Roman" w:eastAsia="宋体" w:cs="Times New Roman"/>
                      <w:color w:val="auto"/>
                      <w:kern w:val="0"/>
                      <w:highlight w:val="none"/>
                      <w:vertAlign w:val="subscript"/>
                      <w:lang w:eastAsia="en-US"/>
                    </w:rPr>
                    <w:t>2</w:t>
                  </w:r>
                </w:p>
              </w:tc>
              <w:tc>
                <w:tcPr>
                  <w:tcW w:w="2112" w:type="dxa"/>
                  <w:tcBorders>
                    <w:tl2br w:val="nil"/>
                    <w:tr2bl w:val="nil"/>
                  </w:tcBorders>
                  <w:vAlign w:val="center"/>
                </w:tcPr>
                <w:p>
                  <w:pPr>
                    <w:pStyle w:val="85"/>
                    <w:widowControl w:val="0"/>
                    <w:rPr>
                      <w:rFonts w:hint="default" w:ascii="Times New Roman" w:hAnsi="Times New Roman" w:cs="Times New Roman" w:eastAsiaTheme="minorEastAsia"/>
                      <w:color w:val="auto"/>
                      <w:kern w:val="0"/>
                      <w:highlight w:val="none"/>
                      <w:lang w:eastAsia="en-US"/>
                    </w:rPr>
                  </w:pPr>
                  <w:r>
                    <w:rPr>
                      <w:rFonts w:hint="default" w:ascii="Times New Roman" w:hAnsi="Times New Roman" w:cs="Times New Roman"/>
                      <w:color w:val="auto"/>
                      <w:highlight w:val="none"/>
                      <w:lang w:eastAsia="en-US"/>
                    </w:rPr>
                    <w:t>0.0400kg/a</w:t>
                  </w:r>
                </w:p>
              </w:tc>
              <w:tc>
                <w:tcPr>
                  <w:tcW w:w="2317" w:type="dxa"/>
                  <w:tcBorders>
                    <w:tl2br w:val="nil"/>
                    <w:tr2bl w:val="nil"/>
                  </w:tcBorders>
                  <w:vAlign w:val="center"/>
                </w:tcPr>
                <w:p>
                  <w:pPr>
                    <w:pStyle w:val="85"/>
                    <w:widowControl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0.0001</w:t>
                  </w:r>
                  <w:r>
                    <w:rPr>
                      <w:rFonts w:hint="default" w:ascii="Times New Roman" w:hAnsi="Times New Roman" w:cs="Times New Roman"/>
                      <w:color w:val="auto"/>
                      <w:spacing w:val="-1"/>
                      <w:szCs w:val="21"/>
                      <w:highlight w:val="none"/>
                      <w:lang w:eastAsia="en-US"/>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016" w:type="dxa"/>
                  <w:vMerge w:val="continue"/>
                  <w:tcBorders>
                    <w:tl2br w:val="nil"/>
                    <w:tr2bl w:val="nil"/>
                  </w:tcBorders>
                  <w:vAlign w:val="center"/>
                </w:tcPr>
                <w:p>
                  <w:pPr>
                    <w:pStyle w:val="60"/>
                    <w:spacing w:line="240" w:lineRule="exact"/>
                    <w:jc w:val="center"/>
                    <w:rPr>
                      <w:rFonts w:hint="default" w:ascii="Times New Roman" w:hAnsi="Times New Roman" w:cs="Times New Roman"/>
                      <w:color w:val="auto"/>
                      <w:sz w:val="21"/>
                      <w:szCs w:val="21"/>
                      <w:highlight w:val="none"/>
                    </w:rPr>
                  </w:pPr>
                </w:p>
              </w:tc>
              <w:tc>
                <w:tcPr>
                  <w:tcW w:w="1955" w:type="dxa"/>
                  <w:tcBorders>
                    <w:tl2br w:val="nil"/>
                    <w:tr2bl w:val="nil"/>
                  </w:tcBorders>
                  <w:vAlign w:val="center"/>
                </w:tcPr>
                <w:p>
                  <w:pPr>
                    <w:pStyle w:val="62"/>
                    <w:snapToGrid w:val="0"/>
                    <w:spacing w:line="260" w:lineRule="exact"/>
                    <w:jc w:val="center"/>
                    <w:rPr>
                      <w:rFonts w:hint="default" w:ascii="Times New Roman" w:hAnsi="Times New Roman" w:cs="Times New Roman"/>
                      <w:color w:val="auto"/>
                      <w:highlight w:val="none"/>
                      <w:lang w:eastAsia="en-US"/>
                    </w:rPr>
                  </w:pPr>
                  <w:r>
                    <w:rPr>
                      <w:rFonts w:hint="default" w:ascii="Times New Roman" w:hAnsi="Times New Roman" w:eastAsia="宋体" w:cs="Times New Roman"/>
                      <w:color w:val="auto"/>
                      <w:kern w:val="0"/>
                      <w:highlight w:val="none"/>
                      <w:lang w:eastAsia="en-US"/>
                    </w:rPr>
                    <w:t>NOx</w:t>
                  </w:r>
                </w:p>
              </w:tc>
              <w:tc>
                <w:tcPr>
                  <w:tcW w:w="2112" w:type="dxa"/>
                  <w:tcBorders>
                    <w:tl2br w:val="nil"/>
                    <w:tr2bl w:val="nil"/>
                  </w:tcBorders>
                  <w:vAlign w:val="center"/>
                </w:tcPr>
                <w:p>
                  <w:pPr>
                    <w:pStyle w:val="85"/>
                    <w:widowControl w:val="0"/>
                    <w:rPr>
                      <w:rFonts w:hint="default" w:ascii="Times New Roman" w:hAnsi="Times New Roman" w:cs="Times New Roman" w:eastAsiaTheme="minorEastAsia"/>
                      <w:color w:val="auto"/>
                      <w:kern w:val="0"/>
                      <w:highlight w:val="none"/>
                      <w:lang w:eastAsia="en-US"/>
                    </w:rPr>
                  </w:pPr>
                  <w:r>
                    <w:rPr>
                      <w:rFonts w:hint="default" w:ascii="Times New Roman" w:hAnsi="Times New Roman" w:cs="Times New Roman"/>
                      <w:color w:val="auto"/>
                      <w:highlight w:val="none"/>
                      <w:lang w:eastAsia="en-US"/>
                    </w:rPr>
                    <w:t>0.3174kg/a</w:t>
                  </w:r>
                </w:p>
              </w:tc>
              <w:tc>
                <w:tcPr>
                  <w:tcW w:w="2317" w:type="dxa"/>
                  <w:tcBorders>
                    <w:tl2br w:val="nil"/>
                    <w:tr2bl w:val="nil"/>
                  </w:tcBorders>
                  <w:vAlign w:val="center"/>
                </w:tcPr>
                <w:p>
                  <w:pPr>
                    <w:pStyle w:val="85"/>
                    <w:widowControl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0.0004</w:t>
                  </w:r>
                  <w:r>
                    <w:rPr>
                      <w:rFonts w:hint="default" w:ascii="Times New Roman" w:hAnsi="Times New Roman" w:cs="Times New Roman"/>
                      <w:color w:val="auto"/>
                      <w:spacing w:val="-1"/>
                      <w:szCs w:val="21"/>
                      <w:highlight w:val="none"/>
                      <w:lang w:eastAsia="en-US"/>
                    </w:rPr>
                    <w:t>t/a</w:t>
                  </w:r>
                </w:p>
              </w:tc>
            </w:tr>
          </w:tbl>
          <w:p>
            <w:pPr>
              <w:adjustRightInd w:val="0"/>
              <w:snapToGrid w:val="0"/>
              <w:spacing w:line="360" w:lineRule="auto"/>
              <w:jc w:val="left"/>
              <w:rPr>
                <w:rFonts w:ascii="宋体" w:hAnsi="宋体" w:cs="宋体"/>
                <w:color w:val="auto"/>
                <w:kern w:val="0"/>
                <w:sz w:val="24"/>
                <w:highlight w:val="none"/>
              </w:rPr>
            </w:pPr>
          </w:p>
        </w:tc>
      </w:tr>
    </w:tbl>
    <w:p>
      <w:pPr>
        <w:pStyle w:val="21"/>
        <w:jc w:val="center"/>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bookmarkStart w:id="8" w:name="_Toc25911"/>
      <w:r>
        <w:rPr>
          <w:rFonts w:hint="eastAsia" w:ascii="黑体" w:hAnsi="黑体" w:eastAsia="黑体"/>
          <w:snapToGrid w:val="0"/>
          <w:color w:val="auto"/>
          <w:sz w:val="30"/>
          <w:szCs w:val="30"/>
          <w:highlight w:val="none"/>
        </w:rPr>
        <w:t>四、主要环境影响和保护措施</w:t>
      </w:r>
      <w:bookmarkEnd w:id="8"/>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6" w:type="dxa"/>
            <w:tcMar>
              <w:left w:w="28" w:type="dxa"/>
              <w:right w:w="28" w:type="dxa"/>
            </w:tcMar>
            <w:vAlign w:val="center"/>
          </w:tcPr>
          <w:p>
            <w:pPr>
              <w:pStyle w:val="21"/>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施工</w:t>
            </w:r>
          </w:p>
          <w:p>
            <w:pPr>
              <w:pStyle w:val="21"/>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期环</w:t>
            </w:r>
          </w:p>
          <w:p>
            <w:pPr>
              <w:pStyle w:val="21"/>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境保</w:t>
            </w:r>
          </w:p>
          <w:p>
            <w:pPr>
              <w:pStyle w:val="21"/>
              <w:adjustRightInd w:val="0"/>
              <w:snapToGrid w:val="0"/>
              <w:spacing w:before="0" w:beforeAutospacing="0" w:after="0" w:afterAutospacing="0"/>
              <w:jc w:val="center"/>
              <w:rPr>
                <w:rFonts w:cs="宋体"/>
                <w:color w:val="auto"/>
                <w:szCs w:val="24"/>
                <w:highlight w:val="none"/>
              </w:rPr>
            </w:pPr>
            <w:r>
              <w:rPr>
                <w:rFonts w:hint="eastAsia" w:cs="宋体"/>
                <w:color w:val="auto"/>
                <w:szCs w:val="24"/>
                <w:highlight w:val="none"/>
              </w:rPr>
              <w:t>护措</w:t>
            </w:r>
          </w:p>
          <w:p>
            <w:pPr>
              <w:pStyle w:val="21"/>
              <w:adjustRightInd w:val="0"/>
              <w:snapToGrid w:val="0"/>
              <w:spacing w:before="0" w:beforeAutospacing="0" w:after="0" w:afterAutospacing="0"/>
              <w:jc w:val="center"/>
              <w:rPr>
                <w:rFonts w:cs="宋体"/>
                <w:bCs/>
                <w:color w:val="auto"/>
                <w:szCs w:val="24"/>
                <w:highlight w:val="none"/>
              </w:rPr>
            </w:pPr>
            <w:r>
              <w:rPr>
                <w:rFonts w:hint="eastAsia" w:cs="宋体"/>
                <w:color w:val="auto"/>
                <w:szCs w:val="24"/>
                <w:highlight w:val="none"/>
              </w:rPr>
              <w:t>施</w:t>
            </w:r>
          </w:p>
        </w:tc>
        <w:tc>
          <w:tcPr>
            <w:tcW w:w="8162" w:type="dxa"/>
            <w:vAlign w:val="center"/>
          </w:tcPr>
          <w:p>
            <w:pPr>
              <w:spacing w:line="360" w:lineRule="auto"/>
              <w:ind w:firstLine="480" w:firstLineChars="200"/>
              <w:rPr>
                <w:color w:val="auto"/>
                <w:sz w:val="24"/>
                <w:highlight w:val="none"/>
              </w:rPr>
            </w:pPr>
            <w:r>
              <w:rPr>
                <w:rFonts w:hint="eastAsia"/>
                <w:color w:val="auto"/>
                <w:sz w:val="24"/>
                <w:highlight w:val="none"/>
              </w:rPr>
              <w:t>本项目租赁已建成厂房，无土建施工，施工期仅为部分场地清理和设备安装，相对运营期来说影响时间相对较短，影响较小，且随着设备安装的完成污染将会消失，因此本次评价仅对施工期环境影响进行简要分析</w:t>
            </w:r>
          </w:p>
          <w:p>
            <w:pPr>
              <w:spacing w:line="360" w:lineRule="auto"/>
              <w:rPr>
                <w:rFonts w:eastAsiaTheme="minorEastAsia"/>
                <w:b/>
                <w:color w:val="auto"/>
                <w:sz w:val="24"/>
                <w:highlight w:val="none"/>
              </w:rPr>
            </w:pPr>
            <w:r>
              <w:rPr>
                <w:rFonts w:hint="eastAsia" w:eastAsiaTheme="minorEastAsia"/>
                <w:b/>
                <w:color w:val="auto"/>
                <w:sz w:val="24"/>
                <w:highlight w:val="none"/>
              </w:rPr>
              <w:t>1</w:t>
            </w:r>
            <w:r>
              <w:rPr>
                <w:rFonts w:eastAsiaTheme="minorEastAsia"/>
                <w:b/>
                <w:color w:val="auto"/>
                <w:sz w:val="24"/>
                <w:highlight w:val="none"/>
              </w:rPr>
              <w:t>、</w:t>
            </w:r>
            <w:r>
              <w:rPr>
                <w:rFonts w:hint="eastAsia" w:eastAsiaTheme="minorEastAsia"/>
                <w:b/>
                <w:color w:val="auto"/>
                <w:sz w:val="24"/>
                <w:highlight w:val="none"/>
              </w:rPr>
              <w:t>废气环境影响及保护措施</w:t>
            </w:r>
          </w:p>
          <w:p>
            <w:pPr>
              <w:spacing w:line="360" w:lineRule="auto"/>
              <w:ind w:firstLine="480" w:firstLineChars="200"/>
              <w:rPr>
                <w:color w:val="auto"/>
                <w:kern w:val="0"/>
                <w:sz w:val="24"/>
                <w:highlight w:val="none"/>
              </w:rPr>
            </w:pPr>
            <w:r>
              <w:rPr>
                <w:rFonts w:hint="eastAsia"/>
                <w:color w:val="auto"/>
                <w:kern w:val="0"/>
                <w:sz w:val="24"/>
                <w:highlight w:val="none"/>
              </w:rPr>
              <w:t>项目施工期主要大气污染源为生产车间室内装潢及生产设备安装调试产生的扬尘，为无组织污染源，经车间换气系统引至室外排放，对评价区域环境空气影响不大。并且，施工期具有时效性，其产生的影响将随着项目施工期结束而消失。</w:t>
            </w:r>
          </w:p>
          <w:p>
            <w:pPr>
              <w:spacing w:line="360" w:lineRule="auto"/>
              <w:rPr>
                <w:rFonts w:eastAsiaTheme="minorEastAsia"/>
                <w:b/>
                <w:color w:val="auto"/>
                <w:sz w:val="24"/>
                <w:highlight w:val="none"/>
              </w:rPr>
            </w:pPr>
            <w:r>
              <w:rPr>
                <w:rFonts w:hint="eastAsia" w:eastAsiaTheme="minorEastAsia"/>
                <w:b/>
                <w:color w:val="auto"/>
                <w:sz w:val="24"/>
                <w:highlight w:val="none"/>
              </w:rPr>
              <w:t>2</w:t>
            </w:r>
            <w:r>
              <w:rPr>
                <w:rFonts w:eastAsiaTheme="minorEastAsia"/>
                <w:b/>
                <w:color w:val="auto"/>
                <w:sz w:val="24"/>
                <w:highlight w:val="none"/>
              </w:rPr>
              <w:t>、</w:t>
            </w:r>
            <w:r>
              <w:rPr>
                <w:rFonts w:hint="eastAsia" w:eastAsiaTheme="minorEastAsia"/>
                <w:b/>
                <w:color w:val="auto"/>
                <w:sz w:val="24"/>
                <w:highlight w:val="none"/>
              </w:rPr>
              <w:t>废水环境影响及保护措施</w:t>
            </w:r>
          </w:p>
          <w:p>
            <w:pPr>
              <w:adjustRightInd w:val="0"/>
              <w:snapToGrid w:val="0"/>
              <w:spacing w:line="360" w:lineRule="auto"/>
              <w:ind w:firstLine="480" w:firstLineChars="200"/>
              <w:rPr>
                <w:color w:val="auto"/>
                <w:sz w:val="24"/>
                <w:highlight w:val="none"/>
              </w:rPr>
            </w:pPr>
            <w:r>
              <w:rPr>
                <w:rFonts w:hint="eastAsia"/>
                <w:color w:val="auto"/>
                <w:sz w:val="24"/>
                <w:highlight w:val="none"/>
              </w:rPr>
              <w:t>项目租用已建成厂房进行生产，不涉及土建工程，施工内容主要为室内装潢及设备安装调试，基本无施工生产废水产生。</w:t>
            </w:r>
          </w:p>
          <w:p>
            <w:pPr>
              <w:adjustRightInd w:val="0"/>
              <w:snapToGrid w:val="0"/>
              <w:spacing w:line="360" w:lineRule="auto"/>
              <w:ind w:firstLine="480" w:firstLineChars="200"/>
              <w:rPr>
                <w:color w:val="auto"/>
                <w:sz w:val="24"/>
                <w:highlight w:val="none"/>
              </w:rPr>
            </w:pPr>
            <w:r>
              <w:rPr>
                <w:rFonts w:hint="eastAsia"/>
                <w:color w:val="auto"/>
                <w:sz w:val="24"/>
                <w:highlight w:val="none"/>
              </w:rPr>
              <w:t>项目工程量很小，施工人员数量不多，施工期短暂，且施工人员不在厂区内食宿，产生的生活污水很少，施工人员生活污水经厂区现有化粪池预处理后用做农肥。</w:t>
            </w:r>
          </w:p>
          <w:p>
            <w:pPr>
              <w:spacing w:line="360" w:lineRule="auto"/>
              <w:rPr>
                <w:rFonts w:eastAsiaTheme="minorEastAsia"/>
                <w:b/>
                <w:color w:val="auto"/>
                <w:sz w:val="24"/>
                <w:highlight w:val="none"/>
              </w:rPr>
            </w:pPr>
            <w:r>
              <w:rPr>
                <w:rFonts w:hint="eastAsia" w:eastAsiaTheme="minorEastAsia"/>
                <w:b/>
                <w:color w:val="auto"/>
                <w:sz w:val="24"/>
                <w:highlight w:val="none"/>
              </w:rPr>
              <w:t>3</w:t>
            </w:r>
            <w:r>
              <w:rPr>
                <w:rFonts w:eastAsiaTheme="minorEastAsia"/>
                <w:b/>
                <w:color w:val="auto"/>
                <w:sz w:val="24"/>
                <w:highlight w:val="none"/>
              </w:rPr>
              <w:t>、</w:t>
            </w:r>
            <w:r>
              <w:rPr>
                <w:rFonts w:hint="eastAsia" w:eastAsiaTheme="minorEastAsia"/>
                <w:b/>
                <w:color w:val="auto"/>
                <w:sz w:val="24"/>
                <w:highlight w:val="none"/>
              </w:rPr>
              <w:t>声环境影响及保护措施</w:t>
            </w:r>
          </w:p>
          <w:p>
            <w:pPr>
              <w:spacing w:line="360" w:lineRule="auto"/>
              <w:ind w:firstLine="480" w:firstLineChars="200"/>
              <w:rPr>
                <w:color w:val="auto"/>
                <w:sz w:val="24"/>
                <w:highlight w:val="none"/>
              </w:rPr>
            </w:pPr>
            <w:r>
              <w:rPr>
                <w:rFonts w:hint="eastAsia"/>
                <w:color w:val="auto"/>
                <w:sz w:val="24"/>
                <w:highlight w:val="none"/>
              </w:rPr>
              <w:t>项目施工期主要噪声污染源为建筑板材切割、敷设以及生产设备安装调试时产生的施工噪声。类比同类工程，其产生源强一般不超过90dB(A)，经车间墙体阻隔、距离衰减后对周围声环境影响不大。</w:t>
            </w:r>
          </w:p>
          <w:p>
            <w:pPr>
              <w:spacing w:line="360" w:lineRule="auto"/>
              <w:ind w:firstLine="480" w:firstLineChars="200"/>
              <w:rPr>
                <w:color w:val="auto"/>
                <w:sz w:val="24"/>
                <w:highlight w:val="none"/>
              </w:rPr>
            </w:pPr>
            <w:r>
              <w:rPr>
                <w:rFonts w:hint="eastAsia"/>
                <w:color w:val="auto"/>
                <w:sz w:val="24"/>
                <w:highlight w:val="none"/>
              </w:rPr>
              <w:t>为进一步降低项目施工噪声对周围环境的影响，建议施工单位合理安排施工作业时间，尽量避免在夜间（22:00~次日6:00）进行施工作业；加强施工作业现场管理，施工时关紧门窗，从传播过程中削弱声波能量。</w:t>
            </w:r>
          </w:p>
          <w:p>
            <w:pPr>
              <w:spacing w:line="360" w:lineRule="auto"/>
              <w:ind w:firstLine="480" w:firstLineChars="200"/>
              <w:rPr>
                <w:color w:val="auto"/>
                <w:sz w:val="24"/>
                <w:highlight w:val="none"/>
              </w:rPr>
            </w:pPr>
            <w:r>
              <w:rPr>
                <w:rFonts w:hint="eastAsia"/>
                <w:color w:val="auto"/>
                <w:sz w:val="24"/>
                <w:highlight w:val="none"/>
              </w:rPr>
              <w:t>采取上述措施后，项目施工期间产生的噪声将大大降低，并且，施工期具有时效性，其产生的影响将随着项目施工期结束而消失。</w:t>
            </w:r>
          </w:p>
          <w:p>
            <w:pPr>
              <w:spacing w:line="360" w:lineRule="auto"/>
              <w:rPr>
                <w:rFonts w:eastAsiaTheme="minorEastAsia"/>
                <w:b/>
                <w:color w:val="auto"/>
                <w:sz w:val="24"/>
                <w:highlight w:val="none"/>
              </w:rPr>
            </w:pPr>
            <w:r>
              <w:rPr>
                <w:rFonts w:hint="eastAsia" w:eastAsiaTheme="minorEastAsia"/>
                <w:b/>
                <w:color w:val="auto"/>
                <w:sz w:val="24"/>
                <w:highlight w:val="none"/>
              </w:rPr>
              <w:t>4</w:t>
            </w:r>
            <w:r>
              <w:rPr>
                <w:rFonts w:eastAsiaTheme="minorEastAsia"/>
                <w:b/>
                <w:color w:val="auto"/>
                <w:sz w:val="24"/>
                <w:highlight w:val="none"/>
              </w:rPr>
              <w:t>、</w:t>
            </w:r>
            <w:r>
              <w:rPr>
                <w:rFonts w:hint="eastAsia" w:eastAsiaTheme="minorEastAsia"/>
                <w:b/>
                <w:color w:val="auto"/>
                <w:sz w:val="24"/>
                <w:highlight w:val="none"/>
              </w:rPr>
              <w:t>固体废物环境影响及保护措施</w:t>
            </w:r>
          </w:p>
          <w:p>
            <w:pPr>
              <w:spacing w:line="360" w:lineRule="auto"/>
              <w:ind w:firstLine="480" w:firstLineChars="200"/>
              <w:rPr>
                <w:color w:val="auto"/>
                <w:kern w:val="0"/>
                <w:sz w:val="24"/>
                <w:highlight w:val="none"/>
              </w:rPr>
            </w:pPr>
            <w:r>
              <w:rPr>
                <w:rFonts w:hint="eastAsia"/>
                <w:color w:val="auto"/>
                <w:kern w:val="0"/>
                <w:sz w:val="24"/>
                <w:highlight w:val="none"/>
              </w:rPr>
              <w:t>项目施工期固体废物主要为员工生活垃圾和废弃施工材料及其包装。</w:t>
            </w:r>
          </w:p>
          <w:p>
            <w:pPr>
              <w:spacing w:line="360" w:lineRule="auto"/>
              <w:ind w:firstLine="480" w:firstLineChars="200"/>
              <w:rPr>
                <w:color w:val="auto"/>
                <w:kern w:val="0"/>
                <w:sz w:val="24"/>
                <w:highlight w:val="none"/>
              </w:rPr>
            </w:pPr>
            <w:r>
              <w:rPr>
                <w:rFonts w:hint="eastAsia"/>
                <w:color w:val="auto"/>
                <w:kern w:val="0"/>
                <w:sz w:val="24"/>
                <w:highlight w:val="none"/>
              </w:rPr>
              <w:t>施工期生活垃圾每天清理转移至周边生活垃圾临时收集点，由环卫部门清理运走。</w:t>
            </w:r>
          </w:p>
          <w:p>
            <w:pPr>
              <w:spacing w:line="360" w:lineRule="auto"/>
              <w:ind w:firstLine="480" w:firstLineChars="200"/>
              <w:rPr>
                <w:color w:val="auto"/>
                <w:kern w:val="0"/>
                <w:sz w:val="24"/>
                <w:highlight w:val="none"/>
              </w:rPr>
            </w:pPr>
            <w:r>
              <w:rPr>
                <w:rFonts w:hint="eastAsia"/>
                <w:color w:val="auto"/>
                <w:kern w:val="0"/>
                <w:sz w:val="24"/>
                <w:highlight w:val="none"/>
              </w:rPr>
              <w:t>项目废弃施工材料主要为生产车间初次清洁时产生的原始建筑垃圾及装修过程产生的建筑垃圾，此外还有少量废弃包装材料，预计产生量约2t。施工建筑垃圾定点收集，待施工结束后运至当地政府指定的建筑垃圾处置场所进行无害化处置。废弃包装材料主要为纤维绳、塑料薄膜袋、纸皮箱等，拟混入生活垃圾，由当地环卫部门清理运走。</w:t>
            </w:r>
          </w:p>
          <w:p>
            <w:pPr>
              <w:spacing w:line="360" w:lineRule="auto"/>
              <w:ind w:firstLine="480" w:firstLineChars="200"/>
              <w:rPr>
                <w:color w:val="auto"/>
                <w:sz w:val="24"/>
                <w:highlight w:val="none"/>
              </w:rPr>
            </w:pPr>
            <w:r>
              <w:rPr>
                <w:rFonts w:hint="eastAsia"/>
                <w:color w:val="auto"/>
                <w:kern w:val="0"/>
                <w:sz w:val="24"/>
                <w:highlight w:val="none"/>
              </w:rPr>
              <w:t>采取上述措施后，项目施工期固体废物均得到有效处置，对周围环境影响不大。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运营</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期环</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境影</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响和</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保护</w:t>
            </w:r>
          </w:p>
          <w:p>
            <w:pPr>
              <w:adjustRightInd w:val="0"/>
              <w:snapToGrid w:val="0"/>
              <w:jc w:val="center"/>
              <w:rPr>
                <w:rFonts w:ascii="宋体" w:hAnsi="宋体" w:cs="宋体"/>
                <w:bCs/>
                <w:color w:val="auto"/>
                <w:sz w:val="24"/>
                <w:highlight w:val="none"/>
              </w:rPr>
            </w:pPr>
            <w:r>
              <w:rPr>
                <w:rFonts w:hint="eastAsia" w:ascii="宋体" w:hAnsi="宋体" w:cs="宋体"/>
                <w:bCs/>
                <w:color w:val="auto"/>
                <w:sz w:val="24"/>
                <w:highlight w:val="none"/>
              </w:rPr>
              <w:t>措施</w:t>
            </w:r>
          </w:p>
        </w:tc>
        <w:tc>
          <w:tcPr>
            <w:tcW w:w="8162" w:type="dxa"/>
            <w:vAlign w:val="center"/>
          </w:tcPr>
          <w:p>
            <w:pPr>
              <w:spacing w:line="360" w:lineRule="auto"/>
              <w:rPr>
                <w:rFonts w:eastAsiaTheme="minorEastAsia"/>
                <w:b/>
                <w:color w:val="auto"/>
                <w:sz w:val="24"/>
                <w:highlight w:val="none"/>
              </w:rPr>
            </w:pPr>
            <w:r>
              <w:rPr>
                <w:rFonts w:hint="eastAsia" w:eastAsiaTheme="minorEastAsia"/>
                <w:b/>
                <w:color w:val="auto"/>
                <w:sz w:val="24"/>
                <w:highlight w:val="none"/>
              </w:rPr>
              <w:t>1</w:t>
            </w:r>
            <w:r>
              <w:rPr>
                <w:rFonts w:eastAsiaTheme="minorEastAsia"/>
                <w:b/>
                <w:color w:val="auto"/>
                <w:sz w:val="24"/>
                <w:highlight w:val="none"/>
              </w:rPr>
              <w:t>、</w:t>
            </w:r>
            <w:r>
              <w:rPr>
                <w:rFonts w:hint="eastAsia" w:eastAsiaTheme="minorEastAsia"/>
                <w:b/>
                <w:color w:val="auto"/>
                <w:sz w:val="24"/>
                <w:highlight w:val="none"/>
              </w:rPr>
              <w:t>废气环境影响及保护措施</w:t>
            </w:r>
          </w:p>
          <w:p>
            <w:pPr>
              <w:autoSpaceDE w:val="0"/>
              <w:autoSpaceDN w:val="0"/>
              <w:adjustRightInd w:val="0"/>
              <w:spacing w:line="360" w:lineRule="auto"/>
              <w:jc w:val="left"/>
              <w:rPr>
                <w:b/>
                <w:bCs/>
                <w:color w:val="auto"/>
                <w:kern w:val="0"/>
                <w:sz w:val="24"/>
                <w:highlight w:val="none"/>
              </w:rPr>
            </w:pPr>
            <w:r>
              <w:rPr>
                <w:b/>
                <w:bCs/>
                <w:color w:val="auto"/>
                <w:kern w:val="0"/>
                <w:sz w:val="24"/>
                <w:highlight w:val="none"/>
              </w:rPr>
              <w:t>1.1</w:t>
            </w:r>
            <w:r>
              <w:rPr>
                <w:rFonts w:hint="eastAsia"/>
                <w:b/>
                <w:bCs/>
                <w:color w:val="auto"/>
                <w:kern w:val="0"/>
                <w:sz w:val="24"/>
                <w:highlight w:val="none"/>
              </w:rPr>
              <w:t>废气污染源强核算</w:t>
            </w:r>
          </w:p>
          <w:p>
            <w:pPr>
              <w:autoSpaceDE w:val="0"/>
              <w:autoSpaceDN w:val="0"/>
              <w:adjustRightInd w:val="0"/>
              <w:spacing w:line="360" w:lineRule="auto"/>
              <w:ind w:firstLine="480" w:firstLineChars="200"/>
              <w:jc w:val="left"/>
              <w:rPr>
                <w:color w:val="auto"/>
                <w:kern w:val="0"/>
                <w:sz w:val="24"/>
                <w:highlight w:val="none"/>
              </w:rPr>
            </w:pPr>
            <w:r>
              <w:rPr>
                <w:rFonts w:hint="eastAsia"/>
                <w:color w:val="auto"/>
                <w:kern w:val="0"/>
                <w:sz w:val="24"/>
                <w:highlight w:val="none"/>
              </w:rPr>
              <w:t>本项目工艺废气主要为加工废气、喷漆废气、丝网印刷废气、烘干废气、喷粉废气以及焊接烟气。</w:t>
            </w:r>
          </w:p>
          <w:p>
            <w:pPr>
              <w:autoSpaceDE w:val="0"/>
              <w:autoSpaceDN w:val="0"/>
              <w:adjustRightInd w:val="0"/>
              <w:spacing w:line="360" w:lineRule="auto"/>
              <w:ind w:firstLine="480" w:firstLineChars="200"/>
              <w:jc w:val="left"/>
              <w:rPr>
                <w:color w:val="auto"/>
                <w:kern w:val="0"/>
                <w:sz w:val="24"/>
                <w:highlight w:val="none"/>
              </w:rPr>
            </w:pPr>
            <w:r>
              <w:rPr>
                <w:rFonts w:hint="eastAsia"/>
                <w:color w:val="auto"/>
                <w:kern w:val="0"/>
                <w:sz w:val="24"/>
                <w:highlight w:val="none"/>
              </w:rPr>
              <w:t>（1）加工废气</w:t>
            </w:r>
          </w:p>
          <w:p>
            <w:pPr>
              <w:pStyle w:val="83"/>
              <w:spacing w:line="360" w:lineRule="auto"/>
              <w:ind w:firstLineChars="200"/>
              <w:rPr>
                <w:rFonts w:hint="default" w:eastAsia="宋体"/>
                <w:color w:val="auto"/>
                <w:sz w:val="24"/>
                <w:highlight w:val="none"/>
                <w:lang w:val="en-US" w:eastAsia="zh-CN"/>
              </w:rPr>
            </w:pPr>
            <w:r>
              <w:rPr>
                <w:rFonts w:hint="eastAsia"/>
                <w:color w:val="auto"/>
                <w:sz w:val="24"/>
                <w:highlight w:val="none"/>
              </w:rPr>
              <w:t>本项目加工废气主要为原料切割及雕刻产生，项目使用激光切割金属板和塑料板原料，参考</w:t>
            </w:r>
            <w:r>
              <w:rPr>
                <w:rFonts w:hint="eastAsia"/>
                <w:color w:val="auto"/>
                <w:sz w:val="24"/>
                <w:highlight w:val="none"/>
                <w:lang w:eastAsia="zh-CN"/>
              </w:rPr>
              <w:t>《排放源统计调查产排污核算方法和系数手册》</w:t>
            </w:r>
            <w:r>
              <w:rPr>
                <w:rFonts w:hint="eastAsia"/>
                <w:color w:val="auto"/>
                <w:sz w:val="24"/>
                <w:highlight w:val="none"/>
              </w:rPr>
              <w:t>中</w:t>
            </w:r>
            <w:r>
              <w:rPr>
                <w:color w:val="auto"/>
                <w:sz w:val="24"/>
                <w:highlight w:val="none"/>
              </w:rPr>
              <w:t xml:space="preserve">34 </w:t>
            </w:r>
            <w:r>
              <w:rPr>
                <w:rFonts w:ascii="宋体" w:hAnsi="宋体" w:cs="宋体"/>
                <w:color w:val="auto"/>
                <w:sz w:val="24"/>
                <w:highlight w:val="none"/>
              </w:rPr>
              <w:t>通用设备制造行业</w:t>
            </w:r>
            <w:r>
              <w:rPr>
                <w:rFonts w:hint="eastAsia" w:ascii="宋体" w:hAnsi="宋体" w:cs="宋体"/>
                <w:color w:val="auto"/>
                <w:sz w:val="24"/>
                <w:highlight w:val="none"/>
              </w:rPr>
              <w:t>，下料工段产生颗粒物</w:t>
            </w:r>
            <w:r>
              <w:rPr>
                <w:color w:val="auto"/>
                <w:sz w:val="24"/>
                <w:highlight w:val="none"/>
              </w:rPr>
              <w:t>为5.30千克/吨-原料</w:t>
            </w:r>
            <w:r>
              <w:rPr>
                <w:rFonts w:hint="eastAsia"/>
                <w:color w:val="auto"/>
                <w:sz w:val="24"/>
                <w:highlight w:val="none"/>
              </w:rPr>
              <w:t>，本项目使用亚克力板10t/a，方管钢材50t/a，镀锌板50t/a，则下料过程中产生颗粒物0.583t/a</w:t>
            </w:r>
            <w:r>
              <w:rPr>
                <w:rFonts w:hint="eastAsia"/>
                <w:color w:val="auto"/>
                <w:sz w:val="24"/>
                <w:szCs w:val="24"/>
                <w:highlight w:val="none"/>
              </w:rPr>
              <w:t>。</w:t>
            </w:r>
            <w:r>
              <w:rPr>
                <w:rFonts w:hint="eastAsia"/>
                <w:color w:val="auto"/>
                <w:sz w:val="24"/>
                <w:szCs w:val="24"/>
                <w:highlight w:val="none"/>
                <w:lang w:eastAsia="zh-CN"/>
              </w:rPr>
              <w:t>本项目雕刻工段颗粒物产污系数参考</w:t>
            </w:r>
            <w:r>
              <w:rPr>
                <w:rFonts w:hint="eastAsia"/>
                <w:color w:val="auto"/>
                <w:sz w:val="24"/>
                <w:highlight w:val="none"/>
                <w:lang w:eastAsia="zh-CN"/>
              </w:rPr>
              <w:t>《排放源统计调查产排</w:t>
            </w:r>
            <w:r>
              <w:rPr>
                <w:rFonts w:hint="eastAsia"/>
                <w:color w:val="auto"/>
                <w:sz w:val="24"/>
                <w:highlight w:val="none"/>
                <w:shd w:val="clear"/>
                <w:lang w:eastAsia="zh-CN"/>
              </w:rPr>
              <w:t>污核算方法和系数手册》</w:t>
            </w:r>
            <w:r>
              <w:rPr>
                <w:rFonts w:hint="eastAsia"/>
                <w:color w:val="auto"/>
                <w:sz w:val="24"/>
                <w:highlight w:val="none"/>
                <w:shd w:val="clear"/>
              </w:rPr>
              <w:t>中</w:t>
            </w:r>
            <w:r>
              <w:rPr>
                <w:color w:val="auto"/>
                <w:sz w:val="24"/>
                <w:highlight w:val="none"/>
                <w:shd w:val="clear"/>
              </w:rPr>
              <w:t xml:space="preserve">34 </w:t>
            </w:r>
            <w:r>
              <w:rPr>
                <w:rFonts w:ascii="宋体" w:hAnsi="宋体" w:cs="宋体"/>
                <w:color w:val="auto"/>
                <w:sz w:val="24"/>
                <w:highlight w:val="none"/>
                <w:shd w:val="clear"/>
              </w:rPr>
              <w:t>通用设备制造行业</w:t>
            </w:r>
            <w:r>
              <w:rPr>
                <w:rFonts w:hint="eastAsia" w:ascii="宋体" w:hAnsi="宋体" w:cs="宋体"/>
                <w:color w:val="auto"/>
                <w:sz w:val="24"/>
                <w:highlight w:val="none"/>
                <w:shd w:val="clear"/>
                <w:lang w:eastAsia="zh-CN"/>
              </w:rPr>
              <w:t>中</w:t>
            </w:r>
            <w:r>
              <w:rPr>
                <w:rFonts w:hint="eastAsia" w:ascii="宋体" w:hAnsi="宋体" w:cs="宋体"/>
                <w:color w:val="auto"/>
                <w:sz w:val="24"/>
                <w:highlight w:val="none"/>
                <w:shd w:val="clear"/>
              </w:rPr>
              <w:t>下料工段</w:t>
            </w:r>
            <w:r>
              <w:rPr>
                <w:rFonts w:hint="eastAsia" w:ascii="宋体" w:hAnsi="宋体" w:cs="宋体"/>
                <w:color w:val="auto"/>
                <w:sz w:val="24"/>
                <w:highlight w:val="none"/>
                <w:shd w:val="clear"/>
                <w:lang w:eastAsia="zh-CN"/>
              </w:rPr>
              <w:t>产污系数，即</w:t>
            </w:r>
            <w:r>
              <w:rPr>
                <w:color w:val="auto"/>
                <w:sz w:val="24"/>
                <w:highlight w:val="none"/>
                <w:shd w:val="clear"/>
              </w:rPr>
              <w:t>5.30千克/吨-原料</w:t>
            </w:r>
            <w:r>
              <w:rPr>
                <w:rFonts w:hint="eastAsia"/>
                <w:color w:val="auto"/>
                <w:sz w:val="24"/>
                <w:highlight w:val="none"/>
                <w:shd w:val="clear"/>
                <w:lang w:eastAsia="zh-CN"/>
              </w:rPr>
              <w:t>。项目雕刻使用原料为亚克力板，使用量为</w:t>
            </w:r>
            <w:r>
              <w:rPr>
                <w:rFonts w:hint="eastAsia"/>
                <w:color w:val="auto"/>
                <w:sz w:val="24"/>
                <w:highlight w:val="none"/>
                <w:shd w:val="clear"/>
                <w:lang w:val="en-US" w:eastAsia="zh-CN"/>
              </w:rPr>
              <w:t>10t/a，则雕刻工序产生颗粒物0.053t/a。本项目加工产生的废气通过切割机及雕刻机自带的布袋除尘器收集，收集效率按70%计，根据</w:t>
            </w:r>
            <w:r>
              <w:rPr>
                <w:rFonts w:hint="eastAsia"/>
                <w:color w:val="auto"/>
                <w:sz w:val="24"/>
                <w:highlight w:val="none"/>
                <w:shd w:val="clear"/>
                <w:lang w:eastAsia="zh-CN"/>
              </w:rPr>
              <w:t>《排放源统计调查产排污核</w:t>
            </w:r>
            <w:r>
              <w:rPr>
                <w:rFonts w:hint="eastAsia"/>
                <w:color w:val="auto"/>
                <w:sz w:val="24"/>
                <w:highlight w:val="none"/>
                <w:lang w:eastAsia="zh-CN"/>
              </w:rPr>
              <w:t>算方法和系数手册》</w:t>
            </w:r>
            <w:r>
              <w:rPr>
                <w:color w:val="auto"/>
                <w:sz w:val="24"/>
                <w:highlight w:val="none"/>
              </w:rPr>
              <w:t xml:space="preserve">34 </w:t>
            </w:r>
            <w:r>
              <w:rPr>
                <w:rFonts w:ascii="宋体" w:hAnsi="宋体" w:cs="宋体"/>
                <w:color w:val="auto"/>
                <w:sz w:val="24"/>
                <w:highlight w:val="none"/>
              </w:rPr>
              <w:t>通用设备制造行业</w:t>
            </w:r>
            <w:r>
              <w:rPr>
                <w:rFonts w:hint="eastAsia" w:ascii="宋体" w:hAnsi="宋体" w:cs="宋体"/>
                <w:color w:val="auto"/>
                <w:sz w:val="24"/>
                <w:highlight w:val="none"/>
                <w:lang w:eastAsia="zh-CN"/>
              </w:rPr>
              <w:t>中</w:t>
            </w:r>
            <w:r>
              <w:rPr>
                <w:rFonts w:hint="eastAsia" w:ascii="宋体" w:hAnsi="宋体" w:cs="宋体"/>
                <w:color w:val="auto"/>
                <w:sz w:val="24"/>
                <w:highlight w:val="none"/>
              </w:rPr>
              <w:t>下料工段</w:t>
            </w:r>
            <w:r>
              <w:rPr>
                <w:rFonts w:hint="eastAsia" w:ascii="宋体" w:hAnsi="宋体" w:cs="宋体"/>
                <w:color w:val="auto"/>
                <w:sz w:val="24"/>
                <w:highlight w:val="none"/>
                <w:lang w:eastAsia="zh-CN"/>
              </w:rPr>
              <w:t>末端治理技术效率，袋式除尘对颗粒物的去除效率为</w:t>
            </w:r>
            <w:r>
              <w:rPr>
                <w:rFonts w:hint="default" w:ascii="Times New Roman" w:hAnsi="Times New Roman" w:cs="Times New Roman"/>
                <w:color w:val="auto"/>
                <w:sz w:val="24"/>
                <w:highlight w:val="none"/>
                <w:lang w:val="en-US" w:eastAsia="zh-CN"/>
              </w:rPr>
              <w:t>95%</w:t>
            </w:r>
            <w:r>
              <w:rPr>
                <w:rFonts w:hint="eastAsia" w:ascii="宋体" w:hAnsi="宋体" w:cs="宋体"/>
                <w:color w:val="auto"/>
                <w:sz w:val="24"/>
                <w:highlight w:val="none"/>
                <w:lang w:val="en-US" w:eastAsia="zh-CN"/>
              </w:rPr>
              <w:t>，则本项目加工过程中排放的无组织颗粒物</w:t>
            </w:r>
            <w:r>
              <w:rPr>
                <w:rFonts w:hint="default" w:ascii="Times New Roman" w:hAnsi="Times New Roman" w:cs="Times New Roman"/>
                <w:color w:val="auto"/>
                <w:sz w:val="24"/>
                <w:highlight w:val="none"/>
                <w:lang w:val="en-US" w:eastAsia="zh-CN"/>
              </w:rPr>
              <w:t>为0.214t/a</w:t>
            </w:r>
          </w:p>
          <w:p>
            <w:pPr>
              <w:autoSpaceDE w:val="0"/>
              <w:autoSpaceDN w:val="0"/>
              <w:adjustRightInd w:val="0"/>
              <w:spacing w:line="360" w:lineRule="auto"/>
              <w:ind w:firstLine="480" w:firstLineChars="200"/>
              <w:jc w:val="left"/>
              <w:rPr>
                <w:color w:val="auto"/>
                <w:kern w:val="0"/>
                <w:sz w:val="24"/>
                <w:highlight w:val="none"/>
              </w:rPr>
            </w:pPr>
            <w:r>
              <w:rPr>
                <w:rFonts w:hint="eastAsia"/>
                <w:color w:val="auto"/>
                <w:kern w:val="0"/>
                <w:sz w:val="24"/>
                <w:highlight w:val="none"/>
              </w:rPr>
              <w:t>（2）喷漆废气、丝网印刷废气、烘干废气、喷粉废气</w:t>
            </w:r>
          </w:p>
          <w:p>
            <w:pPr>
              <w:autoSpaceDE w:val="0"/>
              <w:autoSpaceDN w:val="0"/>
              <w:spacing w:line="360" w:lineRule="auto"/>
              <w:ind w:firstLine="480" w:firstLineChars="200"/>
              <w:rPr>
                <w:color w:val="auto"/>
                <w:sz w:val="24"/>
                <w:highlight w:val="none"/>
              </w:rPr>
            </w:pPr>
            <w:r>
              <w:rPr>
                <w:rFonts w:hint="eastAsia"/>
                <w:color w:val="auto"/>
                <w:kern w:val="0"/>
                <w:sz w:val="24"/>
                <w:highlight w:val="none"/>
              </w:rPr>
              <w:t>项目喷底漆和面漆时，油性油漆和稀释剂按照1:0.8的比例混合，水性油漆和水等按照5:1比例混合，通过喷漆设备喷涂在产品上，在喷涂、丝网印刷、烘干过程中，其中含有的有机溶剂以气体形式挥发，同时在喷涂过程有漆物颗粒产生。</w:t>
            </w:r>
          </w:p>
          <w:p>
            <w:pPr>
              <w:pStyle w:val="83"/>
              <w:spacing w:line="360" w:lineRule="auto"/>
              <w:ind w:firstLineChars="200"/>
              <w:rPr>
                <w:color w:val="auto"/>
                <w:sz w:val="24"/>
                <w:highlight w:val="none"/>
              </w:rPr>
            </w:pPr>
            <w:r>
              <w:rPr>
                <w:rFonts w:hint="eastAsia"/>
                <w:color w:val="auto"/>
                <w:sz w:val="24"/>
                <w:highlight w:val="none"/>
              </w:rPr>
              <w:t>根据建设单位提供的资料，项目油性油漆</w:t>
            </w:r>
            <w:r>
              <w:rPr>
                <w:rFonts w:hint="eastAsia"/>
                <w:color w:val="auto"/>
                <w:sz w:val="24"/>
                <w:highlight w:val="none"/>
                <w:lang w:eastAsia="zh-CN"/>
              </w:rPr>
              <w:t>和稀释剂</w:t>
            </w:r>
            <w:r>
              <w:rPr>
                <w:rFonts w:hint="eastAsia"/>
                <w:color w:val="auto"/>
                <w:sz w:val="24"/>
                <w:highlight w:val="none"/>
              </w:rPr>
              <w:t>总用量为</w:t>
            </w:r>
            <w:r>
              <w:rPr>
                <w:rFonts w:hint="eastAsia"/>
                <w:color w:val="auto"/>
                <w:sz w:val="24"/>
                <w:highlight w:val="none"/>
                <w:lang w:val="en-US" w:eastAsia="zh-CN"/>
              </w:rPr>
              <w:t>0.468</w:t>
            </w:r>
            <w:r>
              <w:rPr>
                <w:rFonts w:hint="eastAsia"/>
                <w:color w:val="auto"/>
                <w:sz w:val="24"/>
                <w:highlight w:val="none"/>
              </w:rPr>
              <w:t>t/a，参照《</w:t>
            </w:r>
            <w:r>
              <w:rPr>
                <w:rFonts w:hint="eastAsia"/>
                <w:color w:val="auto"/>
                <w:sz w:val="24"/>
                <w:highlight w:val="none"/>
                <w:lang w:eastAsia="zh-CN"/>
              </w:rPr>
              <w:t>《排放源统计调查产排污核算方法和系数手册》</w:t>
            </w:r>
            <w:r>
              <w:rPr>
                <w:rFonts w:hint="eastAsia"/>
                <w:color w:val="auto"/>
                <w:sz w:val="24"/>
                <w:highlight w:val="none"/>
              </w:rPr>
              <w:t>中2433漆器工艺品制造制造行业系数，刷漆/喷漆工段挥发性有机物产污系数为5.98*10</w:t>
            </w:r>
            <w:r>
              <w:rPr>
                <w:rFonts w:hint="eastAsia"/>
                <w:color w:val="auto"/>
                <w:sz w:val="24"/>
                <w:highlight w:val="none"/>
                <w:vertAlign w:val="superscript"/>
              </w:rPr>
              <w:t>2</w:t>
            </w:r>
            <w:r>
              <w:rPr>
                <w:rFonts w:hint="eastAsia"/>
                <w:color w:val="auto"/>
                <w:sz w:val="24"/>
                <w:highlight w:val="none"/>
              </w:rPr>
              <w:t>kg/t原料，则油性油漆产生VOCs约</w:t>
            </w:r>
            <w:r>
              <w:rPr>
                <w:rFonts w:hint="eastAsia"/>
                <w:color w:val="auto"/>
                <w:sz w:val="24"/>
                <w:highlight w:val="none"/>
                <w:lang w:val="en-US" w:eastAsia="zh-CN"/>
              </w:rPr>
              <w:t>0.2799</w:t>
            </w:r>
            <w:r>
              <w:rPr>
                <w:rFonts w:hint="eastAsia"/>
                <w:color w:val="auto"/>
                <w:sz w:val="24"/>
                <w:highlight w:val="none"/>
              </w:rPr>
              <w:t>t/a。本项目使用UV光解+活性炭吸附对有机废气进行处理，根据2433漆器工艺品制造制造行业系数表，UV光解对挥发性有机物处理效率为12%，活性炭吸附对挥发性有机物的处理效率为21%，集气罩收集效率取80%，则进处理后有组织排放的VOCs量约为</w:t>
            </w:r>
            <w:r>
              <w:rPr>
                <w:rFonts w:hint="eastAsia"/>
                <w:color w:val="auto"/>
                <w:sz w:val="24"/>
                <w:highlight w:val="none"/>
                <w:lang w:val="en-US" w:eastAsia="zh-CN"/>
              </w:rPr>
              <w:t>0.1557</w:t>
            </w:r>
            <w:r>
              <w:rPr>
                <w:rFonts w:hint="eastAsia"/>
                <w:color w:val="auto"/>
                <w:sz w:val="24"/>
                <w:highlight w:val="none"/>
              </w:rPr>
              <w:t>t/a，无组织排放量为</w:t>
            </w:r>
            <w:r>
              <w:rPr>
                <w:rFonts w:hint="eastAsia"/>
                <w:color w:val="auto"/>
                <w:sz w:val="24"/>
                <w:highlight w:val="none"/>
                <w:lang w:val="en-US" w:eastAsia="zh-CN"/>
              </w:rPr>
              <w:t>0.056</w:t>
            </w:r>
            <w:r>
              <w:rPr>
                <w:rFonts w:hint="eastAsia"/>
                <w:color w:val="auto"/>
                <w:sz w:val="24"/>
                <w:highlight w:val="none"/>
              </w:rPr>
              <w:t>t/a。</w:t>
            </w:r>
          </w:p>
          <w:p>
            <w:pPr>
              <w:pStyle w:val="83"/>
              <w:spacing w:line="360" w:lineRule="auto"/>
              <w:ind w:firstLineChars="200"/>
              <w:rPr>
                <w:color w:val="auto"/>
                <w:sz w:val="24"/>
                <w:highlight w:val="none"/>
              </w:rPr>
            </w:pPr>
            <w:r>
              <w:rPr>
                <w:rFonts w:hint="eastAsia"/>
                <w:color w:val="auto"/>
                <w:sz w:val="24"/>
                <w:highlight w:val="none"/>
              </w:rPr>
              <w:t>稀释剂总用量为0.208t/a，根据MSDS报告，稀释剂中挥发性有机物（二甲苯除外）为醋酸乙酯（含量取15%）、醋酸丁酯（含量取20%）、乙二醇单丁醚（含量取20%），稀释剂中二甲苯含量取45%，</w:t>
            </w:r>
            <w:r>
              <w:rPr>
                <w:rFonts w:hint="eastAsia"/>
                <w:color w:val="auto"/>
                <w:sz w:val="24"/>
                <w:highlight w:val="none"/>
                <w:lang w:eastAsia="zh-CN"/>
              </w:rPr>
              <w:t>所以产生</w:t>
            </w:r>
            <w:r>
              <w:rPr>
                <w:rFonts w:hint="eastAsia"/>
                <w:color w:val="auto"/>
                <w:sz w:val="24"/>
                <w:highlight w:val="none"/>
              </w:rPr>
              <w:t>二甲苯0.0936t/a。</w:t>
            </w:r>
            <w:r>
              <w:rPr>
                <w:rFonts w:hint="eastAsia"/>
                <w:color w:val="auto"/>
                <w:sz w:val="24"/>
                <w:highlight w:val="none"/>
                <w:lang w:eastAsia="zh-CN"/>
              </w:rPr>
              <w:t>本项目</w:t>
            </w:r>
            <w:r>
              <w:rPr>
                <w:rFonts w:hint="eastAsia"/>
                <w:color w:val="auto"/>
                <w:sz w:val="24"/>
                <w:highlight w:val="none"/>
              </w:rPr>
              <w:t>集气罩收集效率取80%，则经过处理后的有组织二甲苯0.0749t/a；无组织二甲苯</w:t>
            </w:r>
            <w:r>
              <w:rPr>
                <w:rFonts w:hint="eastAsia"/>
                <w:color w:val="auto"/>
                <w:sz w:val="24"/>
                <w:highlight w:val="none"/>
                <w:lang w:eastAsia="zh-CN"/>
              </w:rPr>
              <w:t>排放量为</w:t>
            </w:r>
            <w:r>
              <w:rPr>
                <w:rFonts w:hint="eastAsia"/>
                <w:color w:val="auto"/>
                <w:sz w:val="24"/>
                <w:highlight w:val="none"/>
              </w:rPr>
              <w:t>0.0187t/a。</w:t>
            </w:r>
          </w:p>
          <w:p>
            <w:pPr>
              <w:pStyle w:val="83"/>
              <w:spacing w:line="360" w:lineRule="auto"/>
              <w:ind w:firstLineChars="200"/>
              <w:rPr>
                <w:color w:val="auto"/>
                <w:sz w:val="24"/>
                <w:highlight w:val="none"/>
              </w:rPr>
            </w:pPr>
            <w:r>
              <w:rPr>
                <w:rFonts w:hint="eastAsia"/>
                <w:color w:val="auto"/>
                <w:sz w:val="24"/>
                <w:highlight w:val="none"/>
              </w:rPr>
              <w:t>水性油漆总用量为0.18t/a，项目使用的水性油漆中挥发性有机物（VOCs）固含量取1</w:t>
            </w:r>
            <w:r>
              <w:rPr>
                <w:rFonts w:hint="eastAsia"/>
                <w:color w:val="auto"/>
                <w:sz w:val="24"/>
                <w:highlight w:val="none"/>
                <w:lang w:val="en-US" w:eastAsia="zh-CN"/>
              </w:rPr>
              <w:t>5</w:t>
            </w:r>
            <w:r>
              <w:rPr>
                <w:rFonts w:hint="eastAsia"/>
                <w:color w:val="auto"/>
                <w:sz w:val="24"/>
                <w:highlight w:val="none"/>
              </w:rPr>
              <w:t>%，则VOCs产生量为</w:t>
            </w:r>
            <w:r>
              <w:rPr>
                <w:rFonts w:hint="eastAsia"/>
                <w:color w:val="auto"/>
                <w:sz w:val="24"/>
                <w:highlight w:val="none"/>
                <w:lang w:val="en-US" w:eastAsia="zh-CN"/>
              </w:rPr>
              <w:t>0.027</w:t>
            </w:r>
            <w:r>
              <w:rPr>
                <w:rFonts w:hint="eastAsia"/>
                <w:color w:val="auto"/>
                <w:sz w:val="24"/>
                <w:highlight w:val="none"/>
              </w:rPr>
              <w:t>t/a。本项目使用UV光解+活性炭吸附对有机废气进行处理，参考2433漆器工艺品制造制造行业系数表，UV光解对挥发性有机物处理效率为12%，活性炭吸附对挥发性有机物的处理效率为21%，集气罩收集效率取80%，则进处理后有组织排放的VOCs量约为0.01</w:t>
            </w:r>
            <w:r>
              <w:rPr>
                <w:rFonts w:hint="eastAsia"/>
                <w:color w:val="auto"/>
                <w:sz w:val="24"/>
                <w:highlight w:val="none"/>
                <w:lang w:val="en-US" w:eastAsia="zh-CN"/>
              </w:rPr>
              <w:t>5</w:t>
            </w:r>
            <w:r>
              <w:rPr>
                <w:rFonts w:hint="eastAsia"/>
                <w:color w:val="auto"/>
                <w:sz w:val="24"/>
                <w:highlight w:val="none"/>
              </w:rPr>
              <w:t>t/a，无组织排放量为0.00</w:t>
            </w:r>
            <w:r>
              <w:rPr>
                <w:rFonts w:hint="eastAsia"/>
                <w:color w:val="auto"/>
                <w:sz w:val="24"/>
                <w:highlight w:val="none"/>
                <w:lang w:val="en-US" w:eastAsia="zh-CN"/>
              </w:rPr>
              <w:t>54</w:t>
            </w:r>
            <w:r>
              <w:rPr>
                <w:rFonts w:hint="eastAsia"/>
                <w:color w:val="auto"/>
                <w:sz w:val="24"/>
                <w:highlight w:val="none"/>
              </w:rPr>
              <w:t>t/a。</w:t>
            </w:r>
          </w:p>
          <w:p>
            <w:pPr>
              <w:pStyle w:val="83"/>
              <w:spacing w:line="360" w:lineRule="auto"/>
              <w:ind w:firstLineChars="200"/>
              <w:rPr>
                <w:color w:val="auto"/>
                <w:sz w:val="24"/>
                <w:highlight w:val="none"/>
              </w:rPr>
            </w:pPr>
            <w:r>
              <w:rPr>
                <w:rFonts w:hint="eastAsia"/>
                <w:color w:val="auto"/>
                <w:sz w:val="24"/>
                <w:highlight w:val="none"/>
              </w:rPr>
              <w:t>粉末涂料喷涂后需</w:t>
            </w:r>
            <w:r>
              <w:rPr>
                <w:rFonts w:hint="eastAsia"/>
                <w:color w:val="auto"/>
                <w:sz w:val="24"/>
                <w:highlight w:val="none"/>
                <w:lang w:eastAsia="zh-CN"/>
              </w:rPr>
              <w:t>进行加热</w:t>
            </w:r>
            <w:r>
              <w:rPr>
                <w:rFonts w:hint="eastAsia"/>
                <w:color w:val="auto"/>
                <w:sz w:val="24"/>
                <w:highlight w:val="none"/>
              </w:rPr>
              <w:t>固化，</w:t>
            </w:r>
            <w:r>
              <w:rPr>
                <w:color w:val="auto"/>
                <w:sz w:val="24"/>
                <w:highlight w:val="none"/>
              </w:rPr>
              <w:t>根据《喷塑行业污染物源强估算及治理方法探讨》可知，固化工序产生的VOCs约占塑粉量的3‰~6‰，环评取最大值6‰</w:t>
            </w:r>
            <w:r>
              <w:rPr>
                <w:rFonts w:hint="eastAsia"/>
                <w:color w:val="auto"/>
                <w:sz w:val="24"/>
                <w:highlight w:val="none"/>
              </w:rPr>
              <w:t>，项目使用粉末涂料总用量为0.2t/a，产生VOCs0.0012t/a。参考2433漆器工艺品制造制造行业系数表，UV光解对挥发性有机物处理效率为12%，活性炭吸附对挥发性有机物的处理效率为21%，集气罩收集效率取80%，则进处理后有组织排放的VOCs量约为0.00067t/a，无组织排放量为0.00024t/a。</w:t>
            </w:r>
          </w:p>
          <w:p>
            <w:pPr>
              <w:pStyle w:val="83"/>
              <w:spacing w:line="360" w:lineRule="auto"/>
              <w:ind w:firstLineChars="200"/>
              <w:rPr>
                <w:color w:val="auto"/>
                <w:sz w:val="24"/>
                <w:highlight w:val="none"/>
              </w:rPr>
            </w:pPr>
            <w:r>
              <w:rPr>
                <w:rFonts w:hint="eastAsia"/>
                <w:color w:val="auto"/>
                <w:sz w:val="24"/>
                <w:highlight w:val="none"/>
              </w:rPr>
              <w:t>本项目水性油墨用于丝网印刷，使用量为0.1t/a，参照《</w:t>
            </w:r>
            <w:r>
              <w:rPr>
                <w:rFonts w:hint="eastAsia"/>
                <w:color w:val="auto"/>
                <w:sz w:val="24"/>
                <w:highlight w:val="none"/>
                <w:lang w:eastAsia="zh-CN"/>
              </w:rPr>
              <w:t>《排放源统计调查产排污核算方法和系数手册》</w:t>
            </w:r>
            <w:r>
              <w:rPr>
                <w:color w:val="auto"/>
                <w:sz w:val="24"/>
                <w:highlight w:val="none"/>
              </w:rPr>
              <w:t>中2452 塑胶玩具制造行业系数手册</w:t>
            </w:r>
            <w:r>
              <w:rPr>
                <w:rFonts w:hint="eastAsia"/>
                <w:color w:val="auto"/>
                <w:sz w:val="24"/>
                <w:highlight w:val="none"/>
              </w:rPr>
              <w:t>，印刷工段挥发性有机物产污系数为5.63*10</w:t>
            </w:r>
            <w:r>
              <w:rPr>
                <w:rFonts w:hint="eastAsia"/>
                <w:color w:val="auto"/>
                <w:sz w:val="24"/>
                <w:highlight w:val="none"/>
                <w:vertAlign w:val="superscript"/>
              </w:rPr>
              <w:t>2</w:t>
            </w:r>
            <w:r>
              <w:rPr>
                <w:rFonts w:hint="eastAsia"/>
                <w:color w:val="auto"/>
                <w:sz w:val="24"/>
                <w:highlight w:val="none"/>
              </w:rPr>
              <w:t>kg/t原料，则丝网印刷过程中产生VOCs0.0563t/a。本项目使用UV光解+活性炭吸附对有机废气进行处理，根据</w:t>
            </w:r>
            <w:r>
              <w:rPr>
                <w:color w:val="auto"/>
                <w:sz w:val="24"/>
                <w:highlight w:val="none"/>
              </w:rPr>
              <w:t>2452 塑胶玩具制造行业系数手册</w:t>
            </w:r>
            <w:r>
              <w:rPr>
                <w:rFonts w:hint="eastAsia"/>
                <w:color w:val="auto"/>
                <w:sz w:val="24"/>
                <w:highlight w:val="none"/>
              </w:rPr>
              <w:t>，UV光解+活性炭吸附对有机废气的处理效率取24%，集气罩收集效率取80%，则进处理后有组织排放的VOCs量约为0.0313t/a，无组织排放量为0.0113t/a。</w:t>
            </w:r>
          </w:p>
          <w:p>
            <w:pPr>
              <w:pStyle w:val="83"/>
              <w:spacing w:line="360" w:lineRule="auto"/>
              <w:ind w:firstLineChars="200"/>
              <w:rPr>
                <w:color w:val="auto"/>
                <w:sz w:val="24"/>
                <w:highlight w:val="none"/>
              </w:rPr>
            </w:pPr>
            <w:r>
              <w:rPr>
                <w:rFonts w:hint="eastAsia"/>
                <w:color w:val="auto"/>
                <w:sz w:val="24"/>
                <w:highlight w:val="none"/>
              </w:rPr>
              <w:t>综上，本项目喷漆、丝网印刷、烘干/固化过程中排放的有组织VOCs量为</w:t>
            </w:r>
            <w:r>
              <w:rPr>
                <w:rFonts w:hint="eastAsia"/>
                <w:color w:val="auto"/>
                <w:sz w:val="24"/>
                <w:highlight w:val="none"/>
                <w:lang w:val="en-US" w:eastAsia="zh-CN"/>
              </w:rPr>
              <w:t>0.20267</w:t>
            </w:r>
            <w:r>
              <w:rPr>
                <w:rFonts w:hint="eastAsia"/>
                <w:color w:val="auto"/>
                <w:sz w:val="24"/>
                <w:highlight w:val="none"/>
              </w:rPr>
              <w:t>t/a，无组织量为</w:t>
            </w:r>
            <w:r>
              <w:rPr>
                <w:rFonts w:hint="eastAsia"/>
                <w:color w:val="auto"/>
                <w:sz w:val="24"/>
                <w:highlight w:val="none"/>
                <w:lang w:val="en-US" w:eastAsia="zh-CN"/>
              </w:rPr>
              <w:t>0.07294</w:t>
            </w:r>
            <w:r>
              <w:rPr>
                <w:rFonts w:hint="eastAsia"/>
                <w:color w:val="auto"/>
                <w:sz w:val="24"/>
                <w:highlight w:val="none"/>
              </w:rPr>
              <w:t>t/a。</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根据第二次全国污染源普查工业污染源普查，喷漆（溶剂型）过程中颗粒物产生量为20.8g/kg涂料，项目油漆用量约为0.26t/a，则喷漆过程中颗粒物产生量约为0.0054t/a，产生量非常少，对环境影响很小，不做分析。</w:t>
            </w:r>
          </w:p>
          <w:p>
            <w:pPr>
              <w:autoSpaceDE w:val="0"/>
              <w:autoSpaceDN w:val="0"/>
              <w:adjustRightInd w:val="0"/>
              <w:spacing w:line="360" w:lineRule="auto"/>
              <w:ind w:firstLine="480" w:firstLineChars="200"/>
              <w:jc w:val="left"/>
              <w:rPr>
                <w:color w:val="auto"/>
                <w:sz w:val="24"/>
                <w:highlight w:val="none"/>
              </w:rPr>
            </w:pPr>
            <w:r>
              <w:rPr>
                <w:color w:val="auto"/>
                <w:sz w:val="24"/>
                <w:highlight w:val="none"/>
              </w:rPr>
              <w:t>根据中国环境管理干部学院学报第26卷第6期《喷塑行业污染物源强估算及治理方法探讨》（2016.12 王世杰、朱童琪等）可知，</w:t>
            </w:r>
            <w:r>
              <w:rPr>
                <w:rFonts w:hint="eastAsia"/>
                <w:color w:val="auto"/>
                <w:sz w:val="24"/>
                <w:highlight w:val="none"/>
              </w:rPr>
              <w:t>粉末涂料</w:t>
            </w:r>
            <w:r>
              <w:rPr>
                <w:color w:val="auto"/>
                <w:sz w:val="24"/>
                <w:highlight w:val="none"/>
              </w:rPr>
              <w:t>的平均附着率为80%~90%，本项目取</w:t>
            </w:r>
            <w:r>
              <w:rPr>
                <w:rFonts w:hint="eastAsia"/>
                <w:color w:val="auto"/>
                <w:sz w:val="24"/>
                <w:highlight w:val="none"/>
              </w:rPr>
              <w:t>85</w:t>
            </w:r>
            <w:r>
              <w:rPr>
                <w:color w:val="auto"/>
                <w:sz w:val="24"/>
                <w:highlight w:val="none"/>
              </w:rPr>
              <w:t>%。项目年使用</w:t>
            </w:r>
            <w:r>
              <w:rPr>
                <w:rFonts w:hint="eastAsia"/>
                <w:color w:val="auto"/>
                <w:sz w:val="24"/>
                <w:highlight w:val="none"/>
              </w:rPr>
              <w:t>粉末涂料0.2</w:t>
            </w:r>
            <w:r>
              <w:rPr>
                <w:color w:val="auto"/>
                <w:sz w:val="24"/>
                <w:highlight w:val="none"/>
              </w:rPr>
              <w:t>t</w:t>
            </w:r>
            <w:r>
              <w:rPr>
                <w:rFonts w:hint="eastAsia"/>
                <w:color w:val="auto"/>
                <w:sz w:val="24"/>
                <w:highlight w:val="none"/>
              </w:rPr>
              <w:t>，</w:t>
            </w:r>
            <w:r>
              <w:rPr>
                <w:color w:val="auto"/>
                <w:sz w:val="24"/>
                <w:highlight w:val="none"/>
              </w:rPr>
              <w:t>粉尘产生量为</w:t>
            </w:r>
            <w:r>
              <w:rPr>
                <w:rFonts w:hint="eastAsia"/>
                <w:color w:val="auto"/>
                <w:sz w:val="24"/>
                <w:highlight w:val="none"/>
              </w:rPr>
              <w:t>0.03</w:t>
            </w:r>
            <w:r>
              <w:rPr>
                <w:color w:val="auto"/>
                <w:sz w:val="24"/>
                <w:highlight w:val="none"/>
              </w:rPr>
              <w:t>t/a</w:t>
            </w:r>
            <w:r>
              <w:rPr>
                <w:rFonts w:hint="eastAsia"/>
                <w:color w:val="auto"/>
                <w:sz w:val="24"/>
                <w:highlight w:val="none"/>
              </w:rPr>
              <w:t>。</w:t>
            </w:r>
          </w:p>
          <w:p>
            <w:pPr>
              <w:autoSpaceDE w:val="0"/>
              <w:autoSpaceDN w:val="0"/>
              <w:adjustRightInd w:val="0"/>
              <w:spacing w:line="360" w:lineRule="auto"/>
              <w:ind w:firstLine="480" w:firstLineChars="200"/>
              <w:jc w:val="left"/>
              <w:rPr>
                <w:color w:val="auto"/>
                <w:kern w:val="0"/>
                <w:sz w:val="24"/>
                <w:highlight w:val="none"/>
              </w:rPr>
            </w:pPr>
            <w:r>
              <w:rPr>
                <w:rFonts w:hint="eastAsia"/>
                <w:color w:val="auto"/>
                <w:kern w:val="0"/>
                <w:sz w:val="24"/>
                <w:highlight w:val="none"/>
              </w:rPr>
              <w:t>（3）焊接烟气</w:t>
            </w:r>
          </w:p>
          <w:p>
            <w:pPr>
              <w:adjustRightInd w:val="0"/>
              <w:snapToGrid w:val="0"/>
              <w:spacing w:line="360" w:lineRule="auto"/>
              <w:ind w:firstLine="480" w:firstLineChars="200"/>
              <w:rPr>
                <w:color w:val="auto"/>
                <w:sz w:val="24"/>
                <w:highlight w:val="none"/>
                <w:u w:val="wave"/>
              </w:rPr>
            </w:pPr>
            <w:r>
              <w:rPr>
                <w:rFonts w:hint="eastAsia"/>
                <w:color w:val="auto"/>
                <w:kern w:val="0"/>
                <w:sz w:val="24"/>
                <w:highlight w:val="none"/>
              </w:rPr>
              <w:t>项目</w:t>
            </w:r>
            <w:r>
              <w:rPr>
                <w:color w:val="auto"/>
                <w:sz w:val="24"/>
                <w:highlight w:val="none"/>
              </w:rPr>
              <w:t>本项目</w:t>
            </w:r>
            <w:r>
              <w:rPr>
                <w:rFonts w:hint="eastAsia"/>
                <w:color w:val="auto"/>
                <w:sz w:val="24"/>
                <w:highlight w:val="none"/>
              </w:rPr>
              <w:t>焊接</w:t>
            </w:r>
            <w:r>
              <w:rPr>
                <w:color w:val="auto"/>
                <w:sz w:val="24"/>
                <w:highlight w:val="none"/>
              </w:rPr>
              <w:t>工序使用</w:t>
            </w:r>
            <w:r>
              <w:rPr>
                <w:rFonts w:hint="eastAsia"/>
                <w:color w:val="auto"/>
                <w:sz w:val="24"/>
                <w:highlight w:val="none"/>
              </w:rPr>
              <w:t>焊条，</w:t>
            </w:r>
            <w:r>
              <w:rPr>
                <w:color w:val="auto"/>
                <w:sz w:val="24"/>
                <w:highlight w:val="none"/>
              </w:rPr>
              <w:t>会产生一定量的废气，主要污染物为焊接烟</w:t>
            </w:r>
            <w:r>
              <w:rPr>
                <w:rFonts w:hint="eastAsia"/>
                <w:color w:val="auto"/>
                <w:sz w:val="24"/>
                <w:highlight w:val="none"/>
              </w:rPr>
              <w:t>气</w:t>
            </w:r>
            <w:r>
              <w:rPr>
                <w:color w:val="auto"/>
                <w:sz w:val="24"/>
                <w:highlight w:val="none"/>
              </w:rPr>
              <w:t>。根据《排放源统计调查产排污核算方法和系数手册》——</w:t>
            </w:r>
            <w:r>
              <w:rPr>
                <w:rFonts w:hint="eastAsia"/>
                <w:color w:val="auto"/>
                <w:sz w:val="24"/>
                <w:highlight w:val="none"/>
              </w:rPr>
              <w:t>244体育用品、246娱乐用品行业系数手册，</w:t>
            </w:r>
            <w:r>
              <w:rPr>
                <w:color w:val="auto"/>
                <w:sz w:val="24"/>
                <w:highlight w:val="none"/>
              </w:rPr>
              <w:t>焊接工序烟尘产污系数为</w:t>
            </w:r>
            <w:r>
              <w:rPr>
                <w:rFonts w:hint="eastAsia"/>
                <w:color w:val="auto"/>
                <w:sz w:val="24"/>
                <w:highlight w:val="none"/>
              </w:rPr>
              <w:t>0.78kg</w:t>
            </w:r>
            <w:r>
              <w:rPr>
                <w:color w:val="auto"/>
                <w:sz w:val="24"/>
                <w:highlight w:val="none"/>
              </w:rPr>
              <w:t>/</w:t>
            </w:r>
            <w:r>
              <w:rPr>
                <w:rFonts w:hint="eastAsia"/>
                <w:color w:val="auto"/>
                <w:sz w:val="24"/>
                <w:highlight w:val="none"/>
              </w:rPr>
              <w:t>吨</w:t>
            </w:r>
            <w:r>
              <w:rPr>
                <w:color w:val="auto"/>
                <w:sz w:val="24"/>
                <w:highlight w:val="none"/>
              </w:rPr>
              <w:t>-</w:t>
            </w:r>
            <w:r>
              <w:rPr>
                <w:rFonts w:hint="eastAsia"/>
                <w:color w:val="auto"/>
                <w:sz w:val="24"/>
                <w:highlight w:val="none"/>
              </w:rPr>
              <w:t>原</w:t>
            </w:r>
            <w:r>
              <w:rPr>
                <w:color w:val="auto"/>
                <w:sz w:val="24"/>
                <w:highlight w:val="none"/>
              </w:rPr>
              <w:t>料，本项目</w:t>
            </w:r>
            <w:r>
              <w:rPr>
                <w:rFonts w:hint="eastAsia"/>
                <w:color w:val="auto"/>
                <w:sz w:val="24"/>
                <w:highlight w:val="none"/>
              </w:rPr>
              <w:t>方管钢材</w:t>
            </w:r>
            <w:r>
              <w:rPr>
                <w:color w:val="auto"/>
                <w:sz w:val="24"/>
                <w:highlight w:val="none"/>
              </w:rPr>
              <w:t>使用量为</w:t>
            </w:r>
            <w:r>
              <w:rPr>
                <w:rFonts w:hint="eastAsia"/>
                <w:color w:val="auto"/>
                <w:sz w:val="24"/>
                <w:highlight w:val="none"/>
              </w:rPr>
              <w:t>50t</w:t>
            </w:r>
            <w:r>
              <w:rPr>
                <w:color w:val="auto"/>
                <w:sz w:val="24"/>
                <w:highlight w:val="none"/>
              </w:rPr>
              <w:t>/a，</w:t>
            </w:r>
            <w:r>
              <w:rPr>
                <w:rFonts w:hint="eastAsia"/>
                <w:color w:val="auto"/>
                <w:sz w:val="24"/>
                <w:highlight w:val="none"/>
              </w:rPr>
              <w:t>焊接烟气</w:t>
            </w:r>
            <w:r>
              <w:rPr>
                <w:color w:val="auto"/>
                <w:sz w:val="24"/>
                <w:highlight w:val="none"/>
              </w:rPr>
              <w:t>产生量为</w:t>
            </w:r>
            <w:r>
              <w:rPr>
                <w:rFonts w:hint="eastAsia"/>
                <w:color w:val="auto"/>
                <w:sz w:val="24"/>
                <w:highlight w:val="none"/>
              </w:rPr>
              <w:t>39k</w:t>
            </w:r>
            <w:r>
              <w:rPr>
                <w:color w:val="auto"/>
                <w:sz w:val="24"/>
                <w:highlight w:val="none"/>
              </w:rPr>
              <w:t>g/a，废气</w:t>
            </w:r>
            <w:r>
              <w:rPr>
                <w:rFonts w:hint="eastAsia"/>
                <w:color w:val="auto"/>
                <w:sz w:val="24"/>
                <w:highlight w:val="none"/>
              </w:rPr>
              <w:t>产生量很少，</w:t>
            </w:r>
            <w:r>
              <w:rPr>
                <w:color w:val="auto"/>
                <w:sz w:val="24"/>
                <w:highlight w:val="none"/>
              </w:rPr>
              <w:t>通过</w:t>
            </w:r>
            <w:r>
              <w:rPr>
                <w:rFonts w:hint="eastAsia"/>
                <w:color w:val="auto"/>
                <w:sz w:val="24"/>
                <w:highlight w:val="none"/>
              </w:rPr>
              <w:t>移动式焊接烟气净化器处理后再车间内无组织排放，该净化器处理方式为</w:t>
            </w:r>
            <w:r>
              <w:rPr>
                <w:rFonts w:hint="eastAsia"/>
                <w:color w:val="auto"/>
                <w:sz w:val="24"/>
                <w:highlight w:val="none"/>
                <w:lang w:eastAsia="zh-CN"/>
              </w:rPr>
              <w:t>滤芯过滤</w:t>
            </w:r>
            <w:r>
              <w:rPr>
                <w:rFonts w:hint="eastAsia"/>
                <w:color w:val="auto"/>
                <w:sz w:val="24"/>
                <w:highlight w:val="none"/>
              </w:rPr>
              <w:t>，参考</w:t>
            </w:r>
            <w:r>
              <w:rPr>
                <w:color w:val="auto"/>
                <w:sz w:val="24"/>
                <w:highlight w:val="none"/>
              </w:rPr>
              <w:t>《排放源统计调查产排污核算方法和系数手册》</w:t>
            </w:r>
            <w:r>
              <w:rPr>
                <w:rFonts w:hint="eastAsia"/>
                <w:color w:val="auto"/>
                <w:sz w:val="24"/>
                <w:highlight w:val="none"/>
                <w:lang w:eastAsia="zh-CN"/>
              </w:rPr>
              <w:t>，移动式焊接烟气净化器</w:t>
            </w:r>
            <w:r>
              <w:rPr>
                <w:rFonts w:hint="eastAsia"/>
                <w:color w:val="auto"/>
                <w:sz w:val="24"/>
                <w:highlight w:val="none"/>
              </w:rPr>
              <w:t>对焊接烟尘的处理效率按9</w:t>
            </w:r>
            <w:r>
              <w:rPr>
                <w:rFonts w:hint="eastAsia"/>
                <w:color w:val="auto"/>
                <w:sz w:val="24"/>
                <w:highlight w:val="none"/>
                <w:lang w:val="en-US" w:eastAsia="zh-CN"/>
              </w:rPr>
              <w:t>5</w:t>
            </w:r>
            <w:r>
              <w:rPr>
                <w:rFonts w:hint="eastAsia"/>
                <w:color w:val="auto"/>
                <w:sz w:val="24"/>
                <w:highlight w:val="none"/>
              </w:rPr>
              <w:t>%计，收集效率按80%计，则焊接烟气排放无组织排放量约为</w:t>
            </w:r>
            <w:r>
              <w:rPr>
                <w:rFonts w:hint="eastAsia"/>
                <w:color w:val="auto"/>
                <w:sz w:val="24"/>
                <w:highlight w:val="none"/>
                <w:lang w:eastAsia="zh-CN"/>
              </w:rPr>
              <w:t>9.36</w:t>
            </w:r>
            <w:r>
              <w:rPr>
                <w:rFonts w:hint="eastAsia"/>
                <w:color w:val="auto"/>
                <w:sz w:val="24"/>
                <w:highlight w:val="none"/>
              </w:rPr>
              <w:t>k</w:t>
            </w:r>
            <w:r>
              <w:rPr>
                <w:color w:val="auto"/>
                <w:sz w:val="24"/>
                <w:highlight w:val="none"/>
              </w:rPr>
              <w:t>g/a</w:t>
            </w:r>
            <w:r>
              <w:rPr>
                <w:rFonts w:hint="eastAsia"/>
                <w:color w:val="auto"/>
                <w:sz w:val="24"/>
                <w:highlight w:val="none"/>
              </w:rPr>
              <w:t>，产生量非常少，对周围环境影响很小。</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（4）液化气燃烧废气</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本项目烘干工序使用燃气加热，液化气使用量为200m</w:t>
            </w:r>
            <w:r>
              <w:rPr>
                <w:rFonts w:hint="eastAsia"/>
                <w:color w:val="auto"/>
                <w:sz w:val="24"/>
                <w:highlight w:val="none"/>
                <w:vertAlign w:val="superscript"/>
              </w:rPr>
              <w:t>3</w:t>
            </w:r>
            <w:r>
              <w:rPr>
                <w:rFonts w:hint="eastAsia"/>
                <w:color w:val="auto"/>
                <w:sz w:val="24"/>
                <w:highlight w:val="none"/>
              </w:rPr>
              <w:t>/a，参考《工业锅炉（热力供应）行业系数手册》，</w:t>
            </w:r>
            <w:r>
              <w:rPr>
                <w:rFonts w:hint="eastAsia"/>
                <w:color w:val="auto"/>
                <w:sz w:val="24"/>
                <w:highlight w:val="none"/>
                <w:lang w:eastAsia="zh-CN"/>
              </w:rPr>
              <w:t>加热炉</w:t>
            </w:r>
            <w:r>
              <w:rPr>
                <w:rFonts w:hint="eastAsia"/>
                <w:color w:val="auto"/>
                <w:sz w:val="24"/>
                <w:highlight w:val="none"/>
              </w:rPr>
              <w:t>产生二氧化硫和氮氧化物得产污系数为0.02S千克/万立方米-原料和15.87千克/万立方米-原料。天然气的含硫量取100mg/m</w:t>
            </w:r>
            <w:r>
              <w:rPr>
                <w:rFonts w:hint="eastAsia"/>
                <w:color w:val="auto"/>
                <w:sz w:val="24"/>
                <w:highlight w:val="none"/>
                <w:vertAlign w:val="superscript"/>
              </w:rPr>
              <w:t>3</w:t>
            </w:r>
            <w:r>
              <w:rPr>
                <w:rFonts w:hint="eastAsia"/>
                <w:color w:val="auto"/>
                <w:sz w:val="24"/>
                <w:highlight w:val="none"/>
              </w:rPr>
              <w:t>，则本项目液化气燃烧产生二氧化硫0.04kg/a，氮氧化物0.3174kg/a。本项目烘干房使用热气输入直接加热，加热过程中全程密闭，烘烤房内设置</w:t>
            </w:r>
            <w:r>
              <w:rPr>
                <w:rFonts w:hint="eastAsia"/>
                <w:color w:val="auto"/>
                <w:sz w:val="24"/>
                <w:highlight w:val="none"/>
                <w:lang w:eastAsia="zh-CN"/>
              </w:rPr>
              <w:t>管道收集</w:t>
            </w:r>
            <w:r>
              <w:rPr>
                <w:rFonts w:hint="eastAsia"/>
                <w:color w:val="auto"/>
                <w:sz w:val="24"/>
                <w:highlight w:val="none"/>
              </w:rPr>
              <w:t>，加热完后液化气燃烧废气与烘干/固化有机废气无法分离，一同进入废气处理设施，再经15m排气筒排放，且</w:t>
            </w:r>
            <w:r>
              <w:rPr>
                <w:rFonts w:hint="eastAsia"/>
                <w:color w:val="auto"/>
                <w:sz w:val="24"/>
                <w:highlight w:val="none"/>
                <w:lang w:eastAsia="zh-CN"/>
              </w:rPr>
              <w:t>加热炉</w:t>
            </w:r>
            <w:r>
              <w:rPr>
                <w:rFonts w:hint="eastAsia"/>
                <w:color w:val="auto"/>
                <w:sz w:val="24"/>
                <w:highlight w:val="none"/>
              </w:rPr>
              <w:t>废气产生量很少，对环境影响不大。</w:t>
            </w:r>
          </w:p>
          <w:p>
            <w:pPr>
              <w:autoSpaceDE w:val="0"/>
              <w:autoSpaceDN w:val="0"/>
              <w:adjustRightInd w:val="0"/>
              <w:spacing w:line="360" w:lineRule="auto"/>
              <w:ind w:firstLine="480" w:firstLineChars="200"/>
              <w:jc w:val="left"/>
              <w:rPr>
                <w:color w:val="auto"/>
                <w:sz w:val="24"/>
                <w:highlight w:val="none"/>
              </w:rPr>
            </w:pPr>
            <w:r>
              <w:rPr>
                <w:rFonts w:hint="eastAsia"/>
                <w:color w:val="auto"/>
                <w:sz w:val="24"/>
                <w:highlight w:val="none"/>
              </w:rPr>
              <w:t>综上所述，项目运营期废气产生及排放情况见下表（本项目配备1台风量为10000m</w:t>
            </w:r>
            <w:r>
              <w:rPr>
                <w:rFonts w:hint="eastAsia"/>
                <w:color w:val="auto"/>
                <w:sz w:val="24"/>
                <w:highlight w:val="none"/>
                <w:vertAlign w:val="superscript"/>
              </w:rPr>
              <w:t>3</w:t>
            </w:r>
            <w:r>
              <w:rPr>
                <w:rFonts w:hint="eastAsia"/>
                <w:color w:val="auto"/>
                <w:sz w:val="24"/>
                <w:highlight w:val="none"/>
              </w:rPr>
              <w:t>/h的风机）</w:t>
            </w:r>
          </w:p>
          <w:p>
            <w:pPr>
              <w:autoSpaceDE w:val="0"/>
              <w:autoSpaceDN w:val="0"/>
              <w:jc w:val="center"/>
              <w:rPr>
                <w:b/>
                <w:color w:val="auto"/>
                <w:kern w:val="0"/>
                <w:szCs w:val="21"/>
                <w:highlight w:val="none"/>
              </w:rPr>
            </w:pPr>
            <w:r>
              <w:rPr>
                <w:rFonts w:hint="eastAsia"/>
                <w:b/>
                <w:color w:val="auto"/>
                <w:kern w:val="0"/>
                <w:szCs w:val="21"/>
                <w:highlight w:val="none"/>
              </w:rPr>
              <w:t>4-1  项目废气污染物产生及排放情况表</w:t>
            </w:r>
          </w:p>
          <w:tbl>
            <w:tblPr>
              <w:tblStyle w:val="25"/>
              <w:tblW w:w="80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49"/>
              <w:gridCol w:w="952"/>
              <w:gridCol w:w="819"/>
              <w:gridCol w:w="760"/>
              <w:gridCol w:w="687"/>
              <w:gridCol w:w="940"/>
              <w:gridCol w:w="804"/>
              <w:gridCol w:w="776"/>
              <w:gridCol w:w="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9" w:type="dxa"/>
                  <w:vMerge w:val="restart"/>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来源</w:t>
                  </w:r>
                </w:p>
              </w:tc>
              <w:tc>
                <w:tcPr>
                  <w:tcW w:w="849" w:type="dxa"/>
                  <w:vMerge w:val="restart"/>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名称</w:t>
                  </w:r>
                </w:p>
              </w:tc>
              <w:tc>
                <w:tcPr>
                  <w:tcW w:w="2531" w:type="dxa"/>
                  <w:gridSpan w:val="3"/>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处理前污染物</w:t>
                  </w:r>
                </w:p>
              </w:tc>
              <w:tc>
                <w:tcPr>
                  <w:tcW w:w="687" w:type="dxa"/>
                  <w:vMerge w:val="restart"/>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环保</w:t>
                  </w:r>
                </w:p>
                <w:p>
                  <w:pPr>
                    <w:autoSpaceDE w:val="0"/>
                    <w:autoSpaceDN w:val="0"/>
                    <w:jc w:val="center"/>
                    <w:rPr>
                      <w:color w:val="auto"/>
                      <w:kern w:val="0"/>
                      <w:szCs w:val="21"/>
                      <w:highlight w:val="none"/>
                    </w:rPr>
                  </w:pPr>
                  <w:r>
                    <w:rPr>
                      <w:rFonts w:hint="eastAsia"/>
                      <w:color w:val="auto"/>
                      <w:kern w:val="0"/>
                      <w:szCs w:val="21"/>
                      <w:highlight w:val="none"/>
                    </w:rPr>
                    <w:t>措施</w:t>
                  </w:r>
                </w:p>
              </w:tc>
              <w:tc>
                <w:tcPr>
                  <w:tcW w:w="2520" w:type="dxa"/>
                  <w:gridSpan w:val="3"/>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处理后污染物</w:t>
                  </w:r>
                </w:p>
              </w:tc>
              <w:tc>
                <w:tcPr>
                  <w:tcW w:w="660" w:type="dxa"/>
                  <w:vMerge w:val="restart"/>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排放方式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69" w:type="dxa"/>
                  <w:vMerge w:val="continue"/>
                  <w:tcBorders>
                    <w:tl2br w:val="nil"/>
                    <w:tr2bl w:val="nil"/>
                  </w:tcBorders>
                  <w:vAlign w:val="center"/>
                </w:tcPr>
                <w:p>
                  <w:pPr>
                    <w:autoSpaceDE w:val="0"/>
                    <w:autoSpaceDN w:val="0"/>
                    <w:jc w:val="center"/>
                    <w:rPr>
                      <w:color w:val="auto"/>
                      <w:kern w:val="0"/>
                      <w:szCs w:val="21"/>
                      <w:highlight w:val="none"/>
                    </w:rPr>
                  </w:pPr>
                </w:p>
              </w:tc>
              <w:tc>
                <w:tcPr>
                  <w:tcW w:w="849" w:type="dxa"/>
                  <w:vMerge w:val="continue"/>
                  <w:tcBorders>
                    <w:tl2br w:val="nil"/>
                    <w:tr2bl w:val="nil"/>
                  </w:tcBorders>
                  <w:vAlign w:val="center"/>
                </w:tcPr>
                <w:p>
                  <w:pPr>
                    <w:autoSpaceDE w:val="0"/>
                    <w:autoSpaceDN w:val="0"/>
                    <w:jc w:val="center"/>
                    <w:rPr>
                      <w:color w:val="auto"/>
                      <w:kern w:val="0"/>
                      <w:szCs w:val="21"/>
                      <w:highlight w:val="none"/>
                    </w:rPr>
                  </w:pPr>
                </w:p>
              </w:tc>
              <w:tc>
                <w:tcPr>
                  <w:tcW w:w="952"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产生量t/a</w:t>
                  </w:r>
                </w:p>
              </w:tc>
              <w:tc>
                <w:tcPr>
                  <w:tcW w:w="819"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速率</w:t>
                  </w:r>
                </w:p>
                <w:p>
                  <w:pPr>
                    <w:autoSpaceDE w:val="0"/>
                    <w:autoSpaceDN w:val="0"/>
                    <w:jc w:val="center"/>
                    <w:rPr>
                      <w:color w:val="auto"/>
                      <w:kern w:val="0"/>
                      <w:szCs w:val="21"/>
                      <w:highlight w:val="none"/>
                    </w:rPr>
                  </w:pPr>
                  <w:r>
                    <w:rPr>
                      <w:rFonts w:hint="eastAsia"/>
                      <w:color w:val="auto"/>
                      <w:kern w:val="0"/>
                      <w:szCs w:val="21"/>
                      <w:highlight w:val="none"/>
                    </w:rPr>
                    <w:t>kg/h</w:t>
                  </w:r>
                </w:p>
              </w:tc>
              <w:tc>
                <w:tcPr>
                  <w:tcW w:w="76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浓度mg/m</w:t>
                  </w:r>
                  <w:r>
                    <w:rPr>
                      <w:rFonts w:hint="eastAsia"/>
                      <w:color w:val="auto"/>
                      <w:kern w:val="0"/>
                      <w:szCs w:val="21"/>
                      <w:highlight w:val="none"/>
                      <w:vertAlign w:val="superscript"/>
                    </w:rPr>
                    <w:t>3</w:t>
                  </w:r>
                </w:p>
              </w:tc>
              <w:tc>
                <w:tcPr>
                  <w:tcW w:w="687" w:type="dxa"/>
                  <w:vMerge w:val="continue"/>
                  <w:tcBorders>
                    <w:tl2br w:val="nil"/>
                    <w:tr2bl w:val="nil"/>
                  </w:tcBorders>
                  <w:vAlign w:val="center"/>
                </w:tcPr>
                <w:p>
                  <w:pPr>
                    <w:autoSpaceDE w:val="0"/>
                    <w:autoSpaceDN w:val="0"/>
                    <w:jc w:val="center"/>
                    <w:rPr>
                      <w:color w:val="auto"/>
                      <w:kern w:val="0"/>
                      <w:szCs w:val="21"/>
                      <w:highlight w:val="none"/>
                    </w:rPr>
                  </w:pPr>
                </w:p>
              </w:tc>
              <w:tc>
                <w:tcPr>
                  <w:tcW w:w="94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排放量t/a</w:t>
                  </w:r>
                </w:p>
              </w:tc>
              <w:tc>
                <w:tcPr>
                  <w:tcW w:w="804"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速率</w:t>
                  </w:r>
                </w:p>
                <w:p>
                  <w:pPr>
                    <w:autoSpaceDE w:val="0"/>
                    <w:autoSpaceDN w:val="0"/>
                    <w:jc w:val="center"/>
                    <w:rPr>
                      <w:color w:val="auto"/>
                      <w:kern w:val="0"/>
                      <w:szCs w:val="21"/>
                      <w:highlight w:val="none"/>
                    </w:rPr>
                  </w:pPr>
                  <w:r>
                    <w:rPr>
                      <w:rFonts w:hint="eastAsia"/>
                      <w:color w:val="auto"/>
                      <w:kern w:val="0"/>
                      <w:szCs w:val="21"/>
                      <w:highlight w:val="none"/>
                    </w:rPr>
                    <w:t>kg/h</w:t>
                  </w:r>
                </w:p>
              </w:tc>
              <w:tc>
                <w:tcPr>
                  <w:tcW w:w="776"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浓度mg/m</w:t>
                  </w:r>
                  <w:r>
                    <w:rPr>
                      <w:rFonts w:hint="eastAsia"/>
                      <w:color w:val="auto"/>
                      <w:kern w:val="0"/>
                      <w:szCs w:val="21"/>
                      <w:highlight w:val="none"/>
                      <w:vertAlign w:val="superscript"/>
                    </w:rPr>
                    <w:t>3</w:t>
                  </w:r>
                </w:p>
              </w:tc>
              <w:tc>
                <w:tcPr>
                  <w:tcW w:w="660" w:type="dxa"/>
                  <w:vMerge w:val="continue"/>
                  <w:tcBorders>
                    <w:tl2br w:val="nil"/>
                    <w:tr2bl w:val="nil"/>
                  </w:tcBorders>
                  <w:vAlign w:val="center"/>
                </w:tcPr>
                <w:p>
                  <w:pPr>
                    <w:autoSpaceDE w:val="0"/>
                    <w:autoSpaceDN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9" w:type="dxa"/>
                  <w:tcBorders>
                    <w:tl2br w:val="nil"/>
                    <w:tr2bl w:val="nil"/>
                  </w:tcBorders>
                  <w:vAlign w:val="center"/>
                </w:tcPr>
                <w:p>
                  <w:pPr>
                    <w:autoSpaceDN w:val="0"/>
                    <w:jc w:val="center"/>
                    <w:rPr>
                      <w:rFonts w:hint="eastAsia" w:eastAsia="宋体"/>
                      <w:color w:val="auto"/>
                      <w:szCs w:val="21"/>
                      <w:highlight w:val="none"/>
                      <w:lang w:val="en-US" w:eastAsia="zh-CN"/>
                    </w:rPr>
                  </w:pPr>
                  <w:r>
                    <w:rPr>
                      <w:rFonts w:hint="eastAsia"/>
                      <w:color w:val="auto"/>
                      <w:szCs w:val="21"/>
                      <w:highlight w:val="none"/>
                    </w:rPr>
                    <w:t>喷漆、丝网印刷、烘干</w:t>
                  </w:r>
                  <w:r>
                    <w:rPr>
                      <w:rFonts w:hint="eastAsia"/>
                      <w:color w:val="auto"/>
                      <w:szCs w:val="21"/>
                      <w:highlight w:val="none"/>
                      <w:lang w:val="en-US" w:eastAsia="zh-CN"/>
                    </w:rPr>
                    <w:t>/固化</w:t>
                  </w:r>
                </w:p>
                <w:p>
                  <w:pPr>
                    <w:pStyle w:val="13"/>
                    <w:jc w:val="center"/>
                    <w:rPr>
                      <w:color w:val="auto"/>
                      <w:szCs w:val="21"/>
                      <w:highlight w:val="none"/>
                    </w:rPr>
                  </w:pPr>
                </w:p>
              </w:tc>
              <w:tc>
                <w:tcPr>
                  <w:tcW w:w="849" w:type="dxa"/>
                  <w:tcBorders>
                    <w:tl2br w:val="nil"/>
                    <w:tr2bl w:val="nil"/>
                  </w:tcBorders>
                  <w:vAlign w:val="center"/>
                </w:tcPr>
                <w:p>
                  <w:pPr>
                    <w:jc w:val="center"/>
                    <w:rPr>
                      <w:color w:val="auto"/>
                      <w:szCs w:val="21"/>
                      <w:highlight w:val="none"/>
                    </w:rPr>
                  </w:pPr>
                  <w:r>
                    <w:rPr>
                      <w:rFonts w:hint="eastAsia"/>
                      <w:color w:val="auto"/>
                      <w:szCs w:val="21"/>
                      <w:highlight w:val="none"/>
                    </w:rPr>
                    <w:t>VOCs</w:t>
                  </w:r>
                </w:p>
              </w:tc>
              <w:tc>
                <w:tcPr>
                  <w:tcW w:w="952" w:type="dxa"/>
                  <w:tcBorders>
                    <w:tl2br w:val="nil"/>
                    <w:tr2bl w:val="nil"/>
                  </w:tcBorders>
                  <w:vAlign w:val="center"/>
                </w:tcPr>
                <w:p>
                  <w:pPr>
                    <w:autoSpaceDE w:val="0"/>
                    <w:autoSpaceDN w:val="0"/>
                    <w:jc w:val="center"/>
                    <w:rPr>
                      <w:rFonts w:hint="eastAsia" w:eastAsia="宋体"/>
                      <w:color w:val="auto"/>
                      <w:kern w:val="0"/>
                      <w:szCs w:val="21"/>
                      <w:highlight w:val="none"/>
                      <w:lang w:eastAsia="zh-CN"/>
                    </w:rPr>
                  </w:pPr>
                  <w:r>
                    <w:rPr>
                      <w:rFonts w:hint="eastAsia"/>
                      <w:color w:val="auto"/>
                      <w:kern w:val="0"/>
                      <w:szCs w:val="21"/>
                      <w:highlight w:val="none"/>
                      <w:lang w:eastAsia="zh-CN"/>
                    </w:rPr>
                    <w:t>0.3644</w:t>
                  </w:r>
                </w:p>
              </w:tc>
              <w:tc>
                <w:tcPr>
                  <w:tcW w:w="819"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rPr>
                    <w:t>0.</w:t>
                  </w:r>
                  <w:r>
                    <w:rPr>
                      <w:rFonts w:hint="eastAsia"/>
                      <w:color w:val="auto"/>
                      <w:kern w:val="0"/>
                      <w:szCs w:val="21"/>
                      <w:highlight w:val="none"/>
                      <w:lang w:val="en-US" w:eastAsia="zh-CN"/>
                    </w:rPr>
                    <w:t>152</w:t>
                  </w:r>
                </w:p>
              </w:tc>
              <w:tc>
                <w:tcPr>
                  <w:tcW w:w="760"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15.2</w:t>
                  </w:r>
                </w:p>
              </w:tc>
              <w:tc>
                <w:tcPr>
                  <w:tcW w:w="687" w:type="dxa"/>
                  <w:vMerge w:val="restart"/>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水喷淋+UV光解+活性炭</w:t>
                  </w:r>
                </w:p>
              </w:tc>
              <w:tc>
                <w:tcPr>
                  <w:tcW w:w="940"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0.20267</w:t>
                  </w:r>
                </w:p>
              </w:tc>
              <w:tc>
                <w:tcPr>
                  <w:tcW w:w="804"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0.084</w:t>
                  </w:r>
                </w:p>
              </w:tc>
              <w:tc>
                <w:tcPr>
                  <w:tcW w:w="776"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8.4</w:t>
                  </w:r>
                </w:p>
              </w:tc>
              <w:tc>
                <w:tcPr>
                  <w:tcW w:w="660" w:type="dxa"/>
                  <w:vMerge w:val="restart"/>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15m排放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9" w:type="dxa"/>
                  <w:tcBorders>
                    <w:tl2br w:val="nil"/>
                    <w:tr2bl w:val="nil"/>
                  </w:tcBorders>
                  <w:vAlign w:val="center"/>
                </w:tcPr>
                <w:p>
                  <w:pPr>
                    <w:pStyle w:val="13"/>
                    <w:jc w:val="center"/>
                    <w:rPr>
                      <w:rFonts w:hint="default" w:eastAsia="宋体"/>
                      <w:color w:val="auto"/>
                      <w:szCs w:val="21"/>
                      <w:highlight w:val="none"/>
                      <w:lang w:val="en-US" w:eastAsia="zh-CN"/>
                    </w:rPr>
                  </w:pPr>
                  <w:r>
                    <w:rPr>
                      <w:rFonts w:hint="eastAsia"/>
                      <w:color w:val="auto"/>
                      <w:szCs w:val="21"/>
                      <w:highlight w:val="none"/>
                    </w:rPr>
                    <w:t>喷漆、烘干</w:t>
                  </w:r>
                  <w:r>
                    <w:rPr>
                      <w:rFonts w:hint="eastAsia"/>
                      <w:color w:val="auto"/>
                      <w:szCs w:val="21"/>
                      <w:highlight w:val="none"/>
                      <w:lang w:val="en-US" w:eastAsia="zh-CN"/>
                    </w:rPr>
                    <w:t>/固化</w:t>
                  </w:r>
                </w:p>
              </w:tc>
              <w:tc>
                <w:tcPr>
                  <w:tcW w:w="849" w:type="dxa"/>
                  <w:tcBorders>
                    <w:tl2br w:val="nil"/>
                    <w:tr2bl w:val="nil"/>
                  </w:tcBorders>
                  <w:vAlign w:val="center"/>
                </w:tcPr>
                <w:p>
                  <w:pPr>
                    <w:jc w:val="center"/>
                    <w:rPr>
                      <w:color w:val="auto"/>
                      <w:szCs w:val="21"/>
                      <w:highlight w:val="none"/>
                    </w:rPr>
                  </w:pPr>
                  <w:r>
                    <w:rPr>
                      <w:rFonts w:hint="eastAsia"/>
                      <w:color w:val="auto"/>
                      <w:szCs w:val="21"/>
                      <w:highlight w:val="none"/>
                    </w:rPr>
                    <w:t>二甲苯</w:t>
                  </w:r>
                </w:p>
              </w:tc>
              <w:tc>
                <w:tcPr>
                  <w:tcW w:w="952"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0.0936</w:t>
                  </w:r>
                </w:p>
              </w:tc>
              <w:tc>
                <w:tcPr>
                  <w:tcW w:w="819"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0.039</w:t>
                  </w:r>
                </w:p>
              </w:tc>
              <w:tc>
                <w:tcPr>
                  <w:tcW w:w="76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3.9</w:t>
                  </w:r>
                </w:p>
              </w:tc>
              <w:tc>
                <w:tcPr>
                  <w:tcW w:w="687" w:type="dxa"/>
                  <w:vMerge w:val="continue"/>
                  <w:tcBorders>
                    <w:tl2br w:val="nil"/>
                    <w:tr2bl w:val="nil"/>
                  </w:tcBorders>
                  <w:vAlign w:val="center"/>
                </w:tcPr>
                <w:p>
                  <w:pPr>
                    <w:autoSpaceDE w:val="0"/>
                    <w:autoSpaceDN w:val="0"/>
                    <w:jc w:val="center"/>
                    <w:rPr>
                      <w:color w:val="auto"/>
                      <w:kern w:val="0"/>
                      <w:szCs w:val="21"/>
                      <w:highlight w:val="none"/>
                    </w:rPr>
                  </w:pPr>
                </w:p>
              </w:tc>
              <w:tc>
                <w:tcPr>
                  <w:tcW w:w="94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0.0749</w:t>
                  </w:r>
                </w:p>
              </w:tc>
              <w:tc>
                <w:tcPr>
                  <w:tcW w:w="804"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0.031</w:t>
                  </w:r>
                </w:p>
              </w:tc>
              <w:tc>
                <w:tcPr>
                  <w:tcW w:w="776"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3.1</w:t>
                  </w:r>
                </w:p>
              </w:tc>
              <w:tc>
                <w:tcPr>
                  <w:tcW w:w="660" w:type="dxa"/>
                  <w:vMerge w:val="continue"/>
                  <w:tcBorders>
                    <w:tl2br w:val="nil"/>
                    <w:tr2bl w:val="nil"/>
                  </w:tcBorders>
                  <w:vAlign w:val="center"/>
                </w:tcPr>
                <w:p>
                  <w:pPr>
                    <w:autoSpaceDE w:val="0"/>
                    <w:autoSpaceDN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9" w:type="dxa"/>
                  <w:vMerge w:val="restart"/>
                  <w:tcBorders>
                    <w:tl2br w:val="nil"/>
                    <w:tr2bl w:val="nil"/>
                  </w:tcBorders>
                  <w:vAlign w:val="center"/>
                </w:tcPr>
                <w:p>
                  <w:pPr>
                    <w:autoSpaceDE w:val="0"/>
                    <w:autoSpaceDN w:val="0"/>
                    <w:jc w:val="center"/>
                    <w:rPr>
                      <w:color w:val="auto"/>
                      <w:szCs w:val="21"/>
                      <w:highlight w:val="none"/>
                    </w:rPr>
                  </w:pPr>
                  <w:r>
                    <w:rPr>
                      <w:rFonts w:hint="eastAsia"/>
                      <w:color w:val="auto"/>
                      <w:kern w:val="0"/>
                      <w:szCs w:val="21"/>
                      <w:highlight w:val="none"/>
                    </w:rPr>
                    <w:t>烘干</w:t>
                  </w:r>
                </w:p>
              </w:tc>
              <w:tc>
                <w:tcPr>
                  <w:tcW w:w="849" w:type="dxa"/>
                  <w:tcBorders>
                    <w:tl2br w:val="nil"/>
                    <w:tr2bl w:val="nil"/>
                  </w:tcBorders>
                  <w:vAlign w:val="center"/>
                </w:tcPr>
                <w:p>
                  <w:pPr>
                    <w:autoSpaceDE w:val="0"/>
                    <w:autoSpaceDN w:val="0"/>
                    <w:jc w:val="center"/>
                    <w:rPr>
                      <w:color w:val="auto"/>
                      <w:szCs w:val="21"/>
                      <w:highlight w:val="none"/>
                    </w:rPr>
                  </w:pPr>
                  <w:r>
                    <w:rPr>
                      <w:rFonts w:hint="eastAsia"/>
                      <w:color w:val="auto"/>
                      <w:kern w:val="0"/>
                      <w:szCs w:val="21"/>
                      <w:highlight w:val="none"/>
                    </w:rPr>
                    <w:t>SO</w:t>
                  </w:r>
                  <w:r>
                    <w:rPr>
                      <w:rFonts w:hint="eastAsia"/>
                      <w:color w:val="auto"/>
                      <w:kern w:val="0"/>
                      <w:szCs w:val="21"/>
                      <w:highlight w:val="none"/>
                      <w:vertAlign w:val="subscript"/>
                    </w:rPr>
                    <w:t>2</w:t>
                  </w:r>
                </w:p>
              </w:tc>
              <w:tc>
                <w:tcPr>
                  <w:tcW w:w="952" w:type="dxa"/>
                  <w:tcBorders>
                    <w:tl2br w:val="nil"/>
                    <w:tr2bl w:val="nil"/>
                  </w:tcBorders>
                  <w:vAlign w:val="center"/>
                </w:tcPr>
                <w:p>
                  <w:pPr>
                    <w:autoSpaceDE w:val="0"/>
                    <w:autoSpaceDN w:val="0"/>
                    <w:jc w:val="center"/>
                    <w:rPr>
                      <w:color w:val="auto"/>
                      <w:kern w:val="0"/>
                      <w:szCs w:val="21"/>
                      <w:highlight w:val="none"/>
                    </w:rPr>
                  </w:pPr>
                  <w:r>
                    <w:rPr>
                      <w:rFonts w:hint="eastAsia"/>
                      <w:color w:val="auto"/>
                      <w:szCs w:val="21"/>
                      <w:highlight w:val="none"/>
                    </w:rPr>
                    <w:t>0.04kg/a</w:t>
                  </w:r>
                </w:p>
              </w:tc>
              <w:tc>
                <w:tcPr>
                  <w:tcW w:w="819"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0.000017</w:t>
                  </w:r>
                </w:p>
              </w:tc>
              <w:tc>
                <w:tcPr>
                  <w:tcW w:w="76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0.0017</w:t>
                  </w:r>
                </w:p>
              </w:tc>
              <w:tc>
                <w:tcPr>
                  <w:tcW w:w="687" w:type="dxa"/>
                  <w:vMerge w:val="restart"/>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940" w:type="dxa"/>
                  <w:tcBorders>
                    <w:tl2br w:val="nil"/>
                    <w:tr2bl w:val="nil"/>
                  </w:tcBorders>
                  <w:vAlign w:val="center"/>
                </w:tcPr>
                <w:p>
                  <w:pPr>
                    <w:autoSpaceDE w:val="0"/>
                    <w:autoSpaceDN w:val="0"/>
                    <w:jc w:val="center"/>
                    <w:rPr>
                      <w:color w:val="auto"/>
                      <w:kern w:val="0"/>
                      <w:szCs w:val="21"/>
                      <w:highlight w:val="none"/>
                    </w:rPr>
                  </w:pPr>
                  <w:r>
                    <w:rPr>
                      <w:rFonts w:hint="eastAsia"/>
                      <w:color w:val="auto"/>
                      <w:szCs w:val="21"/>
                      <w:highlight w:val="none"/>
                    </w:rPr>
                    <w:t>0.04kg/a</w:t>
                  </w:r>
                </w:p>
              </w:tc>
              <w:tc>
                <w:tcPr>
                  <w:tcW w:w="804"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0.000017</w:t>
                  </w:r>
                </w:p>
              </w:tc>
              <w:tc>
                <w:tcPr>
                  <w:tcW w:w="776"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0.0017</w:t>
                  </w:r>
                </w:p>
              </w:tc>
              <w:tc>
                <w:tcPr>
                  <w:tcW w:w="660" w:type="dxa"/>
                  <w:vMerge w:val="continue"/>
                  <w:tcBorders>
                    <w:tl2br w:val="nil"/>
                    <w:tr2bl w:val="nil"/>
                  </w:tcBorders>
                  <w:vAlign w:val="center"/>
                </w:tcPr>
                <w:p>
                  <w:pPr>
                    <w:autoSpaceDE w:val="0"/>
                    <w:autoSpaceDN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9" w:type="dxa"/>
                  <w:vMerge w:val="continue"/>
                  <w:tcBorders>
                    <w:tl2br w:val="nil"/>
                    <w:tr2bl w:val="nil"/>
                  </w:tcBorders>
                  <w:vAlign w:val="center"/>
                </w:tcPr>
                <w:p>
                  <w:pPr>
                    <w:autoSpaceDE w:val="0"/>
                    <w:autoSpaceDN w:val="0"/>
                    <w:jc w:val="center"/>
                    <w:rPr>
                      <w:color w:val="auto"/>
                      <w:szCs w:val="21"/>
                      <w:highlight w:val="none"/>
                    </w:rPr>
                  </w:pPr>
                </w:p>
              </w:tc>
              <w:tc>
                <w:tcPr>
                  <w:tcW w:w="849" w:type="dxa"/>
                  <w:tcBorders>
                    <w:tl2br w:val="nil"/>
                    <w:tr2bl w:val="nil"/>
                  </w:tcBorders>
                  <w:vAlign w:val="center"/>
                </w:tcPr>
                <w:p>
                  <w:pPr>
                    <w:autoSpaceDE w:val="0"/>
                    <w:autoSpaceDN w:val="0"/>
                    <w:jc w:val="center"/>
                    <w:rPr>
                      <w:color w:val="auto"/>
                      <w:szCs w:val="21"/>
                      <w:highlight w:val="none"/>
                    </w:rPr>
                  </w:pPr>
                  <w:r>
                    <w:rPr>
                      <w:rFonts w:hint="eastAsia"/>
                      <w:color w:val="auto"/>
                      <w:kern w:val="0"/>
                      <w:szCs w:val="21"/>
                      <w:highlight w:val="none"/>
                    </w:rPr>
                    <w:t>NOx</w:t>
                  </w:r>
                </w:p>
              </w:tc>
              <w:tc>
                <w:tcPr>
                  <w:tcW w:w="952" w:type="dxa"/>
                  <w:tcBorders>
                    <w:tl2br w:val="nil"/>
                    <w:tr2bl w:val="nil"/>
                  </w:tcBorders>
                  <w:vAlign w:val="center"/>
                </w:tcPr>
                <w:p>
                  <w:pPr>
                    <w:autoSpaceDE w:val="0"/>
                    <w:autoSpaceDN w:val="0"/>
                    <w:jc w:val="center"/>
                    <w:rPr>
                      <w:color w:val="auto"/>
                      <w:kern w:val="0"/>
                      <w:szCs w:val="21"/>
                      <w:highlight w:val="none"/>
                    </w:rPr>
                  </w:pPr>
                  <w:r>
                    <w:rPr>
                      <w:rFonts w:hint="eastAsia"/>
                      <w:color w:val="auto"/>
                      <w:szCs w:val="21"/>
                      <w:highlight w:val="none"/>
                    </w:rPr>
                    <w:t>0.3174kg/a</w:t>
                  </w:r>
                </w:p>
              </w:tc>
              <w:tc>
                <w:tcPr>
                  <w:tcW w:w="819"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0.00013</w:t>
                  </w:r>
                </w:p>
              </w:tc>
              <w:tc>
                <w:tcPr>
                  <w:tcW w:w="76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0.013</w:t>
                  </w:r>
                </w:p>
              </w:tc>
              <w:tc>
                <w:tcPr>
                  <w:tcW w:w="687" w:type="dxa"/>
                  <w:vMerge w:val="continue"/>
                  <w:tcBorders>
                    <w:tl2br w:val="nil"/>
                    <w:tr2bl w:val="nil"/>
                  </w:tcBorders>
                  <w:vAlign w:val="center"/>
                </w:tcPr>
                <w:p>
                  <w:pPr>
                    <w:autoSpaceDE w:val="0"/>
                    <w:autoSpaceDN w:val="0"/>
                    <w:jc w:val="center"/>
                    <w:rPr>
                      <w:color w:val="auto"/>
                      <w:kern w:val="0"/>
                      <w:szCs w:val="21"/>
                      <w:highlight w:val="none"/>
                    </w:rPr>
                  </w:pPr>
                </w:p>
              </w:tc>
              <w:tc>
                <w:tcPr>
                  <w:tcW w:w="940" w:type="dxa"/>
                  <w:tcBorders>
                    <w:tl2br w:val="nil"/>
                    <w:tr2bl w:val="nil"/>
                  </w:tcBorders>
                  <w:vAlign w:val="center"/>
                </w:tcPr>
                <w:p>
                  <w:pPr>
                    <w:autoSpaceDE w:val="0"/>
                    <w:autoSpaceDN w:val="0"/>
                    <w:jc w:val="center"/>
                    <w:rPr>
                      <w:color w:val="auto"/>
                      <w:kern w:val="0"/>
                      <w:szCs w:val="21"/>
                      <w:highlight w:val="none"/>
                    </w:rPr>
                  </w:pPr>
                  <w:r>
                    <w:rPr>
                      <w:rFonts w:hint="eastAsia"/>
                      <w:color w:val="auto"/>
                      <w:szCs w:val="21"/>
                      <w:highlight w:val="none"/>
                    </w:rPr>
                    <w:t>0.3174kg/a</w:t>
                  </w:r>
                </w:p>
              </w:tc>
              <w:tc>
                <w:tcPr>
                  <w:tcW w:w="804"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0.00013</w:t>
                  </w:r>
                </w:p>
              </w:tc>
              <w:tc>
                <w:tcPr>
                  <w:tcW w:w="776"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0.013</w:t>
                  </w:r>
                </w:p>
              </w:tc>
              <w:tc>
                <w:tcPr>
                  <w:tcW w:w="660" w:type="dxa"/>
                  <w:vMerge w:val="continue"/>
                  <w:tcBorders>
                    <w:tl2br w:val="nil"/>
                    <w:tr2bl w:val="nil"/>
                  </w:tcBorders>
                  <w:vAlign w:val="center"/>
                </w:tcPr>
                <w:p>
                  <w:pPr>
                    <w:autoSpaceDE w:val="0"/>
                    <w:autoSpaceDN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9"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喷粉</w:t>
                  </w:r>
                </w:p>
              </w:tc>
              <w:tc>
                <w:tcPr>
                  <w:tcW w:w="849"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颗粒物</w:t>
                  </w:r>
                </w:p>
              </w:tc>
              <w:tc>
                <w:tcPr>
                  <w:tcW w:w="952"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0.03</w:t>
                  </w:r>
                </w:p>
              </w:tc>
              <w:tc>
                <w:tcPr>
                  <w:tcW w:w="819"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0.0125</w:t>
                  </w:r>
                </w:p>
              </w:tc>
              <w:tc>
                <w:tcPr>
                  <w:tcW w:w="76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687"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塑粉回收机+布袋除尘</w:t>
                  </w:r>
                </w:p>
              </w:tc>
              <w:tc>
                <w:tcPr>
                  <w:tcW w:w="94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0.003</w:t>
                  </w:r>
                </w:p>
              </w:tc>
              <w:tc>
                <w:tcPr>
                  <w:tcW w:w="804"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0.0013</w:t>
                  </w:r>
                </w:p>
              </w:tc>
              <w:tc>
                <w:tcPr>
                  <w:tcW w:w="776"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660" w:type="dxa"/>
                  <w:vMerge w:val="restart"/>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9" w:type="dxa"/>
                  <w:tcBorders>
                    <w:tl2br w:val="nil"/>
                    <w:tr2bl w:val="nil"/>
                  </w:tcBorders>
                  <w:vAlign w:val="center"/>
                </w:tcPr>
                <w:p>
                  <w:pPr>
                    <w:autoSpaceDE w:val="0"/>
                    <w:autoSpaceDN w:val="0"/>
                    <w:jc w:val="center"/>
                    <w:rPr>
                      <w:rFonts w:hint="eastAsia" w:eastAsia="宋体"/>
                      <w:color w:val="auto"/>
                      <w:kern w:val="0"/>
                      <w:szCs w:val="21"/>
                      <w:highlight w:val="none"/>
                      <w:lang w:val="en-US" w:eastAsia="zh-CN"/>
                    </w:rPr>
                  </w:pPr>
                  <w:r>
                    <w:rPr>
                      <w:rFonts w:hint="eastAsia"/>
                      <w:color w:val="auto"/>
                      <w:kern w:val="0"/>
                      <w:szCs w:val="21"/>
                      <w:highlight w:val="none"/>
                      <w:lang w:eastAsia="zh-CN"/>
                    </w:rPr>
                    <w:t>下料、雕刻</w:t>
                  </w:r>
                </w:p>
              </w:tc>
              <w:tc>
                <w:tcPr>
                  <w:tcW w:w="849" w:type="dxa"/>
                  <w:tcBorders>
                    <w:tl2br w:val="nil"/>
                    <w:tr2bl w:val="nil"/>
                  </w:tcBorders>
                  <w:vAlign w:val="center"/>
                </w:tcPr>
                <w:p>
                  <w:pPr>
                    <w:jc w:val="center"/>
                    <w:rPr>
                      <w:color w:val="auto"/>
                      <w:kern w:val="0"/>
                      <w:szCs w:val="21"/>
                      <w:highlight w:val="none"/>
                    </w:rPr>
                  </w:pPr>
                  <w:r>
                    <w:rPr>
                      <w:rFonts w:hint="eastAsia"/>
                      <w:color w:val="auto"/>
                      <w:szCs w:val="21"/>
                      <w:highlight w:val="none"/>
                    </w:rPr>
                    <w:t>颗粒物</w:t>
                  </w:r>
                </w:p>
              </w:tc>
              <w:tc>
                <w:tcPr>
                  <w:tcW w:w="952"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0.636</w:t>
                  </w:r>
                </w:p>
              </w:tc>
              <w:tc>
                <w:tcPr>
                  <w:tcW w:w="819" w:type="dxa"/>
                  <w:tcBorders>
                    <w:tl2br w:val="nil"/>
                    <w:tr2bl w:val="nil"/>
                  </w:tcBorders>
                  <w:vAlign w:val="center"/>
                </w:tcPr>
                <w:p>
                  <w:pPr>
                    <w:autoSpaceDE w:val="0"/>
                    <w:autoSpaceDN w:val="0"/>
                    <w:jc w:val="center"/>
                    <w:rPr>
                      <w:rFonts w:hint="eastAsia" w:eastAsia="宋体"/>
                      <w:color w:val="auto"/>
                      <w:kern w:val="0"/>
                      <w:szCs w:val="21"/>
                      <w:highlight w:val="none"/>
                      <w:lang w:eastAsia="zh-CN"/>
                    </w:rPr>
                  </w:pPr>
                  <w:r>
                    <w:rPr>
                      <w:rFonts w:hint="eastAsia"/>
                      <w:color w:val="auto"/>
                      <w:kern w:val="0"/>
                      <w:szCs w:val="21"/>
                      <w:highlight w:val="none"/>
                    </w:rPr>
                    <w:t>0.2</w:t>
                  </w:r>
                  <w:r>
                    <w:rPr>
                      <w:rFonts w:hint="eastAsia"/>
                      <w:color w:val="auto"/>
                      <w:kern w:val="0"/>
                      <w:szCs w:val="21"/>
                      <w:highlight w:val="none"/>
                      <w:lang w:val="en-US" w:eastAsia="zh-CN"/>
                    </w:rPr>
                    <w:t>7</w:t>
                  </w:r>
                </w:p>
              </w:tc>
              <w:tc>
                <w:tcPr>
                  <w:tcW w:w="76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687" w:type="dxa"/>
                  <w:tcBorders>
                    <w:tl2br w:val="nil"/>
                    <w:tr2bl w:val="nil"/>
                  </w:tcBorders>
                  <w:vAlign w:val="center"/>
                </w:tcPr>
                <w:p>
                  <w:pPr>
                    <w:autoSpaceDE w:val="0"/>
                    <w:autoSpaceDN w:val="0"/>
                    <w:jc w:val="center"/>
                    <w:rPr>
                      <w:rFonts w:hint="eastAsia" w:eastAsia="宋体"/>
                      <w:color w:val="auto"/>
                      <w:kern w:val="0"/>
                      <w:szCs w:val="21"/>
                      <w:highlight w:val="none"/>
                      <w:lang w:eastAsia="zh-CN"/>
                    </w:rPr>
                  </w:pPr>
                  <w:r>
                    <w:rPr>
                      <w:rFonts w:hint="eastAsia"/>
                      <w:color w:val="auto"/>
                      <w:kern w:val="0"/>
                      <w:szCs w:val="21"/>
                      <w:highlight w:val="none"/>
                      <w:lang w:eastAsia="zh-CN"/>
                    </w:rPr>
                    <w:t>布袋除尘器</w:t>
                  </w:r>
                </w:p>
              </w:tc>
              <w:tc>
                <w:tcPr>
                  <w:tcW w:w="940"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0.214</w:t>
                  </w:r>
                </w:p>
              </w:tc>
              <w:tc>
                <w:tcPr>
                  <w:tcW w:w="804"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0.09</w:t>
                  </w:r>
                </w:p>
              </w:tc>
              <w:tc>
                <w:tcPr>
                  <w:tcW w:w="776"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660" w:type="dxa"/>
                  <w:vMerge w:val="continue"/>
                  <w:tcBorders>
                    <w:tl2br w:val="nil"/>
                    <w:tr2bl w:val="nil"/>
                  </w:tcBorders>
                  <w:vAlign w:val="center"/>
                </w:tcPr>
                <w:p>
                  <w:pPr>
                    <w:autoSpaceDE w:val="0"/>
                    <w:autoSpaceDN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9" w:type="dxa"/>
                  <w:vMerge w:val="restart"/>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生产车间</w:t>
                  </w:r>
                </w:p>
              </w:tc>
              <w:tc>
                <w:tcPr>
                  <w:tcW w:w="849" w:type="dxa"/>
                  <w:tcBorders>
                    <w:tl2br w:val="nil"/>
                    <w:tr2bl w:val="nil"/>
                  </w:tcBorders>
                  <w:vAlign w:val="center"/>
                </w:tcPr>
                <w:p>
                  <w:pPr>
                    <w:jc w:val="center"/>
                    <w:rPr>
                      <w:color w:val="auto"/>
                      <w:szCs w:val="21"/>
                      <w:highlight w:val="none"/>
                    </w:rPr>
                  </w:pPr>
                  <w:r>
                    <w:rPr>
                      <w:rFonts w:hint="eastAsia"/>
                      <w:color w:val="auto"/>
                      <w:szCs w:val="21"/>
                      <w:highlight w:val="none"/>
                    </w:rPr>
                    <w:t>VOCs</w:t>
                  </w:r>
                </w:p>
              </w:tc>
              <w:tc>
                <w:tcPr>
                  <w:tcW w:w="952"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0.06484</w:t>
                  </w:r>
                </w:p>
              </w:tc>
              <w:tc>
                <w:tcPr>
                  <w:tcW w:w="819"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0.027</w:t>
                  </w:r>
                </w:p>
              </w:tc>
              <w:tc>
                <w:tcPr>
                  <w:tcW w:w="76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687"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94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0.06484</w:t>
                  </w:r>
                </w:p>
              </w:tc>
              <w:tc>
                <w:tcPr>
                  <w:tcW w:w="804"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0.027</w:t>
                  </w:r>
                </w:p>
              </w:tc>
              <w:tc>
                <w:tcPr>
                  <w:tcW w:w="776"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660" w:type="dxa"/>
                  <w:vMerge w:val="continue"/>
                  <w:tcBorders>
                    <w:tl2br w:val="nil"/>
                    <w:tr2bl w:val="nil"/>
                  </w:tcBorders>
                  <w:vAlign w:val="center"/>
                </w:tcPr>
                <w:p>
                  <w:pPr>
                    <w:autoSpaceDE w:val="0"/>
                    <w:autoSpaceDN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9" w:type="dxa"/>
                  <w:vMerge w:val="continue"/>
                  <w:tcBorders>
                    <w:tl2br w:val="nil"/>
                    <w:tr2bl w:val="nil"/>
                  </w:tcBorders>
                  <w:vAlign w:val="center"/>
                </w:tcPr>
                <w:p>
                  <w:pPr>
                    <w:autoSpaceDE w:val="0"/>
                    <w:autoSpaceDN w:val="0"/>
                    <w:jc w:val="center"/>
                    <w:rPr>
                      <w:color w:val="auto"/>
                      <w:kern w:val="0"/>
                      <w:szCs w:val="21"/>
                      <w:highlight w:val="none"/>
                    </w:rPr>
                  </w:pPr>
                </w:p>
              </w:tc>
              <w:tc>
                <w:tcPr>
                  <w:tcW w:w="849" w:type="dxa"/>
                  <w:tcBorders>
                    <w:tl2br w:val="nil"/>
                    <w:tr2bl w:val="nil"/>
                  </w:tcBorders>
                  <w:vAlign w:val="center"/>
                </w:tcPr>
                <w:p>
                  <w:pPr>
                    <w:jc w:val="center"/>
                    <w:rPr>
                      <w:color w:val="auto"/>
                      <w:szCs w:val="21"/>
                      <w:highlight w:val="none"/>
                    </w:rPr>
                  </w:pPr>
                  <w:r>
                    <w:rPr>
                      <w:rFonts w:hint="eastAsia"/>
                      <w:color w:val="auto"/>
                      <w:szCs w:val="21"/>
                      <w:highlight w:val="none"/>
                    </w:rPr>
                    <w:t>二甲苯</w:t>
                  </w:r>
                </w:p>
              </w:tc>
              <w:tc>
                <w:tcPr>
                  <w:tcW w:w="952"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0.0187</w:t>
                  </w:r>
                </w:p>
              </w:tc>
              <w:tc>
                <w:tcPr>
                  <w:tcW w:w="819"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0.0078</w:t>
                  </w:r>
                </w:p>
              </w:tc>
              <w:tc>
                <w:tcPr>
                  <w:tcW w:w="76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687"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940"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0.0187</w:t>
                  </w:r>
                </w:p>
              </w:tc>
              <w:tc>
                <w:tcPr>
                  <w:tcW w:w="804"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0.0078</w:t>
                  </w:r>
                </w:p>
              </w:tc>
              <w:tc>
                <w:tcPr>
                  <w:tcW w:w="776" w:type="dxa"/>
                  <w:tcBorders>
                    <w:tl2br w:val="nil"/>
                    <w:tr2bl w:val="nil"/>
                  </w:tcBorders>
                  <w:vAlign w:val="center"/>
                </w:tcPr>
                <w:p>
                  <w:pPr>
                    <w:autoSpaceDE w:val="0"/>
                    <w:autoSpaceDN w:val="0"/>
                    <w:jc w:val="center"/>
                    <w:rPr>
                      <w:color w:val="auto"/>
                      <w:kern w:val="0"/>
                      <w:szCs w:val="21"/>
                      <w:highlight w:val="none"/>
                    </w:rPr>
                  </w:pPr>
                  <w:r>
                    <w:rPr>
                      <w:rFonts w:hint="eastAsia"/>
                      <w:color w:val="auto"/>
                      <w:kern w:val="0"/>
                      <w:szCs w:val="21"/>
                      <w:highlight w:val="none"/>
                    </w:rPr>
                    <w:t>/</w:t>
                  </w:r>
                </w:p>
              </w:tc>
              <w:tc>
                <w:tcPr>
                  <w:tcW w:w="660" w:type="dxa"/>
                  <w:vMerge w:val="continue"/>
                  <w:tcBorders>
                    <w:tl2br w:val="nil"/>
                    <w:tr2bl w:val="nil"/>
                  </w:tcBorders>
                  <w:vAlign w:val="center"/>
                </w:tcPr>
                <w:p>
                  <w:pPr>
                    <w:autoSpaceDE w:val="0"/>
                    <w:autoSpaceDN w:val="0"/>
                    <w:jc w:val="center"/>
                    <w:rPr>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9" w:type="dxa"/>
                  <w:tcBorders>
                    <w:tl2br w:val="nil"/>
                    <w:tr2bl w:val="nil"/>
                  </w:tcBorders>
                  <w:vAlign w:val="center"/>
                </w:tcPr>
                <w:p>
                  <w:pPr>
                    <w:autoSpaceDE w:val="0"/>
                    <w:autoSpaceDN w:val="0"/>
                    <w:jc w:val="center"/>
                    <w:rPr>
                      <w:rFonts w:hint="eastAsia" w:eastAsia="宋体"/>
                      <w:color w:val="auto"/>
                      <w:kern w:val="0"/>
                      <w:szCs w:val="21"/>
                      <w:highlight w:val="none"/>
                      <w:lang w:eastAsia="zh-CN"/>
                    </w:rPr>
                  </w:pPr>
                  <w:r>
                    <w:rPr>
                      <w:rFonts w:hint="eastAsia"/>
                      <w:color w:val="auto"/>
                      <w:kern w:val="0"/>
                      <w:szCs w:val="21"/>
                      <w:highlight w:val="none"/>
                      <w:lang w:eastAsia="zh-CN"/>
                    </w:rPr>
                    <w:t>焊接</w:t>
                  </w:r>
                </w:p>
              </w:tc>
              <w:tc>
                <w:tcPr>
                  <w:tcW w:w="849" w:type="dxa"/>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lang w:eastAsia="zh-CN"/>
                    </w:rPr>
                    <w:t>颗粒物</w:t>
                  </w:r>
                </w:p>
              </w:tc>
              <w:tc>
                <w:tcPr>
                  <w:tcW w:w="952"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39kg/a</w:t>
                  </w:r>
                </w:p>
              </w:tc>
              <w:tc>
                <w:tcPr>
                  <w:tcW w:w="819"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0.16</w:t>
                  </w:r>
                </w:p>
              </w:tc>
              <w:tc>
                <w:tcPr>
                  <w:tcW w:w="760" w:type="dxa"/>
                  <w:tcBorders>
                    <w:tl2br w:val="nil"/>
                    <w:tr2bl w:val="nil"/>
                  </w:tcBorders>
                  <w:vAlign w:val="center"/>
                </w:tcPr>
                <w:p>
                  <w:pPr>
                    <w:autoSpaceDE w:val="0"/>
                    <w:autoSpaceDN w:val="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w:t>
                  </w:r>
                </w:p>
              </w:tc>
              <w:tc>
                <w:tcPr>
                  <w:tcW w:w="687" w:type="dxa"/>
                  <w:tcBorders>
                    <w:tl2br w:val="nil"/>
                    <w:tr2bl w:val="nil"/>
                  </w:tcBorders>
                  <w:vAlign w:val="center"/>
                </w:tcPr>
                <w:p>
                  <w:pPr>
                    <w:autoSpaceDE w:val="0"/>
                    <w:autoSpaceDN w:val="0"/>
                    <w:jc w:val="center"/>
                    <w:rPr>
                      <w:rFonts w:hint="eastAsia" w:eastAsia="宋体"/>
                      <w:color w:val="auto"/>
                      <w:kern w:val="0"/>
                      <w:szCs w:val="21"/>
                      <w:highlight w:val="none"/>
                      <w:lang w:eastAsia="zh-CN"/>
                    </w:rPr>
                  </w:pPr>
                  <w:r>
                    <w:rPr>
                      <w:rFonts w:hint="eastAsia"/>
                      <w:color w:val="auto"/>
                      <w:kern w:val="0"/>
                      <w:szCs w:val="21"/>
                      <w:highlight w:val="none"/>
                      <w:lang w:eastAsia="zh-CN"/>
                    </w:rPr>
                    <w:t>移动式焊接烟气净化器</w:t>
                  </w:r>
                </w:p>
              </w:tc>
              <w:tc>
                <w:tcPr>
                  <w:tcW w:w="940"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9.36kg/a</w:t>
                  </w:r>
                </w:p>
              </w:tc>
              <w:tc>
                <w:tcPr>
                  <w:tcW w:w="804" w:type="dxa"/>
                  <w:tcBorders>
                    <w:tl2br w:val="nil"/>
                    <w:tr2bl w:val="nil"/>
                  </w:tcBorders>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0.0039</w:t>
                  </w:r>
                </w:p>
              </w:tc>
              <w:tc>
                <w:tcPr>
                  <w:tcW w:w="776" w:type="dxa"/>
                  <w:tcBorders>
                    <w:tl2br w:val="nil"/>
                    <w:tr2bl w:val="nil"/>
                  </w:tcBorders>
                  <w:vAlign w:val="center"/>
                </w:tcPr>
                <w:p>
                  <w:pPr>
                    <w:autoSpaceDE w:val="0"/>
                    <w:autoSpaceDN w:val="0"/>
                    <w:jc w:val="center"/>
                    <w:rPr>
                      <w:rFonts w:hint="eastAsia" w:eastAsia="宋体"/>
                      <w:color w:val="auto"/>
                      <w:kern w:val="0"/>
                      <w:szCs w:val="21"/>
                      <w:highlight w:val="none"/>
                      <w:lang w:val="en-US" w:eastAsia="zh-CN"/>
                    </w:rPr>
                  </w:pPr>
                  <w:r>
                    <w:rPr>
                      <w:rFonts w:hint="eastAsia"/>
                      <w:color w:val="auto"/>
                      <w:kern w:val="0"/>
                      <w:szCs w:val="21"/>
                      <w:highlight w:val="none"/>
                      <w:lang w:val="en-US" w:eastAsia="zh-CN"/>
                    </w:rPr>
                    <w:t>/</w:t>
                  </w:r>
                </w:p>
              </w:tc>
              <w:tc>
                <w:tcPr>
                  <w:tcW w:w="660" w:type="dxa"/>
                  <w:vMerge w:val="continue"/>
                  <w:tcBorders>
                    <w:tl2br w:val="nil"/>
                    <w:tr2bl w:val="nil"/>
                  </w:tcBorders>
                  <w:vAlign w:val="center"/>
                </w:tcPr>
                <w:p>
                  <w:pPr>
                    <w:autoSpaceDE w:val="0"/>
                    <w:autoSpaceDN w:val="0"/>
                    <w:jc w:val="center"/>
                    <w:rPr>
                      <w:color w:val="auto"/>
                      <w:kern w:val="0"/>
                      <w:szCs w:val="21"/>
                      <w:highlight w:val="none"/>
                    </w:rPr>
                  </w:pPr>
                </w:p>
              </w:tc>
            </w:tr>
          </w:tbl>
          <w:p>
            <w:pPr>
              <w:autoSpaceDE w:val="0"/>
              <w:autoSpaceDN w:val="0"/>
              <w:adjustRightInd w:val="0"/>
              <w:spacing w:line="360" w:lineRule="auto"/>
              <w:jc w:val="left"/>
              <w:rPr>
                <w:b/>
                <w:bCs/>
                <w:color w:val="auto"/>
                <w:kern w:val="0"/>
                <w:szCs w:val="21"/>
                <w:highlight w:val="none"/>
              </w:rPr>
            </w:pPr>
            <w:r>
              <w:rPr>
                <w:rFonts w:hint="eastAsia"/>
                <w:b/>
                <w:bCs/>
                <w:color w:val="auto"/>
                <w:kern w:val="0"/>
                <w:szCs w:val="21"/>
                <w:highlight w:val="none"/>
              </w:rPr>
              <w:t>备注：项目年运行300天，按每天运行8h计。</w:t>
            </w:r>
          </w:p>
          <w:p>
            <w:pPr>
              <w:autoSpaceDE w:val="0"/>
              <w:autoSpaceDN w:val="0"/>
              <w:adjustRightInd w:val="0"/>
              <w:spacing w:line="360" w:lineRule="auto"/>
              <w:jc w:val="left"/>
              <w:rPr>
                <w:b/>
                <w:bCs/>
                <w:color w:val="auto"/>
                <w:kern w:val="0"/>
                <w:sz w:val="24"/>
                <w:highlight w:val="none"/>
              </w:rPr>
            </w:pPr>
            <w:r>
              <w:rPr>
                <w:b/>
                <w:bCs/>
                <w:color w:val="auto"/>
                <w:kern w:val="0"/>
                <w:sz w:val="24"/>
                <w:highlight w:val="none"/>
              </w:rPr>
              <w:t>1.</w:t>
            </w:r>
            <w:r>
              <w:rPr>
                <w:rFonts w:hint="eastAsia"/>
                <w:b/>
                <w:bCs/>
                <w:color w:val="auto"/>
                <w:kern w:val="0"/>
                <w:sz w:val="24"/>
                <w:highlight w:val="none"/>
              </w:rPr>
              <w:t>2废气达标情况分析</w:t>
            </w:r>
          </w:p>
          <w:p>
            <w:pPr>
              <w:spacing w:line="360" w:lineRule="auto"/>
              <w:ind w:firstLine="480" w:firstLineChars="200"/>
              <w:rPr>
                <w:rFonts w:hAnsi="宋体"/>
                <w:b/>
                <w:color w:val="auto"/>
                <w:kern w:val="0"/>
                <w:sz w:val="24"/>
                <w:highlight w:val="none"/>
              </w:rPr>
            </w:pPr>
            <w:r>
              <w:rPr>
                <w:rFonts w:hint="eastAsia"/>
                <w:bCs/>
                <w:color w:val="auto"/>
                <w:sz w:val="24"/>
                <w:highlight w:val="none"/>
              </w:rPr>
              <w:t>本项目有组织废气排放达标情况见下表。</w:t>
            </w:r>
          </w:p>
          <w:p>
            <w:pPr>
              <w:topLinePunct/>
              <w:jc w:val="center"/>
              <w:rPr>
                <w:rFonts w:hAnsi="宋体"/>
                <w:b/>
                <w:color w:val="auto"/>
                <w:kern w:val="0"/>
                <w:szCs w:val="21"/>
                <w:highlight w:val="none"/>
              </w:rPr>
            </w:pPr>
            <w:r>
              <w:rPr>
                <w:rFonts w:hint="eastAsia" w:hAnsi="宋体"/>
                <w:b/>
                <w:color w:val="auto"/>
                <w:kern w:val="0"/>
                <w:szCs w:val="21"/>
                <w:highlight w:val="none"/>
              </w:rPr>
              <w:t>表4-2</w:t>
            </w:r>
            <w:r>
              <w:rPr>
                <w:rFonts w:hAnsi="宋体"/>
                <w:b/>
                <w:color w:val="auto"/>
                <w:kern w:val="0"/>
                <w:szCs w:val="21"/>
                <w:highlight w:val="none"/>
              </w:rPr>
              <w:t xml:space="preserve">  </w:t>
            </w:r>
            <w:r>
              <w:rPr>
                <w:rFonts w:hint="eastAsia" w:hAnsi="宋体"/>
                <w:b/>
                <w:color w:val="auto"/>
                <w:kern w:val="0"/>
                <w:szCs w:val="21"/>
                <w:highlight w:val="none"/>
              </w:rPr>
              <w:t>本项目有组织废气排放达标分析</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8"/>
              <w:gridCol w:w="790"/>
              <w:gridCol w:w="916"/>
              <w:gridCol w:w="694"/>
              <w:gridCol w:w="658"/>
              <w:gridCol w:w="808"/>
              <w:gridCol w:w="2748"/>
              <w:gridCol w:w="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2" w:hRule="atLeast"/>
                <w:jc w:val="center"/>
              </w:trPr>
              <w:tc>
                <w:tcPr>
                  <w:tcW w:w="768" w:type="dxa"/>
                  <w:vMerge w:val="restart"/>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排气筒编号</w:t>
                  </w:r>
                </w:p>
              </w:tc>
              <w:tc>
                <w:tcPr>
                  <w:tcW w:w="790" w:type="dxa"/>
                  <w:vMerge w:val="restart"/>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污染物名称</w:t>
                  </w:r>
                </w:p>
              </w:tc>
              <w:tc>
                <w:tcPr>
                  <w:tcW w:w="1610" w:type="dxa"/>
                  <w:gridSpan w:val="2"/>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排放情况</w:t>
                  </w:r>
                </w:p>
              </w:tc>
              <w:tc>
                <w:tcPr>
                  <w:tcW w:w="1466" w:type="dxa"/>
                  <w:gridSpan w:val="2"/>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标准限值</w:t>
                  </w:r>
                </w:p>
              </w:tc>
              <w:tc>
                <w:tcPr>
                  <w:tcW w:w="2748" w:type="dxa"/>
                  <w:vMerge w:val="restart"/>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执行标准</w:t>
                  </w:r>
                </w:p>
              </w:tc>
              <w:tc>
                <w:tcPr>
                  <w:tcW w:w="534" w:type="dxa"/>
                  <w:vMerge w:val="restart"/>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达标</w:t>
                  </w:r>
                </w:p>
                <w:p>
                  <w:pPr>
                    <w:jc w:val="center"/>
                    <w:rPr>
                      <w:bCs/>
                      <w:color w:val="auto"/>
                      <w:szCs w:val="21"/>
                      <w:highlight w:val="none"/>
                    </w:rPr>
                  </w:pPr>
                  <w:r>
                    <w:rPr>
                      <w:rFonts w:hint="eastAsia"/>
                      <w:bCs/>
                      <w:color w:val="auto"/>
                      <w:szCs w:val="21"/>
                      <w:highlight w:val="none"/>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768" w:type="dxa"/>
                  <w:vMerge w:val="continue"/>
                  <w:tcBorders>
                    <w:tl2br w:val="nil"/>
                    <w:tr2bl w:val="nil"/>
                  </w:tcBorders>
                  <w:shd w:val="clear" w:color="auto" w:fill="auto"/>
                  <w:vAlign w:val="center"/>
                </w:tcPr>
                <w:p>
                  <w:pPr>
                    <w:jc w:val="center"/>
                    <w:rPr>
                      <w:bCs/>
                      <w:color w:val="auto"/>
                      <w:szCs w:val="21"/>
                      <w:highlight w:val="none"/>
                    </w:rPr>
                  </w:pPr>
                </w:p>
              </w:tc>
              <w:tc>
                <w:tcPr>
                  <w:tcW w:w="790" w:type="dxa"/>
                  <w:vMerge w:val="continue"/>
                  <w:tcBorders>
                    <w:tl2br w:val="nil"/>
                    <w:tr2bl w:val="nil"/>
                  </w:tcBorders>
                  <w:shd w:val="clear" w:color="auto" w:fill="auto"/>
                  <w:vAlign w:val="center"/>
                </w:tcPr>
                <w:p>
                  <w:pPr>
                    <w:jc w:val="center"/>
                    <w:rPr>
                      <w:bCs/>
                      <w:color w:val="auto"/>
                      <w:szCs w:val="21"/>
                      <w:highlight w:val="none"/>
                    </w:rPr>
                  </w:pPr>
                </w:p>
              </w:tc>
              <w:tc>
                <w:tcPr>
                  <w:tcW w:w="916"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速率</w:t>
                  </w:r>
                </w:p>
                <w:p>
                  <w:pPr>
                    <w:jc w:val="center"/>
                    <w:rPr>
                      <w:bCs/>
                      <w:color w:val="auto"/>
                      <w:szCs w:val="21"/>
                      <w:highlight w:val="none"/>
                    </w:rPr>
                  </w:pPr>
                  <w:r>
                    <w:rPr>
                      <w:rFonts w:hint="eastAsia"/>
                      <w:bCs/>
                      <w:color w:val="auto"/>
                      <w:szCs w:val="21"/>
                      <w:highlight w:val="none"/>
                    </w:rPr>
                    <w:t>kg/</w:t>
                  </w:r>
                  <w:r>
                    <w:rPr>
                      <w:bCs/>
                      <w:color w:val="auto"/>
                      <w:szCs w:val="21"/>
                      <w:highlight w:val="none"/>
                    </w:rPr>
                    <w:t>h</w:t>
                  </w:r>
                </w:p>
              </w:tc>
              <w:tc>
                <w:tcPr>
                  <w:tcW w:w="694"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浓度</w:t>
                  </w:r>
                </w:p>
                <w:p>
                  <w:pPr>
                    <w:jc w:val="center"/>
                    <w:rPr>
                      <w:bCs/>
                      <w:color w:val="auto"/>
                      <w:szCs w:val="21"/>
                      <w:highlight w:val="none"/>
                    </w:rPr>
                  </w:pPr>
                  <w:r>
                    <w:rPr>
                      <w:rFonts w:hint="eastAsia"/>
                      <w:bCs/>
                      <w:color w:val="auto"/>
                      <w:szCs w:val="21"/>
                      <w:highlight w:val="none"/>
                    </w:rPr>
                    <w:t>mg/</w:t>
                  </w:r>
                  <w:r>
                    <w:rPr>
                      <w:bCs/>
                      <w:color w:val="auto"/>
                      <w:szCs w:val="21"/>
                      <w:highlight w:val="none"/>
                    </w:rPr>
                    <w:t>m</w:t>
                  </w:r>
                  <w:r>
                    <w:rPr>
                      <w:bCs/>
                      <w:color w:val="auto"/>
                      <w:szCs w:val="21"/>
                      <w:highlight w:val="none"/>
                      <w:vertAlign w:val="superscript"/>
                    </w:rPr>
                    <w:t>3</w:t>
                  </w:r>
                </w:p>
              </w:tc>
              <w:tc>
                <w:tcPr>
                  <w:tcW w:w="65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速率</w:t>
                  </w:r>
                </w:p>
                <w:p>
                  <w:pPr>
                    <w:jc w:val="center"/>
                    <w:rPr>
                      <w:bCs/>
                      <w:color w:val="auto"/>
                      <w:szCs w:val="21"/>
                      <w:highlight w:val="none"/>
                    </w:rPr>
                  </w:pPr>
                  <w:r>
                    <w:rPr>
                      <w:rFonts w:hint="eastAsia"/>
                      <w:bCs/>
                      <w:color w:val="auto"/>
                      <w:szCs w:val="21"/>
                      <w:highlight w:val="none"/>
                    </w:rPr>
                    <w:t>kg/</w:t>
                  </w:r>
                  <w:r>
                    <w:rPr>
                      <w:bCs/>
                      <w:color w:val="auto"/>
                      <w:szCs w:val="21"/>
                      <w:highlight w:val="none"/>
                    </w:rPr>
                    <w:t>h</w:t>
                  </w:r>
                </w:p>
              </w:tc>
              <w:tc>
                <w:tcPr>
                  <w:tcW w:w="80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浓度</w:t>
                  </w:r>
                </w:p>
                <w:p>
                  <w:pPr>
                    <w:jc w:val="center"/>
                    <w:rPr>
                      <w:bCs/>
                      <w:color w:val="auto"/>
                      <w:szCs w:val="21"/>
                      <w:highlight w:val="none"/>
                    </w:rPr>
                  </w:pPr>
                  <w:r>
                    <w:rPr>
                      <w:rFonts w:hint="eastAsia"/>
                      <w:bCs/>
                      <w:color w:val="auto"/>
                      <w:szCs w:val="21"/>
                      <w:highlight w:val="none"/>
                    </w:rPr>
                    <w:t>mg/</w:t>
                  </w:r>
                  <w:r>
                    <w:rPr>
                      <w:bCs/>
                      <w:color w:val="auto"/>
                      <w:szCs w:val="21"/>
                      <w:highlight w:val="none"/>
                    </w:rPr>
                    <w:t>m</w:t>
                  </w:r>
                  <w:r>
                    <w:rPr>
                      <w:bCs/>
                      <w:color w:val="auto"/>
                      <w:szCs w:val="21"/>
                      <w:highlight w:val="none"/>
                      <w:vertAlign w:val="superscript"/>
                    </w:rPr>
                    <w:t>3</w:t>
                  </w:r>
                </w:p>
              </w:tc>
              <w:tc>
                <w:tcPr>
                  <w:tcW w:w="2748" w:type="dxa"/>
                  <w:vMerge w:val="continue"/>
                  <w:tcBorders>
                    <w:tl2br w:val="nil"/>
                    <w:tr2bl w:val="nil"/>
                  </w:tcBorders>
                  <w:shd w:val="clear" w:color="auto" w:fill="auto"/>
                  <w:vAlign w:val="center"/>
                </w:tcPr>
                <w:p>
                  <w:pPr>
                    <w:jc w:val="center"/>
                    <w:rPr>
                      <w:bCs/>
                      <w:color w:val="auto"/>
                      <w:szCs w:val="21"/>
                      <w:highlight w:val="none"/>
                    </w:rPr>
                  </w:pPr>
                </w:p>
              </w:tc>
              <w:tc>
                <w:tcPr>
                  <w:tcW w:w="534" w:type="dxa"/>
                  <w:vMerge w:val="continue"/>
                  <w:tcBorders>
                    <w:tl2br w:val="nil"/>
                    <w:tr2bl w:val="nil"/>
                  </w:tcBorders>
                  <w:shd w:val="clear" w:color="auto" w:fill="auto"/>
                  <w:vAlign w:val="center"/>
                </w:tcPr>
                <w:p>
                  <w:pPr>
                    <w:jc w:val="center"/>
                    <w:rPr>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768" w:type="dxa"/>
                  <w:vMerge w:val="restart"/>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DA001</w:t>
                  </w:r>
                </w:p>
              </w:tc>
              <w:tc>
                <w:tcPr>
                  <w:tcW w:w="790" w:type="dxa"/>
                  <w:tcBorders>
                    <w:tl2br w:val="nil"/>
                    <w:tr2bl w:val="nil"/>
                  </w:tcBorders>
                  <w:shd w:val="clear" w:color="auto" w:fill="auto"/>
                  <w:vAlign w:val="center"/>
                </w:tcPr>
                <w:p>
                  <w:pPr>
                    <w:jc w:val="center"/>
                    <w:rPr>
                      <w:bCs/>
                      <w:color w:val="auto"/>
                      <w:szCs w:val="21"/>
                      <w:highlight w:val="none"/>
                    </w:rPr>
                  </w:pPr>
                  <w:r>
                    <w:rPr>
                      <w:rFonts w:hint="eastAsia"/>
                      <w:color w:val="auto"/>
                      <w:szCs w:val="21"/>
                      <w:highlight w:val="none"/>
                    </w:rPr>
                    <w:t>VOCs</w:t>
                  </w:r>
                </w:p>
              </w:tc>
              <w:tc>
                <w:tcPr>
                  <w:tcW w:w="916" w:type="dxa"/>
                  <w:tcBorders>
                    <w:tl2br w:val="nil"/>
                    <w:tr2bl w:val="nil"/>
                  </w:tcBorders>
                  <w:shd w:val="clear" w:color="auto" w:fill="auto"/>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rPr>
                    <w:t>0.0</w:t>
                  </w:r>
                  <w:r>
                    <w:rPr>
                      <w:rFonts w:hint="eastAsia"/>
                      <w:color w:val="auto"/>
                      <w:kern w:val="0"/>
                      <w:szCs w:val="21"/>
                      <w:highlight w:val="none"/>
                      <w:lang w:val="en-US" w:eastAsia="zh-CN"/>
                    </w:rPr>
                    <w:t>84</w:t>
                  </w:r>
                </w:p>
              </w:tc>
              <w:tc>
                <w:tcPr>
                  <w:tcW w:w="694" w:type="dxa"/>
                  <w:tcBorders>
                    <w:tl2br w:val="nil"/>
                    <w:tr2bl w:val="nil"/>
                  </w:tcBorders>
                  <w:shd w:val="clear" w:color="auto" w:fill="auto"/>
                  <w:vAlign w:val="center"/>
                </w:tcPr>
                <w:p>
                  <w:pPr>
                    <w:autoSpaceDE w:val="0"/>
                    <w:autoSpaceDN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8.4</w:t>
                  </w:r>
                </w:p>
              </w:tc>
              <w:tc>
                <w:tcPr>
                  <w:tcW w:w="65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w:t>
                  </w:r>
                </w:p>
              </w:tc>
              <w:tc>
                <w:tcPr>
                  <w:tcW w:w="80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40</w:t>
                  </w:r>
                </w:p>
              </w:tc>
              <w:tc>
                <w:tcPr>
                  <w:tcW w:w="2748" w:type="dxa"/>
                  <w:tcBorders>
                    <w:tl2br w:val="nil"/>
                    <w:tr2bl w:val="nil"/>
                  </w:tcBorders>
                  <w:shd w:val="clear" w:color="auto" w:fill="auto"/>
                  <w:vAlign w:val="center"/>
                </w:tcPr>
                <w:p>
                  <w:pPr>
                    <w:jc w:val="center"/>
                    <w:rPr>
                      <w:color w:val="auto"/>
                      <w:kern w:val="0"/>
                      <w:szCs w:val="21"/>
                      <w:highlight w:val="none"/>
                    </w:rPr>
                  </w:pPr>
                  <w:r>
                    <w:rPr>
                      <w:rFonts w:hint="eastAsia"/>
                      <w:color w:val="auto"/>
                      <w:kern w:val="0"/>
                      <w:szCs w:val="21"/>
                      <w:highlight w:val="none"/>
                    </w:rPr>
                    <w:t>DB43/1457-2017《印刷工业挥发性有机物排放标准》</w:t>
                  </w:r>
                </w:p>
              </w:tc>
              <w:tc>
                <w:tcPr>
                  <w:tcW w:w="534"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768" w:type="dxa"/>
                  <w:vMerge w:val="continue"/>
                  <w:tcBorders>
                    <w:tl2br w:val="nil"/>
                    <w:tr2bl w:val="nil"/>
                  </w:tcBorders>
                  <w:shd w:val="clear" w:color="auto" w:fill="auto"/>
                  <w:vAlign w:val="center"/>
                </w:tcPr>
                <w:p>
                  <w:pPr>
                    <w:jc w:val="center"/>
                    <w:rPr>
                      <w:bCs/>
                      <w:color w:val="auto"/>
                      <w:szCs w:val="21"/>
                      <w:highlight w:val="none"/>
                    </w:rPr>
                  </w:pPr>
                </w:p>
              </w:tc>
              <w:tc>
                <w:tcPr>
                  <w:tcW w:w="790" w:type="dxa"/>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二甲苯</w:t>
                  </w:r>
                </w:p>
              </w:tc>
              <w:tc>
                <w:tcPr>
                  <w:tcW w:w="916" w:type="dxa"/>
                  <w:tcBorders>
                    <w:tl2br w:val="nil"/>
                    <w:tr2bl w:val="nil"/>
                  </w:tcBorders>
                  <w:shd w:val="clear" w:color="auto" w:fill="auto"/>
                  <w:vAlign w:val="center"/>
                </w:tcPr>
                <w:p>
                  <w:pPr>
                    <w:autoSpaceDE w:val="0"/>
                    <w:autoSpaceDN w:val="0"/>
                    <w:jc w:val="center"/>
                    <w:rPr>
                      <w:color w:val="auto"/>
                      <w:kern w:val="0"/>
                      <w:szCs w:val="21"/>
                      <w:highlight w:val="none"/>
                    </w:rPr>
                  </w:pPr>
                  <w:r>
                    <w:rPr>
                      <w:rFonts w:hint="eastAsia"/>
                      <w:color w:val="auto"/>
                      <w:kern w:val="0"/>
                      <w:szCs w:val="21"/>
                      <w:highlight w:val="none"/>
                    </w:rPr>
                    <w:t>0.031</w:t>
                  </w:r>
                </w:p>
              </w:tc>
              <w:tc>
                <w:tcPr>
                  <w:tcW w:w="694" w:type="dxa"/>
                  <w:tcBorders>
                    <w:tl2br w:val="nil"/>
                    <w:tr2bl w:val="nil"/>
                  </w:tcBorders>
                  <w:shd w:val="clear" w:color="auto" w:fill="auto"/>
                  <w:vAlign w:val="center"/>
                </w:tcPr>
                <w:p>
                  <w:pPr>
                    <w:autoSpaceDE w:val="0"/>
                    <w:autoSpaceDN w:val="0"/>
                    <w:jc w:val="center"/>
                    <w:rPr>
                      <w:color w:val="auto"/>
                      <w:kern w:val="0"/>
                      <w:szCs w:val="21"/>
                      <w:highlight w:val="none"/>
                    </w:rPr>
                  </w:pPr>
                  <w:r>
                    <w:rPr>
                      <w:rFonts w:hint="eastAsia"/>
                      <w:color w:val="auto"/>
                      <w:kern w:val="0"/>
                      <w:szCs w:val="21"/>
                      <w:highlight w:val="none"/>
                    </w:rPr>
                    <w:t>3.1</w:t>
                  </w:r>
                </w:p>
              </w:tc>
              <w:tc>
                <w:tcPr>
                  <w:tcW w:w="65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0.5</w:t>
                  </w:r>
                </w:p>
              </w:tc>
              <w:tc>
                <w:tcPr>
                  <w:tcW w:w="80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8</w:t>
                  </w:r>
                </w:p>
              </w:tc>
              <w:tc>
                <w:tcPr>
                  <w:tcW w:w="2748" w:type="dxa"/>
                  <w:tcBorders>
                    <w:tl2br w:val="nil"/>
                    <w:tr2bl w:val="nil"/>
                  </w:tcBorders>
                  <w:shd w:val="clear" w:color="auto" w:fill="auto"/>
                  <w:vAlign w:val="center"/>
                </w:tcPr>
                <w:p>
                  <w:pPr>
                    <w:jc w:val="center"/>
                    <w:rPr>
                      <w:rFonts w:hAnsi="宋体"/>
                      <w:color w:val="auto"/>
                      <w:szCs w:val="21"/>
                      <w:highlight w:val="none"/>
                    </w:rPr>
                  </w:pPr>
                  <w:r>
                    <w:rPr>
                      <w:rFonts w:hint="eastAsia"/>
                      <w:color w:val="auto"/>
                      <w:kern w:val="0"/>
                      <w:szCs w:val="21"/>
                      <w:highlight w:val="none"/>
                    </w:rPr>
                    <w:t>DB43/1457-2017《印刷工业挥发性有机物排放标准》</w:t>
                  </w:r>
                </w:p>
              </w:tc>
              <w:tc>
                <w:tcPr>
                  <w:tcW w:w="534"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768" w:type="dxa"/>
                  <w:vMerge w:val="continue"/>
                  <w:tcBorders>
                    <w:tl2br w:val="nil"/>
                    <w:tr2bl w:val="nil"/>
                  </w:tcBorders>
                  <w:shd w:val="clear" w:color="auto" w:fill="auto"/>
                  <w:vAlign w:val="center"/>
                </w:tcPr>
                <w:p>
                  <w:pPr>
                    <w:jc w:val="center"/>
                    <w:rPr>
                      <w:bCs/>
                      <w:color w:val="auto"/>
                      <w:szCs w:val="21"/>
                      <w:highlight w:val="none"/>
                    </w:rPr>
                  </w:pPr>
                </w:p>
              </w:tc>
              <w:tc>
                <w:tcPr>
                  <w:tcW w:w="790" w:type="dxa"/>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SO</w:t>
                  </w:r>
                  <w:r>
                    <w:rPr>
                      <w:rFonts w:hint="eastAsia"/>
                      <w:color w:val="auto"/>
                      <w:szCs w:val="21"/>
                      <w:highlight w:val="none"/>
                      <w:vertAlign w:val="subscript"/>
                    </w:rPr>
                    <w:t>2</w:t>
                  </w:r>
                </w:p>
              </w:tc>
              <w:tc>
                <w:tcPr>
                  <w:tcW w:w="916" w:type="dxa"/>
                  <w:tcBorders>
                    <w:tl2br w:val="nil"/>
                    <w:tr2bl w:val="nil"/>
                  </w:tcBorders>
                  <w:shd w:val="clear" w:color="auto" w:fill="auto"/>
                  <w:vAlign w:val="center"/>
                </w:tcPr>
                <w:p>
                  <w:pPr>
                    <w:autoSpaceDE w:val="0"/>
                    <w:autoSpaceDN w:val="0"/>
                    <w:jc w:val="center"/>
                    <w:rPr>
                      <w:color w:val="auto"/>
                      <w:kern w:val="0"/>
                      <w:szCs w:val="21"/>
                      <w:highlight w:val="none"/>
                    </w:rPr>
                  </w:pPr>
                  <w:r>
                    <w:rPr>
                      <w:rFonts w:hint="eastAsia"/>
                      <w:color w:val="auto"/>
                      <w:kern w:val="0"/>
                      <w:szCs w:val="21"/>
                      <w:highlight w:val="none"/>
                    </w:rPr>
                    <w:t>0.000017</w:t>
                  </w:r>
                </w:p>
              </w:tc>
              <w:tc>
                <w:tcPr>
                  <w:tcW w:w="694" w:type="dxa"/>
                  <w:tcBorders>
                    <w:tl2br w:val="nil"/>
                    <w:tr2bl w:val="nil"/>
                  </w:tcBorders>
                  <w:shd w:val="clear" w:color="auto" w:fill="auto"/>
                  <w:vAlign w:val="center"/>
                </w:tcPr>
                <w:p>
                  <w:pPr>
                    <w:autoSpaceDE w:val="0"/>
                    <w:autoSpaceDN w:val="0"/>
                    <w:jc w:val="center"/>
                    <w:rPr>
                      <w:color w:val="auto"/>
                      <w:kern w:val="0"/>
                      <w:szCs w:val="21"/>
                      <w:highlight w:val="none"/>
                    </w:rPr>
                  </w:pPr>
                  <w:r>
                    <w:rPr>
                      <w:rFonts w:hint="eastAsia"/>
                      <w:color w:val="auto"/>
                      <w:kern w:val="0"/>
                      <w:szCs w:val="21"/>
                      <w:highlight w:val="none"/>
                    </w:rPr>
                    <w:t>0.0017</w:t>
                  </w:r>
                </w:p>
              </w:tc>
              <w:tc>
                <w:tcPr>
                  <w:tcW w:w="65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w:t>
                  </w:r>
                </w:p>
              </w:tc>
              <w:tc>
                <w:tcPr>
                  <w:tcW w:w="80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200</w:t>
                  </w:r>
                </w:p>
              </w:tc>
              <w:tc>
                <w:tcPr>
                  <w:tcW w:w="2748" w:type="dxa"/>
                  <w:vMerge w:val="restart"/>
                  <w:tcBorders>
                    <w:tl2br w:val="nil"/>
                    <w:tr2bl w:val="nil"/>
                  </w:tcBorders>
                  <w:shd w:val="clear" w:color="auto" w:fill="auto"/>
                  <w:vAlign w:val="center"/>
                </w:tcPr>
                <w:p>
                  <w:pPr>
                    <w:jc w:val="center"/>
                    <w:rPr>
                      <w:color w:val="auto"/>
                      <w:kern w:val="0"/>
                      <w:szCs w:val="21"/>
                      <w:highlight w:val="none"/>
                    </w:rPr>
                  </w:pPr>
                  <w:r>
                    <w:rPr>
                      <w:color w:val="auto"/>
                      <w:szCs w:val="21"/>
                      <w:highlight w:val="none"/>
                    </w:rPr>
                    <w:t>《湖南省工业炉窑大气污染综合治理实施方案》（湘环发[2020]6号）</w:t>
                  </w:r>
                </w:p>
              </w:tc>
              <w:tc>
                <w:tcPr>
                  <w:tcW w:w="534"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768" w:type="dxa"/>
                  <w:vMerge w:val="continue"/>
                  <w:tcBorders>
                    <w:tl2br w:val="nil"/>
                    <w:tr2bl w:val="nil"/>
                  </w:tcBorders>
                  <w:shd w:val="clear" w:color="auto" w:fill="auto"/>
                  <w:vAlign w:val="center"/>
                </w:tcPr>
                <w:p>
                  <w:pPr>
                    <w:jc w:val="center"/>
                    <w:rPr>
                      <w:bCs/>
                      <w:color w:val="auto"/>
                      <w:szCs w:val="21"/>
                      <w:highlight w:val="none"/>
                    </w:rPr>
                  </w:pPr>
                </w:p>
              </w:tc>
              <w:tc>
                <w:tcPr>
                  <w:tcW w:w="790" w:type="dxa"/>
                  <w:tcBorders>
                    <w:tl2br w:val="nil"/>
                    <w:tr2bl w:val="nil"/>
                  </w:tcBorders>
                  <w:shd w:val="clear" w:color="auto" w:fill="auto"/>
                  <w:vAlign w:val="center"/>
                </w:tcPr>
                <w:p>
                  <w:pPr>
                    <w:jc w:val="center"/>
                    <w:rPr>
                      <w:color w:val="auto"/>
                      <w:szCs w:val="21"/>
                      <w:highlight w:val="none"/>
                    </w:rPr>
                  </w:pPr>
                  <w:r>
                    <w:rPr>
                      <w:rFonts w:hint="eastAsia"/>
                      <w:color w:val="auto"/>
                      <w:szCs w:val="21"/>
                      <w:highlight w:val="none"/>
                    </w:rPr>
                    <w:t>NOx</w:t>
                  </w:r>
                </w:p>
              </w:tc>
              <w:tc>
                <w:tcPr>
                  <w:tcW w:w="916" w:type="dxa"/>
                  <w:tcBorders>
                    <w:tl2br w:val="nil"/>
                    <w:tr2bl w:val="nil"/>
                  </w:tcBorders>
                  <w:shd w:val="clear" w:color="auto" w:fill="auto"/>
                  <w:vAlign w:val="center"/>
                </w:tcPr>
                <w:p>
                  <w:pPr>
                    <w:autoSpaceDE w:val="0"/>
                    <w:autoSpaceDN w:val="0"/>
                    <w:jc w:val="center"/>
                    <w:rPr>
                      <w:color w:val="auto"/>
                      <w:kern w:val="0"/>
                      <w:szCs w:val="21"/>
                      <w:highlight w:val="none"/>
                    </w:rPr>
                  </w:pPr>
                  <w:r>
                    <w:rPr>
                      <w:rFonts w:hint="eastAsia"/>
                      <w:color w:val="auto"/>
                      <w:kern w:val="0"/>
                      <w:szCs w:val="21"/>
                      <w:highlight w:val="none"/>
                    </w:rPr>
                    <w:t>0.0013</w:t>
                  </w:r>
                </w:p>
              </w:tc>
              <w:tc>
                <w:tcPr>
                  <w:tcW w:w="694" w:type="dxa"/>
                  <w:tcBorders>
                    <w:tl2br w:val="nil"/>
                    <w:tr2bl w:val="nil"/>
                  </w:tcBorders>
                  <w:shd w:val="clear" w:color="auto" w:fill="auto"/>
                  <w:vAlign w:val="center"/>
                </w:tcPr>
                <w:p>
                  <w:pPr>
                    <w:autoSpaceDE w:val="0"/>
                    <w:autoSpaceDN w:val="0"/>
                    <w:jc w:val="center"/>
                    <w:rPr>
                      <w:color w:val="auto"/>
                      <w:kern w:val="0"/>
                      <w:szCs w:val="21"/>
                      <w:highlight w:val="none"/>
                    </w:rPr>
                  </w:pPr>
                  <w:r>
                    <w:rPr>
                      <w:rFonts w:hint="eastAsia"/>
                      <w:color w:val="auto"/>
                      <w:kern w:val="0"/>
                      <w:szCs w:val="21"/>
                      <w:highlight w:val="none"/>
                    </w:rPr>
                    <w:t>0.013</w:t>
                  </w:r>
                </w:p>
              </w:tc>
              <w:tc>
                <w:tcPr>
                  <w:tcW w:w="65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w:t>
                  </w:r>
                </w:p>
              </w:tc>
              <w:tc>
                <w:tcPr>
                  <w:tcW w:w="808"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300</w:t>
                  </w:r>
                </w:p>
              </w:tc>
              <w:tc>
                <w:tcPr>
                  <w:tcW w:w="2748" w:type="dxa"/>
                  <w:vMerge w:val="continue"/>
                  <w:tcBorders>
                    <w:tl2br w:val="nil"/>
                    <w:tr2bl w:val="nil"/>
                  </w:tcBorders>
                  <w:shd w:val="clear" w:color="auto" w:fill="auto"/>
                  <w:vAlign w:val="center"/>
                </w:tcPr>
                <w:p>
                  <w:pPr>
                    <w:jc w:val="center"/>
                    <w:rPr>
                      <w:color w:val="auto"/>
                      <w:kern w:val="0"/>
                      <w:szCs w:val="21"/>
                      <w:highlight w:val="none"/>
                    </w:rPr>
                  </w:pPr>
                </w:p>
              </w:tc>
              <w:tc>
                <w:tcPr>
                  <w:tcW w:w="534" w:type="dxa"/>
                  <w:tcBorders>
                    <w:tl2br w:val="nil"/>
                    <w:tr2bl w:val="nil"/>
                  </w:tcBorders>
                  <w:shd w:val="clear" w:color="auto" w:fill="auto"/>
                  <w:vAlign w:val="center"/>
                </w:tcPr>
                <w:p>
                  <w:pPr>
                    <w:jc w:val="center"/>
                    <w:rPr>
                      <w:bCs/>
                      <w:color w:val="auto"/>
                      <w:szCs w:val="21"/>
                      <w:highlight w:val="none"/>
                    </w:rPr>
                  </w:pPr>
                  <w:r>
                    <w:rPr>
                      <w:rFonts w:hint="eastAsia"/>
                      <w:bCs/>
                      <w:color w:val="auto"/>
                      <w:szCs w:val="21"/>
                      <w:highlight w:val="none"/>
                    </w:rPr>
                    <w:t>达标</w:t>
                  </w:r>
                </w:p>
              </w:tc>
            </w:tr>
          </w:tbl>
          <w:p>
            <w:pPr>
              <w:autoSpaceDE w:val="0"/>
              <w:autoSpaceDN w:val="0"/>
              <w:adjustRightInd w:val="0"/>
              <w:spacing w:line="360" w:lineRule="auto"/>
              <w:ind w:firstLine="480" w:firstLineChars="200"/>
              <w:rPr>
                <w:b/>
                <w:bCs/>
                <w:color w:val="auto"/>
                <w:kern w:val="0"/>
                <w:sz w:val="24"/>
                <w:highlight w:val="none"/>
                <w:u w:val="single"/>
              </w:rPr>
            </w:pPr>
            <w:r>
              <w:rPr>
                <w:rFonts w:hint="eastAsia" w:cs="宋体"/>
                <w:bCs/>
                <w:color w:val="auto"/>
                <w:sz w:val="24"/>
                <w:highlight w:val="none"/>
              </w:rPr>
              <w:t>由上表分析结果可知，项目各有组织废气均能达标排放。</w:t>
            </w:r>
          </w:p>
          <w:p>
            <w:pPr>
              <w:autoSpaceDE w:val="0"/>
              <w:autoSpaceDN w:val="0"/>
              <w:adjustRightInd w:val="0"/>
              <w:spacing w:line="360" w:lineRule="auto"/>
              <w:jc w:val="left"/>
              <w:rPr>
                <w:b/>
                <w:bCs/>
                <w:color w:val="auto"/>
                <w:kern w:val="0"/>
                <w:sz w:val="24"/>
                <w:highlight w:val="none"/>
              </w:rPr>
            </w:pPr>
            <w:r>
              <w:rPr>
                <w:b/>
                <w:bCs/>
                <w:color w:val="auto"/>
                <w:kern w:val="0"/>
                <w:sz w:val="24"/>
                <w:highlight w:val="none"/>
              </w:rPr>
              <w:t>1.</w:t>
            </w:r>
            <w:r>
              <w:rPr>
                <w:rFonts w:hint="eastAsia"/>
                <w:b/>
                <w:bCs/>
                <w:color w:val="auto"/>
                <w:kern w:val="0"/>
                <w:sz w:val="24"/>
                <w:highlight w:val="none"/>
              </w:rPr>
              <w:t>3废气环保措施可行性分析</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（1）喷漆废气处理措施可行性分析</w:t>
            </w:r>
          </w:p>
          <w:p>
            <w:pPr>
              <w:autoSpaceDE w:val="0"/>
              <w:autoSpaceDN w:val="0"/>
              <w:adjustRightInd w:val="0"/>
              <w:spacing w:line="360" w:lineRule="auto"/>
              <w:ind w:firstLine="480" w:firstLineChars="200"/>
              <w:rPr>
                <w:color w:val="auto"/>
                <w:kern w:val="24"/>
                <w:sz w:val="24"/>
                <w:highlight w:val="none"/>
              </w:rPr>
            </w:pPr>
            <w:r>
              <w:rPr>
                <w:rFonts w:hint="eastAsia"/>
                <w:color w:val="auto"/>
                <w:sz w:val="24"/>
                <w:highlight w:val="none"/>
              </w:rPr>
              <w:t>项目油漆使用量较少，产生的VOCs较少。项目喷漆过程在密闭喷漆房中进行，喷漆废气采用水喷淋+UV光解活性炭一体化设备处理，</w:t>
            </w:r>
            <w:r>
              <w:rPr>
                <w:rFonts w:hint="eastAsia"/>
                <w:color w:val="auto"/>
                <w:kern w:val="24"/>
                <w:sz w:val="24"/>
                <w:highlight w:val="none"/>
              </w:rPr>
              <w:t>经15m排气筒（DA001）排放。</w:t>
            </w:r>
          </w:p>
          <w:p>
            <w:pPr>
              <w:spacing w:line="360" w:lineRule="auto"/>
              <w:ind w:firstLine="480" w:firstLineChars="200"/>
              <w:rPr>
                <w:color w:val="auto"/>
                <w:sz w:val="24"/>
                <w:highlight w:val="none"/>
              </w:rPr>
            </w:pPr>
            <w:r>
              <w:rPr>
                <w:rFonts w:hint="eastAsia"/>
                <w:color w:val="auto"/>
                <w:sz w:val="24"/>
                <w:highlight w:val="none"/>
              </w:rPr>
              <w:t>项目喷漆过程在密闭水帘式喷漆房中进行，喷漆废气先经水帘过滤后进入UV光解活性炭一体化设备进一步处理，根据《排污许可证申请与核发技术规范 家具制造业》（HJ1027-2019），水帘除尘为其中推荐的涂装废气颗粒物末端治理可行技术。</w:t>
            </w:r>
          </w:p>
          <w:p>
            <w:pPr>
              <w:spacing w:line="360" w:lineRule="auto"/>
              <w:ind w:firstLine="480" w:firstLineChars="200"/>
              <w:rPr>
                <w:color w:val="auto"/>
                <w:sz w:val="24"/>
                <w:highlight w:val="none"/>
              </w:rPr>
            </w:pPr>
            <w:r>
              <w:rPr>
                <w:rFonts w:hint="eastAsia"/>
                <w:color w:val="auto"/>
                <w:sz w:val="24"/>
                <w:highlight w:val="none"/>
              </w:rPr>
              <w:t>UV光氧催化：运用特制波长的高能UV紫外线光束，配合特制的光催化网，激发空气产生极强氧化能力的臭氧、自由基等活性物质，对有机废气进行协同分解氧化反应，使其分解为CO</w:t>
            </w:r>
            <w:r>
              <w:rPr>
                <w:rFonts w:hint="eastAsia"/>
                <w:color w:val="auto"/>
                <w:sz w:val="24"/>
                <w:highlight w:val="none"/>
                <w:vertAlign w:val="subscript"/>
              </w:rPr>
              <w:t>2</w:t>
            </w:r>
            <w:r>
              <w:rPr>
                <w:rFonts w:hint="eastAsia"/>
                <w:color w:val="auto"/>
                <w:sz w:val="24"/>
                <w:highlight w:val="none"/>
              </w:rPr>
              <w:t>、H</w:t>
            </w:r>
            <w:r>
              <w:rPr>
                <w:rFonts w:hint="eastAsia"/>
                <w:color w:val="auto"/>
                <w:sz w:val="24"/>
                <w:highlight w:val="none"/>
                <w:vertAlign w:val="subscript"/>
              </w:rPr>
              <w:t>2</w:t>
            </w:r>
            <w:r>
              <w:rPr>
                <w:rFonts w:hint="eastAsia"/>
                <w:color w:val="auto"/>
                <w:sz w:val="24"/>
                <w:highlight w:val="none"/>
              </w:rPr>
              <w:t>O等无毒无害物质。</w:t>
            </w:r>
          </w:p>
          <w:p>
            <w:pPr>
              <w:spacing w:line="360" w:lineRule="auto"/>
              <w:ind w:firstLine="480" w:firstLineChars="200"/>
              <w:rPr>
                <w:color w:val="auto"/>
                <w:sz w:val="24"/>
                <w:highlight w:val="none"/>
              </w:rPr>
            </w:pPr>
            <w:r>
              <w:rPr>
                <w:rFonts w:hint="eastAsia"/>
                <w:color w:val="auto"/>
                <w:sz w:val="24"/>
                <w:highlight w:val="none"/>
              </w:rPr>
              <w:t>活性炭吸附：活性炭是一种具有非极性表面，为疏水性和亲有机物的吸附剂，具有较大的比表面积，一般情况下活性炭比表面积在850m</w:t>
            </w:r>
            <w:r>
              <w:rPr>
                <w:rFonts w:hint="eastAsia"/>
                <w:color w:val="auto"/>
                <w:sz w:val="24"/>
                <w:highlight w:val="none"/>
                <w:vertAlign w:val="superscript"/>
              </w:rPr>
              <w:t>2</w:t>
            </w:r>
            <w:r>
              <w:rPr>
                <w:rFonts w:hint="eastAsia"/>
                <w:color w:val="auto"/>
                <w:sz w:val="24"/>
                <w:highlight w:val="none"/>
              </w:rPr>
              <w:t>/g以上，有机废气在流经活性炭层时被比表面积很大的活性炭截留，在其颗粒表面形成一层平衡的表面浓度，并将有机物等吸附到活性炭的细孔。</w:t>
            </w:r>
          </w:p>
          <w:p>
            <w:pPr>
              <w:spacing w:line="360" w:lineRule="auto"/>
              <w:ind w:firstLine="480" w:firstLineChars="200"/>
              <w:rPr>
                <w:color w:val="auto"/>
                <w:sz w:val="24"/>
                <w:highlight w:val="none"/>
              </w:rPr>
            </w:pPr>
            <w:r>
              <w:rPr>
                <w:rFonts w:hint="eastAsia"/>
                <w:color w:val="auto"/>
                <w:sz w:val="24"/>
                <w:highlight w:val="none"/>
              </w:rPr>
              <w:t>本项目采用蜂窝状活性炭，该活性炭比表面积大，吸附能力强，具有较好的机械强度、</w:t>
            </w:r>
            <w:r>
              <w:rPr>
                <w:color w:val="auto"/>
                <w:highlight w:val="none"/>
              </w:rPr>
              <w:fldChar w:fldCharType="begin"/>
            </w:r>
            <w:r>
              <w:rPr>
                <w:color w:val="auto"/>
                <w:highlight w:val="none"/>
              </w:rPr>
              <w:instrText xml:space="preserve"> HYPERLINK "https://baike.sogou.com/lemma/ShowInnerLink.htm?lemmaId=1154589&amp;ss_c=ssc.citiao.link" \t "https://baike.sogou.com/_blank" </w:instrText>
            </w:r>
            <w:r>
              <w:rPr>
                <w:color w:val="auto"/>
                <w:highlight w:val="none"/>
              </w:rPr>
              <w:fldChar w:fldCharType="separate"/>
            </w:r>
            <w:r>
              <w:rPr>
                <w:rFonts w:hint="eastAsia"/>
                <w:color w:val="auto"/>
                <w:sz w:val="24"/>
                <w:highlight w:val="none"/>
              </w:rPr>
              <w:t>化学稳定性</w:t>
            </w:r>
            <w:r>
              <w:rPr>
                <w:rFonts w:hint="eastAsia"/>
                <w:color w:val="auto"/>
                <w:sz w:val="24"/>
                <w:highlight w:val="none"/>
              </w:rPr>
              <w:fldChar w:fldCharType="end"/>
            </w:r>
            <w:r>
              <w:rPr>
                <w:rFonts w:hint="eastAsia"/>
                <w:color w:val="auto"/>
                <w:sz w:val="24"/>
                <w:highlight w:val="none"/>
              </w:rPr>
              <w:t>和热稳定性。采用多层吸附床，使有机废气通过与活性炭接触，废气中的</w:t>
            </w:r>
            <w:r>
              <w:rPr>
                <w:color w:val="auto"/>
                <w:highlight w:val="none"/>
              </w:rPr>
              <w:fldChar w:fldCharType="begin"/>
            </w:r>
            <w:r>
              <w:rPr>
                <w:color w:val="auto"/>
                <w:highlight w:val="none"/>
              </w:rPr>
              <w:instrText xml:space="preserve"> HYPERLINK "https://baike.sogou.com/lemma/ShowInnerLink.htm?lemmaId=3798085&amp;ss_c=ssc.citiao.link" \t "https://baike.sogou.com/_blank" </w:instrText>
            </w:r>
            <w:r>
              <w:rPr>
                <w:color w:val="auto"/>
                <w:highlight w:val="none"/>
              </w:rPr>
              <w:fldChar w:fldCharType="separate"/>
            </w:r>
            <w:r>
              <w:rPr>
                <w:rFonts w:hint="eastAsia"/>
                <w:color w:val="auto"/>
                <w:sz w:val="24"/>
                <w:highlight w:val="none"/>
              </w:rPr>
              <w:t>有机污染物</w:t>
            </w:r>
            <w:r>
              <w:rPr>
                <w:rFonts w:hint="eastAsia"/>
                <w:color w:val="auto"/>
                <w:sz w:val="24"/>
                <w:highlight w:val="none"/>
              </w:rPr>
              <w:fldChar w:fldCharType="end"/>
            </w:r>
            <w:r>
              <w:rPr>
                <w:rFonts w:hint="eastAsia"/>
                <w:color w:val="auto"/>
                <w:sz w:val="24"/>
                <w:highlight w:val="none"/>
              </w:rPr>
              <w:t>被吸附在活性炭表面，从而从气流中脱离出来，达到净化效果。利用活性炭吸附低浓度有机废气是较为常见的处理方法。</w:t>
            </w:r>
          </w:p>
          <w:p>
            <w:pPr>
              <w:spacing w:line="360" w:lineRule="auto"/>
              <w:ind w:firstLine="480" w:firstLineChars="200"/>
              <w:rPr>
                <w:color w:val="auto"/>
                <w:sz w:val="24"/>
                <w:highlight w:val="none"/>
              </w:rPr>
            </w:pPr>
            <w:r>
              <w:rPr>
                <w:rFonts w:hint="eastAsia"/>
                <w:color w:val="auto"/>
                <w:sz w:val="24"/>
                <w:highlight w:val="none"/>
              </w:rPr>
              <w:t>本项目采用TiO</w:t>
            </w:r>
            <w:r>
              <w:rPr>
                <w:rFonts w:hint="eastAsia"/>
                <w:color w:val="auto"/>
                <w:sz w:val="24"/>
                <w:highlight w:val="none"/>
                <w:vertAlign w:val="subscript"/>
              </w:rPr>
              <w:t>2</w:t>
            </w:r>
            <w:r>
              <w:rPr>
                <w:rFonts w:hint="eastAsia"/>
                <w:color w:val="auto"/>
                <w:sz w:val="24"/>
                <w:highlight w:val="none"/>
              </w:rPr>
              <w:t>催化板（网），活性炭每个季度更换一次，确保处置效果。</w:t>
            </w:r>
          </w:p>
          <w:p>
            <w:pPr>
              <w:spacing w:line="360" w:lineRule="auto"/>
              <w:ind w:firstLine="480" w:firstLineChars="200"/>
              <w:rPr>
                <w:color w:val="auto"/>
                <w:sz w:val="24"/>
                <w:highlight w:val="none"/>
              </w:rPr>
            </w:pPr>
            <w:r>
              <w:rPr>
                <w:rFonts w:hint="eastAsia"/>
                <w:color w:val="auto"/>
                <w:sz w:val="24"/>
                <w:highlight w:val="none"/>
              </w:rPr>
              <w:t>类比同类工程废气处理情况，喷漆废气经水喷淋+UV光解活性炭一体化设备处理的喷漆废气能达标排放，该处理工艺可行。</w:t>
            </w:r>
          </w:p>
          <w:p>
            <w:pPr>
              <w:spacing w:line="360" w:lineRule="auto"/>
              <w:ind w:firstLine="480" w:firstLineChars="200"/>
              <w:rPr>
                <w:color w:val="auto"/>
                <w:sz w:val="24"/>
                <w:highlight w:val="none"/>
              </w:rPr>
            </w:pPr>
            <w:r>
              <w:rPr>
                <w:rFonts w:hint="eastAsia"/>
                <w:color w:val="auto"/>
                <w:sz w:val="24"/>
                <w:highlight w:val="none"/>
              </w:rPr>
              <w:t>根据《挥发性有机物无组织排放控制标准》(GB37822-2019)中要求，排放含VOCs气体的排气筒高度不得低于15m，本项目设置15m排气筒，高度合理可行。</w:t>
            </w:r>
          </w:p>
          <w:p>
            <w:pPr>
              <w:autoSpaceDE w:val="0"/>
              <w:autoSpaceDN w:val="0"/>
              <w:adjustRightInd w:val="0"/>
              <w:spacing w:line="360" w:lineRule="auto"/>
              <w:jc w:val="left"/>
              <w:rPr>
                <w:b/>
                <w:bCs/>
                <w:color w:val="auto"/>
                <w:kern w:val="0"/>
                <w:sz w:val="24"/>
                <w:highlight w:val="none"/>
              </w:rPr>
            </w:pPr>
            <w:r>
              <w:rPr>
                <w:b/>
                <w:bCs/>
                <w:color w:val="auto"/>
                <w:kern w:val="0"/>
                <w:sz w:val="24"/>
                <w:highlight w:val="none"/>
              </w:rPr>
              <w:t>1.</w:t>
            </w:r>
            <w:r>
              <w:rPr>
                <w:rFonts w:hint="eastAsia"/>
                <w:b/>
                <w:bCs/>
                <w:color w:val="auto"/>
                <w:kern w:val="0"/>
                <w:sz w:val="24"/>
                <w:highlight w:val="none"/>
              </w:rPr>
              <w:t>4废气排放口基本情况</w:t>
            </w:r>
          </w:p>
          <w:p>
            <w:pPr>
              <w:spacing w:line="360" w:lineRule="auto"/>
              <w:ind w:firstLine="480" w:firstLineChars="200"/>
              <w:rPr>
                <w:color w:val="auto"/>
                <w:sz w:val="24"/>
                <w:highlight w:val="none"/>
              </w:rPr>
            </w:pPr>
            <w:r>
              <w:rPr>
                <w:color w:val="auto"/>
                <w:sz w:val="24"/>
                <w:highlight w:val="none"/>
              </w:rPr>
              <w:t>本项目</w:t>
            </w:r>
            <w:r>
              <w:rPr>
                <w:rFonts w:hint="eastAsia"/>
                <w:color w:val="auto"/>
                <w:sz w:val="24"/>
                <w:highlight w:val="none"/>
              </w:rPr>
              <w:t>废气</w:t>
            </w:r>
            <w:r>
              <w:rPr>
                <w:color w:val="auto"/>
                <w:sz w:val="24"/>
                <w:highlight w:val="none"/>
              </w:rPr>
              <w:t>排放口</w:t>
            </w:r>
            <w:r>
              <w:rPr>
                <w:rFonts w:hint="eastAsia"/>
                <w:color w:val="auto"/>
                <w:sz w:val="24"/>
                <w:highlight w:val="none"/>
              </w:rPr>
              <w:t>设置情况</w:t>
            </w:r>
            <w:r>
              <w:rPr>
                <w:color w:val="auto"/>
                <w:sz w:val="24"/>
                <w:highlight w:val="none"/>
              </w:rPr>
              <w:t>见</w:t>
            </w:r>
            <w:r>
              <w:rPr>
                <w:rFonts w:hint="eastAsia"/>
                <w:color w:val="auto"/>
                <w:sz w:val="24"/>
                <w:highlight w:val="none"/>
              </w:rPr>
              <w:t>下</w:t>
            </w:r>
            <w:r>
              <w:rPr>
                <w:color w:val="auto"/>
                <w:sz w:val="24"/>
                <w:highlight w:val="none"/>
              </w:rPr>
              <w:t>表。</w:t>
            </w:r>
          </w:p>
          <w:p>
            <w:pPr>
              <w:adjustRightInd w:val="0"/>
              <w:snapToGrid w:val="0"/>
              <w:jc w:val="center"/>
              <w:rPr>
                <w:b/>
                <w:color w:val="auto"/>
                <w:sz w:val="24"/>
                <w:highlight w:val="none"/>
              </w:rPr>
            </w:pPr>
            <w:r>
              <w:rPr>
                <w:b/>
                <w:color w:val="auto"/>
                <w:szCs w:val="21"/>
                <w:highlight w:val="none"/>
              </w:rPr>
              <w:t>表</w:t>
            </w:r>
            <w:r>
              <w:rPr>
                <w:rFonts w:hint="eastAsia"/>
                <w:b/>
                <w:color w:val="auto"/>
                <w:szCs w:val="21"/>
                <w:highlight w:val="none"/>
              </w:rPr>
              <w:t xml:space="preserve">4-3 </w:t>
            </w:r>
            <w:r>
              <w:rPr>
                <w:b/>
                <w:color w:val="auto"/>
                <w:szCs w:val="21"/>
                <w:highlight w:val="none"/>
              </w:rPr>
              <w:t>大气排放口基本情况表</w:t>
            </w:r>
            <w:bookmarkStart w:id="9" w:name="BIAO6"/>
          </w:p>
          <w:tbl>
            <w:tblPr>
              <w:tblStyle w:val="25"/>
              <w:tblW w:w="491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066"/>
              <w:gridCol w:w="1499"/>
              <w:gridCol w:w="1261"/>
              <w:gridCol w:w="1145"/>
              <w:gridCol w:w="663"/>
              <w:gridCol w:w="674"/>
              <w:gridCol w:w="76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7" w:hRule="atLeast"/>
                <w:tblHeader/>
                <w:jc w:val="center"/>
              </w:trPr>
              <w:tc>
                <w:tcPr>
                  <w:tcW w:w="716" w:type="dxa"/>
                  <w:vMerge w:val="restart"/>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排放口编号</w:t>
                  </w:r>
                </w:p>
              </w:tc>
              <w:tc>
                <w:tcPr>
                  <w:tcW w:w="1066" w:type="dxa"/>
                  <w:vMerge w:val="restart"/>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排放口</w:t>
                  </w:r>
                </w:p>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名称</w:t>
                  </w:r>
                </w:p>
              </w:tc>
              <w:tc>
                <w:tcPr>
                  <w:tcW w:w="1499" w:type="dxa"/>
                  <w:vMerge w:val="restart"/>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污染物</w:t>
                  </w:r>
                </w:p>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种类</w:t>
                  </w:r>
                </w:p>
              </w:tc>
              <w:tc>
                <w:tcPr>
                  <w:tcW w:w="2406" w:type="dxa"/>
                  <w:gridSpan w:val="2"/>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排放口地理坐标</w:t>
                  </w:r>
                </w:p>
              </w:tc>
              <w:tc>
                <w:tcPr>
                  <w:tcW w:w="663" w:type="dxa"/>
                  <w:vMerge w:val="restart"/>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排气筒高度（m）</w:t>
                  </w:r>
                </w:p>
              </w:tc>
              <w:tc>
                <w:tcPr>
                  <w:tcW w:w="674" w:type="dxa"/>
                  <w:vMerge w:val="restart"/>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排气筒出口内径（m）</w:t>
                  </w:r>
                </w:p>
              </w:tc>
              <w:tc>
                <w:tcPr>
                  <w:tcW w:w="763" w:type="dxa"/>
                  <w:vMerge w:val="restart"/>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排气温度（℃）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716" w:type="dxa"/>
                  <w:vMerge w:val="continue"/>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p>
              </w:tc>
              <w:tc>
                <w:tcPr>
                  <w:tcW w:w="1066" w:type="dxa"/>
                  <w:vMerge w:val="continue"/>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p>
              </w:tc>
              <w:tc>
                <w:tcPr>
                  <w:tcW w:w="1499" w:type="dxa"/>
                  <w:vMerge w:val="continue"/>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p>
              </w:tc>
              <w:tc>
                <w:tcPr>
                  <w:tcW w:w="1261" w:type="dxa"/>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经度</w:t>
                  </w:r>
                </w:p>
              </w:tc>
              <w:tc>
                <w:tcPr>
                  <w:tcW w:w="1145" w:type="dxa"/>
                  <w:tcBorders>
                    <w:tl2br w:val="nil"/>
                    <w:tr2bl w:val="nil"/>
                  </w:tcBorders>
                  <w:noWrap/>
                  <w:vAlign w:val="center"/>
                </w:tcPr>
                <w:p>
                  <w:pPr>
                    <w:pStyle w:val="76"/>
                    <w:adjustRightInd w:val="0"/>
                    <w:snapToGrid w:val="0"/>
                    <w:jc w:val="center"/>
                    <w:rPr>
                      <w:rFonts w:ascii="Times New Roman" w:hAnsi="Times New Roman"/>
                      <w:snapToGrid w:val="0"/>
                      <w:color w:val="auto"/>
                      <w:kern w:val="20"/>
                      <w:szCs w:val="21"/>
                      <w:highlight w:val="none"/>
                    </w:rPr>
                  </w:pPr>
                  <w:r>
                    <w:rPr>
                      <w:rFonts w:ascii="Times New Roman" w:hAnsi="Times New Roman"/>
                      <w:color w:val="auto"/>
                      <w:szCs w:val="21"/>
                      <w:highlight w:val="none"/>
                    </w:rPr>
                    <w:t>纬度</w:t>
                  </w:r>
                </w:p>
              </w:tc>
              <w:tc>
                <w:tcPr>
                  <w:tcW w:w="663" w:type="dxa"/>
                  <w:vMerge w:val="continue"/>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p>
              </w:tc>
              <w:tc>
                <w:tcPr>
                  <w:tcW w:w="674" w:type="dxa"/>
                  <w:vMerge w:val="continue"/>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p>
              </w:tc>
              <w:tc>
                <w:tcPr>
                  <w:tcW w:w="763" w:type="dxa"/>
                  <w:vMerge w:val="continue"/>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716" w:type="dxa"/>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DA001</w:t>
                  </w:r>
                </w:p>
              </w:tc>
              <w:tc>
                <w:tcPr>
                  <w:tcW w:w="1066" w:type="dxa"/>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hint="eastAsia" w:ascii="Times New Roman" w:hAnsi="Times New Roman"/>
                      <w:color w:val="auto"/>
                      <w:szCs w:val="21"/>
                      <w:highlight w:val="none"/>
                    </w:rPr>
                    <w:t>综合</w:t>
                  </w:r>
                  <w:r>
                    <w:rPr>
                      <w:rFonts w:ascii="Times New Roman" w:hAnsi="Times New Roman"/>
                      <w:color w:val="auto"/>
                      <w:szCs w:val="21"/>
                      <w:highlight w:val="none"/>
                    </w:rPr>
                    <w:t>废气排气筒</w:t>
                  </w:r>
                </w:p>
              </w:tc>
              <w:tc>
                <w:tcPr>
                  <w:tcW w:w="1499" w:type="dxa"/>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bCs/>
                      <w:color w:val="auto"/>
                      <w:szCs w:val="21"/>
                      <w:highlight w:val="none"/>
                    </w:rPr>
                    <w:t>VOCs、颗粒物</w:t>
                  </w:r>
                  <w:r>
                    <w:rPr>
                      <w:rFonts w:hint="eastAsia" w:ascii="Times New Roman" w:hAnsi="Times New Roman"/>
                      <w:bCs/>
                      <w:color w:val="auto"/>
                      <w:szCs w:val="21"/>
                      <w:highlight w:val="none"/>
                    </w:rPr>
                    <w:t>、二甲苯、SO</w:t>
                  </w:r>
                  <w:r>
                    <w:rPr>
                      <w:rFonts w:hint="eastAsia" w:ascii="Times New Roman" w:hAnsi="Times New Roman"/>
                      <w:bCs/>
                      <w:color w:val="auto"/>
                      <w:szCs w:val="21"/>
                      <w:highlight w:val="none"/>
                      <w:vertAlign w:val="subscript"/>
                    </w:rPr>
                    <w:t>2</w:t>
                  </w:r>
                  <w:r>
                    <w:rPr>
                      <w:rFonts w:hint="eastAsia" w:ascii="Times New Roman" w:hAnsi="Times New Roman"/>
                      <w:bCs/>
                      <w:color w:val="auto"/>
                      <w:szCs w:val="21"/>
                      <w:highlight w:val="none"/>
                    </w:rPr>
                    <w:t>、NOx</w:t>
                  </w:r>
                </w:p>
              </w:tc>
              <w:tc>
                <w:tcPr>
                  <w:tcW w:w="1261" w:type="dxa"/>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111°</w:t>
                  </w:r>
                  <w:r>
                    <w:rPr>
                      <w:rFonts w:hint="eastAsia" w:ascii="Times New Roman" w:hAnsi="Times New Roman"/>
                      <w:color w:val="auto"/>
                      <w:szCs w:val="21"/>
                      <w:highlight w:val="none"/>
                    </w:rPr>
                    <w:t>25</w:t>
                  </w:r>
                  <w:r>
                    <w:rPr>
                      <w:rFonts w:ascii="Times New Roman" w:hAnsi="Times New Roman"/>
                      <w:color w:val="auto"/>
                      <w:szCs w:val="21"/>
                      <w:highlight w:val="none"/>
                    </w:rPr>
                    <w:t>′</w:t>
                  </w:r>
                  <w:r>
                    <w:rPr>
                      <w:rFonts w:hint="eastAsia" w:ascii="Times New Roman" w:hAnsi="Times New Roman"/>
                      <w:color w:val="auto"/>
                      <w:szCs w:val="21"/>
                      <w:highlight w:val="none"/>
                    </w:rPr>
                    <w:t>33</w:t>
                  </w:r>
                  <w:r>
                    <w:rPr>
                      <w:rFonts w:ascii="Times New Roman" w:hAnsi="Times New Roman"/>
                      <w:color w:val="auto"/>
                      <w:szCs w:val="21"/>
                      <w:highlight w:val="none"/>
                    </w:rPr>
                    <w:t>.21″</w:t>
                  </w:r>
                </w:p>
              </w:tc>
              <w:tc>
                <w:tcPr>
                  <w:tcW w:w="1145" w:type="dxa"/>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27°</w:t>
                  </w:r>
                  <w:r>
                    <w:rPr>
                      <w:rFonts w:hint="eastAsia" w:ascii="Times New Roman" w:hAnsi="Times New Roman"/>
                      <w:color w:val="auto"/>
                      <w:szCs w:val="21"/>
                      <w:highlight w:val="none"/>
                    </w:rPr>
                    <w:t>16</w:t>
                  </w:r>
                  <w:r>
                    <w:rPr>
                      <w:rFonts w:ascii="Times New Roman" w:hAnsi="Times New Roman"/>
                      <w:color w:val="auto"/>
                      <w:szCs w:val="21"/>
                      <w:highlight w:val="none"/>
                    </w:rPr>
                    <w:t>′</w:t>
                  </w:r>
                  <w:r>
                    <w:rPr>
                      <w:rFonts w:hint="eastAsia" w:ascii="Times New Roman" w:hAnsi="Times New Roman"/>
                      <w:color w:val="auto"/>
                      <w:szCs w:val="21"/>
                      <w:highlight w:val="none"/>
                    </w:rPr>
                    <w:t>10.2</w:t>
                  </w:r>
                  <w:r>
                    <w:rPr>
                      <w:rFonts w:ascii="Times New Roman" w:hAnsi="Times New Roman"/>
                      <w:color w:val="auto"/>
                      <w:szCs w:val="21"/>
                      <w:highlight w:val="none"/>
                    </w:rPr>
                    <w:t>8″</w:t>
                  </w:r>
                </w:p>
              </w:tc>
              <w:tc>
                <w:tcPr>
                  <w:tcW w:w="663" w:type="dxa"/>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hint="eastAsia" w:ascii="Times New Roman" w:hAnsi="Times New Roman"/>
                      <w:color w:val="auto"/>
                      <w:szCs w:val="21"/>
                      <w:highlight w:val="none"/>
                    </w:rPr>
                    <w:t>15</w:t>
                  </w:r>
                </w:p>
              </w:tc>
              <w:tc>
                <w:tcPr>
                  <w:tcW w:w="674" w:type="dxa"/>
                  <w:tcBorders>
                    <w:tl2br w:val="nil"/>
                    <w:tr2bl w:val="nil"/>
                  </w:tcBorders>
                  <w:noWrap/>
                  <w:vAlign w:val="center"/>
                </w:tcPr>
                <w:p>
                  <w:pPr>
                    <w:pStyle w:val="76"/>
                    <w:adjustRightInd w:val="0"/>
                    <w:snapToGrid w:val="0"/>
                    <w:jc w:val="center"/>
                    <w:rPr>
                      <w:rFonts w:hint="default" w:ascii="Times New Roman" w:hAnsi="Times New Roman"/>
                      <w:color w:val="auto"/>
                      <w:szCs w:val="21"/>
                      <w:highlight w:val="none"/>
                      <w:lang w:val="en-US"/>
                    </w:rPr>
                  </w:pPr>
                  <w:r>
                    <w:rPr>
                      <w:rFonts w:hint="eastAsia" w:ascii="Times New Roman" w:hAnsi="Times New Roman"/>
                      <w:color w:val="auto"/>
                      <w:szCs w:val="21"/>
                      <w:highlight w:val="none"/>
                      <w:lang w:val="en-US" w:eastAsia="zh-CN"/>
                    </w:rPr>
                    <w:t>0.5</w:t>
                  </w:r>
                </w:p>
              </w:tc>
              <w:tc>
                <w:tcPr>
                  <w:tcW w:w="763" w:type="dxa"/>
                  <w:tcBorders>
                    <w:tl2br w:val="nil"/>
                    <w:tr2bl w:val="nil"/>
                  </w:tcBorders>
                  <w:noWrap/>
                  <w:vAlign w:val="center"/>
                </w:tcPr>
                <w:p>
                  <w:pPr>
                    <w:pStyle w:val="76"/>
                    <w:adjustRightInd w:val="0"/>
                    <w:snapToGrid w:val="0"/>
                    <w:jc w:val="center"/>
                    <w:rPr>
                      <w:rFonts w:ascii="Times New Roman" w:hAnsi="Times New Roman"/>
                      <w:color w:val="auto"/>
                      <w:szCs w:val="21"/>
                      <w:highlight w:val="none"/>
                    </w:rPr>
                  </w:pPr>
                  <w:r>
                    <w:rPr>
                      <w:rFonts w:ascii="Times New Roman" w:hAnsi="Times New Roman"/>
                      <w:color w:val="auto"/>
                      <w:szCs w:val="21"/>
                      <w:highlight w:val="none"/>
                    </w:rPr>
                    <w:t>20</w:t>
                  </w:r>
                </w:p>
              </w:tc>
            </w:tr>
            <w:bookmarkEnd w:id="9"/>
          </w:tbl>
          <w:p>
            <w:pPr>
              <w:spacing w:before="120" w:beforeLines="50" w:line="360" w:lineRule="auto"/>
              <w:ind w:firstLine="480" w:firstLineChars="200"/>
              <w:rPr>
                <w:color w:val="auto"/>
                <w:sz w:val="24"/>
                <w:highlight w:val="none"/>
              </w:rPr>
            </w:pPr>
            <w:bookmarkStart w:id="10" w:name="BIAO6DQJB"/>
            <w:bookmarkEnd w:id="10"/>
            <w:r>
              <w:rPr>
                <w:rFonts w:hint="eastAsia"/>
                <w:color w:val="auto"/>
                <w:sz w:val="24"/>
                <w:highlight w:val="none"/>
              </w:rPr>
              <w:t>根据《排污许可证申请与核发技术规范 家具制造业》（HJ1027-2019）（VOCs参照非甲烷总烃），本项目废气自行监测要求见下表。</w:t>
            </w:r>
          </w:p>
          <w:p>
            <w:pPr>
              <w:adjustRightInd w:val="0"/>
              <w:snapToGrid w:val="0"/>
              <w:jc w:val="center"/>
              <w:rPr>
                <w:b/>
                <w:color w:val="auto"/>
                <w:szCs w:val="21"/>
                <w:highlight w:val="none"/>
              </w:rPr>
            </w:pPr>
            <w:r>
              <w:rPr>
                <w:rFonts w:hint="eastAsia"/>
                <w:b/>
                <w:color w:val="auto"/>
                <w:szCs w:val="21"/>
                <w:highlight w:val="none"/>
              </w:rPr>
              <w:t>表4-4  废气监测方案</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97"/>
              <w:gridCol w:w="1125"/>
              <w:gridCol w:w="39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04" w:type="dxa"/>
                  <w:tcBorders>
                    <w:tl2br w:val="nil"/>
                    <w:tr2bl w:val="nil"/>
                  </w:tcBorders>
                  <w:vAlign w:val="center"/>
                </w:tcPr>
                <w:p>
                  <w:pPr>
                    <w:jc w:val="center"/>
                    <w:rPr>
                      <w:bCs/>
                      <w:color w:val="auto"/>
                      <w:szCs w:val="21"/>
                      <w:highlight w:val="none"/>
                    </w:rPr>
                  </w:pPr>
                  <w:r>
                    <w:rPr>
                      <w:rFonts w:hint="eastAsia"/>
                      <w:bCs/>
                      <w:color w:val="auto"/>
                      <w:szCs w:val="21"/>
                      <w:highlight w:val="none"/>
                    </w:rPr>
                    <w:t>监测点位</w:t>
                  </w:r>
                </w:p>
              </w:tc>
              <w:tc>
                <w:tcPr>
                  <w:tcW w:w="1197" w:type="dxa"/>
                  <w:tcBorders>
                    <w:tl2br w:val="nil"/>
                    <w:tr2bl w:val="nil"/>
                  </w:tcBorders>
                  <w:vAlign w:val="center"/>
                </w:tcPr>
                <w:p>
                  <w:pPr>
                    <w:jc w:val="center"/>
                    <w:rPr>
                      <w:bCs/>
                      <w:color w:val="auto"/>
                      <w:szCs w:val="21"/>
                      <w:highlight w:val="none"/>
                    </w:rPr>
                  </w:pPr>
                  <w:r>
                    <w:rPr>
                      <w:rFonts w:hint="eastAsia"/>
                      <w:bCs/>
                      <w:color w:val="auto"/>
                      <w:szCs w:val="21"/>
                      <w:highlight w:val="none"/>
                    </w:rPr>
                    <w:t>监测因子</w:t>
                  </w:r>
                </w:p>
              </w:tc>
              <w:tc>
                <w:tcPr>
                  <w:tcW w:w="1125" w:type="dxa"/>
                  <w:tcBorders>
                    <w:tl2br w:val="nil"/>
                    <w:tr2bl w:val="nil"/>
                  </w:tcBorders>
                  <w:vAlign w:val="center"/>
                </w:tcPr>
                <w:p>
                  <w:pPr>
                    <w:jc w:val="center"/>
                    <w:rPr>
                      <w:bCs/>
                      <w:color w:val="auto"/>
                      <w:szCs w:val="21"/>
                      <w:highlight w:val="none"/>
                    </w:rPr>
                  </w:pPr>
                  <w:r>
                    <w:rPr>
                      <w:rFonts w:hint="eastAsia"/>
                      <w:bCs/>
                      <w:color w:val="auto"/>
                      <w:szCs w:val="21"/>
                      <w:highlight w:val="none"/>
                    </w:rPr>
                    <w:t>监测频次</w:t>
                  </w:r>
                </w:p>
              </w:tc>
              <w:tc>
                <w:tcPr>
                  <w:tcW w:w="3970" w:type="dxa"/>
                  <w:tcBorders>
                    <w:tl2br w:val="nil"/>
                    <w:tr2bl w:val="nil"/>
                  </w:tcBorders>
                  <w:vAlign w:val="center"/>
                </w:tcPr>
                <w:p>
                  <w:pPr>
                    <w:jc w:val="center"/>
                    <w:rPr>
                      <w:bCs/>
                      <w:color w:val="auto"/>
                      <w:kern w:val="13"/>
                      <w:szCs w:val="21"/>
                      <w:highlight w:val="none"/>
                    </w:rPr>
                  </w:pPr>
                  <w:r>
                    <w:rPr>
                      <w:rFonts w:hint="eastAsia"/>
                      <w:bCs/>
                      <w:color w:val="auto"/>
                      <w:kern w:val="13"/>
                      <w:szCs w:val="21"/>
                      <w:highlight w:val="none"/>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04" w:type="dxa"/>
                  <w:tcBorders>
                    <w:tl2br w:val="nil"/>
                    <w:tr2bl w:val="nil"/>
                  </w:tcBorders>
                  <w:vAlign w:val="center"/>
                </w:tcPr>
                <w:p>
                  <w:pPr>
                    <w:jc w:val="center"/>
                    <w:rPr>
                      <w:color w:val="auto"/>
                      <w:szCs w:val="21"/>
                      <w:highlight w:val="none"/>
                    </w:rPr>
                  </w:pPr>
                  <w:r>
                    <w:rPr>
                      <w:rFonts w:hint="eastAsia"/>
                      <w:color w:val="auto"/>
                      <w:szCs w:val="21"/>
                      <w:highlight w:val="none"/>
                    </w:rPr>
                    <w:t>排气筒DA001</w:t>
                  </w:r>
                </w:p>
              </w:tc>
              <w:tc>
                <w:tcPr>
                  <w:tcW w:w="1197" w:type="dxa"/>
                  <w:tcBorders>
                    <w:tl2br w:val="nil"/>
                    <w:tr2bl w:val="nil"/>
                  </w:tcBorders>
                  <w:vAlign w:val="center"/>
                </w:tcPr>
                <w:p>
                  <w:pPr>
                    <w:jc w:val="center"/>
                    <w:rPr>
                      <w:bCs/>
                      <w:color w:val="auto"/>
                      <w:szCs w:val="21"/>
                      <w:highlight w:val="none"/>
                    </w:rPr>
                  </w:pPr>
                  <w:r>
                    <w:rPr>
                      <w:rFonts w:hint="eastAsia"/>
                      <w:bCs/>
                      <w:color w:val="auto"/>
                      <w:szCs w:val="21"/>
                      <w:highlight w:val="none"/>
                    </w:rPr>
                    <w:t>颗粒物、VOCs、二甲苯、SO</w:t>
                  </w:r>
                  <w:r>
                    <w:rPr>
                      <w:rFonts w:hint="eastAsia"/>
                      <w:bCs/>
                      <w:color w:val="auto"/>
                      <w:szCs w:val="21"/>
                      <w:highlight w:val="none"/>
                      <w:vertAlign w:val="subscript"/>
                    </w:rPr>
                    <w:t>2</w:t>
                  </w:r>
                  <w:r>
                    <w:rPr>
                      <w:rFonts w:hint="eastAsia"/>
                      <w:bCs/>
                      <w:color w:val="auto"/>
                      <w:szCs w:val="21"/>
                      <w:highlight w:val="none"/>
                    </w:rPr>
                    <w:t>、NOx</w:t>
                  </w:r>
                </w:p>
              </w:tc>
              <w:tc>
                <w:tcPr>
                  <w:tcW w:w="1125" w:type="dxa"/>
                  <w:tcBorders>
                    <w:tl2br w:val="nil"/>
                    <w:tr2bl w:val="nil"/>
                  </w:tcBorders>
                  <w:vAlign w:val="center"/>
                </w:tcPr>
                <w:p>
                  <w:pPr>
                    <w:jc w:val="center"/>
                    <w:rPr>
                      <w:bCs/>
                      <w:color w:val="auto"/>
                      <w:kern w:val="13"/>
                      <w:szCs w:val="21"/>
                      <w:highlight w:val="none"/>
                    </w:rPr>
                  </w:pPr>
                  <w:r>
                    <w:rPr>
                      <w:rFonts w:hint="eastAsia"/>
                      <w:bCs/>
                      <w:color w:val="auto"/>
                      <w:kern w:val="13"/>
                      <w:szCs w:val="21"/>
                      <w:highlight w:val="none"/>
                    </w:rPr>
                    <w:t>半年</w:t>
                  </w:r>
                  <w:r>
                    <w:rPr>
                      <w:bCs/>
                      <w:color w:val="auto"/>
                      <w:kern w:val="13"/>
                      <w:szCs w:val="21"/>
                      <w:highlight w:val="none"/>
                    </w:rPr>
                    <w:t>/</w:t>
                  </w:r>
                  <w:r>
                    <w:rPr>
                      <w:rFonts w:hint="eastAsia"/>
                      <w:bCs/>
                      <w:color w:val="auto"/>
                      <w:kern w:val="13"/>
                      <w:szCs w:val="21"/>
                      <w:highlight w:val="none"/>
                    </w:rPr>
                    <w:t>次</w:t>
                  </w:r>
                </w:p>
              </w:tc>
              <w:tc>
                <w:tcPr>
                  <w:tcW w:w="3970" w:type="dxa"/>
                  <w:tcBorders>
                    <w:tl2br w:val="nil"/>
                    <w:tr2bl w:val="nil"/>
                  </w:tcBorders>
                  <w:vAlign w:val="center"/>
                </w:tcPr>
                <w:p>
                  <w:pPr>
                    <w:jc w:val="center"/>
                    <w:rPr>
                      <w:bCs/>
                      <w:color w:val="auto"/>
                      <w:kern w:val="13"/>
                      <w:szCs w:val="21"/>
                      <w:highlight w:val="none"/>
                    </w:rPr>
                  </w:pPr>
                  <w:r>
                    <w:rPr>
                      <w:rFonts w:hint="eastAsia"/>
                      <w:color w:val="auto"/>
                      <w:kern w:val="0"/>
                      <w:szCs w:val="21"/>
                      <w:highlight w:val="none"/>
                    </w:rPr>
                    <w:t>DB43/1457-2017《印刷工业挥发性有机物排放标准》、</w:t>
                  </w:r>
                  <w:r>
                    <w:rPr>
                      <w:rFonts w:hint="eastAsia"/>
                      <w:bCs/>
                      <w:color w:val="auto"/>
                      <w:kern w:val="13"/>
                      <w:szCs w:val="21"/>
                      <w:highlight w:val="none"/>
                    </w:rPr>
                    <w:t>《大气污染物综合排放标准》（</w:t>
                  </w:r>
                  <w:r>
                    <w:rPr>
                      <w:bCs/>
                      <w:color w:val="auto"/>
                      <w:kern w:val="13"/>
                      <w:szCs w:val="21"/>
                      <w:highlight w:val="none"/>
                    </w:rPr>
                    <w:t>GB</w:t>
                  </w:r>
                  <w:r>
                    <w:rPr>
                      <w:rFonts w:hint="eastAsia"/>
                      <w:bCs/>
                      <w:color w:val="auto"/>
                      <w:kern w:val="13"/>
                      <w:szCs w:val="21"/>
                      <w:highlight w:val="none"/>
                    </w:rPr>
                    <w:t>16297-1996）表2中二级标准、</w:t>
                  </w:r>
                  <w:r>
                    <w:rPr>
                      <w:color w:val="auto"/>
                      <w:szCs w:val="21"/>
                      <w:highlight w:val="none"/>
                    </w:rPr>
                    <w:t>《湖南省工业炉窑大气污染综合治理实施方案》（湘环发[2020]6号）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04" w:type="dxa"/>
                  <w:tcBorders>
                    <w:tl2br w:val="nil"/>
                    <w:tr2bl w:val="nil"/>
                  </w:tcBorders>
                  <w:vAlign w:val="center"/>
                </w:tcPr>
                <w:p>
                  <w:pPr>
                    <w:jc w:val="center"/>
                    <w:rPr>
                      <w:color w:val="auto"/>
                      <w:szCs w:val="21"/>
                      <w:highlight w:val="none"/>
                    </w:rPr>
                  </w:pPr>
                  <w:r>
                    <w:rPr>
                      <w:rFonts w:hint="eastAsia"/>
                      <w:color w:val="auto"/>
                      <w:szCs w:val="21"/>
                      <w:highlight w:val="none"/>
                    </w:rPr>
                    <w:t>厂区内</w:t>
                  </w:r>
                </w:p>
              </w:tc>
              <w:tc>
                <w:tcPr>
                  <w:tcW w:w="1197" w:type="dxa"/>
                  <w:tcBorders>
                    <w:tl2br w:val="nil"/>
                    <w:tr2bl w:val="nil"/>
                  </w:tcBorders>
                  <w:vAlign w:val="center"/>
                </w:tcPr>
                <w:p>
                  <w:pPr>
                    <w:jc w:val="center"/>
                    <w:rPr>
                      <w:bCs/>
                      <w:color w:val="auto"/>
                      <w:szCs w:val="21"/>
                      <w:highlight w:val="none"/>
                    </w:rPr>
                  </w:pPr>
                  <w:r>
                    <w:rPr>
                      <w:rFonts w:hint="eastAsia"/>
                      <w:bCs/>
                      <w:color w:val="auto"/>
                      <w:szCs w:val="21"/>
                      <w:highlight w:val="none"/>
                    </w:rPr>
                    <w:t>颗粒物、VOCs、二甲苯</w:t>
                  </w:r>
                </w:p>
              </w:tc>
              <w:tc>
                <w:tcPr>
                  <w:tcW w:w="1125" w:type="dxa"/>
                  <w:vMerge w:val="restart"/>
                  <w:tcBorders>
                    <w:tl2br w:val="nil"/>
                    <w:tr2bl w:val="nil"/>
                  </w:tcBorders>
                  <w:vAlign w:val="center"/>
                </w:tcPr>
                <w:p>
                  <w:pPr>
                    <w:jc w:val="center"/>
                    <w:rPr>
                      <w:bCs/>
                      <w:color w:val="auto"/>
                      <w:kern w:val="13"/>
                      <w:szCs w:val="21"/>
                      <w:highlight w:val="none"/>
                    </w:rPr>
                  </w:pPr>
                  <w:r>
                    <w:rPr>
                      <w:rFonts w:hint="eastAsia"/>
                      <w:color w:val="auto"/>
                      <w:szCs w:val="21"/>
                      <w:highlight w:val="none"/>
                    </w:rPr>
                    <w:t>1</w:t>
                  </w:r>
                  <w:r>
                    <w:rPr>
                      <w:rFonts w:hint="eastAsia"/>
                      <w:bCs/>
                      <w:color w:val="auto"/>
                      <w:kern w:val="13"/>
                      <w:szCs w:val="21"/>
                      <w:highlight w:val="none"/>
                    </w:rPr>
                    <w:t>年</w:t>
                  </w:r>
                  <w:r>
                    <w:rPr>
                      <w:bCs/>
                      <w:color w:val="auto"/>
                      <w:kern w:val="13"/>
                      <w:szCs w:val="21"/>
                      <w:highlight w:val="none"/>
                    </w:rPr>
                    <w:t>/</w:t>
                  </w:r>
                  <w:r>
                    <w:rPr>
                      <w:rFonts w:hint="eastAsia"/>
                      <w:bCs/>
                      <w:color w:val="auto"/>
                      <w:kern w:val="13"/>
                      <w:szCs w:val="21"/>
                      <w:highlight w:val="none"/>
                    </w:rPr>
                    <w:t>次</w:t>
                  </w:r>
                </w:p>
              </w:tc>
              <w:tc>
                <w:tcPr>
                  <w:tcW w:w="3970" w:type="dxa"/>
                  <w:tcBorders>
                    <w:tl2br w:val="nil"/>
                    <w:tr2bl w:val="nil"/>
                  </w:tcBorders>
                  <w:vAlign w:val="center"/>
                </w:tcPr>
                <w:p>
                  <w:pPr>
                    <w:jc w:val="center"/>
                    <w:rPr>
                      <w:color w:val="auto"/>
                      <w:kern w:val="0"/>
                      <w:szCs w:val="21"/>
                      <w:highlight w:val="none"/>
                    </w:rPr>
                  </w:pPr>
                  <w:r>
                    <w:rPr>
                      <w:rFonts w:hint="eastAsia"/>
                      <w:color w:val="auto"/>
                      <w:kern w:val="0"/>
                      <w:szCs w:val="21"/>
                      <w:highlight w:val="none"/>
                    </w:rPr>
                    <w:t>DB43/1457-2017《印刷工业挥发性有机物排放标准》、</w:t>
                  </w:r>
                  <w:r>
                    <w:rPr>
                      <w:rFonts w:hint="eastAsia"/>
                      <w:bCs/>
                      <w:color w:val="auto"/>
                      <w:kern w:val="13"/>
                      <w:szCs w:val="21"/>
                      <w:highlight w:val="none"/>
                    </w:rPr>
                    <w:t>《大气污染物综合排放标准》（</w:t>
                  </w:r>
                  <w:r>
                    <w:rPr>
                      <w:bCs/>
                      <w:color w:val="auto"/>
                      <w:kern w:val="13"/>
                      <w:szCs w:val="21"/>
                      <w:highlight w:val="none"/>
                    </w:rPr>
                    <w:t>GB</w:t>
                  </w:r>
                  <w:r>
                    <w:rPr>
                      <w:rFonts w:hint="eastAsia"/>
                      <w:bCs/>
                      <w:color w:val="auto"/>
                      <w:kern w:val="13"/>
                      <w:szCs w:val="21"/>
                      <w:highlight w:val="none"/>
                    </w:rPr>
                    <w:t>16297-1996）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04" w:type="dxa"/>
                  <w:tcBorders>
                    <w:tl2br w:val="nil"/>
                    <w:tr2bl w:val="nil"/>
                  </w:tcBorders>
                  <w:vAlign w:val="center"/>
                </w:tcPr>
                <w:p>
                  <w:pPr>
                    <w:jc w:val="center"/>
                    <w:rPr>
                      <w:color w:val="auto"/>
                      <w:szCs w:val="21"/>
                      <w:highlight w:val="none"/>
                    </w:rPr>
                  </w:pPr>
                  <w:r>
                    <w:rPr>
                      <w:rFonts w:hint="eastAsia" w:cs="宋体"/>
                      <w:color w:val="auto"/>
                      <w:kern w:val="0"/>
                      <w:szCs w:val="21"/>
                      <w:highlight w:val="none"/>
                    </w:rPr>
                    <w:t>厂界主导风向上风向1个监测点、下风向2个监测点</w:t>
                  </w:r>
                </w:p>
              </w:tc>
              <w:tc>
                <w:tcPr>
                  <w:tcW w:w="1197" w:type="dxa"/>
                  <w:tcBorders>
                    <w:tl2br w:val="nil"/>
                    <w:tr2bl w:val="nil"/>
                  </w:tcBorders>
                  <w:vAlign w:val="center"/>
                </w:tcPr>
                <w:p>
                  <w:pPr>
                    <w:jc w:val="center"/>
                    <w:rPr>
                      <w:bCs/>
                      <w:color w:val="auto"/>
                      <w:szCs w:val="21"/>
                      <w:highlight w:val="none"/>
                    </w:rPr>
                  </w:pPr>
                  <w:r>
                    <w:rPr>
                      <w:rFonts w:hint="eastAsia"/>
                      <w:bCs/>
                      <w:color w:val="auto"/>
                      <w:szCs w:val="21"/>
                      <w:highlight w:val="none"/>
                    </w:rPr>
                    <w:t>颗粒物、VOCs、二甲苯</w:t>
                  </w:r>
                </w:p>
              </w:tc>
              <w:tc>
                <w:tcPr>
                  <w:tcW w:w="1125" w:type="dxa"/>
                  <w:vMerge w:val="continue"/>
                  <w:tcBorders>
                    <w:tl2br w:val="nil"/>
                    <w:tr2bl w:val="nil"/>
                  </w:tcBorders>
                  <w:vAlign w:val="center"/>
                </w:tcPr>
                <w:p>
                  <w:pPr>
                    <w:jc w:val="center"/>
                    <w:rPr>
                      <w:bCs/>
                      <w:color w:val="auto"/>
                      <w:kern w:val="13"/>
                      <w:szCs w:val="21"/>
                      <w:highlight w:val="none"/>
                    </w:rPr>
                  </w:pPr>
                </w:p>
              </w:tc>
              <w:tc>
                <w:tcPr>
                  <w:tcW w:w="3970" w:type="dxa"/>
                  <w:tcBorders>
                    <w:tl2br w:val="nil"/>
                    <w:tr2bl w:val="nil"/>
                  </w:tcBorders>
                  <w:vAlign w:val="center"/>
                </w:tcPr>
                <w:p>
                  <w:pPr>
                    <w:jc w:val="center"/>
                    <w:rPr>
                      <w:bCs/>
                      <w:color w:val="auto"/>
                      <w:kern w:val="13"/>
                      <w:szCs w:val="21"/>
                      <w:highlight w:val="none"/>
                    </w:rPr>
                  </w:pPr>
                  <w:r>
                    <w:rPr>
                      <w:rFonts w:hint="eastAsia"/>
                      <w:bCs/>
                      <w:color w:val="auto"/>
                      <w:kern w:val="13"/>
                      <w:szCs w:val="21"/>
                      <w:highlight w:val="none"/>
                    </w:rPr>
                    <w:t>《大气污染物综合排放标准》（GB16297-1996）表2中无组织排放监控浓度限值、</w:t>
                  </w:r>
                  <w:r>
                    <w:rPr>
                      <w:rFonts w:hint="eastAsia"/>
                      <w:color w:val="auto"/>
                      <w:kern w:val="0"/>
                      <w:szCs w:val="21"/>
                      <w:highlight w:val="none"/>
                    </w:rPr>
                    <w:t>DB43/1457-2017《印刷工业挥发性有机物排放标准》</w:t>
                  </w:r>
                </w:p>
              </w:tc>
            </w:tr>
          </w:tbl>
          <w:p>
            <w:pPr>
              <w:spacing w:line="360" w:lineRule="auto"/>
              <w:rPr>
                <w:rFonts w:eastAsiaTheme="minorEastAsia"/>
                <w:b/>
                <w:color w:val="auto"/>
                <w:sz w:val="24"/>
                <w:highlight w:val="none"/>
              </w:rPr>
            </w:pPr>
            <w:r>
              <w:rPr>
                <w:rFonts w:hint="eastAsia" w:eastAsiaTheme="minorEastAsia"/>
                <w:b/>
                <w:color w:val="auto"/>
                <w:sz w:val="24"/>
                <w:highlight w:val="none"/>
              </w:rPr>
              <w:t>2、废水环境影响及保护措施</w:t>
            </w:r>
          </w:p>
          <w:p>
            <w:pPr>
              <w:autoSpaceDE w:val="0"/>
              <w:autoSpaceDN w:val="0"/>
              <w:adjustRightInd w:val="0"/>
              <w:spacing w:line="360" w:lineRule="auto"/>
              <w:jc w:val="left"/>
              <w:rPr>
                <w:color w:val="auto"/>
                <w:sz w:val="24"/>
                <w:highlight w:val="none"/>
              </w:rPr>
            </w:pPr>
            <w:r>
              <w:rPr>
                <w:rFonts w:hint="eastAsia"/>
                <w:b/>
                <w:bCs/>
                <w:color w:val="auto"/>
                <w:kern w:val="0"/>
                <w:sz w:val="24"/>
                <w:highlight w:val="none"/>
              </w:rPr>
              <w:t>2.1废水产排情况</w:t>
            </w:r>
          </w:p>
          <w:p>
            <w:pPr>
              <w:spacing w:line="360" w:lineRule="auto"/>
              <w:ind w:firstLine="480" w:firstLineChars="200"/>
              <w:rPr>
                <w:color w:val="auto"/>
                <w:sz w:val="24"/>
                <w:highlight w:val="none"/>
              </w:rPr>
            </w:pPr>
            <w:r>
              <w:rPr>
                <w:rFonts w:hint="eastAsia"/>
                <w:color w:val="auto"/>
                <w:sz w:val="24"/>
                <w:highlight w:val="none"/>
              </w:rPr>
              <w:t>本项目</w:t>
            </w:r>
            <w:r>
              <w:rPr>
                <w:color w:val="auto"/>
                <w:sz w:val="24"/>
                <w:highlight w:val="none"/>
              </w:rPr>
              <w:t>营运期</w:t>
            </w:r>
            <w:r>
              <w:rPr>
                <w:rFonts w:hint="eastAsia"/>
                <w:color w:val="auto"/>
                <w:sz w:val="24"/>
                <w:highlight w:val="none"/>
              </w:rPr>
              <w:t>废</w:t>
            </w:r>
            <w:r>
              <w:rPr>
                <w:color w:val="auto"/>
                <w:sz w:val="24"/>
                <w:highlight w:val="none"/>
              </w:rPr>
              <w:t>水</w:t>
            </w:r>
            <w:r>
              <w:rPr>
                <w:rFonts w:hint="eastAsia"/>
                <w:color w:val="auto"/>
                <w:sz w:val="24"/>
                <w:highlight w:val="none"/>
              </w:rPr>
              <w:t>为生活污水和喷漆过程产生的喷淋废水。</w:t>
            </w:r>
          </w:p>
          <w:p>
            <w:pPr>
              <w:spacing w:line="360" w:lineRule="auto"/>
              <w:ind w:firstLine="480" w:firstLineChars="200"/>
              <w:rPr>
                <w:color w:val="auto"/>
                <w:sz w:val="24"/>
                <w:highlight w:val="none"/>
              </w:rPr>
            </w:pPr>
            <w:r>
              <w:rPr>
                <w:rFonts w:hint="eastAsia"/>
                <w:color w:val="auto"/>
                <w:sz w:val="24"/>
                <w:highlight w:val="none"/>
              </w:rPr>
              <w:t>（1）生活污水</w:t>
            </w:r>
          </w:p>
          <w:p>
            <w:pPr>
              <w:spacing w:line="360" w:lineRule="auto"/>
              <w:ind w:firstLine="480" w:firstLineChars="200"/>
              <w:rPr>
                <w:color w:val="auto"/>
                <w:sz w:val="24"/>
                <w:highlight w:val="none"/>
                <w:lang w:val="zh-CN"/>
              </w:rPr>
            </w:pPr>
            <w:r>
              <w:rPr>
                <w:rFonts w:hint="eastAsia"/>
                <w:color w:val="auto"/>
                <w:sz w:val="24"/>
                <w:highlight w:val="none"/>
                <w:lang w:val="zh-CN"/>
              </w:rPr>
              <w:t>项目预计有10名员工，不在厂内食宿，根据《湖南省用水定额》（DB43</w:t>
            </w:r>
            <w:r>
              <w:rPr>
                <w:rFonts w:hint="eastAsia"/>
                <w:color w:val="auto"/>
                <w:sz w:val="24"/>
                <w:highlight w:val="none"/>
              </w:rPr>
              <w:t>/</w:t>
            </w:r>
            <w:r>
              <w:rPr>
                <w:rFonts w:hint="eastAsia"/>
                <w:color w:val="auto"/>
                <w:sz w:val="24"/>
                <w:highlight w:val="none"/>
                <w:lang w:val="zh-CN"/>
              </w:rPr>
              <w:t>T388-</w:t>
            </w:r>
            <w:r>
              <w:rPr>
                <w:rFonts w:hint="eastAsia"/>
                <w:color w:val="auto"/>
                <w:sz w:val="24"/>
                <w:highlight w:val="none"/>
              </w:rPr>
              <w:t>2020</w:t>
            </w:r>
            <w:r>
              <w:rPr>
                <w:color w:val="auto"/>
                <w:sz w:val="24"/>
                <w:highlight w:val="none"/>
                <w:lang w:val="zh-CN"/>
              </w:rPr>
              <w:t>）</w:t>
            </w:r>
            <w:r>
              <w:rPr>
                <w:rFonts w:hint="eastAsia"/>
                <w:color w:val="auto"/>
                <w:sz w:val="24"/>
                <w:highlight w:val="none"/>
                <w:lang w:val="zh-CN"/>
              </w:rPr>
              <w:t>，员工生活用水以</w:t>
            </w:r>
            <w:r>
              <w:rPr>
                <w:rFonts w:hint="eastAsia"/>
                <w:color w:val="auto"/>
                <w:sz w:val="24"/>
                <w:highlight w:val="none"/>
              </w:rPr>
              <w:t>45</w:t>
            </w:r>
            <w:r>
              <w:rPr>
                <w:rFonts w:hint="eastAsia"/>
                <w:color w:val="auto"/>
                <w:sz w:val="24"/>
                <w:highlight w:val="none"/>
                <w:lang w:val="zh-CN"/>
              </w:rPr>
              <w:t>L/d*人计，预计用水量为</w:t>
            </w:r>
            <w:r>
              <w:rPr>
                <w:rFonts w:hint="eastAsia"/>
                <w:color w:val="auto"/>
                <w:sz w:val="24"/>
                <w:highlight w:val="none"/>
              </w:rPr>
              <w:t>0.45</w:t>
            </w:r>
            <w:r>
              <w:rPr>
                <w:rFonts w:hint="eastAsia"/>
                <w:color w:val="auto"/>
                <w:sz w:val="24"/>
                <w:highlight w:val="none"/>
                <w:lang w:val="zh-CN"/>
              </w:rPr>
              <w:t>t/d、</w:t>
            </w:r>
            <w:r>
              <w:rPr>
                <w:rFonts w:hint="eastAsia"/>
                <w:color w:val="auto"/>
                <w:sz w:val="24"/>
                <w:highlight w:val="none"/>
              </w:rPr>
              <w:t>135</w:t>
            </w:r>
            <w:r>
              <w:rPr>
                <w:rFonts w:hint="eastAsia"/>
                <w:color w:val="auto"/>
                <w:sz w:val="24"/>
                <w:highlight w:val="none"/>
                <w:lang w:val="zh-CN"/>
              </w:rPr>
              <w:t>t</w:t>
            </w:r>
            <w:r>
              <w:rPr>
                <w:rFonts w:hint="eastAsia"/>
                <w:color w:val="auto"/>
                <w:sz w:val="24"/>
                <w:highlight w:val="none"/>
              </w:rPr>
              <w:t>/a</w:t>
            </w:r>
            <w:r>
              <w:rPr>
                <w:rFonts w:hint="eastAsia"/>
                <w:color w:val="auto"/>
                <w:sz w:val="24"/>
                <w:highlight w:val="none"/>
                <w:lang w:val="zh-CN"/>
              </w:rPr>
              <w:t>，排水按</w:t>
            </w:r>
            <w:r>
              <w:rPr>
                <w:color w:val="auto"/>
                <w:sz w:val="24"/>
                <w:highlight w:val="none"/>
                <w:lang w:val="zh-CN"/>
              </w:rPr>
              <w:t>0.8</w:t>
            </w:r>
            <w:r>
              <w:rPr>
                <w:rFonts w:hint="eastAsia"/>
                <w:color w:val="auto"/>
                <w:sz w:val="24"/>
                <w:highlight w:val="none"/>
                <w:lang w:val="zh-CN"/>
              </w:rPr>
              <w:t>计，排水量为</w:t>
            </w:r>
            <w:r>
              <w:rPr>
                <w:rFonts w:hint="eastAsia"/>
                <w:color w:val="auto"/>
                <w:sz w:val="24"/>
                <w:highlight w:val="none"/>
              </w:rPr>
              <w:t>0.36</w:t>
            </w:r>
            <w:r>
              <w:rPr>
                <w:rFonts w:hint="eastAsia"/>
                <w:color w:val="auto"/>
                <w:sz w:val="24"/>
                <w:highlight w:val="none"/>
                <w:lang w:val="zh-CN"/>
              </w:rPr>
              <w:t>t/d、</w:t>
            </w:r>
            <w:r>
              <w:rPr>
                <w:rFonts w:hint="eastAsia"/>
                <w:color w:val="auto"/>
                <w:sz w:val="24"/>
                <w:highlight w:val="none"/>
              </w:rPr>
              <w:t>108</w:t>
            </w:r>
            <w:r>
              <w:rPr>
                <w:rFonts w:hint="eastAsia"/>
                <w:color w:val="auto"/>
                <w:sz w:val="24"/>
                <w:highlight w:val="none"/>
                <w:lang w:val="zh-CN"/>
              </w:rPr>
              <w:t>t/a，</w:t>
            </w:r>
            <w:r>
              <w:rPr>
                <w:rFonts w:hint="eastAsia"/>
                <w:color w:val="auto"/>
                <w:sz w:val="24"/>
                <w:highlight w:val="none"/>
              </w:rPr>
              <w:t>依托厂区现有化粪池</w:t>
            </w:r>
            <w:r>
              <w:rPr>
                <w:rFonts w:hint="eastAsia"/>
                <w:color w:val="auto"/>
                <w:sz w:val="24"/>
                <w:highlight w:val="none"/>
                <w:lang w:val="zh-CN"/>
              </w:rPr>
              <w:t>处理后用作农肥。</w:t>
            </w:r>
          </w:p>
          <w:p>
            <w:pPr>
              <w:spacing w:line="360" w:lineRule="auto"/>
              <w:ind w:firstLine="480" w:firstLineChars="200"/>
              <w:rPr>
                <w:color w:val="auto"/>
                <w:sz w:val="24"/>
                <w:highlight w:val="none"/>
              </w:rPr>
            </w:pPr>
            <w:r>
              <w:rPr>
                <w:rFonts w:hint="eastAsia"/>
                <w:color w:val="auto"/>
                <w:sz w:val="24"/>
                <w:highlight w:val="none"/>
              </w:rPr>
              <w:t>（2）喷淋废水</w:t>
            </w:r>
          </w:p>
          <w:p>
            <w:pPr>
              <w:spacing w:line="360" w:lineRule="auto"/>
              <w:ind w:firstLine="480" w:firstLineChars="200"/>
              <w:rPr>
                <w:color w:val="auto"/>
                <w:sz w:val="24"/>
                <w:highlight w:val="none"/>
              </w:rPr>
            </w:pPr>
            <w:r>
              <w:rPr>
                <w:rFonts w:hint="eastAsia"/>
                <w:color w:val="auto"/>
                <w:sz w:val="24"/>
                <w:highlight w:val="none"/>
              </w:rPr>
              <w:t>项目设置1个水帘式喷漆房，采用水喷淋处理喷漆过程产生的漆雾，漆雾在水中凝结，最终以漆渣的形式与水分离排出，同时废水中还将含有有机污染物，该部分废水主要污染物为 COD、SS。本项目年生产300天，每天生产8h。根据企业提供资料，水帘柜流量约为0.73m</w:t>
            </w:r>
            <w:r>
              <w:rPr>
                <w:rFonts w:hint="eastAsia"/>
                <w:color w:val="auto"/>
                <w:sz w:val="24"/>
                <w:highlight w:val="none"/>
                <w:vertAlign w:val="superscript"/>
              </w:rPr>
              <w:t>3</w:t>
            </w:r>
            <w:r>
              <w:rPr>
                <w:rFonts w:hint="eastAsia"/>
                <w:color w:val="auto"/>
                <w:sz w:val="24"/>
                <w:highlight w:val="none"/>
              </w:rPr>
              <w:t>/h，5.84m</w:t>
            </w:r>
            <w:r>
              <w:rPr>
                <w:rFonts w:hint="eastAsia"/>
                <w:color w:val="auto"/>
                <w:sz w:val="24"/>
                <w:highlight w:val="none"/>
                <w:vertAlign w:val="superscript"/>
              </w:rPr>
              <w:t>3</w:t>
            </w:r>
            <w:r>
              <w:rPr>
                <w:rFonts w:hint="eastAsia"/>
                <w:color w:val="auto"/>
                <w:sz w:val="24"/>
                <w:highlight w:val="none"/>
              </w:rPr>
              <w:t>/d。则项目喷淋用水循环量约为1752t/a，在循环使用过程中，由于蒸发等原因会产生损耗，损耗率按10%计，故需要定期补充新鲜水，新鲜水补充量约为175.2t/a。该循环水随着污染因子的累积，需定期更换，本项目每年更换一次，更换的喷淋废水约为2t/a。</w:t>
            </w:r>
          </w:p>
          <w:p>
            <w:pPr>
              <w:spacing w:line="360" w:lineRule="auto"/>
              <w:ind w:firstLine="480" w:firstLineChars="200"/>
              <w:rPr>
                <w:color w:val="auto"/>
                <w:sz w:val="24"/>
                <w:highlight w:val="none"/>
              </w:rPr>
            </w:pPr>
            <w:r>
              <w:rPr>
                <w:rFonts w:hint="eastAsia"/>
                <w:color w:val="auto"/>
                <w:sz w:val="24"/>
                <w:highlight w:val="none"/>
              </w:rPr>
              <w:t>（3）油漆稀释用水，本项目使用涂料部分为水性油漆，以水作为稀释剂，稀释比例为5:1，项目使用水性油漆量为0.18t/a，稀释用水量为0.036t/a，进入产品后全部蒸发。</w:t>
            </w:r>
          </w:p>
          <w:p>
            <w:pPr>
              <w:autoSpaceDE w:val="0"/>
              <w:autoSpaceDN w:val="0"/>
              <w:adjustRightInd w:val="0"/>
              <w:spacing w:line="360" w:lineRule="auto"/>
              <w:jc w:val="left"/>
              <w:rPr>
                <w:color w:val="auto"/>
                <w:sz w:val="24"/>
                <w:highlight w:val="none"/>
              </w:rPr>
            </w:pPr>
            <w:r>
              <w:rPr>
                <w:rFonts w:hint="eastAsia"/>
                <w:b/>
                <w:bCs/>
                <w:color w:val="auto"/>
                <w:kern w:val="0"/>
                <w:sz w:val="24"/>
                <w:highlight w:val="none"/>
              </w:rPr>
              <w:t>2.2废水不外排可行性分析</w:t>
            </w:r>
          </w:p>
          <w:p>
            <w:pPr>
              <w:spacing w:line="360" w:lineRule="auto"/>
              <w:ind w:firstLine="480" w:firstLineChars="200"/>
              <w:rPr>
                <w:color w:val="auto"/>
                <w:kern w:val="0"/>
                <w:sz w:val="24"/>
                <w:highlight w:val="none"/>
              </w:rPr>
            </w:pPr>
            <w:r>
              <w:rPr>
                <w:rFonts w:hint="eastAsia"/>
                <w:color w:val="auto"/>
                <w:kern w:val="0"/>
                <w:sz w:val="24"/>
                <w:highlight w:val="none"/>
              </w:rPr>
              <w:t>①生活污水不外排可行性分析</w:t>
            </w:r>
          </w:p>
          <w:p>
            <w:pPr>
              <w:spacing w:line="360" w:lineRule="auto"/>
              <w:ind w:firstLine="480" w:firstLineChars="200"/>
              <w:rPr>
                <w:color w:val="auto"/>
                <w:kern w:val="0"/>
                <w:sz w:val="24"/>
                <w:highlight w:val="none"/>
              </w:rPr>
            </w:pPr>
            <w:r>
              <w:rPr>
                <w:rFonts w:hint="eastAsia"/>
                <w:color w:val="auto"/>
                <w:kern w:val="0"/>
                <w:sz w:val="24"/>
                <w:highlight w:val="none"/>
              </w:rPr>
              <w:t>根据上述分析，本项目年生产300天，可计算得出生活污水产生量为</w:t>
            </w:r>
            <w:r>
              <w:rPr>
                <w:rFonts w:hint="eastAsia"/>
                <w:bCs/>
                <w:color w:val="auto"/>
                <w:spacing w:val="-10"/>
                <w:sz w:val="24"/>
                <w:highlight w:val="none"/>
              </w:rPr>
              <w:t>0.36</w:t>
            </w:r>
            <w:r>
              <w:rPr>
                <w:rFonts w:hint="eastAsia"/>
                <w:color w:val="auto"/>
                <w:kern w:val="0"/>
                <w:sz w:val="24"/>
                <w:highlight w:val="none"/>
              </w:rPr>
              <w:t>t/d，</w:t>
            </w:r>
            <w:r>
              <w:rPr>
                <w:rFonts w:hint="eastAsia"/>
                <w:color w:val="auto"/>
                <w:sz w:val="24"/>
                <w:highlight w:val="none"/>
              </w:rPr>
              <w:t>经化粪池处理后用作农肥及绿化浇灌，</w:t>
            </w:r>
            <w:r>
              <w:rPr>
                <w:rFonts w:hint="eastAsia"/>
                <w:color w:val="auto"/>
                <w:kern w:val="0"/>
                <w:sz w:val="24"/>
                <w:highlight w:val="none"/>
              </w:rPr>
              <w:t>化粪池容积为10m</w:t>
            </w:r>
            <w:r>
              <w:rPr>
                <w:rFonts w:hint="eastAsia"/>
                <w:color w:val="auto"/>
                <w:kern w:val="0"/>
                <w:sz w:val="24"/>
                <w:highlight w:val="none"/>
                <w:vertAlign w:val="superscript"/>
              </w:rPr>
              <w:t>3</w:t>
            </w:r>
            <w:r>
              <w:rPr>
                <w:rFonts w:hint="eastAsia"/>
                <w:color w:val="auto"/>
                <w:kern w:val="0"/>
                <w:sz w:val="24"/>
                <w:highlight w:val="none"/>
              </w:rPr>
              <w:t>，在雨季时可暂存27天生活污水量且不外排。</w:t>
            </w:r>
          </w:p>
          <w:p>
            <w:pPr>
              <w:widowControl/>
              <w:spacing w:line="360" w:lineRule="auto"/>
              <w:ind w:firstLine="480" w:firstLineChars="200"/>
              <w:jc w:val="left"/>
              <w:rPr>
                <w:color w:val="auto"/>
                <w:sz w:val="24"/>
                <w:highlight w:val="none"/>
              </w:rPr>
            </w:pPr>
            <w:r>
              <w:rPr>
                <w:rFonts w:hint="eastAsia"/>
                <w:color w:val="auto"/>
                <w:kern w:val="0"/>
                <w:sz w:val="24"/>
                <w:highlight w:val="none"/>
              </w:rPr>
              <w:t>本项目地处农村区域，四周均分布有农田，农田面积较广，经查询《湖南省用水定额》（DB43/T388-2020）中附录A和附录B，本项目地处邵阳市北塔区，为农业用水定额灌溉Ⅳ类区域。项目周边主要以种植水稻和蔬菜等常见农作物为主，参照《湖南省用水定额》（DB43/T388-2020）中的表1（农田净灌溉用水定额）、表2（规定位置灌溉用水定额），一亩地用水取值为100m</w:t>
            </w:r>
            <w:r>
              <w:rPr>
                <w:rFonts w:hint="eastAsia"/>
                <w:color w:val="auto"/>
                <w:kern w:val="0"/>
                <w:sz w:val="24"/>
                <w:highlight w:val="none"/>
                <w:vertAlign w:val="superscript"/>
              </w:rPr>
              <w:t>3</w:t>
            </w:r>
            <w:r>
              <w:rPr>
                <w:rFonts w:hint="eastAsia"/>
                <w:color w:val="auto"/>
                <w:kern w:val="0"/>
                <w:sz w:val="24"/>
                <w:highlight w:val="none"/>
              </w:rPr>
              <w:t>/a。根据网上地图影像资料可知，本项目周边500m范围内约有100亩农田，一年可消纳约1万吨生活污水，远大于本项目产生的生活污水量。因此本项目产生的生活污水可被有效消纳，</w:t>
            </w:r>
            <w:r>
              <w:rPr>
                <w:rFonts w:hint="eastAsia"/>
                <w:color w:val="auto"/>
                <w:sz w:val="24"/>
                <w:highlight w:val="none"/>
              </w:rPr>
              <w:t>加上生活废水成分相对简单，并且水量小，生活废水有利于植物的生长，增加土壤肥力，对土壤无不良影响，有利于土壤环境的改善。</w:t>
            </w:r>
          </w:p>
          <w:p>
            <w:pPr>
              <w:spacing w:line="360" w:lineRule="auto"/>
              <w:ind w:firstLine="480" w:firstLineChars="200"/>
              <w:rPr>
                <w:color w:val="auto"/>
                <w:kern w:val="0"/>
                <w:sz w:val="24"/>
                <w:highlight w:val="none"/>
              </w:rPr>
            </w:pPr>
            <w:r>
              <w:rPr>
                <w:rFonts w:hint="eastAsia"/>
                <w:color w:val="auto"/>
                <w:kern w:val="0"/>
                <w:sz w:val="24"/>
                <w:highlight w:val="none"/>
              </w:rPr>
              <w:t>②生产废水不外排可行性分析</w:t>
            </w:r>
          </w:p>
          <w:p>
            <w:pPr>
              <w:spacing w:line="360" w:lineRule="auto"/>
              <w:ind w:firstLine="480" w:firstLineChars="200"/>
              <w:rPr>
                <w:color w:val="auto"/>
                <w:sz w:val="24"/>
                <w:highlight w:val="none"/>
              </w:rPr>
            </w:pPr>
            <w:r>
              <w:rPr>
                <w:rFonts w:hint="eastAsia"/>
                <w:color w:val="auto"/>
                <w:kern w:val="0"/>
                <w:sz w:val="24"/>
                <w:highlight w:val="none"/>
              </w:rPr>
              <w:t>本项目废水</w:t>
            </w:r>
            <w:r>
              <w:rPr>
                <w:rFonts w:hint="eastAsia"/>
                <w:color w:val="auto"/>
                <w:sz w:val="24"/>
                <w:highlight w:val="none"/>
              </w:rPr>
              <w:t>建设单位拟定期向废水中投加漆雾凝聚剂，以破坏废水中的油漆粘性，使漆雾凝聚成较大颗粒，漂浮于水面形成漆渣，定期清理，使废水满足喷淋要求后，可循环使用；喷淋废水每年更换一次，更换下来的废水作危废交由有资质单位处理。</w:t>
            </w:r>
          </w:p>
          <w:p>
            <w:pPr>
              <w:spacing w:line="360" w:lineRule="auto"/>
              <w:rPr>
                <w:rFonts w:eastAsiaTheme="minorEastAsia"/>
                <w:b/>
                <w:color w:val="auto"/>
                <w:sz w:val="24"/>
                <w:highlight w:val="none"/>
              </w:rPr>
            </w:pPr>
            <w:r>
              <w:rPr>
                <w:rFonts w:hint="eastAsia" w:eastAsiaTheme="minorEastAsia"/>
                <w:b/>
                <w:color w:val="auto"/>
                <w:sz w:val="24"/>
                <w:highlight w:val="none"/>
              </w:rPr>
              <w:t>2.3监测要求</w:t>
            </w:r>
          </w:p>
          <w:p>
            <w:pPr>
              <w:spacing w:line="360" w:lineRule="auto"/>
              <w:ind w:firstLine="480" w:firstLineChars="200"/>
              <w:rPr>
                <w:rFonts w:eastAsiaTheme="minorEastAsia"/>
                <w:b/>
                <w:color w:val="auto"/>
                <w:sz w:val="24"/>
                <w:highlight w:val="none"/>
              </w:rPr>
            </w:pPr>
            <w:r>
              <w:rPr>
                <w:rFonts w:hint="eastAsia"/>
                <w:color w:val="auto"/>
                <w:sz w:val="24"/>
                <w:highlight w:val="none"/>
              </w:rPr>
              <w:t>本项目无废水外排，根据《排污许可证申请与核发技术规范 家具制造业》（HJ1027-2019），可</w:t>
            </w:r>
            <w:r>
              <w:rPr>
                <w:rFonts w:hint="eastAsia"/>
                <w:bCs/>
                <w:color w:val="auto"/>
                <w:sz w:val="24"/>
                <w:highlight w:val="none"/>
              </w:rPr>
              <w:t>不进行废水自行监测。</w:t>
            </w:r>
          </w:p>
          <w:p>
            <w:pPr>
              <w:spacing w:line="360" w:lineRule="auto"/>
              <w:rPr>
                <w:rFonts w:eastAsiaTheme="minorEastAsia"/>
                <w:b/>
                <w:color w:val="auto"/>
                <w:sz w:val="24"/>
                <w:highlight w:val="none"/>
              </w:rPr>
            </w:pPr>
            <w:r>
              <w:rPr>
                <w:rFonts w:hint="eastAsia" w:eastAsiaTheme="minorEastAsia"/>
                <w:b/>
                <w:color w:val="auto"/>
                <w:sz w:val="24"/>
                <w:highlight w:val="none"/>
              </w:rPr>
              <w:t>3、噪声环境影响及保护措施</w:t>
            </w:r>
          </w:p>
          <w:p>
            <w:pPr>
              <w:spacing w:line="360" w:lineRule="auto"/>
              <w:rPr>
                <w:rFonts w:eastAsiaTheme="minorEastAsia"/>
                <w:b/>
                <w:color w:val="auto"/>
                <w:sz w:val="24"/>
                <w:highlight w:val="none"/>
              </w:rPr>
            </w:pPr>
            <w:r>
              <w:rPr>
                <w:rFonts w:hint="eastAsia" w:eastAsiaTheme="minorEastAsia"/>
                <w:b/>
                <w:color w:val="auto"/>
                <w:sz w:val="24"/>
                <w:highlight w:val="none"/>
              </w:rPr>
              <w:t>3.1噪声源强</w:t>
            </w:r>
          </w:p>
          <w:p>
            <w:pPr>
              <w:spacing w:line="360" w:lineRule="auto"/>
              <w:ind w:firstLine="480" w:firstLineChars="200"/>
              <w:rPr>
                <w:rFonts w:hAnsi="宋体"/>
                <w:snapToGrid w:val="0"/>
                <w:color w:val="auto"/>
                <w:kern w:val="0"/>
                <w:sz w:val="24"/>
                <w:highlight w:val="none"/>
              </w:rPr>
            </w:pPr>
            <w:r>
              <w:rPr>
                <w:rFonts w:hint="eastAsia" w:ascii="宋体" w:hAnsi="宋体" w:cs="宋体"/>
                <w:color w:val="auto"/>
                <w:kern w:val="1"/>
                <w:sz w:val="24"/>
                <w:highlight w:val="none"/>
              </w:rPr>
              <w:t>本</w:t>
            </w:r>
            <w:r>
              <w:rPr>
                <w:rFonts w:hint="eastAsia"/>
                <w:color w:val="auto"/>
                <w:sz w:val="24"/>
                <w:highlight w:val="none"/>
              </w:rPr>
              <w:t>项目噪声主要为生产过程中产生的机械噪声，噪声源强范围为65-80dB(A)，经减振、隔声后降噪效果可达10</w:t>
            </w:r>
            <w:r>
              <w:rPr>
                <w:rFonts w:hAnsi="宋体"/>
                <w:bCs/>
                <w:color w:val="auto"/>
                <w:sz w:val="24"/>
                <w:highlight w:val="none"/>
              </w:rPr>
              <w:t>（</w:t>
            </w:r>
            <w:r>
              <w:rPr>
                <w:bCs/>
                <w:color w:val="auto"/>
                <w:sz w:val="24"/>
                <w:highlight w:val="none"/>
              </w:rPr>
              <w:t>dB(A)</w:t>
            </w:r>
            <w:r>
              <w:rPr>
                <w:rFonts w:hAnsi="宋体"/>
                <w:bCs/>
                <w:color w:val="auto"/>
                <w:sz w:val="24"/>
                <w:highlight w:val="none"/>
              </w:rPr>
              <w:t>）</w:t>
            </w:r>
            <w:r>
              <w:rPr>
                <w:rFonts w:hint="eastAsia"/>
                <w:color w:val="auto"/>
                <w:sz w:val="24"/>
                <w:highlight w:val="none"/>
              </w:rPr>
              <w:t>，具体见下表</w:t>
            </w:r>
            <w:r>
              <w:rPr>
                <w:rFonts w:hAnsi="宋体"/>
                <w:snapToGrid w:val="0"/>
                <w:color w:val="auto"/>
                <w:kern w:val="0"/>
                <w:sz w:val="24"/>
                <w:highlight w:val="none"/>
              </w:rPr>
              <w:t>。</w:t>
            </w:r>
          </w:p>
          <w:p>
            <w:pPr>
              <w:jc w:val="center"/>
              <w:rPr>
                <w:rFonts w:hAnsi="宋体"/>
                <w:b/>
                <w:color w:val="auto"/>
                <w:szCs w:val="21"/>
                <w:highlight w:val="none"/>
              </w:rPr>
            </w:pPr>
            <w:r>
              <w:rPr>
                <w:rFonts w:hAnsi="宋体"/>
                <w:b/>
                <w:bCs/>
                <w:color w:val="auto"/>
                <w:szCs w:val="21"/>
                <w:highlight w:val="none"/>
              </w:rPr>
              <w:t>表</w:t>
            </w:r>
            <w:r>
              <w:rPr>
                <w:rFonts w:hint="eastAsia"/>
                <w:b/>
                <w:bCs/>
                <w:color w:val="auto"/>
                <w:szCs w:val="21"/>
                <w:highlight w:val="none"/>
              </w:rPr>
              <w:t>4-5</w:t>
            </w:r>
            <w:r>
              <w:rPr>
                <w:b/>
                <w:bCs/>
                <w:color w:val="auto"/>
                <w:szCs w:val="21"/>
                <w:highlight w:val="none"/>
              </w:rPr>
              <w:t xml:space="preserve"> </w:t>
            </w:r>
            <w:r>
              <w:rPr>
                <w:rFonts w:hAnsi="宋体"/>
                <w:b/>
                <w:bCs/>
                <w:color w:val="auto"/>
                <w:szCs w:val="21"/>
                <w:highlight w:val="none"/>
              </w:rPr>
              <w:t>声源的平均噪声级</w:t>
            </w:r>
            <w:r>
              <w:rPr>
                <w:b/>
                <w:bCs/>
                <w:color w:val="auto"/>
                <w:szCs w:val="21"/>
                <w:highlight w:val="none"/>
              </w:rPr>
              <w:t xml:space="preserve">    </w:t>
            </w:r>
            <w:r>
              <w:rPr>
                <w:rFonts w:hAnsi="宋体"/>
                <w:b/>
                <w:bCs/>
                <w:color w:val="auto"/>
                <w:szCs w:val="21"/>
                <w:highlight w:val="none"/>
              </w:rPr>
              <w:t>单位</w:t>
            </w:r>
            <w:r>
              <w:rPr>
                <w:rFonts w:hAnsi="宋体"/>
                <w:b/>
                <w:color w:val="auto"/>
                <w:szCs w:val="21"/>
                <w:highlight w:val="none"/>
              </w:rPr>
              <w:t>（</w:t>
            </w:r>
            <w:r>
              <w:rPr>
                <w:b/>
                <w:color w:val="auto"/>
                <w:szCs w:val="21"/>
                <w:highlight w:val="none"/>
              </w:rPr>
              <w:t>dB(A)</w:t>
            </w:r>
            <w:r>
              <w:rPr>
                <w:rFonts w:hAnsi="宋体"/>
                <w:b/>
                <w:color w:val="auto"/>
                <w:szCs w:val="21"/>
                <w:highlight w:val="none"/>
              </w:rPr>
              <w:t>）</w:t>
            </w:r>
          </w:p>
          <w:tbl>
            <w:tblPr>
              <w:tblStyle w:val="25"/>
              <w:tblW w:w="699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2023"/>
              <w:gridCol w:w="1055"/>
              <w:gridCol w:w="1290"/>
              <w:gridCol w:w="17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861" w:type="dxa"/>
                  <w:tcBorders>
                    <w:tl2br w:val="nil"/>
                    <w:tr2bl w:val="nil"/>
                  </w:tcBorders>
                  <w:vAlign w:val="center"/>
                </w:tcPr>
                <w:p>
                  <w:pPr>
                    <w:jc w:val="center"/>
                    <w:rPr>
                      <w:rFonts w:hAnsi="宋体"/>
                      <w:color w:val="auto"/>
                      <w:szCs w:val="21"/>
                      <w:highlight w:val="none"/>
                    </w:rPr>
                  </w:pPr>
                  <w:r>
                    <w:rPr>
                      <w:rFonts w:hint="eastAsia" w:hAnsi="宋体"/>
                      <w:color w:val="auto"/>
                      <w:szCs w:val="21"/>
                      <w:highlight w:val="none"/>
                    </w:rPr>
                    <w:t>序号</w:t>
                  </w:r>
                </w:p>
              </w:tc>
              <w:tc>
                <w:tcPr>
                  <w:tcW w:w="2023" w:type="dxa"/>
                  <w:tcBorders>
                    <w:tl2br w:val="nil"/>
                    <w:tr2bl w:val="nil"/>
                  </w:tcBorders>
                  <w:vAlign w:val="center"/>
                </w:tcPr>
                <w:p>
                  <w:pPr>
                    <w:jc w:val="center"/>
                    <w:rPr>
                      <w:color w:val="auto"/>
                      <w:szCs w:val="21"/>
                      <w:highlight w:val="none"/>
                    </w:rPr>
                  </w:pPr>
                  <w:r>
                    <w:rPr>
                      <w:rFonts w:hAnsi="宋体"/>
                      <w:color w:val="auto"/>
                      <w:szCs w:val="21"/>
                      <w:highlight w:val="none"/>
                    </w:rPr>
                    <w:t>设备名称</w:t>
                  </w:r>
                </w:p>
              </w:tc>
              <w:tc>
                <w:tcPr>
                  <w:tcW w:w="1055" w:type="dxa"/>
                  <w:tcBorders>
                    <w:tl2br w:val="nil"/>
                    <w:tr2bl w:val="nil"/>
                  </w:tcBorders>
                  <w:vAlign w:val="center"/>
                </w:tcPr>
                <w:p>
                  <w:pPr>
                    <w:jc w:val="center"/>
                    <w:rPr>
                      <w:rFonts w:hAnsi="宋体"/>
                      <w:color w:val="auto"/>
                      <w:szCs w:val="21"/>
                      <w:highlight w:val="none"/>
                    </w:rPr>
                  </w:pPr>
                  <w:r>
                    <w:rPr>
                      <w:rFonts w:hint="eastAsia" w:hAnsi="宋体"/>
                      <w:color w:val="auto"/>
                      <w:szCs w:val="21"/>
                      <w:highlight w:val="none"/>
                    </w:rPr>
                    <w:t>数量</w:t>
                  </w:r>
                </w:p>
              </w:tc>
              <w:tc>
                <w:tcPr>
                  <w:tcW w:w="1290" w:type="dxa"/>
                  <w:tcBorders>
                    <w:tl2br w:val="nil"/>
                    <w:tr2bl w:val="nil"/>
                  </w:tcBorders>
                  <w:vAlign w:val="center"/>
                </w:tcPr>
                <w:p>
                  <w:pPr>
                    <w:jc w:val="center"/>
                    <w:rPr>
                      <w:color w:val="auto"/>
                      <w:szCs w:val="21"/>
                      <w:highlight w:val="none"/>
                    </w:rPr>
                  </w:pPr>
                  <w:r>
                    <w:rPr>
                      <w:rFonts w:hint="eastAsia" w:hAnsi="宋体"/>
                      <w:color w:val="auto"/>
                      <w:szCs w:val="21"/>
                      <w:highlight w:val="none"/>
                    </w:rPr>
                    <w:t>噪声源强</w:t>
                  </w:r>
                </w:p>
              </w:tc>
              <w:tc>
                <w:tcPr>
                  <w:tcW w:w="1770" w:type="dxa"/>
                  <w:tcBorders>
                    <w:tl2br w:val="nil"/>
                    <w:tr2bl w:val="nil"/>
                  </w:tcBorders>
                  <w:vAlign w:val="center"/>
                </w:tcPr>
                <w:p>
                  <w:pPr>
                    <w:jc w:val="center"/>
                    <w:rPr>
                      <w:rFonts w:hAnsi="宋体"/>
                      <w:color w:val="auto"/>
                      <w:szCs w:val="21"/>
                      <w:highlight w:val="none"/>
                    </w:rPr>
                  </w:pPr>
                  <w:r>
                    <w:rPr>
                      <w:rFonts w:hint="eastAsia" w:hAnsi="宋体"/>
                      <w:color w:val="auto"/>
                      <w:szCs w:val="21"/>
                      <w:highlight w:val="none"/>
                    </w:rPr>
                    <w:t>降噪后噪声源强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61" w:type="dxa"/>
                  <w:tcBorders>
                    <w:tl2br w:val="nil"/>
                    <w:tr2bl w:val="nil"/>
                  </w:tcBorders>
                  <w:vAlign w:val="center"/>
                </w:tcPr>
                <w:p>
                  <w:pPr>
                    <w:adjustRightInd w:val="0"/>
                    <w:snapToGrid w:val="0"/>
                    <w:jc w:val="center"/>
                    <w:rPr>
                      <w:color w:val="auto"/>
                      <w:szCs w:val="21"/>
                      <w:highlight w:val="none"/>
                      <w:shd w:val="clear" w:color="auto" w:fill="FFFFFF"/>
                    </w:rPr>
                  </w:pPr>
                  <w:r>
                    <w:rPr>
                      <w:color w:val="auto"/>
                      <w:szCs w:val="21"/>
                      <w:highlight w:val="none"/>
                    </w:rPr>
                    <w:t>1</w:t>
                  </w:r>
                </w:p>
              </w:tc>
              <w:tc>
                <w:tcPr>
                  <w:tcW w:w="2023"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激光切割机</w:t>
                  </w:r>
                </w:p>
              </w:tc>
              <w:tc>
                <w:tcPr>
                  <w:tcW w:w="1055" w:type="dxa"/>
                  <w:tcBorders>
                    <w:tl2br w:val="nil"/>
                    <w:tr2bl w:val="nil"/>
                  </w:tcBorders>
                  <w:vAlign w:val="center"/>
                </w:tcPr>
                <w:p>
                  <w:pPr>
                    <w:pStyle w:val="84"/>
                    <w:jc w:val="center"/>
                    <w:rPr>
                      <w:color w:val="auto"/>
                      <w:szCs w:val="21"/>
                      <w:highlight w:val="none"/>
                    </w:rPr>
                  </w:pPr>
                  <w:r>
                    <w:rPr>
                      <w:rFonts w:hint="eastAsia"/>
                      <w:color w:val="auto"/>
                      <w:szCs w:val="21"/>
                      <w:highlight w:val="none"/>
                      <w:lang w:val="en-US"/>
                    </w:rPr>
                    <w:t>1</w:t>
                  </w:r>
                  <w:r>
                    <w:rPr>
                      <w:rFonts w:hint="eastAsia"/>
                      <w:color w:val="auto"/>
                      <w:szCs w:val="21"/>
                      <w:highlight w:val="none"/>
                    </w:rPr>
                    <w:t>台</w:t>
                  </w:r>
                </w:p>
              </w:tc>
              <w:tc>
                <w:tcPr>
                  <w:tcW w:w="1290" w:type="dxa"/>
                  <w:tcBorders>
                    <w:tl2br w:val="nil"/>
                    <w:tr2bl w:val="nil"/>
                  </w:tcBorders>
                  <w:vAlign w:val="center"/>
                </w:tcPr>
                <w:p>
                  <w:pPr>
                    <w:jc w:val="center"/>
                    <w:rPr>
                      <w:color w:val="auto"/>
                      <w:szCs w:val="21"/>
                      <w:highlight w:val="none"/>
                    </w:rPr>
                  </w:pPr>
                  <w:r>
                    <w:rPr>
                      <w:rFonts w:hint="eastAsia"/>
                      <w:color w:val="auto"/>
                      <w:szCs w:val="21"/>
                      <w:highlight w:val="none"/>
                    </w:rPr>
                    <w:t>70</w:t>
                  </w:r>
                </w:p>
              </w:tc>
              <w:tc>
                <w:tcPr>
                  <w:tcW w:w="177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61" w:type="dxa"/>
                  <w:tcBorders>
                    <w:tl2br w:val="nil"/>
                    <w:tr2bl w:val="nil"/>
                  </w:tcBorders>
                  <w:vAlign w:val="center"/>
                </w:tcPr>
                <w:p>
                  <w:pPr>
                    <w:adjustRightInd w:val="0"/>
                    <w:snapToGrid w:val="0"/>
                    <w:jc w:val="center"/>
                    <w:rPr>
                      <w:color w:val="auto"/>
                      <w:szCs w:val="21"/>
                      <w:highlight w:val="none"/>
                      <w:shd w:val="clear" w:color="auto" w:fill="FFFFFF"/>
                    </w:rPr>
                  </w:pPr>
                  <w:r>
                    <w:rPr>
                      <w:color w:val="auto"/>
                      <w:szCs w:val="21"/>
                      <w:highlight w:val="none"/>
                    </w:rPr>
                    <w:t>2</w:t>
                  </w:r>
                </w:p>
              </w:tc>
              <w:tc>
                <w:tcPr>
                  <w:tcW w:w="2023"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焊机</w:t>
                  </w:r>
                </w:p>
              </w:tc>
              <w:tc>
                <w:tcPr>
                  <w:tcW w:w="1055" w:type="dxa"/>
                  <w:tcBorders>
                    <w:tl2br w:val="nil"/>
                    <w:tr2bl w:val="nil"/>
                  </w:tcBorders>
                  <w:vAlign w:val="center"/>
                </w:tcPr>
                <w:p>
                  <w:pPr>
                    <w:pStyle w:val="84"/>
                    <w:jc w:val="center"/>
                    <w:rPr>
                      <w:color w:val="auto"/>
                      <w:szCs w:val="21"/>
                      <w:highlight w:val="none"/>
                    </w:rPr>
                  </w:pPr>
                  <w:r>
                    <w:rPr>
                      <w:rFonts w:hint="eastAsia"/>
                      <w:color w:val="auto"/>
                      <w:szCs w:val="21"/>
                      <w:highlight w:val="none"/>
                      <w:lang w:val="en-US"/>
                    </w:rPr>
                    <w:t>1</w:t>
                  </w:r>
                  <w:r>
                    <w:rPr>
                      <w:rFonts w:hint="eastAsia"/>
                      <w:color w:val="auto"/>
                      <w:szCs w:val="21"/>
                      <w:highlight w:val="none"/>
                    </w:rPr>
                    <w:t>台</w:t>
                  </w:r>
                </w:p>
              </w:tc>
              <w:tc>
                <w:tcPr>
                  <w:tcW w:w="1290" w:type="dxa"/>
                  <w:tcBorders>
                    <w:tl2br w:val="nil"/>
                    <w:tr2bl w:val="nil"/>
                  </w:tcBorders>
                  <w:vAlign w:val="center"/>
                </w:tcPr>
                <w:p>
                  <w:pPr>
                    <w:jc w:val="center"/>
                    <w:rPr>
                      <w:color w:val="auto"/>
                      <w:szCs w:val="21"/>
                      <w:highlight w:val="none"/>
                    </w:rPr>
                  </w:pPr>
                  <w:r>
                    <w:rPr>
                      <w:rFonts w:hint="eastAsia"/>
                      <w:color w:val="auto"/>
                      <w:szCs w:val="21"/>
                      <w:highlight w:val="none"/>
                    </w:rPr>
                    <w:t>75</w:t>
                  </w:r>
                </w:p>
              </w:tc>
              <w:tc>
                <w:tcPr>
                  <w:tcW w:w="1770" w:type="dxa"/>
                  <w:tcBorders>
                    <w:tl2br w:val="nil"/>
                    <w:tr2bl w:val="nil"/>
                  </w:tcBorders>
                  <w:vAlign w:val="center"/>
                </w:tcPr>
                <w:p>
                  <w:pPr>
                    <w:jc w:val="center"/>
                    <w:rPr>
                      <w:color w:val="auto"/>
                      <w:szCs w:val="21"/>
                      <w:highlight w:val="none"/>
                    </w:rPr>
                  </w:pPr>
                  <w:r>
                    <w:rPr>
                      <w:rFonts w:hint="eastAsia"/>
                      <w:color w:val="auto"/>
                      <w:szCs w:val="21"/>
                      <w:highlight w:val="none"/>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61" w:type="dxa"/>
                  <w:tcBorders>
                    <w:tl2br w:val="nil"/>
                    <w:tr2bl w:val="nil"/>
                  </w:tcBorders>
                  <w:vAlign w:val="center"/>
                </w:tcPr>
                <w:p>
                  <w:pPr>
                    <w:adjustRightInd w:val="0"/>
                    <w:snapToGrid w:val="0"/>
                    <w:jc w:val="center"/>
                    <w:rPr>
                      <w:color w:val="auto"/>
                      <w:szCs w:val="21"/>
                      <w:highlight w:val="none"/>
                      <w:shd w:val="clear" w:color="auto" w:fill="FFFFFF"/>
                    </w:rPr>
                  </w:pPr>
                  <w:r>
                    <w:rPr>
                      <w:color w:val="auto"/>
                      <w:szCs w:val="21"/>
                      <w:highlight w:val="none"/>
                    </w:rPr>
                    <w:t>3</w:t>
                  </w:r>
                </w:p>
              </w:tc>
              <w:tc>
                <w:tcPr>
                  <w:tcW w:w="2023"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雕刻机</w:t>
                  </w:r>
                </w:p>
              </w:tc>
              <w:tc>
                <w:tcPr>
                  <w:tcW w:w="1055" w:type="dxa"/>
                  <w:tcBorders>
                    <w:tl2br w:val="nil"/>
                    <w:tr2bl w:val="nil"/>
                  </w:tcBorders>
                  <w:vAlign w:val="center"/>
                </w:tcPr>
                <w:p>
                  <w:pPr>
                    <w:pStyle w:val="84"/>
                    <w:jc w:val="center"/>
                    <w:rPr>
                      <w:color w:val="auto"/>
                      <w:szCs w:val="21"/>
                      <w:highlight w:val="none"/>
                    </w:rPr>
                  </w:pPr>
                  <w:r>
                    <w:rPr>
                      <w:rFonts w:hint="eastAsia"/>
                      <w:color w:val="auto"/>
                      <w:szCs w:val="21"/>
                      <w:highlight w:val="none"/>
                    </w:rPr>
                    <w:t>1台</w:t>
                  </w:r>
                </w:p>
              </w:tc>
              <w:tc>
                <w:tcPr>
                  <w:tcW w:w="1290" w:type="dxa"/>
                  <w:tcBorders>
                    <w:tl2br w:val="nil"/>
                    <w:tr2bl w:val="nil"/>
                  </w:tcBorders>
                  <w:vAlign w:val="center"/>
                </w:tcPr>
                <w:p>
                  <w:pPr>
                    <w:jc w:val="center"/>
                    <w:rPr>
                      <w:color w:val="auto"/>
                      <w:szCs w:val="21"/>
                      <w:highlight w:val="none"/>
                    </w:rPr>
                  </w:pPr>
                  <w:r>
                    <w:rPr>
                      <w:rFonts w:hint="eastAsia"/>
                      <w:color w:val="auto"/>
                      <w:szCs w:val="21"/>
                      <w:highlight w:val="none"/>
                    </w:rPr>
                    <w:t>70</w:t>
                  </w:r>
                </w:p>
              </w:tc>
              <w:tc>
                <w:tcPr>
                  <w:tcW w:w="1770" w:type="dxa"/>
                  <w:tcBorders>
                    <w:tl2br w:val="nil"/>
                    <w:tr2bl w:val="nil"/>
                  </w:tcBorders>
                  <w:vAlign w:val="center"/>
                </w:tcPr>
                <w:p>
                  <w:pPr>
                    <w:jc w:val="center"/>
                    <w:rPr>
                      <w:color w:val="auto"/>
                      <w:szCs w:val="21"/>
                      <w:highlight w:val="none"/>
                    </w:rPr>
                  </w:pPr>
                  <w:r>
                    <w:rPr>
                      <w:rFonts w:hint="eastAsia"/>
                      <w:color w:val="auto"/>
                      <w:szCs w:val="21"/>
                      <w:highlight w:val="none"/>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61" w:type="dxa"/>
                  <w:tcBorders>
                    <w:tl2br w:val="nil"/>
                    <w:tr2bl w:val="nil"/>
                  </w:tcBorders>
                  <w:vAlign w:val="center"/>
                </w:tcPr>
                <w:p>
                  <w:pPr>
                    <w:adjustRightInd w:val="0"/>
                    <w:snapToGrid w:val="0"/>
                    <w:jc w:val="center"/>
                    <w:rPr>
                      <w:color w:val="auto"/>
                      <w:szCs w:val="21"/>
                      <w:highlight w:val="none"/>
                      <w:shd w:val="clear" w:color="auto" w:fill="FFFFFF"/>
                    </w:rPr>
                  </w:pPr>
                  <w:r>
                    <w:rPr>
                      <w:rFonts w:hint="eastAsia"/>
                      <w:color w:val="auto"/>
                      <w:szCs w:val="21"/>
                      <w:highlight w:val="none"/>
                    </w:rPr>
                    <w:t>4</w:t>
                  </w:r>
                </w:p>
              </w:tc>
              <w:tc>
                <w:tcPr>
                  <w:tcW w:w="2023"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广告扣扳机</w:t>
                  </w:r>
                </w:p>
              </w:tc>
              <w:tc>
                <w:tcPr>
                  <w:tcW w:w="1055" w:type="dxa"/>
                  <w:tcBorders>
                    <w:tl2br w:val="nil"/>
                    <w:tr2bl w:val="nil"/>
                  </w:tcBorders>
                  <w:vAlign w:val="center"/>
                </w:tcPr>
                <w:p>
                  <w:pPr>
                    <w:pStyle w:val="84"/>
                    <w:jc w:val="center"/>
                    <w:rPr>
                      <w:color w:val="auto"/>
                      <w:szCs w:val="21"/>
                      <w:highlight w:val="none"/>
                    </w:rPr>
                  </w:pPr>
                  <w:r>
                    <w:rPr>
                      <w:rFonts w:hint="eastAsia"/>
                      <w:color w:val="auto"/>
                      <w:szCs w:val="21"/>
                      <w:highlight w:val="none"/>
                    </w:rPr>
                    <w:t>1台</w:t>
                  </w:r>
                </w:p>
              </w:tc>
              <w:tc>
                <w:tcPr>
                  <w:tcW w:w="1290" w:type="dxa"/>
                  <w:tcBorders>
                    <w:tl2br w:val="nil"/>
                    <w:tr2bl w:val="nil"/>
                  </w:tcBorders>
                  <w:vAlign w:val="center"/>
                </w:tcPr>
                <w:p>
                  <w:pPr>
                    <w:jc w:val="center"/>
                    <w:rPr>
                      <w:color w:val="auto"/>
                      <w:szCs w:val="21"/>
                      <w:highlight w:val="none"/>
                    </w:rPr>
                  </w:pPr>
                  <w:r>
                    <w:rPr>
                      <w:rFonts w:hint="eastAsia"/>
                      <w:color w:val="auto"/>
                      <w:szCs w:val="21"/>
                      <w:highlight w:val="none"/>
                    </w:rPr>
                    <w:t>75</w:t>
                  </w:r>
                </w:p>
              </w:tc>
              <w:tc>
                <w:tcPr>
                  <w:tcW w:w="1770" w:type="dxa"/>
                  <w:tcBorders>
                    <w:tl2br w:val="nil"/>
                    <w:tr2bl w:val="nil"/>
                  </w:tcBorders>
                  <w:vAlign w:val="center"/>
                </w:tcPr>
                <w:p>
                  <w:pPr>
                    <w:jc w:val="center"/>
                    <w:rPr>
                      <w:color w:val="auto"/>
                      <w:szCs w:val="21"/>
                      <w:highlight w:val="none"/>
                    </w:rPr>
                  </w:pPr>
                  <w:r>
                    <w:rPr>
                      <w:rFonts w:hint="eastAsia"/>
                      <w:color w:val="auto"/>
                      <w:szCs w:val="21"/>
                      <w:highlight w:val="none"/>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861" w:type="dxa"/>
                  <w:tcBorders>
                    <w:tl2br w:val="nil"/>
                    <w:tr2bl w:val="nil"/>
                  </w:tcBorders>
                  <w:vAlign w:val="center"/>
                </w:tcPr>
                <w:p>
                  <w:pPr>
                    <w:adjustRightInd w:val="0"/>
                    <w:snapToGrid w:val="0"/>
                    <w:jc w:val="center"/>
                    <w:rPr>
                      <w:color w:val="auto"/>
                      <w:szCs w:val="21"/>
                      <w:highlight w:val="none"/>
                      <w:shd w:val="clear" w:color="auto" w:fill="FFFFFF"/>
                    </w:rPr>
                  </w:pPr>
                  <w:r>
                    <w:rPr>
                      <w:rFonts w:hint="eastAsia"/>
                      <w:color w:val="auto"/>
                      <w:szCs w:val="21"/>
                      <w:highlight w:val="none"/>
                    </w:rPr>
                    <w:t>5</w:t>
                  </w:r>
                </w:p>
              </w:tc>
              <w:tc>
                <w:tcPr>
                  <w:tcW w:w="2023"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静电粉末喷塑机</w:t>
                  </w:r>
                </w:p>
              </w:tc>
              <w:tc>
                <w:tcPr>
                  <w:tcW w:w="1055" w:type="dxa"/>
                  <w:tcBorders>
                    <w:tl2br w:val="nil"/>
                    <w:tr2bl w:val="nil"/>
                  </w:tcBorders>
                  <w:vAlign w:val="center"/>
                </w:tcPr>
                <w:p>
                  <w:pPr>
                    <w:pStyle w:val="84"/>
                    <w:jc w:val="center"/>
                    <w:rPr>
                      <w:color w:val="auto"/>
                      <w:szCs w:val="21"/>
                      <w:highlight w:val="none"/>
                    </w:rPr>
                  </w:pPr>
                  <w:r>
                    <w:rPr>
                      <w:rFonts w:hint="eastAsia"/>
                      <w:color w:val="auto"/>
                      <w:szCs w:val="21"/>
                      <w:highlight w:val="none"/>
                      <w:lang w:val="en-US"/>
                    </w:rPr>
                    <w:t>1</w:t>
                  </w:r>
                  <w:r>
                    <w:rPr>
                      <w:rFonts w:hint="eastAsia"/>
                      <w:color w:val="auto"/>
                      <w:szCs w:val="21"/>
                      <w:highlight w:val="none"/>
                    </w:rPr>
                    <w:t>台</w:t>
                  </w:r>
                </w:p>
              </w:tc>
              <w:tc>
                <w:tcPr>
                  <w:tcW w:w="1290" w:type="dxa"/>
                  <w:tcBorders>
                    <w:tl2br w:val="nil"/>
                    <w:tr2bl w:val="nil"/>
                  </w:tcBorders>
                  <w:vAlign w:val="center"/>
                </w:tcPr>
                <w:p>
                  <w:pPr>
                    <w:jc w:val="center"/>
                    <w:rPr>
                      <w:color w:val="auto"/>
                      <w:szCs w:val="21"/>
                      <w:highlight w:val="none"/>
                    </w:rPr>
                  </w:pPr>
                  <w:r>
                    <w:rPr>
                      <w:rFonts w:hint="eastAsia"/>
                      <w:color w:val="auto"/>
                      <w:szCs w:val="21"/>
                      <w:highlight w:val="none"/>
                    </w:rPr>
                    <w:t>75</w:t>
                  </w:r>
                </w:p>
              </w:tc>
              <w:tc>
                <w:tcPr>
                  <w:tcW w:w="1770" w:type="dxa"/>
                  <w:tcBorders>
                    <w:tl2br w:val="nil"/>
                    <w:tr2bl w:val="nil"/>
                  </w:tcBorders>
                  <w:vAlign w:val="center"/>
                </w:tcPr>
                <w:p>
                  <w:pPr>
                    <w:jc w:val="center"/>
                    <w:rPr>
                      <w:color w:val="auto"/>
                      <w:szCs w:val="21"/>
                      <w:highlight w:val="none"/>
                    </w:rPr>
                  </w:pPr>
                  <w:r>
                    <w:rPr>
                      <w:rFonts w:hint="eastAsia"/>
                      <w:color w:val="auto"/>
                      <w:szCs w:val="21"/>
                      <w:highlight w:val="none"/>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861" w:type="dxa"/>
                  <w:tcBorders>
                    <w:tl2br w:val="nil"/>
                    <w:tr2bl w:val="nil"/>
                  </w:tcBorders>
                  <w:vAlign w:val="center"/>
                </w:tcPr>
                <w:p>
                  <w:pPr>
                    <w:adjustRightInd w:val="0"/>
                    <w:snapToGrid w:val="0"/>
                    <w:jc w:val="center"/>
                    <w:rPr>
                      <w:color w:val="auto"/>
                      <w:szCs w:val="21"/>
                      <w:highlight w:val="none"/>
                      <w:shd w:val="clear" w:color="auto" w:fill="FFFFFF"/>
                    </w:rPr>
                  </w:pPr>
                  <w:r>
                    <w:rPr>
                      <w:rFonts w:hint="eastAsia"/>
                      <w:color w:val="auto"/>
                      <w:szCs w:val="21"/>
                      <w:highlight w:val="none"/>
                    </w:rPr>
                    <w:t>6</w:t>
                  </w:r>
                </w:p>
              </w:tc>
              <w:tc>
                <w:tcPr>
                  <w:tcW w:w="2023"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rPr>
                    <w:t>塑粉回收机</w:t>
                  </w:r>
                </w:p>
              </w:tc>
              <w:tc>
                <w:tcPr>
                  <w:tcW w:w="1055" w:type="dxa"/>
                  <w:tcBorders>
                    <w:tl2br w:val="nil"/>
                    <w:tr2bl w:val="nil"/>
                  </w:tcBorders>
                  <w:vAlign w:val="center"/>
                </w:tcPr>
                <w:p>
                  <w:pPr>
                    <w:pStyle w:val="84"/>
                    <w:jc w:val="center"/>
                    <w:rPr>
                      <w:color w:val="auto"/>
                      <w:szCs w:val="21"/>
                      <w:highlight w:val="none"/>
                    </w:rPr>
                  </w:pPr>
                  <w:r>
                    <w:rPr>
                      <w:rFonts w:hint="eastAsia"/>
                      <w:color w:val="auto"/>
                      <w:szCs w:val="21"/>
                      <w:highlight w:val="none"/>
                    </w:rPr>
                    <w:t>1台</w:t>
                  </w:r>
                </w:p>
              </w:tc>
              <w:tc>
                <w:tcPr>
                  <w:tcW w:w="1290" w:type="dxa"/>
                  <w:tcBorders>
                    <w:tl2br w:val="nil"/>
                    <w:tr2bl w:val="nil"/>
                  </w:tcBorders>
                  <w:vAlign w:val="center"/>
                </w:tcPr>
                <w:p>
                  <w:pPr>
                    <w:jc w:val="center"/>
                    <w:rPr>
                      <w:color w:val="auto"/>
                      <w:szCs w:val="21"/>
                      <w:highlight w:val="none"/>
                    </w:rPr>
                  </w:pPr>
                  <w:r>
                    <w:rPr>
                      <w:rFonts w:hint="eastAsia"/>
                      <w:color w:val="auto"/>
                      <w:szCs w:val="21"/>
                      <w:highlight w:val="none"/>
                    </w:rPr>
                    <w:t>75</w:t>
                  </w:r>
                </w:p>
              </w:tc>
              <w:tc>
                <w:tcPr>
                  <w:tcW w:w="1770" w:type="dxa"/>
                  <w:tcBorders>
                    <w:tl2br w:val="nil"/>
                    <w:tr2bl w:val="nil"/>
                  </w:tcBorders>
                  <w:vAlign w:val="center"/>
                </w:tcPr>
                <w:p>
                  <w:pPr>
                    <w:jc w:val="center"/>
                    <w:rPr>
                      <w:color w:val="auto"/>
                      <w:szCs w:val="21"/>
                      <w:highlight w:val="none"/>
                    </w:rPr>
                  </w:pPr>
                  <w:r>
                    <w:rPr>
                      <w:rFonts w:hint="eastAsia"/>
                      <w:color w:val="auto"/>
                      <w:szCs w:val="21"/>
                      <w:highlight w:val="none"/>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861" w:type="dxa"/>
                  <w:tcBorders>
                    <w:tl2br w:val="nil"/>
                    <w:tr2bl w:val="nil"/>
                  </w:tcBorders>
                  <w:vAlign w:val="center"/>
                </w:tcPr>
                <w:p>
                  <w:pPr>
                    <w:adjustRightInd w:val="0"/>
                    <w:snapToGrid w:val="0"/>
                    <w:jc w:val="center"/>
                    <w:rPr>
                      <w:color w:val="auto"/>
                      <w:szCs w:val="21"/>
                      <w:highlight w:val="none"/>
                      <w:shd w:val="clear" w:color="auto" w:fill="FFFFFF"/>
                    </w:rPr>
                  </w:pPr>
                  <w:r>
                    <w:rPr>
                      <w:rFonts w:hint="eastAsia"/>
                      <w:color w:val="auto"/>
                      <w:szCs w:val="21"/>
                      <w:highlight w:val="none"/>
                    </w:rPr>
                    <w:t>7</w:t>
                  </w:r>
                </w:p>
              </w:tc>
              <w:tc>
                <w:tcPr>
                  <w:tcW w:w="2023" w:type="dxa"/>
                  <w:tcBorders>
                    <w:tl2br w:val="nil"/>
                    <w:tr2bl w:val="nil"/>
                  </w:tcBorders>
                  <w:vAlign w:val="center"/>
                </w:tcPr>
                <w:p>
                  <w:pPr>
                    <w:pStyle w:val="84"/>
                    <w:jc w:val="center"/>
                    <w:rPr>
                      <w:color w:val="auto"/>
                      <w:szCs w:val="21"/>
                      <w:highlight w:val="none"/>
                    </w:rPr>
                  </w:pPr>
                  <w:r>
                    <w:rPr>
                      <w:rFonts w:hint="eastAsia"/>
                      <w:color w:val="auto"/>
                      <w:szCs w:val="21"/>
                      <w:highlight w:val="none"/>
                      <w:shd w:val="clear" w:color="auto" w:fill="FFFFFF"/>
                      <w:lang w:val="en-US"/>
                    </w:rPr>
                    <w:t>UV光解活性炭一体化设备</w:t>
                  </w:r>
                </w:p>
              </w:tc>
              <w:tc>
                <w:tcPr>
                  <w:tcW w:w="1055" w:type="dxa"/>
                  <w:tcBorders>
                    <w:tl2br w:val="nil"/>
                    <w:tr2bl w:val="nil"/>
                  </w:tcBorders>
                  <w:vAlign w:val="center"/>
                </w:tcPr>
                <w:p>
                  <w:pPr>
                    <w:pStyle w:val="84"/>
                    <w:jc w:val="center"/>
                    <w:rPr>
                      <w:color w:val="auto"/>
                      <w:szCs w:val="21"/>
                      <w:highlight w:val="none"/>
                    </w:rPr>
                  </w:pPr>
                  <w:r>
                    <w:rPr>
                      <w:rFonts w:hint="eastAsia"/>
                      <w:color w:val="auto"/>
                      <w:szCs w:val="21"/>
                      <w:highlight w:val="none"/>
                    </w:rPr>
                    <w:t>1台</w:t>
                  </w:r>
                </w:p>
              </w:tc>
              <w:tc>
                <w:tcPr>
                  <w:tcW w:w="129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85</w:t>
                  </w:r>
                </w:p>
              </w:tc>
              <w:tc>
                <w:tcPr>
                  <w:tcW w:w="177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861" w:type="dxa"/>
                  <w:tcBorders>
                    <w:tl2br w:val="nil"/>
                    <w:tr2bl w:val="nil"/>
                  </w:tcBorders>
                  <w:vAlign w:val="center"/>
                </w:tcPr>
                <w:p>
                  <w:pPr>
                    <w:adjustRightInd w:val="0"/>
                    <w:snapToGrid w:val="0"/>
                    <w:jc w:val="center"/>
                    <w:rPr>
                      <w:color w:val="auto"/>
                      <w:szCs w:val="21"/>
                      <w:highlight w:val="none"/>
                      <w:shd w:val="clear" w:color="auto" w:fill="FFFFFF"/>
                    </w:rPr>
                  </w:pPr>
                  <w:r>
                    <w:rPr>
                      <w:rFonts w:hint="eastAsia"/>
                      <w:color w:val="auto"/>
                      <w:szCs w:val="21"/>
                      <w:highlight w:val="none"/>
                    </w:rPr>
                    <w:t>8</w:t>
                  </w:r>
                </w:p>
              </w:tc>
              <w:tc>
                <w:tcPr>
                  <w:tcW w:w="2023" w:type="dxa"/>
                  <w:tcBorders>
                    <w:tl2br w:val="nil"/>
                    <w:tr2bl w:val="nil"/>
                  </w:tcBorders>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lang w:val="en-US"/>
                    </w:rPr>
                    <w:t>风机</w:t>
                  </w:r>
                </w:p>
              </w:tc>
              <w:tc>
                <w:tcPr>
                  <w:tcW w:w="1055"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1台</w:t>
                  </w:r>
                </w:p>
              </w:tc>
              <w:tc>
                <w:tcPr>
                  <w:tcW w:w="129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80</w:t>
                  </w:r>
                </w:p>
              </w:tc>
              <w:tc>
                <w:tcPr>
                  <w:tcW w:w="177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861" w:type="dxa"/>
                  <w:tcBorders>
                    <w:tl2br w:val="nil"/>
                    <w:tr2bl w:val="nil"/>
                  </w:tcBorders>
                  <w:vAlign w:val="center"/>
                </w:tcPr>
                <w:p>
                  <w:pPr>
                    <w:adjustRightInd w:val="0"/>
                    <w:snapToGrid w:val="0"/>
                    <w:jc w:val="center"/>
                    <w:rPr>
                      <w:color w:val="auto"/>
                      <w:szCs w:val="21"/>
                      <w:highlight w:val="none"/>
                      <w:shd w:val="clear" w:color="auto" w:fill="FFFFFF"/>
                    </w:rPr>
                  </w:pPr>
                  <w:r>
                    <w:rPr>
                      <w:rFonts w:hint="eastAsia"/>
                      <w:color w:val="auto"/>
                      <w:szCs w:val="21"/>
                      <w:highlight w:val="none"/>
                    </w:rPr>
                    <w:t>9</w:t>
                  </w:r>
                </w:p>
              </w:tc>
              <w:tc>
                <w:tcPr>
                  <w:tcW w:w="2023" w:type="dxa"/>
                  <w:tcBorders>
                    <w:tl2br w:val="nil"/>
                    <w:tr2bl w:val="nil"/>
                  </w:tcBorders>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lang w:val="en-US"/>
                    </w:rPr>
                    <w:t>水帘柜</w:t>
                  </w:r>
                </w:p>
              </w:tc>
              <w:tc>
                <w:tcPr>
                  <w:tcW w:w="1055"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1台</w:t>
                  </w:r>
                </w:p>
              </w:tc>
              <w:tc>
                <w:tcPr>
                  <w:tcW w:w="129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65</w:t>
                  </w:r>
                </w:p>
              </w:tc>
              <w:tc>
                <w:tcPr>
                  <w:tcW w:w="1770" w:type="dxa"/>
                  <w:tcBorders>
                    <w:tl2br w:val="nil"/>
                    <w:tr2bl w:val="nil"/>
                  </w:tcBorders>
                  <w:vAlign w:val="center"/>
                </w:tcPr>
                <w:p>
                  <w:pPr>
                    <w:pStyle w:val="84"/>
                    <w:jc w:val="center"/>
                    <w:rPr>
                      <w:color w:val="auto"/>
                      <w:szCs w:val="21"/>
                      <w:highlight w:val="none"/>
                      <w:lang w:val="en-US"/>
                    </w:rPr>
                  </w:pPr>
                  <w:r>
                    <w:rPr>
                      <w:rFonts w:hint="eastAsia"/>
                      <w:color w:val="auto"/>
                      <w:szCs w:val="21"/>
                      <w:highlight w:val="none"/>
                      <w:lang w:val="en-US"/>
                    </w:rPr>
                    <w:t>55</w:t>
                  </w:r>
                </w:p>
              </w:tc>
            </w:tr>
          </w:tbl>
          <w:p>
            <w:pPr>
              <w:spacing w:line="360" w:lineRule="auto"/>
              <w:rPr>
                <w:rFonts w:eastAsiaTheme="minorEastAsia"/>
                <w:b/>
                <w:color w:val="auto"/>
                <w:sz w:val="24"/>
                <w:highlight w:val="none"/>
              </w:rPr>
            </w:pPr>
            <w:r>
              <w:rPr>
                <w:rFonts w:hint="eastAsia" w:eastAsiaTheme="minorEastAsia"/>
                <w:b/>
                <w:color w:val="auto"/>
                <w:sz w:val="24"/>
                <w:highlight w:val="none"/>
              </w:rPr>
              <w:t>3.2噪声治理措施</w:t>
            </w:r>
          </w:p>
          <w:p>
            <w:pPr>
              <w:autoSpaceDE w:val="0"/>
              <w:autoSpaceDN w:val="0"/>
              <w:adjustRightInd w:val="0"/>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建设单位拟采取以下措施控制噪声排放：</w:t>
            </w:r>
          </w:p>
          <w:p>
            <w:pPr>
              <w:tabs>
                <w:tab w:val="left" w:pos="1700"/>
              </w:tabs>
              <w:spacing w:line="360" w:lineRule="auto"/>
              <w:ind w:firstLine="480" w:firstLineChars="200"/>
              <w:rPr>
                <w:color w:val="auto"/>
                <w:sz w:val="24"/>
                <w:highlight w:val="none"/>
              </w:rPr>
            </w:pPr>
            <w:r>
              <w:rPr>
                <w:rFonts w:hint="eastAsia"/>
                <w:color w:val="auto"/>
                <w:sz w:val="24"/>
                <w:highlight w:val="none"/>
              </w:rPr>
              <w:t>1）合理布局，优化平面平面布置；</w:t>
            </w:r>
          </w:p>
          <w:p>
            <w:pPr>
              <w:tabs>
                <w:tab w:val="left" w:pos="1700"/>
              </w:tabs>
              <w:spacing w:line="360" w:lineRule="auto"/>
              <w:ind w:firstLine="480" w:firstLineChars="200"/>
              <w:rPr>
                <w:color w:val="auto"/>
                <w:sz w:val="24"/>
                <w:highlight w:val="none"/>
              </w:rPr>
            </w:pPr>
            <w:r>
              <w:rPr>
                <w:rFonts w:hint="eastAsia"/>
                <w:color w:val="auto"/>
                <w:sz w:val="24"/>
                <w:highlight w:val="none"/>
              </w:rPr>
              <w:t>2）在设备选型过程中优先选择环保低噪型设备，从源头上削减噪声源；</w:t>
            </w:r>
          </w:p>
          <w:p>
            <w:pPr>
              <w:tabs>
                <w:tab w:val="left" w:pos="1700"/>
              </w:tabs>
              <w:spacing w:line="360" w:lineRule="auto"/>
              <w:ind w:firstLine="480" w:firstLineChars="200"/>
              <w:rPr>
                <w:color w:val="auto"/>
                <w:sz w:val="24"/>
                <w:highlight w:val="none"/>
                <w:lang w:val="en-GB"/>
              </w:rPr>
            </w:pPr>
            <w:r>
              <w:rPr>
                <w:rFonts w:hint="eastAsia"/>
                <w:color w:val="auto"/>
                <w:sz w:val="24"/>
                <w:highlight w:val="none"/>
              </w:rPr>
              <w:t>3</w:t>
            </w:r>
            <w:r>
              <w:rPr>
                <w:rFonts w:hint="eastAsia"/>
                <w:color w:val="auto"/>
                <w:sz w:val="24"/>
                <w:highlight w:val="none"/>
                <w:lang w:val="en-GB"/>
              </w:rPr>
              <w:t>）</w:t>
            </w:r>
            <w:r>
              <w:rPr>
                <w:rFonts w:hint="eastAsia"/>
                <w:color w:val="auto"/>
                <w:sz w:val="24"/>
                <w:highlight w:val="none"/>
              </w:rPr>
              <w:t>运转时产生震动噪声的设备，设备基础做好隔振、减振措施；风机置于专用风机房内，墙板采用隔音材料，并安装减振措施；</w:t>
            </w:r>
          </w:p>
          <w:p>
            <w:pPr>
              <w:tabs>
                <w:tab w:val="left" w:pos="1700"/>
              </w:tabs>
              <w:spacing w:line="360" w:lineRule="auto"/>
              <w:ind w:firstLine="480" w:firstLineChars="200"/>
              <w:rPr>
                <w:color w:val="auto"/>
                <w:sz w:val="24"/>
                <w:highlight w:val="none"/>
                <w:lang w:val="en-GB"/>
              </w:rPr>
            </w:pPr>
            <w:r>
              <w:rPr>
                <w:rFonts w:hint="eastAsia"/>
                <w:color w:val="auto"/>
                <w:sz w:val="24"/>
                <w:highlight w:val="none"/>
              </w:rPr>
              <w:t>4</w:t>
            </w:r>
            <w:r>
              <w:rPr>
                <w:rFonts w:hint="eastAsia"/>
                <w:color w:val="auto"/>
                <w:sz w:val="24"/>
                <w:highlight w:val="none"/>
                <w:lang w:val="en-GB"/>
              </w:rPr>
              <w:t>）加强设备的日常维护、润滑，对老化和性能降低的设备及时进行更换，以降低摩擦，减少噪声强度；</w:t>
            </w:r>
          </w:p>
          <w:p>
            <w:pPr>
              <w:tabs>
                <w:tab w:val="left" w:pos="1700"/>
              </w:tabs>
              <w:spacing w:line="360" w:lineRule="auto"/>
              <w:ind w:firstLine="480" w:firstLineChars="200"/>
              <w:rPr>
                <w:color w:val="auto"/>
                <w:sz w:val="24"/>
                <w:highlight w:val="none"/>
                <w:lang w:val="en-GB"/>
              </w:rPr>
            </w:pPr>
            <w:r>
              <w:rPr>
                <w:rFonts w:hint="eastAsia"/>
                <w:color w:val="auto"/>
                <w:kern w:val="0"/>
                <w:sz w:val="24"/>
                <w:highlight w:val="none"/>
              </w:rPr>
              <w:t>5）加强管理，培养员工环保意识，文明操作，尽量避免在生产及货物装卸过程中产生大的噪声。</w:t>
            </w:r>
          </w:p>
          <w:p>
            <w:pPr>
              <w:spacing w:line="360" w:lineRule="auto"/>
              <w:rPr>
                <w:rFonts w:eastAsiaTheme="minorEastAsia"/>
                <w:b/>
                <w:color w:val="auto"/>
                <w:sz w:val="24"/>
                <w:highlight w:val="none"/>
              </w:rPr>
            </w:pPr>
            <w:r>
              <w:rPr>
                <w:rFonts w:hint="eastAsia" w:eastAsiaTheme="minorEastAsia"/>
                <w:b/>
                <w:color w:val="auto"/>
                <w:sz w:val="24"/>
                <w:highlight w:val="none"/>
              </w:rPr>
              <w:t>3.3噪声达标分析</w:t>
            </w:r>
          </w:p>
          <w:p>
            <w:pPr>
              <w:spacing w:line="360" w:lineRule="auto"/>
              <w:ind w:firstLine="480" w:firstLineChars="200"/>
              <w:rPr>
                <w:color w:val="auto"/>
                <w:sz w:val="24"/>
                <w:highlight w:val="none"/>
              </w:rPr>
            </w:pPr>
            <w:r>
              <w:rPr>
                <w:rFonts w:hint="eastAsia"/>
                <w:color w:val="auto"/>
                <w:sz w:val="24"/>
                <w:highlight w:val="none"/>
              </w:rPr>
              <w:t>根据《环境影响评价技术导则―声环境》（HJ2.4-2021）中推荐工业噪声预测计算模式进行预测，考虑遮挡物、空气吸收衰减、地面附加衰减，对某些难以定量的参数，查相关资料进行估算。一般地，进行环境噪声预测时所使用的工业噪声源都可按点源处理。</w:t>
            </w:r>
          </w:p>
          <w:p>
            <w:pPr>
              <w:spacing w:line="360" w:lineRule="auto"/>
              <w:rPr>
                <w:color w:val="auto"/>
                <w:sz w:val="24"/>
                <w:highlight w:val="none"/>
              </w:rPr>
            </w:pPr>
            <w:r>
              <w:rPr>
                <w:rFonts w:hint="eastAsia"/>
                <w:color w:val="auto"/>
                <w:sz w:val="24"/>
                <w:highlight w:val="none"/>
              </w:rPr>
              <w:t>计算某个声源在预测点的声压级，计算公式如下：</w:t>
            </w:r>
          </w:p>
          <w:p>
            <w:pPr>
              <w:spacing w:line="360" w:lineRule="auto"/>
              <w:jc w:val="center"/>
              <w:rPr>
                <w:color w:val="auto"/>
                <w:sz w:val="24"/>
                <w:highlight w:val="none"/>
              </w:rPr>
            </w:pPr>
            <w:r>
              <w:rPr>
                <w:rFonts w:hint="eastAsia"/>
                <w:color w:val="auto"/>
                <w:sz w:val="24"/>
                <w:highlight w:val="none"/>
              </w:rPr>
              <w:t>LA（r）= LA（r0）-20lg（r/r0）</w:t>
            </w:r>
          </w:p>
          <w:p>
            <w:pPr>
              <w:spacing w:line="360" w:lineRule="auto"/>
              <w:rPr>
                <w:color w:val="auto"/>
                <w:sz w:val="24"/>
                <w:highlight w:val="none"/>
              </w:rPr>
            </w:pPr>
            <w:r>
              <w:rPr>
                <w:rFonts w:hint="eastAsia"/>
                <w:color w:val="auto"/>
                <w:sz w:val="24"/>
                <w:highlight w:val="none"/>
              </w:rPr>
              <w:t>式中：LA（r）——距离声源 r 处的 A 声级 ；</w:t>
            </w:r>
          </w:p>
          <w:p>
            <w:pPr>
              <w:spacing w:line="360" w:lineRule="auto"/>
              <w:rPr>
                <w:color w:val="auto"/>
                <w:sz w:val="24"/>
                <w:highlight w:val="none"/>
              </w:rPr>
            </w:pPr>
            <w:r>
              <w:rPr>
                <w:rFonts w:hint="eastAsia"/>
                <w:color w:val="auto"/>
                <w:sz w:val="24"/>
                <w:highlight w:val="none"/>
              </w:rPr>
              <w:t>LA（r0）——参考位置r0处的 A 声级 ；</w:t>
            </w:r>
          </w:p>
          <w:p>
            <w:pPr>
              <w:spacing w:line="360" w:lineRule="auto"/>
              <w:rPr>
                <w:color w:val="auto"/>
                <w:sz w:val="24"/>
                <w:highlight w:val="none"/>
              </w:rPr>
            </w:pPr>
            <w:r>
              <w:rPr>
                <w:rFonts w:hint="eastAsia"/>
                <w:color w:val="auto"/>
                <w:sz w:val="24"/>
                <w:highlight w:val="none"/>
              </w:rPr>
              <w:t>r——预测点距声源的位置，m；</w:t>
            </w:r>
          </w:p>
          <w:p>
            <w:pPr>
              <w:spacing w:line="360" w:lineRule="auto"/>
              <w:rPr>
                <w:color w:val="auto"/>
                <w:sz w:val="24"/>
                <w:highlight w:val="none"/>
              </w:rPr>
            </w:pPr>
            <w:r>
              <w:rPr>
                <w:rFonts w:hint="eastAsia"/>
                <w:color w:val="auto"/>
                <w:sz w:val="24"/>
                <w:highlight w:val="none"/>
              </w:rPr>
              <w:t>r0——参考位置距声源的位置，m；</w:t>
            </w:r>
          </w:p>
          <w:p>
            <w:pPr>
              <w:spacing w:line="360" w:lineRule="auto"/>
              <w:rPr>
                <w:color w:val="auto"/>
                <w:sz w:val="24"/>
                <w:highlight w:val="none"/>
              </w:rPr>
            </w:pPr>
            <w:r>
              <w:rPr>
                <w:color w:val="auto"/>
                <w:sz w:val="24"/>
                <w:highlight w:val="none"/>
              </w:rPr>
              <w:t>（3）噪声叠加公式：</w:t>
            </w:r>
          </w:p>
          <w:p>
            <w:pPr>
              <w:spacing w:line="360" w:lineRule="auto"/>
              <w:rPr>
                <w:color w:val="auto"/>
                <w:sz w:val="24"/>
                <w:highlight w:val="none"/>
              </w:rPr>
            </w:pPr>
            <w:r>
              <w:rPr>
                <w:color w:val="auto"/>
                <w:sz w:val="24"/>
                <w:highlight w:val="none"/>
              </w:rPr>
              <w:t>不同的噪声源共同作用于某个预测点，该预测点噪声值为各声源传播到预测点声级的叠加后的总等效声级Leq，计算公式如下：</w:t>
            </w:r>
          </w:p>
          <w:p>
            <w:pPr>
              <w:spacing w:line="360" w:lineRule="auto"/>
              <w:jc w:val="center"/>
              <w:rPr>
                <w:color w:val="auto"/>
                <w:sz w:val="24"/>
                <w:highlight w:val="none"/>
              </w:rPr>
            </w:pPr>
            <w:r>
              <w:rPr>
                <w:color w:val="auto"/>
                <w:sz w:val="24"/>
                <w:highlight w:val="none"/>
              </w:rPr>
              <w:object>
                <v:shape id="_x0000_i1027" o:spt="75" type="#_x0000_t75" style="height:37.75pt;width:124.4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p>
            <w:pPr>
              <w:spacing w:line="360" w:lineRule="auto"/>
              <w:rPr>
                <w:color w:val="auto"/>
                <w:kern w:val="1"/>
                <w:sz w:val="24"/>
                <w:highlight w:val="none"/>
              </w:rPr>
            </w:pPr>
            <w:r>
              <w:rPr>
                <w:color w:val="auto"/>
                <w:sz w:val="24"/>
                <w:highlight w:val="none"/>
              </w:rPr>
              <w:t>式中：Leqi——第i个声源对某预测点的等效声级。</w:t>
            </w:r>
          </w:p>
          <w:p>
            <w:pPr>
              <w:spacing w:line="360" w:lineRule="auto"/>
              <w:ind w:firstLine="480"/>
              <w:rPr>
                <w:color w:val="auto"/>
                <w:kern w:val="1"/>
                <w:sz w:val="24"/>
                <w:highlight w:val="none"/>
              </w:rPr>
            </w:pPr>
            <w:r>
              <w:rPr>
                <w:color w:val="auto"/>
                <w:kern w:val="1"/>
                <w:sz w:val="24"/>
                <w:highlight w:val="none"/>
              </w:rPr>
              <w:t>本次预测主要是针对各声源对厂界贡献值进行预测，预测结果见下表。</w:t>
            </w:r>
          </w:p>
          <w:p>
            <w:pPr>
              <w:pStyle w:val="10"/>
              <w:jc w:val="center"/>
              <w:rPr>
                <w:rFonts w:ascii="Times New Roman" w:hAnsi="Times New Roman"/>
                <w:b/>
                <w:color w:val="auto"/>
                <w:sz w:val="21"/>
                <w:szCs w:val="21"/>
                <w:highlight w:val="none"/>
              </w:rPr>
            </w:pPr>
            <w:r>
              <w:rPr>
                <w:rFonts w:ascii="Times New Roman" w:hAnsi="Times New Roman"/>
                <w:b/>
                <w:color w:val="auto"/>
                <w:sz w:val="21"/>
                <w:szCs w:val="21"/>
                <w:highlight w:val="none"/>
              </w:rPr>
              <w:t>表</w:t>
            </w:r>
            <w:r>
              <w:rPr>
                <w:rFonts w:hint="eastAsia" w:ascii="Times New Roman" w:hAnsi="Times New Roman"/>
                <w:b/>
                <w:color w:val="auto"/>
                <w:sz w:val="21"/>
                <w:szCs w:val="21"/>
                <w:highlight w:val="none"/>
              </w:rPr>
              <w:t>4-6</w:t>
            </w:r>
            <w:r>
              <w:rPr>
                <w:rFonts w:ascii="Times New Roman" w:hAnsi="Times New Roman"/>
                <w:b/>
                <w:color w:val="auto"/>
                <w:sz w:val="21"/>
                <w:szCs w:val="21"/>
                <w:highlight w:val="none"/>
              </w:rPr>
              <w:t xml:space="preserve"> </w:t>
            </w:r>
            <w:r>
              <w:rPr>
                <w:rFonts w:hint="eastAsia" w:ascii="Times New Roman" w:hAnsi="Times New Roman"/>
                <w:b/>
                <w:color w:val="auto"/>
                <w:sz w:val="21"/>
                <w:szCs w:val="21"/>
                <w:highlight w:val="none"/>
              </w:rPr>
              <w:t xml:space="preserve"> </w:t>
            </w:r>
            <w:r>
              <w:rPr>
                <w:rFonts w:ascii="Times New Roman" w:hAnsi="Times New Roman"/>
                <w:b/>
                <w:color w:val="auto"/>
                <w:sz w:val="21"/>
                <w:szCs w:val="21"/>
                <w:highlight w:val="none"/>
              </w:rPr>
              <w:t>项目噪声设备距四面厂界</w:t>
            </w:r>
            <w:r>
              <w:rPr>
                <w:rFonts w:hint="eastAsia" w:ascii="Times New Roman" w:hAnsi="Times New Roman"/>
                <w:b/>
                <w:color w:val="auto"/>
                <w:sz w:val="21"/>
                <w:szCs w:val="21"/>
                <w:highlight w:val="none"/>
              </w:rPr>
              <w:t>及敏感点</w:t>
            </w:r>
            <w:r>
              <w:rPr>
                <w:rFonts w:ascii="Times New Roman" w:hAnsi="Times New Roman"/>
                <w:b/>
                <w:color w:val="auto"/>
                <w:sz w:val="21"/>
                <w:szCs w:val="21"/>
                <w:highlight w:val="none"/>
              </w:rPr>
              <w:t>距离一览表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0"/>
              <w:gridCol w:w="1710"/>
              <w:gridCol w:w="844"/>
              <w:gridCol w:w="865"/>
              <w:gridCol w:w="984"/>
              <w:gridCol w:w="1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490" w:type="dxa"/>
                  <w:vAlign w:val="center"/>
                </w:tcPr>
                <w:p>
                  <w:pPr>
                    <w:adjustRightInd w:val="0"/>
                    <w:snapToGrid w:val="0"/>
                    <w:jc w:val="center"/>
                    <w:rPr>
                      <w:color w:val="auto"/>
                      <w:szCs w:val="21"/>
                      <w:highlight w:val="none"/>
                    </w:rPr>
                  </w:pPr>
                  <w:r>
                    <w:rPr>
                      <w:color w:val="auto"/>
                      <w:szCs w:val="21"/>
                      <w:highlight w:val="none"/>
                    </w:rPr>
                    <w:t>序号</w:t>
                  </w:r>
                </w:p>
              </w:tc>
              <w:tc>
                <w:tcPr>
                  <w:tcW w:w="1710" w:type="dxa"/>
                  <w:vAlign w:val="center"/>
                </w:tcPr>
                <w:p>
                  <w:pPr>
                    <w:adjustRightInd w:val="0"/>
                    <w:snapToGrid w:val="0"/>
                    <w:jc w:val="center"/>
                    <w:rPr>
                      <w:color w:val="auto"/>
                      <w:szCs w:val="21"/>
                      <w:highlight w:val="none"/>
                    </w:rPr>
                  </w:pPr>
                  <w:r>
                    <w:rPr>
                      <w:color w:val="auto"/>
                      <w:szCs w:val="21"/>
                      <w:highlight w:val="none"/>
                    </w:rPr>
                    <w:t>生产设备</w:t>
                  </w:r>
                </w:p>
              </w:tc>
              <w:tc>
                <w:tcPr>
                  <w:tcW w:w="844" w:type="dxa"/>
                  <w:vAlign w:val="center"/>
                </w:tcPr>
                <w:p>
                  <w:pPr>
                    <w:adjustRightInd w:val="0"/>
                    <w:snapToGrid w:val="0"/>
                    <w:jc w:val="center"/>
                    <w:rPr>
                      <w:color w:val="auto"/>
                      <w:szCs w:val="21"/>
                      <w:highlight w:val="none"/>
                    </w:rPr>
                  </w:pPr>
                  <w:r>
                    <w:rPr>
                      <w:color w:val="auto"/>
                      <w:szCs w:val="21"/>
                      <w:highlight w:val="none"/>
                    </w:rPr>
                    <w:t>东厂界</w:t>
                  </w:r>
                </w:p>
              </w:tc>
              <w:tc>
                <w:tcPr>
                  <w:tcW w:w="865" w:type="dxa"/>
                  <w:vAlign w:val="center"/>
                </w:tcPr>
                <w:p>
                  <w:pPr>
                    <w:adjustRightInd w:val="0"/>
                    <w:snapToGrid w:val="0"/>
                    <w:jc w:val="center"/>
                    <w:rPr>
                      <w:color w:val="auto"/>
                      <w:szCs w:val="21"/>
                      <w:highlight w:val="none"/>
                    </w:rPr>
                  </w:pPr>
                  <w:r>
                    <w:rPr>
                      <w:color w:val="auto"/>
                      <w:szCs w:val="21"/>
                      <w:highlight w:val="none"/>
                    </w:rPr>
                    <w:t>南厂界</w:t>
                  </w:r>
                </w:p>
              </w:tc>
              <w:tc>
                <w:tcPr>
                  <w:tcW w:w="984" w:type="dxa"/>
                  <w:vAlign w:val="center"/>
                </w:tcPr>
                <w:p>
                  <w:pPr>
                    <w:adjustRightInd w:val="0"/>
                    <w:snapToGrid w:val="0"/>
                    <w:jc w:val="center"/>
                    <w:rPr>
                      <w:color w:val="auto"/>
                      <w:szCs w:val="21"/>
                      <w:highlight w:val="none"/>
                    </w:rPr>
                  </w:pPr>
                  <w:r>
                    <w:rPr>
                      <w:color w:val="auto"/>
                      <w:szCs w:val="21"/>
                      <w:highlight w:val="none"/>
                    </w:rPr>
                    <w:t>西厂界</w:t>
                  </w:r>
                </w:p>
              </w:tc>
              <w:tc>
                <w:tcPr>
                  <w:tcW w:w="1001" w:type="dxa"/>
                  <w:vAlign w:val="center"/>
                </w:tcPr>
                <w:p>
                  <w:pPr>
                    <w:adjustRightInd w:val="0"/>
                    <w:snapToGrid w:val="0"/>
                    <w:jc w:val="center"/>
                    <w:rPr>
                      <w:color w:val="auto"/>
                      <w:szCs w:val="21"/>
                      <w:highlight w:val="none"/>
                    </w:rPr>
                  </w:pPr>
                  <w:r>
                    <w:rPr>
                      <w:color w:val="auto"/>
                      <w:szCs w:val="21"/>
                      <w:highlight w:val="none"/>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90" w:type="dxa"/>
                  <w:vAlign w:val="center"/>
                </w:tcPr>
                <w:p>
                  <w:pPr>
                    <w:adjustRightInd w:val="0"/>
                    <w:snapToGrid w:val="0"/>
                    <w:jc w:val="center"/>
                    <w:rPr>
                      <w:color w:val="auto"/>
                      <w:szCs w:val="21"/>
                      <w:highlight w:val="none"/>
                    </w:rPr>
                  </w:pPr>
                  <w:r>
                    <w:rPr>
                      <w:color w:val="auto"/>
                      <w:szCs w:val="21"/>
                      <w:highlight w:val="none"/>
                    </w:rPr>
                    <w:t>1</w:t>
                  </w:r>
                </w:p>
              </w:tc>
              <w:tc>
                <w:tcPr>
                  <w:tcW w:w="1710" w:type="dxa"/>
                  <w:vAlign w:val="center"/>
                </w:tcPr>
                <w:p>
                  <w:pPr>
                    <w:pStyle w:val="84"/>
                    <w:jc w:val="center"/>
                    <w:rPr>
                      <w:color w:val="auto"/>
                      <w:szCs w:val="21"/>
                      <w:highlight w:val="none"/>
                    </w:rPr>
                  </w:pPr>
                  <w:r>
                    <w:rPr>
                      <w:rFonts w:hint="eastAsia"/>
                      <w:color w:val="auto"/>
                      <w:szCs w:val="21"/>
                      <w:highlight w:val="none"/>
                      <w:shd w:val="clear" w:color="auto" w:fill="FFFFFF"/>
                    </w:rPr>
                    <w:t>激光切割机</w:t>
                  </w:r>
                </w:p>
              </w:tc>
              <w:tc>
                <w:tcPr>
                  <w:tcW w:w="844" w:type="dxa"/>
                  <w:vAlign w:val="center"/>
                </w:tcPr>
                <w:p>
                  <w:pPr>
                    <w:pStyle w:val="55"/>
                    <w:spacing w:line="240" w:lineRule="auto"/>
                    <w:ind w:firstLine="0"/>
                    <w:jc w:val="center"/>
                    <w:rPr>
                      <w:rFonts w:eastAsia="宋体"/>
                      <w:color w:val="auto"/>
                      <w:sz w:val="21"/>
                      <w:szCs w:val="21"/>
                      <w:highlight w:val="none"/>
                    </w:rPr>
                  </w:pPr>
                  <w:r>
                    <w:rPr>
                      <w:rFonts w:hint="eastAsia" w:eastAsia="宋体"/>
                      <w:color w:val="auto"/>
                      <w:sz w:val="21"/>
                      <w:szCs w:val="21"/>
                      <w:highlight w:val="none"/>
                    </w:rPr>
                    <w:t>11</w:t>
                  </w:r>
                </w:p>
              </w:tc>
              <w:tc>
                <w:tcPr>
                  <w:tcW w:w="865" w:type="dxa"/>
                  <w:vAlign w:val="center"/>
                </w:tcPr>
                <w:p>
                  <w:pPr>
                    <w:pStyle w:val="55"/>
                    <w:spacing w:line="240" w:lineRule="auto"/>
                    <w:ind w:firstLine="0"/>
                    <w:jc w:val="center"/>
                    <w:rPr>
                      <w:rFonts w:eastAsia="宋体"/>
                      <w:color w:val="auto"/>
                      <w:sz w:val="21"/>
                      <w:szCs w:val="21"/>
                      <w:highlight w:val="none"/>
                    </w:rPr>
                  </w:pPr>
                  <w:r>
                    <w:rPr>
                      <w:rFonts w:hint="eastAsia" w:eastAsia="宋体"/>
                      <w:color w:val="auto"/>
                      <w:sz w:val="21"/>
                      <w:szCs w:val="21"/>
                      <w:highlight w:val="none"/>
                    </w:rPr>
                    <w:t>20</w:t>
                  </w:r>
                </w:p>
              </w:tc>
              <w:tc>
                <w:tcPr>
                  <w:tcW w:w="984" w:type="dxa"/>
                  <w:vAlign w:val="center"/>
                </w:tcPr>
                <w:p>
                  <w:pPr>
                    <w:pStyle w:val="55"/>
                    <w:spacing w:line="240" w:lineRule="auto"/>
                    <w:ind w:firstLine="0"/>
                    <w:jc w:val="center"/>
                    <w:rPr>
                      <w:rFonts w:eastAsia="宋体"/>
                      <w:color w:val="auto"/>
                      <w:sz w:val="21"/>
                      <w:szCs w:val="21"/>
                      <w:highlight w:val="none"/>
                    </w:rPr>
                  </w:pPr>
                  <w:r>
                    <w:rPr>
                      <w:rFonts w:hint="eastAsia" w:eastAsia="宋体"/>
                      <w:color w:val="auto"/>
                      <w:sz w:val="21"/>
                      <w:szCs w:val="21"/>
                      <w:highlight w:val="none"/>
                    </w:rPr>
                    <w:t>26</w:t>
                  </w:r>
                </w:p>
              </w:tc>
              <w:tc>
                <w:tcPr>
                  <w:tcW w:w="1001" w:type="dxa"/>
                  <w:vAlign w:val="center"/>
                </w:tcPr>
                <w:p>
                  <w:pPr>
                    <w:adjustRightInd w:val="0"/>
                    <w:snapToGrid w:val="0"/>
                    <w:jc w:val="center"/>
                    <w:rPr>
                      <w:color w:val="auto"/>
                      <w:szCs w:val="21"/>
                      <w:highlight w:val="none"/>
                    </w:rPr>
                  </w:pPr>
                  <w:r>
                    <w:rPr>
                      <w:rFonts w:hint="eastAsia"/>
                      <w:color w:val="auto"/>
                      <w:szCs w:val="21"/>
                      <w:highlight w:val="none"/>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90" w:type="dxa"/>
                  <w:vAlign w:val="center"/>
                </w:tcPr>
                <w:p>
                  <w:pPr>
                    <w:adjustRightInd w:val="0"/>
                    <w:snapToGrid w:val="0"/>
                    <w:jc w:val="center"/>
                    <w:rPr>
                      <w:color w:val="auto"/>
                      <w:szCs w:val="21"/>
                      <w:highlight w:val="none"/>
                    </w:rPr>
                  </w:pPr>
                  <w:r>
                    <w:rPr>
                      <w:color w:val="auto"/>
                      <w:szCs w:val="21"/>
                      <w:highlight w:val="none"/>
                    </w:rPr>
                    <w:t>2</w:t>
                  </w:r>
                </w:p>
              </w:tc>
              <w:tc>
                <w:tcPr>
                  <w:tcW w:w="1710" w:type="dxa"/>
                  <w:vAlign w:val="center"/>
                </w:tcPr>
                <w:p>
                  <w:pPr>
                    <w:pStyle w:val="84"/>
                    <w:jc w:val="center"/>
                    <w:rPr>
                      <w:color w:val="auto"/>
                      <w:szCs w:val="21"/>
                      <w:highlight w:val="none"/>
                    </w:rPr>
                  </w:pPr>
                  <w:r>
                    <w:rPr>
                      <w:rFonts w:hint="eastAsia"/>
                      <w:color w:val="auto"/>
                      <w:szCs w:val="21"/>
                      <w:highlight w:val="none"/>
                      <w:shd w:val="clear" w:color="auto" w:fill="FFFFFF"/>
                    </w:rPr>
                    <w:t>焊机</w:t>
                  </w:r>
                </w:p>
              </w:tc>
              <w:tc>
                <w:tcPr>
                  <w:tcW w:w="844" w:type="dxa"/>
                  <w:vAlign w:val="center"/>
                </w:tcPr>
                <w:p>
                  <w:pPr>
                    <w:pStyle w:val="55"/>
                    <w:spacing w:line="240" w:lineRule="auto"/>
                    <w:ind w:firstLine="0"/>
                    <w:jc w:val="center"/>
                    <w:rPr>
                      <w:rFonts w:eastAsia="宋体"/>
                      <w:color w:val="auto"/>
                      <w:sz w:val="21"/>
                      <w:szCs w:val="21"/>
                      <w:highlight w:val="none"/>
                    </w:rPr>
                  </w:pPr>
                  <w:r>
                    <w:rPr>
                      <w:rFonts w:hint="eastAsia" w:eastAsia="宋体"/>
                      <w:color w:val="auto"/>
                      <w:sz w:val="21"/>
                      <w:szCs w:val="21"/>
                      <w:highlight w:val="none"/>
                    </w:rPr>
                    <w:t>17</w:t>
                  </w:r>
                </w:p>
              </w:tc>
              <w:tc>
                <w:tcPr>
                  <w:tcW w:w="865" w:type="dxa"/>
                  <w:vAlign w:val="center"/>
                </w:tcPr>
                <w:p>
                  <w:pPr>
                    <w:pStyle w:val="55"/>
                    <w:spacing w:line="240" w:lineRule="auto"/>
                    <w:ind w:firstLine="0"/>
                    <w:jc w:val="center"/>
                    <w:rPr>
                      <w:rFonts w:eastAsia="宋体"/>
                      <w:color w:val="auto"/>
                      <w:sz w:val="21"/>
                      <w:szCs w:val="21"/>
                      <w:highlight w:val="none"/>
                    </w:rPr>
                  </w:pPr>
                  <w:r>
                    <w:rPr>
                      <w:rFonts w:hint="eastAsia" w:eastAsia="宋体"/>
                      <w:color w:val="auto"/>
                      <w:sz w:val="21"/>
                      <w:szCs w:val="21"/>
                      <w:highlight w:val="none"/>
                    </w:rPr>
                    <w:t>39</w:t>
                  </w:r>
                </w:p>
              </w:tc>
              <w:tc>
                <w:tcPr>
                  <w:tcW w:w="984" w:type="dxa"/>
                  <w:vAlign w:val="center"/>
                </w:tcPr>
                <w:p>
                  <w:pPr>
                    <w:pStyle w:val="55"/>
                    <w:spacing w:line="240" w:lineRule="auto"/>
                    <w:ind w:firstLine="0"/>
                    <w:jc w:val="center"/>
                    <w:rPr>
                      <w:rFonts w:eastAsia="宋体"/>
                      <w:color w:val="auto"/>
                      <w:sz w:val="21"/>
                      <w:szCs w:val="21"/>
                      <w:highlight w:val="none"/>
                    </w:rPr>
                  </w:pPr>
                  <w:r>
                    <w:rPr>
                      <w:rFonts w:hint="eastAsia" w:eastAsia="宋体"/>
                      <w:color w:val="auto"/>
                      <w:sz w:val="21"/>
                      <w:szCs w:val="21"/>
                      <w:highlight w:val="none"/>
                    </w:rPr>
                    <w:t>25</w:t>
                  </w:r>
                </w:p>
              </w:tc>
              <w:tc>
                <w:tcPr>
                  <w:tcW w:w="1001" w:type="dxa"/>
                  <w:vAlign w:val="center"/>
                </w:tcPr>
                <w:p>
                  <w:pPr>
                    <w:adjustRightInd w:val="0"/>
                    <w:snapToGrid w:val="0"/>
                    <w:jc w:val="center"/>
                    <w:rPr>
                      <w:color w:val="auto"/>
                      <w:szCs w:val="21"/>
                      <w:highlight w:val="none"/>
                    </w:rPr>
                  </w:pPr>
                  <w:r>
                    <w:rPr>
                      <w:rFonts w:hint="eastAsia"/>
                      <w:color w:val="auto"/>
                      <w:szCs w:val="21"/>
                      <w:highlight w:val="none"/>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90" w:type="dxa"/>
                  <w:vAlign w:val="center"/>
                </w:tcPr>
                <w:p>
                  <w:pPr>
                    <w:adjustRightInd w:val="0"/>
                    <w:snapToGrid w:val="0"/>
                    <w:jc w:val="center"/>
                    <w:rPr>
                      <w:color w:val="auto"/>
                      <w:szCs w:val="21"/>
                      <w:highlight w:val="none"/>
                    </w:rPr>
                  </w:pPr>
                  <w:r>
                    <w:rPr>
                      <w:color w:val="auto"/>
                      <w:szCs w:val="21"/>
                      <w:highlight w:val="none"/>
                    </w:rPr>
                    <w:t>3</w:t>
                  </w:r>
                </w:p>
              </w:tc>
              <w:tc>
                <w:tcPr>
                  <w:tcW w:w="1710" w:type="dxa"/>
                  <w:vAlign w:val="center"/>
                </w:tcPr>
                <w:p>
                  <w:pPr>
                    <w:pStyle w:val="84"/>
                    <w:jc w:val="center"/>
                    <w:rPr>
                      <w:color w:val="auto"/>
                      <w:szCs w:val="21"/>
                      <w:highlight w:val="none"/>
                    </w:rPr>
                  </w:pPr>
                  <w:r>
                    <w:rPr>
                      <w:rFonts w:hint="eastAsia"/>
                      <w:color w:val="auto"/>
                      <w:szCs w:val="21"/>
                      <w:highlight w:val="none"/>
                      <w:shd w:val="clear" w:color="auto" w:fill="FFFFFF"/>
                    </w:rPr>
                    <w:t>雕刻机</w:t>
                  </w:r>
                </w:p>
              </w:tc>
              <w:tc>
                <w:tcPr>
                  <w:tcW w:w="844" w:type="dxa"/>
                  <w:vAlign w:val="center"/>
                </w:tcPr>
                <w:p>
                  <w:pPr>
                    <w:adjustRightInd w:val="0"/>
                    <w:snapToGrid w:val="0"/>
                    <w:jc w:val="center"/>
                    <w:rPr>
                      <w:color w:val="auto"/>
                      <w:szCs w:val="21"/>
                      <w:highlight w:val="none"/>
                    </w:rPr>
                  </w:pPr>
                  <w:r>
                    <w:rPr>
                      <w:rFonts w:hint="eastAsia"/>
                      <w:color w:val="auto"/>
                      <w:szCs w:val="21"/>
                      <w:highlight w:val="none"/>
                    </w:rPr>
                    <w:t>10</w:t>
                  </w:r>
                </w:p>
              </w:tc>
              <w:tc>
                <w:tcPr>
                  <w:tcW w:w="865" w:type="dxa"/>
                  <w:vAlign w:val="center"/>
                </w:tcPr>
                <w:p>
                  <w:pPr>
                    <w:adjustRightInd w:val="0"/>
                    <w:snapToGrid w:val="0"/>
                    <w:jc w:val="center"/>
                    <w:rPr>
                      <w:color w:val="auto"/>
                      <w:szCs w:val="21"/>
                      <w:highlight w:val="none"/>
                    </w:rPr>
                  </w:pPr>
                  <w:r>
                    <w:rPr>
                      <w:rFonts w:hint="eastAsia"/>
                      <w:color w:val="auto"/>
                      <w:szCs w:val="21"/>
                      <w:highlight w:val="none"/>
                    </w:rPr>
                    <w:t>28</w:t>
                  </w:r>
                </w:p>
              </w:tc>
              <w:tc>
                <w:tcPr>
                  <w:tcW w:w="984" w:type="dxa"/>
                  <w:vAlign w:val="center"/>
                </w:tcPr>
                <w:p>
                  <w:pPr>
                    <w:adjustRightInd w:val="0"/>
                    <w:snapToGrid w:val="0"/>
                    <w:jc w:val="center"/>
                    <w:rPr>
                      <w:color w:val="auto"/>
                      <w:szCs w:val="21"/>
                      <w:highlight w:val="none"/>
                    </w:rPr>
                  </w:pPr>
                  <w:r>
                    <w:rPr>
                      <w:rFonts w:hint="eastAsia"/>
                      <w:color w:val="auto"/>
                      <w:szCs w:val="21"/>
                      <w:highlight w:val="none"/>
                    </w:rPr>
                    <w:t>26</w:t>
                  </w:r>
                </w:p>
              </w:tc>
              <w:tc>
                <w:tcPr>
                  <w:tcW w:w="1001" w:type="dxa"/>
                  <w:vAlign w:val="center"/>
                </w:tcPr>
                <w:p>
                  <w:pPr>
                    <w:adjustRightInd w:val="0"/>
                    <w:snapToGrid w:val="0"/>
                    <w:jc w:val="center"/>
                    <w:rPr>
                      <w:color w:val="auto"/>
                      <w:szCs w:val="21"/>
                      <w:highlight w:val="none"/>
                    </w:rPr>
                  </w:pPr>
                  <w:r>
                    <w:rPr>
                      <w:rFonts w:hint="eastAsia"/>
                      <w:color w:val="auto"/>
                      <w:szCs w:val="21"/>
                      <w:highlight w:val="none"/>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90" w:type="dxa"/>
                  <w:vAlign w:val="center"/>
                </w:tcPr>
                <w:p>
                  <w:pPr>
                    <w:adjustRightInd w:val="0"/>
                    <w:snapToGrid w:val="0"/>
                    <w:jc w:val="center"/>
                    <w:rPr>
                      <w:color w:val="auto"/>
                      <w:szCs w:val="21"/>
                      <w:highlight w:val="none"/>
                    </w:rPr>
                  </w:pPr>
                  <w:r>
                    <w:rPr>
                      <w:rFonts w:hint="eastAsia"/>
                      <w:color w:val="auto"/>
                      <w:szCs w:val="21"/>
                      <w:highlight w:val="none"/>
                    </w:rPr>
                    <w:t>4</w:t>
                  </w:r>
                </w:p>
              </w:tc>
              <w:tc>
                <w:tcPr>
                  <w:tcW w:w="1710" w:type="dxa"/>
                  <w:vAlign w:val="center"/>
                </w:tcPr>
                <w:p>
                  <w:pPr>
                    <w:pStyle w:val="84"/>
                    <w:jc w:val="center"/>
                    <w:rPr>
                      <w:color w:val="auto"/>
                      <w:szCs w:val="21"/>
                      <w:highlight w:val="none"/>
                    </w:rPr>
                  </w:pPr>
                  <w:r>
                    <w:rPr>
                      <w:rFonts w:hint="eastAsia"/>
                      <w:color w:val="auto"/>
                      <w:szCs w:val="21"/>
                      <w:highlight w:val="none"/>
                      <w:shd w:val="clear" w:color="auto" w:fill="FFFFFF"/>
                    </w:rPr>
                    <w:t>广告扣扳机</w:t>
                  </w:r>
                </w:p>
              </w:tc>
              <w:tc>
                <w:tcPr>
                  <w:tcW w:w="844" w:type="dxa"/>
                  <w:vAlign w:val="center"/>
                </w:tcPr>
                <w:p>
                  <w:pPr>
                    <w:adjustRightInd w:val="0"/>
                    <w:snapToGrid w:val="0"/>
                    <w:jc w:val="center"/>
                    <w:rPr>
                      <w:color w:val="auto"/>
                      <w:szCs w:val="21"/>
                      <w:highlight w:val="none"/>
                    </w:rPr>
                  </w:pPr>
                  <w:r>
                    <w:rPr>
                      <w:rFonts w:hint="eastAsia"/>
                      <w:color w:val="auto"/>
                      <w:szCs w:val="21"/>
                      <w:highlight w:val="none"/>
                    </w:rPr>
                    <w:t>20</w:t>
                  </w:r>
                </w:p>
              </w:tc>
              <w:tc>
                <w:tcPr>
                  <w:tcW w:w="865" w:type="dxa"/>
                  <w:vAlign w:val="center"/>
                </w:tcPr>
                <w:p>
                  <w:pPr>
                    <w:adjustRightInd w:val="0"/>
                    <w:snapToGrid w:val="0"/>
                    <w:jc w:val="center"/>
                    <w:rPr>
                      <w:color w:val="auto"/>
                      <w:szCs w:val="21"/>
                      <w:highlight w:val="none"/>
                    </w:rPr>
                  </w:pPr>
                  <w:r>
                    <w:rPr>
                      <w:rFonts w:hint="eastAsia"/>
                      <w:color w:val="auto"/>
                      <w:szCs w:val="21"/>
                      <w:highlight w:val="none"/>
                    </w:rPr>
                    <w:t>47</w:t>
                  </w:r>
                </w:p>
              </w:tc>
              <w:tc>
                <w:tcPr>
                  <w:tcW w:w="984" w:type="dxa"/>
                  <w:vAlign w:val="center"/>
                </w:tcPr>
                <w:p>
                  <w:pPr>
                    <w:adjustRightInd w:val="0"/>
                    <w:snapToGrid w:val="0"/>
                    <w:jc w:val="center"/>
                    <w:rPr>
                      <w:color w:val="auto"/>
                      <w:szCs w:val="21"/>
                      <w:highlight w:val="none"/>
                    </w:rPr>
                  </w:pPr>
                  <w:r>
                    <w:rPr>
                      <w:rFonts w:hint="eastAsia"/>
                      <w:color w:val="auto"/>
                      <w:szCs w:val="21"/>
                      <w:highlight w:val="none"/>
                    </w:rPr>
                    <w:t>30</w:t>
                  </w:r>
                </w:p>
              </w:tc>
              <w:tc>
                <w:tcPr>
                  <w:tcW w:w="1001" w:type="dxa"/>
                  <w:vAlign w:val="center"/>
                </w:tcPr>
                <w:p>
                  <w:pPr>
                    <w:adjustRightInd w:val="0"/>
                    <w:snapToGrid w:val="0"/>
                    <w:jc w:val="center"/>
                    <w:rPr>
                      <w:color w:val="auto"/>
                      <w:szCs w:val="21"/>
                      <w:highlight w:val="none"/>
                    </w:rPr>
                  </w:pPr>
                  <w:r>
                    <w:rPr>
                      <w:rFonts w:hint="eastAsia"/>
                      <w:color w:val="auto"/>
                      <w:szCs w:val="21"/>
                      <w:highlight w:val="non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90" w:type="dxa"/>
                  <w:vAlign w:val="center"/>
                </w:tcPr>
                <w:p>
                  <w:pPr>
                    <w:adjustRightInd w:val="0"/>
                    <w:snapToGrid w:val="0"/>
                    <w:jc w:val="center"/>
                    <w:rPr>
                      <w:color w:val="auto"/>
                      <w:szCs w:val="21"/>
                      <w:highlight w:val="none"/>
                    </w:rPr>
                  </w:pPr>
                  <w:r>
                    <w:rPr>
                      <w:rFonts w:hint="eastAsia"/>
                      <w:color w:val="auto"/>
                      <w:szCs w:val="21"/>
                      <w:highlight w:val="none"/>
                    </w:rPr>
                    <w:t>5</w:t>
                  </w:r>
                </w:p>
              </w:tc>
              <w:tc>
                <w:tcPr>
                  <w:tcW w:w="1710" w:type="dxa"/>
                  <w:vAlign w:val="center"/>
                </w:tcPr>
                <w:p>
                  <w:pPr>
                    <w:pStyle w:val="84"/>
                    <w:jc w:val="center"/>
                    <w:rPr>
                      <w:color w:val="auto"/>
                      <w:szCs w:val="21"/>
                      <w:highlight w:val="none"/>
                    </w:rPr>
                  </w:pPr>
                  <w:r>
                    <w:rPr>
                      <w:rFonts w:hint="eastAsia"/>
                      <w:color w:val="auto"/>
                      <w:szCs w:val="21"/>
                      <w:highlight w:val="none"/>
                      <w:shd w:val="clear" w:color="auto" w:fill="FFFFFF"/>
                    </w:rPr>
                    <w:t>静电粉末喷塑机</w:t>
                  </w:r>
                </w:p>
              </w:tc>
              <w:tc>
                <w:tcPr>
                  <w:tcW w:w="844" w:type="dxa"/>
                  <w:vAlign w:val="center"/>
                </w:tcPr>
                <w:p>
                  <w:pPr>
                    <w:adjustRightInd w:val="0"/>
                    <w:snapToGrid w:val="0"/>
                    <w:jc w:val="center"/>
                    <w:rPr>
                      <w:color w:val="auto"/>
                      <w:szCs w:val="21"/>
                      <w:highlight w:val="none"/>
                    </w:rPr>
                  </w:pPr>
                  <w:r>
                    <w:rPr>
                      <w:rFonts w:hint="eastAsia"/>
                      <w:color w:val="auto"/>
                      <w:szCs w:val="21"/>
                      <w:highlight w:val="none"/>
                    </w:rPr>
                    <w:t>18</w:t>
                  </w:r>
                </w:p>
              </w:tc>
              <w:tc>
                <w:tcPr>
                  <w:tcW w:w="865" w:type="dxa"/>
                  <w:vAlign w:val="center"/>
                </w:tcPr>
                <w:p>
                  <w:pPr>
                    <w:adjustRightInd w:val="0"/>
                    <w:snapToGrid w:val="0"/>
                    <w:jc w:val="center"/>
                    <w:rPr>
                      <w:color w:val="auto"/>
                      <w:szCs w:val="21"/>
                      <w:highlight w:val="none"/>
                    </w:rPr>
                  </w:pPr>
                  <w:r>
                    <w:rPr>
                      <w:rFonts w:hint="eastAsia"/>
                      <w:color w:val="auto"/>
                      <w:szCs w:val="21"/>
                      <w:highlight w:val="none"/>
                    </w:rPr>
                    <w:t>16</w:t>
                  </w:r>
                </w:p>
              </w:tc>
              <w:tc>
                <w:tcPr>
                  <w:tcW w:w="984" w:type="dxa"/>
                  <w:vAlign w:val="center"/>
                </w:tcPr>
                <w:p>
                  <w:pPr>
                    <w:adjustRightInd w:val="0"/>
                    <w:snapToGrid w:val="0"/>
                    <w:jc w:val="center"/>
                    <w:rPr>
                      <w:color w:val="auto"/>
                      <w:szCs w:val="21"/>
                      <w:highlight w:val="none"/>
                    </w:rPr>
                  </w:pPr>
                  <w:r>
                    <w:rPr>
                      <w:rFonts w:hint="eastAsia"/>
                      <w:color w:val="auto"/>
                      <w:szCs w:val="21"/>
                      <w:highlight w:val="none"/>
                    </w:rPr>
                    <w:t>17</w:t>
                  </w:r>
                </w:p>
              </w:tc>
              <w:tc>
                <w:tcPr>
                  <w:tcW w:w="1001" w:type="dxa"/>
                  <w:vAlign w:val="center"/>
                </w:tcPr>
                <w:p>
                  <w:pPr>
                    <w:adjustRightInd w:val="0"/>
                    <w:snapToGrid w:val="0"/>
                    <w:jc w:val="center"/>
                    <w:rPr>
                      <w:color w:val="auto"/>
                      <w:szCs w:val="21"/>
                      <w:highlight w:val="none"/>
                    </w:rPr>
                  </w:pPr>
                  <w:r>
                    <w:rPr>
                      <w:rFonts w:hint="eastAsia"/>
                      <w:color w:val="auto"/>
                      <w:szCs w:val="21"/>
                      <w:highlight w:val="none"/>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90" w:type="dxa"/>
                  <w:vAlign w:val="center"/>
                </w:tcPr>
                <w:p>
                  <w:pPr>
                    <w:adjustRightInd w:val="0"/>
                    <w:snapToGrid w:val="0"/>
                    <w:jc w:val="center"/>
                    <w:rPr>
                      <w:color w:val="auto"/>
                      <w:szCs w:val="21"/>
                      <w:highlight w:val="none"/>
                    </w:rPr>
                  </w:pPr>
                  <w:r>
                    <w:rPr>
                      <w:rFonts w:hint="eastAsia"/>
                      <w:color w:val="auto"/>
                      <w:szCs w:val="21"/>
                      <w:highlight w:val="none"/>
                    </w:rPr>
                    <w:t>6</w:t>
                  </w:r>
                </w:p>
              </w:tc>
              <w:tc>
                <w:tcPr>
                  <w:tcW w:w="1710" w:type="dxa"/>
                  <w:vAlign w:val="center"/>
                </w:tcPr>
                <w:p>
                  <w:pPr>
                    <w:pStyle w:val="84"/>
                    <w:jc w:val="center"/>
                    <w:rPr>
                      <w:color w:val="auto"/>
                      <w:szCs w:val="21"/>
                      <w:highlight w:val="none"/>
                    </w:rPr>
                  </w:pPr>
                  <w:r>
                    <w:rPr>
                      <w:rFonts w:hint="eastAsia"/>
                      <w:color w:val="auto"/>
                      <w:szCs w:val="21"/>
                      <w:highlight w:val="none"/>
                      <w:shd w:val="clear" w:color="auto" w:fill="FFFFFF"/>
                    </w:rPr>
                    <w:t>塑粉回收机</w:t>
                  </w:r>
                </w:p>
              </w:tc>
              <w:tc>
                <w:tcPr>
                  <w:tcW w:w="844" w:type="dxa"/>
                  <w:vAlign w:val="center"/>
                </w:tcPr>
                <w:p>
                  <w:pPr>
                    <w:adjustRightInd w:val="0"/>
                    <w:snapToGrid w:val="0"/>
                    <w:jc w:val="center"/>
                    <w:rPr>
                      <w:color w:val="auto"/>
                      <w:szCs w:val="21"/>
                      <w:highlight w:val="none"/>
                    </w:rPr>
                  </w:pPr>
                  <w:r>
                    <w:rPr>
                      <w:rFonts w:hint="eastAsia"/>
                      <w:color w:val="auto"/>
                      <w:szCs w:val="21"/>
                      <w:highlight w:val="none"/>
                    </w:rPr>
                    <w:t>20</w:t>
                  </w:r>
                </w:p>
              </w:tc>
              <w:tc>
                <w:tcPr>
                  <w:tcW w:w="865" w:type="dxa"/>
                  <w:vAlign w:val="center"/>
                </w:tcPr>
                <w:p>
                  <w:pPr>
                    <w:adjustRightInd w:val="0"/>
                    <w:snapToGrid w:val="0"/>
                    <w:jc w:val="center"/>
                    <w:rPr>
                      <w:color w:val="auto"/>
                      <w:szCs w:val="21"/>
                      <w:highlight w:val="none"/>
                    </w:rPr>
                  </w:pPr>
                  <w:r>
                    <w:rPr>
                      <w:rFonts w:hint="eastAsia"/>
                      <w:color w:val="auto"/>
                      <w:szCs w:val="21"/>
                      <w:highlight w:val="none"/>
                    </w:rPr>
                    <w:t>11</w:t>
                  </w:r>
                </w:p>
              </w:tc>
              <w:tc>
                <w:tcPr>
                  <w:tcW w:w="984" w:type="dxa"/>
                  <w:vAlign w:val="center"/>
                </w:tcPr>
                <w:p>
                  <w:pPr>
                    <w:adjustRightInd w:val="0"/>
                    <w:snapToGrid w:val="0"/>
                    <w:jc w:val="center"/>
                    <w:rPr>
                      <w:color w:val="auto"/>
                      <w:szCs w:val="21"/>
                      <w:highlight w:val="none"/>
                    </w:rPr>
                  </w:pPr>
                  <w:r>
                    <w:rPr>
                      <w:rFonts w:hint="eastAsia"/>
                      <w:color w:val="auto"/>
                      <w:szCs w:val="21"/>
                      <w:highlight w:val="none"/>
                    </w:rPr>
                    <w:t>19</w:t>
                  </w:r>
                </w:p>
              </w:tc>
              <w:tc>
                <w:tcPr>
                  <w:tcW w:w="1001" w:type="dxa"/>
                  <w:vAlign w:val="center"/>
                </w:tcPr>
                <w:p>
                  <w:pPr>
                    <w:adjustRightInd w:val="0"/>
                    <w:snapToGrid w:val="0"/>
                    <w:jc w:val="center"/>
                    <w:rPr>
                      <w:color w:val="auto"/>
                      <w:szCs w:val="21"/>
                      <w:highlight w:val="none"/>
                    </w:rPr>
                  </w:pPr>
                  <w:r>
                    <w:rPr>
                      <w:rFonts w:hint="eastAsia"/>
                      <w:color w:val="auto"/>
                      <w:szCs w:val="21"/>
                      <w:highlight w:val="none"/>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90" w:type="dxa"/>
                  <w:vAlign w:val="center"/>
                </w:tcPr>
                <w:p>
                  <w:pPr>
                    <w:adjustRightInd w:val="0"/>
                    <w:snapToGrid w:val="0"/>
                    <w:jc w:val="center"/>
                    <w:rPr>
                      <w:color w:val="auto"/>
                      <w:szCs w:val="21"/>
                      <w:highlight w:val="none"/>
                    </w:rPr>
                  </w:pPr>
                  <w:r>
                    <w:rPr>
                      <w:rFonts w:hint="eastAsia"/>
                      <w:color w:val="auto"/>
                      <w:szCs w:val="21"/>
                      <w:highlight w:val="none"/>
                    </w:rPr>
                    <w:t>7</w:t>
                  </w:r>
                </w:p>
              </w:tc>
              <w:tc>
                <w:tcPr>
                  <w:tcW w:w="1710" w:type="dxa"/>
                  <w:vAlign w:val="center"/>
                </w:tcPr>
                <w:p>
                  <w:pPr>
                    <w:pStyle w:val="84"/>
                    <w:jc w:val="center"/>
                    <w:rPr>
                      <w:color w:val="auto"/>
                      <w:szCs w:val="21"/>
                      <w:highlight w:val="none"/>
                    </w:rPr>
                  </w:pPr>
                  <w:r>
                    <w:rPr>
                      <w:rFonts w:hint="eastAsia"/>
                      <w:color w:val="auto"/>
                      <w:szCs w:val="21"/>
                      <w:highlight w:val="none"/>
                      <w:shd w:val="clear" w:color="auto" w:fill="FFFFFF"/>
                      <w:lang w:val="en-US"/>
                    </w:rPr>
                    <w:t>UV光解活性炭一体化设备</w:t>
                  </w:r>
                </w:p>
              </w:tc>
              <w:tc>
                <w:tcPr>
                  <w:tcW w:w="844" w:type="dxa"/>
                  <w:vAlign w:val="center"/>
                </w:tcPr>
                <w:p>
                  <w:pPr>
                    <w:adjustRightInd w:val="0"/>
                    <w:snapToGrid w:val="0"/>
                    <w:jc w:val="center"/>
                    <w:rPr>
                      <w:color w:val="auto"/>
                      <w:szCs w:val="21"/>
                      <w:highlight w:val="none"/>
                    </w:rPr>
                  </w:pPr>
                  <w:r>
                    <w:rPr>
                      <w:rFonts w:hint="eastAsia"/>
                      <w:color w:val="auto"/>
                      <w:szCs w:val="21"/>
                      <w:highlight w:val="none"/>
                    </w:rPr>
                    <w:t>25</w:t>
                  </w:r>
                </w:p>
              </w:tc>
              <w:tc>
                <w:tcPr>
                  <w:tcW w:w="865" w:type="dxa"/>
                  <w:vAlign w:val="center"/>
                </w:tcPr>
                <w:p>
                  <w:pPr>
                    <w:adjustRightInd w:val="0"/>
                    <w:snapToGrid w:val="0"/>
                    <w:jc w:val="center"/>
                    <w:rPr>
                      <w:color w:val="auto"/>
                      <w:szCs w:val="21"/>
                      <w:highlight w:val="none"/>
                    </w:rPr>
                  </w:pPr>
                  <w:r>
                    <w:rPr>
                      <w:rFonts w:hint="eastAsia"/>
                      <w:color w:val="auto"/>
                      <w:szCs w:val="21"/>
                      <w:highlight w:val="none"/>
                    </w:rPr>
                    <w:t>9</w:t>
                  </w:r>
                </w:p>
              </w:tc>
              <w:tc>
                <w:tcPr>
                  <w:tcW w:w="984" w:type="dxa"/>
                  <w:vAlign w:val="center"/>
                </w:tcPr>
                <w:p>
                  <w:pPr>
                    <w:adjustRightInd w:val="0"/>
                    <w:snapToGrid w:val="0"/>
                    <w:jc w:val="center"/>
                    <w:rPr>
                      <w:color w:val="auto"/>
                      <w:szCs w:val="21"/>
                      <w:highlight w:val="none"/>
                    </w:rPr>
                  </w:pPr>
                  <w:r>
                    <w:rPr>
                      <w:rFonts w:hint="eastAsia"/>
                      <w:color w:val="auto"/>
                      <w:szCs w:val="21"/>
                      <w:highlight w:val="none"/>
                    </w:rPr>
                    <w:t>20</w:t>
                  </w:r>
                </w:p>
              </w:tc>
              <w:tc>
                <w:tcPr>
                  <w:tcW w:w="1001" w:type="dxa"/>
                  <w:vAlign w:val="center"/>
                </w:tcPr>
                <w:p>
                  <w:pPr>
                    <w:adjustRightInd w:val="0"/>
                    <w:snapToGrid w:val="0"/>
                    <w:jc w:val="center"/>
                    <w:rPr>
                      <w:color w:val="auto"/>
                      <w:szCs w:val="21"/>
                      <w:highlight w:val="none"/>
                    </w:rPr>
                  </w:pPr>
                  <w:r>
                    <w:rPr>
                      <w:rFonts w:hint="eastAsia"/>
                      <w:color w:val="auto"/>
                      <w:szCs w:val="21"/>
                      <w:highlight w:val="none"/>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90" w:type="dxa"/>
                  <w:vAlign w:val="center"/>
                </w:tcPr>
                <w:p>
                  <w:pPr>
                    <w:adjustRightInd w:val="0"/>
                    <w:snapToGrid w:val="0"/>
                    <w:jc w:val="center"/>
                    <w:rPr>
                      <w:color w:val="auto"/>
                      <w:szCs w:val="21"/>
                      <w:highlight w:val="none"/>
                    </w:rPr>
                  </w:pPr>
                  <w:r>
                    <w:rPr>
                      <w:rFonts w:hint="eastAsia"/>
                      <w:color w:val="auto"/>
                      <w:szCs w:val="21"/>
                      <w:highlight w:val="none"/>
                    </w:rPr>
                    <w:t>8</w:t>
                  </w:r>
                </w:p>
              </w:tc>
              <w:tc>
                <w:tcPr>
                  <w:tcW w:w="1710" w:type="dxa"/>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lang w:val="en-US"/>
                    </w:rPr>
                    <w:t>风机</w:t>
                  </w:r>
                </w:p>
              </w:tc>
              <w:tc>
                <w:tcPr>
                  <w:tcW w:w="844" w:type="dxa"/>
                  <w:vAlign w:val="center"/>
                </w:tcPr>
                <w:p>
                  <w:pPr>
                    <w:adjustRightInd w:val="0"/>
                    <w:snapToGrid w:val="0"/>
                    <w:jc w:val="center"/>
                    <w:rPr>
                      <w:color w:val="auto"/>
                      <w:szCs w:val="21"/>
                      <w:highlight w:val="none"/>
                    </w:rPr>
                  </w:pPr>
                  <w:r>
                    <w:rPr>
                      <w:rFonts w:hint="eastAsia"/>
                      <w:color w:val="auto"/>
                      <w:szCs w:val="21"/>
                      <w:highlight w:val="none"/>
                    </w:rPr>
                    <w:t>9</w:t>
                  </w:r>
                </w:p>
              </w:tc>
              <w:tc>
                <w:tcPr>
                  <w:tcW w:w="865" w:type="dxa"/>
                  <w:vAlign w:val="center"/>
                </w:tcPr>
                <w:p>
                  <w:pPr>
                    <w:adjustRightInd w:val="0"/>
                    <w:snapToGrid w:val="0"/>
                    <w:jc w:val="center"/>
                    <w:rPr>
                      <w:color w:val="auto"/>
                      <w:szCs w:val="21"/>
                      <w:highlight w:val="none"/>
                    </w:rPr>
                  </w:pPr>
                  <w:r>
                    <w:rPr>
                      <w:rFonts w:hint="eastAsia"/>
                      <w:color w:val="auto"/>
                      <w:szCs w:val="21"/>
                      <w:highlight w:val="none"/>
                    </w:rPr>
                    <w:t>11</w:t>
                  </w:r>
                </w:p>
              </w:tc>
              <w:tc>
                <w:tcPr>
                  <w:tcW w:w="984" w:type="dxa"/>
                  <w:vAlign w:val="center"/>
                </w:tcPr>
                <w:p>
                  <w:pPr>
                    <w:adjustRightInd w:val="0"/>
                    <w:snapToGrid w:val="0"/>
                    <w:jc w:val="center"/>
                    <w:rPr>
                      <w:color w:val="auto"/>
                      <w:szCs w:val="21"/>
                      <w:highlight w:val="none"/>
                    </w:rPr>
                  </w:pPr>
                  <w:r>
                    <w:rPr>
                      <w:rFonts w:hint="eastAsia"/>
                      <w:color w:val="auto"/>
                      <w:szCs w:val="21"/>
                      <w:highlight w:val="none"/>
                    </w:rPr>
                    <w:t>42</w:t>
                  </w:r>
                </w:p>
              </w:tc>
              <w:tc>
                <w:tcPr>
                  <w:tcW w:w="1001" w:type="dxa"/>
                  <w:vAlign w:val="center"/>
                </w:tcPr>
                <w:p>
                  <w:pPr>
                    <w:adjustRightInd w:val="0"/>
                    <w:snapToGrid w:val="0"/>
                    <w:jc w:val="center"/>
                    <w:rPr>
                      <w:color w:val="auto"/>
                      <w:szCs w:val="21"/>
                      <w:highlight w:val="none"/>
                    </w:rPr>
                  </w:pPr>
                  <w:r>
                    <w:rPr>
                      <w:rFonts w:hint="eastAsia"/>
                      <w:color w:val="auto"/>
                      <w:szCs w:val="21"/>
                      <w:highlight w:val="none"/>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490" w:type="dxa"/>
                  <w:vAlign w:val="center"/>
                </w:tcPr>
                <w:p>
                  <w:pPr>
                    <w:adjustRightInd w:val="0"/>
                    <w:snapToGrid w:val="0"/>
                    <w:jc w:val="center"/>
                    <w:rPr>
                      <w:color w:val="auto"/>
                      <w:szCs w:val="21"/>
                      <w:highlight w:val="none"/>
                    </w:rPr>
                  </w:pPr>
                  <w:r>
                    <w:rPr>
                      <w:rFonts w:hint="eastAsia"/>
                      <w:color w:val="auto"/>
                      <w:szCs w:val="21"/>
                      <w:highlight w:val="none"/>
                    </w:rPr>
                    <w:t>9</w:t>
                  </w:r>
                </w:p>
              </w:tc>
              <w:tc>
                <w:tcPr>
                  <w:tcW w:w="1710" w:type="dxa"/>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rPr>
                    <w:t>水帘柜</w:t>
                  </w:r>
                </w:p>
              </w:tc>
              <w:tc>
                <w:tcPr>
                  <w:tcW w:w="844" w:type="dxa"/>
                  <w:vAlign w:val="center"/>
                </w:tcPr>
                <w:p>
                  <w:pPr>
                    <w:adjustRightInd w:val="0"/>
                    <w:snapToGrid w:val="0"/>
                    <w:jc w:val="center"/>
                    <w:rPr>
                      <w:color w:val="auto"/>
                      <w:szCs w:val="21"/>
                      <w:highlight w:val="none"/>
                    </w:rPr>
                  </w:pPr>
                  <w:r>
                    <w:rPr>
                      <w:rFonts w:hint="eastAsia"/>
                      <w:color w:val="auto"/>
                      <w:szCs w:val="21"/>
                      <w:highlight w:val="none"/>
                    </w:rPr>
                    <w:t>17</w:t>
                  </w:r>
                </w:p>
              </w:tc>
              <w:tc>
                <w:tcPr>
                  <w:tcW w:w="865" w:type="dxa"/>
                  <w:vAlign w:val="center"/>
                </w:tcPr>
                <w:p>
                  <w:pPr>
                    <w:adjustRightInd w:val="0"/>
                    <w:snapToGrid w:val="0"/>
                    <w:jc w:val="center"/>
                    <w:rPr>
                      <w:color w:val="auto"/>
                      <w:szCs w:val="21"/>
                      <w:highlight w:val="none"/>
                    </w:rPr>
                  </w:pPr>
                  <w:r>
                    <w:rPr>
                      <w:rFonts w:hint="eastAsia"/>
                      <w:color w:val="auto"/>
                      <w:szCs w:val="21"/>
                      <w:highlight w:val="none"/>
                    </w:rPr>
                    <w:t>42</w:t>
                  </w:r>
                </w:p>
              </w:tc>
              <w:tc>
                <w:tcPr>
                  <w:tcW w:w="984" w:type="dxa"/>
                  <w:vAlign w:val="center"/>
                </w:tcPr>
                <w:p>
                  <w:pPr>
                    <w:adjustRightInd w:val="0"/>
                    <w:snapToGrid w:val="0"/>
                    <w:jc w:val="center"/>
                    <w:rPr>
                      <w:color w:val="auto"/>
                      <w:szCs w:val="21"/>
                      <w:highlight w:val="none"/>
                    </w:rPr>
                  </w:pPr>
                  <w:r>
                    <w:rPr>
                      <w:rFonts w:hint="eastAsia"/>
                      <w:color w:val="auto"/>
                      <w:szCs w:val="21"/>
                      <w:highlight w:val="none"/>
                    </w:rPr>
                    <w:t>27</w:t>
                  </w:r>
                </w:p>
              </w:tc>
              <w:tc>
                <w:tcPr>
                  <w:tcW w:w="1001" w:type="dxa"/>
                  <w:vAlign w:val="center"/>
                </w:tcPr>
                <w:p>
                  <w:pPr>
                    <w:adjustRightInd w:val="0"/>
                    <w:snapToGrid w:val="0"/>
                    <w:jc w:val="center"/>
                    <w:rPr>
                      <w:color w:val="auto"/>
                      <w:szCs w:val="21"/>
                      <w:highlight w:val="none"/>
                    </w:rPr>
                  </w:pPr>
                  <w:r>
                    <w:rPr>
                      <w:rFonts w:hint="eastAsia"/>
                      <w:color w:val="auto"/>
                      <w:szCs w:val="21"/>
                      <w:highlight w:val="none"/>
                    </w:rPr>
                    <w:t>12</w:t>
                  </w:r>
                </w:p>
              </w:tc>
            </w:tr>
          </w:tbl>
          <w:p>
            <w:pPr>
              <w:pStyle w:val="115"/>
              <w:rPr>
                <w:color w:val="auto"/>
                <w:highlight w:val="none"/>
              </w:rPr>
            </w:pPr>
            <w:r>
              <w:rPr>
                <w:color w:val="auto"/>
                <w:highlight w:val="none"/>
              </w:rPr>
              <w:t>结合项目主要高噪声源分布情况，采用上述预测模式计算得到项目建成投入运营后主要高噪声设备在考虑隔声、减震等降噪措施的情况下，对厂界各预测点产生的噪声预测值见表</w:t>
            </w:r>
            <w:r>
              <w:rPr>
                <w:rFonts w:hint="eastAsia"/>
                <w:color w:val="auto"/>
                <w:highlight w:val="none"/>
              </w:rPr>
              <w:t>4-7。</w:t>
            </w:r>
          </w:p>
          <w:p>
            <w:pPr>
              <w:pStyle w:val="10"/>
              <w:jc w:val="center"/>
              <w:rPr>
                <w:rFonts w:ascii="Times New Roman" w:hAnsi="Times New Roman"/>
                <w:b/>
                <w:color w:val="auto"/>
                <w:sz w:val="21"/>
                <w:szCs w:val="21"/>
                <w:highlight w:val="none"/>
              </w:rPr>
            </w:pPr>
            <w:r>
              <w:rPr>
                <w:rFonts w:ascii="Times New Roman" w:hAnsi="Times New Roman"/>
                <w:b/>
                <w:color w:val="auto"/>
                <w:sz w:val="21"/>
                <w:szCs w:val="21"/>
                <w:highlight w:val="none"/>
              </w:rPr>
              <w:t>表</w:t>
            </w:r>
            <w:r>
              <w:rPr>
                <w:rFonts w:hint="eastAsia" w:ascii="Times New Roman" w:hAnsi="Times New Roman"/>
                <w:b/>
                <w:color w:val="auto"/>
                <w:sz w:val="21"/>
                <w:szCs w:val="21"/>
                <w:highlight w:val="none"/>
              </w:rPr>
              <w:t>4-7</w:t>
            </w:r>
            <w:r>
              <w:rPr>
                <w:rFonts w:ascii="Times New Roman" w:hAnsi="Times New Roman"/>
                <w:b/>
                <w:color w:val="auto"/>
                <w:sz w:val="21"/>
                <w:szCs w:val="21"/>
                <w:highlight w:val="none"/>
              </w:rPr>
              <w:t xml:space="preserve">  环境噪声影响预测及评价结果   单位：dB（A）</w:t>
            </w:r>
          </w:p>
          <w:tbl>
            <w:tblPr>
              <w:tblStyle w:val="25"/>
              <w:tblW w:w="58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657"/>
              <w:gridCol w:w="882"/>
              <w:gridCol w:w="888"/>
              <w:gridCol w:w="866"/>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0" w:type="dxa"/>
                  <w:vAlign w:val="center"/>
                </w:tcPr>
                <w:p>
                  <w:pPr>
                    <w:pStyle w:val="33"/>
                    <w:snapToGrid w:val="0"/>
                    <w:jc w:val="center"/>
                    <w:rPr>
                      <w:color w:val="auto"/>
                      <w:sz w:val="21"/>
                      <w:szCs w:val="21"/>
                      <w:highlight w:val="none"/>
                    </w:rPr>
                  </w:pPr>
                  <w:r>
                    <w:rPr>
                      <w:rFonts w:hint="eastAsia"/>
                      <w:color w:val="auto"/>
                      <w:sz w:val="21"/>
                      <w:szCs w:val="21"/>
                      <w:highlight w:val="none"/>
                    </w:rPr>
                    <w:t>序号</w:t>
                  </w:r>
                </w:p>
              </w:tc>
              <w:tc>
                <w:tcPr>
                  <w:tcW w:w="1657" w:type="dxa"/>
                  <w:vAlign w:val="center"/>
                </w:tcPr>
                <w:p>
                  <w:pPr>
                    <w:pStyle w:val="33"/>
                    <w:snapToGrid w:val="0"/>
                    <w:jc w:val="center"/>
                    <w:rPr>
                      <w:rFonts w:ascii="Times New Roman" w:cs="Times New Roman"/>
                      <w:color w:val="auto"/>
                      <w:sz w:val="21"/>
                      <w:szCs w:val="21"/>
                      <w:highlight w:val="none"/>
                    </w:rPr>
                  </w:pPr>
                  <w:r>
                    <w:rPr>
                      <w:rFonts w:hint="eastAsia"/>
                      <w:color w:val="auto"/>
                      <w:sz w:val="21"/>
                      <w:szCs w:val="21"/>
                      <w:highlight w:val="none"/>
                    </w:rPr>
                    <w:t>设备</w:t>
                  </w:r>
                </w:p>
              </w:tc>
              <w:tc>
                <w:tcPr>
                  <w:tcW w:w="882" w:type="dxa"/>
                  <w:vAlign w:val="center"/>
                </w:tcPr>
                <w:p>
                  <w:pPr>
                    <w:adjustRightInd w:val="0"/>
                    <w:snapToGrid w:val="0"/>
                    <w:jc w:val="center"/>
                    <w:rPr>
                      <w:bCs/>
                      <w:color w:val="auto"/>
                      <w:szCs w:val="21"/>
                      <w:highlight w:val="none"/>
                    </w:rPr>
                  </w:pPr>
                  <w:r>
                    <w:rPr>
                      <w:bCs/>
                      <w:color w:val="auto"/>
                      <w:szCs w:val="21"/>
                      <w:highlight w:val="none"/>
                    </w:rPr>
                    <w:t>东厂界</w:t>
                  </w:r>
                </w:p>
              </w:tc>
              <w:tc>
                <w:tcPr>
                  <w:tcW w:w="888" w:type="dxa"/>
                  <w:vAlign w:val="center"/>
                </w:tcPr>
                <w:p>
                  <w:pPr>
                    <w:adjustRightInd w:val="0"/>
                    <w:snapToGrid w:val="0"/>
                    <w:jc w:val="center"/>
                    <w:rPr>
                      <w:bCs/>
                      <w:color w:val="auto"/>
                      <w:szCs w:val="21"/>
                      <w:highlight w:val="none"/>
                    </w:rPr>
                  </w:pPr>
                  <w:r>
                    <w:rPr>
                      <w:bCs/>
                      <w:color w:val="auto"/>
                      <w:szCs w:val="21"/>
                      <w:highlight w:val="none"/>
                    </w:rPr>
                    <w:t>南厂界</w:t>
                  </w:r>
                </w:p>
              </w:tc>
              <w:tc>
                <w:tcPr>
                  <w:tcW w:w="866" w:type="dxa"/>
                  <w:vAlign w:val="center"/>
                </w:tcPr>
                <w:p>
                  <w:pPr>
                    <w:adjustRightInd w:val="0"/>
                    <w:snapToGrid w:val="0"/>
                    <w:jc w:val="center"/>
                    <w:rPr>
                      <w:bCs/>
                      <w:color w:val="auto"/>
                      <w:szCs w:val="21"/>
                      <w:highlight w:val="none"/>
                    </w:rPr>
                  </w:pPr>
                  <w:r>
                    <w:rPr>
                      <w:bCs/>
                      <w:color w:val="auto"/>
                      <w:szCs w:val="21"/>
                      <w:highlight w:val="none"/>
                    </w:rPr>
                    <w:t>西厂界</w:t>
                  </w:r>
                </w:p>
              </w:tc>
              <w:tc>
                <w:tcPr>
                  <w:tcW w:w="896" w:type="dxa"/>
                  <w:vAlign w:val="center"/>
                </w:tcPr>
                <w:p>
                  <w:pPr>
                    <w:adjustRightInd w:val="0"/>
                    <w:snapToGrid w:val="0"/>
                    <w:jc w:val="center"/>
                    <w:rPr>
                      <w:bCs/>
                      <w:color w:val="auto"/>
                      <w:szCs w:val="21"/>
                      <w:highlight w:val="none"/>
                    </w:rPr>
                  </w:pPr>
                  <w:r>
                    <w:rPr>
                      <w:bCs/>
                      <w:color w:val="auto"/>
                      <w:szCs w:val="21"/>
                      <w:highlight w:val="none"/>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80" w:type="dxa"/>
                  <w:vAlign w:val="center"/>
                </w:tcPr>
                <w:p>
                  <w:pPr>
                    <w:adjustRightInd w:val="0"/>
                    <w:snapToGrid w:val="0"/>
                    <w:jc w:val="center"/>
                    <w:rPr>
                      <w:bCs/>
                      <w:color w:val="auto"/>
                      <w:szCs w:val="21"/>
                      <w:highlight w:val="none"/>
                    </w:rPr>
                  </w:pPr>
                  <w:r>
                    <w:rPr>
                      <w:color w:val="auto"/>
                      <w:szCs w:val="21"/>
                      <w:highlight w:val="none"/>
                    </w:rPr>
                    <w:t>1</w:t>
                  </w:r>
                </w:p>
              </w:tc>
              <w:tc>
                <w:tcPr>
                  <w:tcW w:w="1657" w:type="dxa"/>
                  <w:vAlign w:val="center"/>
                </w:tcPr>
                <w:p>
                  <w:pPr>
                    <w:pStyle w:val="84"/>
                    <w:jc w:val="center"/>
                    <w:rPr>
                      <w:color w:val="auto"/>
                      <w:szCs w:val="21"/>
                      <w:highlight w:val="none"/>
                    </w:rPr>
                  </w:pPr>
                  <w:r>
                    <w:rPr>
                      <w:rFonts w:hint="eastAsia"/>
                      <w:color w:val="auto"/>
                      <w:szCs w:val="21"/>
                      <w:highlight w:val="none"/>
                      <w:shd w:val="clear" w:color="auto" w:fill="FFFFFF"/>
                    </w:rPr>
                    <w:t>激光切割机</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39.17</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33.97</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31.70</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30.17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80" w:type="dxa"/>
                  <w:vAlign w:val="center"/>
                </w:tcPr>
                <w:p>
                  <w:pPr>
                    <w:adjustRightInd w:val="0"/>
                    <w:snapToGrid w:val="0"/>
                    <w:jc w:val="center"/>
                    <w:rPr>
                      <w:bCs/>
                      <w:color w:val="auto"/>
                      <w:szCs w:val="21"/>
                      <w:highlight w:val="none"/>
                    </w:rPr>
                  </w:pPr>
                  <w:r>
                    <w:rPr>
                      <w:color w:val="auto"/>
                      <w:szCs w:val="21"/>
                      <w:highlight w:val="none"/>
                    </w:rPr>
                    <w:t>2</w:t>
                  </w:r>
                </w:p>
              </w:tc>
              <w:tc>
                <w:tcPr>
                  <w:tcW w:w="1657" w:type="dxa"/>
                  <w:vAlign w:val="center"/>
                </w:tcPr>
                <w:p>
                  <w:pPr>
                    <w:pStyle w:val="84"/>
                    <w:jc w:val="center"/>
                    <w:rPr>
                      <w:color w:val="auto"/>
                      <w:szCs w:val="21"/>
                      <w:highlight w:val="none"/>
                    </w:rPr>
                  </w:pPr>
                  <w:r>
                    <w:rPr>
                      <w:rFonts w:hint="eastAsia"/>
                      <w:color w:val="auto"/>
                      <w:szCs w:val="21"/>
                      <w:highlight w:val="none"/>
                      <w:shd w:val="clear" w:color="auto" w:fill="FFFFFF"/>
                    </w:rPr>
                    <w:t>焊机</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40.39</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33.17</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37.04</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44.17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80" w:type="dxa"/>
                  <w:vAlign w:val="center"/>
                </w:tcPr>
                <w:p>
                  <w:pPr>
                    <w:adjustRightInd w:val="0"/>
                    <w:snapToGrid w:val="0"/>
                    <w:jc w:val="center"/>
                    <w:rPr>
                      <w:bCs/>
                      <w:color w:val="auto"/>
                      <w:szCs w:val="21"/>
                      <w:highlight w:val="none"/>
                    </w:rPr>
                  </w:pPr>
                  <w:r>
                    <w:rPr>
                      <w:color w:val="auto"/>
                      <w:szCs w:val="21"/>
                      <w:highlight w:val="none"/>
                    </w:rPr>
                    <w:t>3</w:t>
                  </w:r>
                </w:p>
              </w:tc>
              <w:tc>
                <w:tcPr>
                  <w:tcW w:w="1657" w:type="dxa"/>
                  <w:vAlign w:val="center"/>
                </w:tcPr>
                <w:p>
                  <w:pPr>
                    <w:pStyle w:val="84"/>
                    <w:jc w:val="center"/>
                    <w:rPr>
                      <w:color w:val="auto"/>
                      <w:szCs w:val="21"/>
                      <w:highlight w:val="none"/>
                    </w:rPr>
                  </w:pPr>
                  <w:r>
                    <w:rPr>
                      <w:rFonts w:hint="eastAsia"/>
                      <w:color w:val="auto"/>
                      <w:szCs w:val="21"/>
                      <w:highlight w:val="none"/>
                      <w:shd w:val="clear" w:color="auto" w:fill="FFFFFF"/>
                    </w:rPr>
                    <w:t>雕刻机</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40.00</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31.05</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31.70</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31.37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80" w:type="dxa"/>
                  <w:vAlign w:val="center"/>
                </w:tcPr>
                <w:p>
                  <w:pPr>
                    <w:adjustRightInd w:val="0"/>
                    <w:snapToGrid w:val="0"/>
                    <w:jc w:val="center"/>
                    <w:rPr>
                      <w:color w:val="auto"/>
                      <w:szCs w:val="21"/>
                      <w:highlight w:val="none"/>
                    </w:rPr>
                  </w:pPr>
                  <w:r>
                    <w:rPr>
                      <w:rFonts w:hint="eastAsia"/>
                      <w:color w:val="auto"/>
                      <w:szCs w:val="21"/>
                      <w:highlight w:val="none"/>
                    </w:rPr>
                    <w:t>4</w:t>
                  </w:r>
                </w:p>
              </w:tc>
              <w:tc>
                <w:tcPr>
                  <w:tcW w:w="1657" w:type="dxa"/>
                  <w:vAlign w:val="center"/>
                </w:tcPr>
                <w:p>
                  <w:pPr>
                    <w:pStyle w:val="84"/>
                    <w:jc w:val="center"/>
                    <w:rPr>
                      <w:color w:val="auto"/>
                      <w:szCs w:val="21"/>
                      <w:highlight w:val="none"/>
                    </w:rPr>
                  </w:pPr>
                  <w:r>
                    <w:rPr>
                      <w:rFonts w:hint="eastAsia"/>
                      <w:color w:val="auto"/>
                      <w:szCs w:val="21"/>
                      <w:highlight w:val="none"/>
                      <w:shd w:val="clear" w:color="auto" w:fill="FFFFFF"/>
                    </w:rPr>
                    <w:t>广告扣扳机</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38.97</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31.55</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35.45</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46.93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680" w:type="dxa"/>
                  <w:vAlign w:val="center"/>
                </w:tcPr>
                <w:p>
                  <w:pPr>
                    <w:adjustRightInd w:val="0"/>
                    <w:snapToGrid w:val="0"/>
                    <w:jc w:val="center"/>
                    <w:rPr>
                      <w:color w:val="auto"/>
                      <w:szCs w:val="21"/>
                      <w:highlight w:val="none"/>
                    </w:rPr>
                  </w:pPr>
                  <w:r>
                    <w:rPr>
                      <w:rFonts w:hint="eastAsia"/>
                      <w:color w:val="auto"/>
                      <w:szCs w:val="21"/>
                      <w:highlight w:val="none"/>
                    </w:rPr>
                    <w:t>5</w:t>
                  </w:r>
                </w:p>
              </w:tc>
              <w:tc>
                <w:tcPr>
                  <w:tcW w:w="1657" w:type="dxa"/>
                  <w:vAlign w:val="center"/>
                </w:tcPr>
                <w:p>
                  <w:pPr>
                    <w:pStyle w:val="84"/>
                    <w:jc w:val="center"/>
                    <w:rPr>
                      <w:color w:val="auto"/>
                      <w:szCs w:val="21"/>
                      <w:highlight w:val="none"/>
                    </w:rPr>
                  </w:pPr>
                  <w:r>
                    <w:rPr>
                      <w:rFonts w:hint="eastAsia"/>
                      <w:color w:val="auto"/>
                      <w:szCs w:val="21"/>
                      <w:highlight w:val="none"/>
                      <w:shd w:val="clear" w:color="auto" w:fill="FFFFFF"/>
                    </w:rPr>
                    <w:t>静电粉末喷塑机</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39.89</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40.91</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40.39</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34.62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80" w:type="dxa"/>
                  <w:vAlign w:val="center"/>
                </w:tcPr>
                <w:p>
                  <w:pPr>
                    <w:adjustRightInd w:val="0"/>
                    <w:snapToGrid w:val="0"/>
                    <w:jc w:val="center"/>
                    <w:rPr>
                      <w:color w:val="auto"/>
                      <w:szCs w:val="21"/>
                      <w:highlight w:val="none"/>
                    </w:rPr>
                  </w:pPr>
                  <w:r>
                    <w:rPr>
                      <w:rFonts w:hint="eastAsia"/>
                      <w:color w:val="auto"/>
                      <w:szCs w:val="21"/>
                      <w:highlight w:val="none"/>
                    </w:rPr>
                    <w:t>6</w:t>
                  </w:r>
                </w:p>
              </w:tc>
              <w:tc>
                <w:tcPr>
                  <w:tcW w:w="1657" w:type="dxa"/>
                  <w:vAlign w:val="center"/>
                </w:tcPr>
                <w:p>
                  <w:pPr>
                    <w:pStyle w:val="84"/>
                    <w:jc w:val="center"/>
                    <w:rPr>
                      <w:color w:val="auto"/>
                      <w:szCs w:val="21"/>
                      <w:highlight w:val="none"/>
                    </w:rPr>
                  </w:pPr>
                  <w:r>
                    <w:rPr>
                      <w:rFonts w:hint="eastAsia"/>
                      <w:color w:val="auto"/>
                      <w:szCs w:val="21"/>
                      <w:highlight w:val="none"/>
                      <w:shd w:val="clear" w:color="auto" w:fill="FFFFFF"/>
                    </w:rPr>
                    <w:t>塑粉回收机</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38.90</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44.17</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39.42</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33.87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Align w:val="center"/>
                </w:tcPr>
                <w:p>
                  <w:pPr>
                    <w:adjustRightInd w:val="0"/>
                    <w:snapToGrid w:val="0"/>
                    <w:jc w:val="center"/>
                    <w:rPr>
                      <w:color w:val="auto"/>
                      <w:szCs w:val="21"/>
                      <w:highlight w:val="none"/>
                    </w:rPr>
                  </w:pPr>
                  <w:r>
                    <w:rPr>
                      <w:rFonts w:hint="eastAsia"/>
                      <w:color w:val="auto"/>
                      <w:szCs w:val="21"/>
                      <w:highlight w:val="none"/>
                    </w:rPr>
                    <w:t>7</w:t>
                  </w:r>
                </w:p>
              </w:tc>
              <w:tc>
                <w:tcPr>
                  <w:tcW w:w="1657" w:type="dxa"/>
                  <w:vAlign w:val="center"/>
                </w:tcPr>
                <w:p>
                  <w:pPr>
                    <w:pStyle w:val="84"/>
                    <w:jc w:val="center"/>
                    <w:rPr>
                      <w:color w:val="auto"/>
                      <w:szCs w:val="21"/>
                      <w:highlight w:val="none"/>
                    </w:rPr>
                  </w:pPr>
                  <w:r>
                    <w:rPr>
                      <w:rFonts w:hint="eastAsia"/>
                      <w:color w:val="auto"/>
                      <w:szCs w:val="21"/>
                      <w:highlight w:val="none"/>
                      <w:shd w:val="clear" w:color="auto" w:fill="FFFFFF"/>
                      <w:lang w:val="en-US"/>
                    </w:rPr>
                    <w:t>UV光解活性炭一体化设备</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47.04</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55.91</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48.97</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43.17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Align w:val="center"/>
                </w:tcPr>
                <w:p>
                  <w:pPr>
                    <w:adjustRightInd w:val="0"/>
                    <w:snapToGrid w:val="0"/>
                    <w:jc w:val="center"/>
                    <w:rPr>
                      <w:color w:val="auto"/>
                      <w:szCs w:val="21"/>
                      <w:highlight w:val="none"/>
                    </w:rPr>
                  </w:pPr>
                  <w:r>
                    <w:rPr>
                      <w:rFonts w:hint="eastAsia"/>
                      <w:color w:val="auto"/>
                      <w:szCs w:val="21"/>
                      <w:highlight w:val="none"/>
                    </w:rPr>
                    <w:t>8</w:t>
                  </w:r>
                </w:p>
              </w:tc>
              <w:tc>
                <w:tcPr>
                  <w:tcW w:w="1657" w:type="dxa"/>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lang w:val="en-US"/>
                    </w:rPr>
                    <w:t>风机</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55.91</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44.17</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22.53</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33.87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Align w:val="center"/>
                </w:tcPr>
                <w:p>
                  <w:pPr>
                    <w:adjustRightInd w:val="0"/>
                    <w:snapToGrid w:val="0"/>
                    <w:jc w:val="center"/>
                    <w:rPr>
                      <w:color w:val="auto"/>
                      <w:szCs w:val="21"/>
                      <w:highlight w:val="none"/>
                    </w:rPr>
                  </w:pPr>
                  <w:r>
                    <w:rPr>
                      <w:rFonts w:hint="eastAsia"/>
                      <w:color w:val="auto"/>
                      <w:szCs w:val="21"/>
                      <w:highlight w:val="none"/>
                    </w:rPr>
                    <w:t>9</w:t>
                  </w:r>
                </w:p>
              </w:tc>
              <w:tc>
                <w:tcPr>
                  <w:tcW w:w="1657" w:type="dxa"/>
                  <w:vAlign w:val="center"/>
                </w:tcPr>
                <w:p>
                  <w:pPr>
                    <w:pStyle w:val="84"/>
                    <w:jc w:val="center"/>
                    <w:rPr>
                      <w:color w:val="auto"/>
                      <w:szCs w:val="21"/>
                      <w:highlight w:val="none"/>
                      <w:shd w:val="clear" w:color="auto" w:fill="FFFFFF"/>
                      <w:lang w:val="en-US"/>
                    </w:rPr>
                  </w:pPr>
                  <w:r>
                    <w:rPr>
                      <w:rFonts w:hint="eastAsia"/>
                      <w:color w:val="auto"/>
                      <w:szCs w:val="21"/>
                      <w:highlight w:val="none"/>
                      <w:shd w:val="clear" w:color="auto" w:fill="FFFFFF"/>
                    </w:rPr>
                    <w:t>水帘柜</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30.39</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22.53</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26.37</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33.41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80" w:type="dxa"/>
                  <w:vMerge w:val="restart"/>
                  <w:vAlign w:val="center"/>
                </w:tcPr>
                <w:p>
                  <w:pPr>
                    <w:adjustRightInd w:val="0"/>
                    <w:snapToGrid w:val="0"/>
                    <w:jc w:val="center"/>
                    <w:rPr>
                      <w:bCs/>
                      <w:color w:val="auto"/>
                      <w:szCs w:val="21"/>
                      <w:highlight w:val="none"/>
                    </w:rPr>
                  </w:pPr>
                  <w:r>
                    <w:rPr>
                      <w:rFonts w:hint="eastAsia"/>
                      <w:bCs/>
                      <w:color w:val="auto"/>
                      <w:szCs w:val="21"/>
                      <w:highlight w:val="none"/>
                    </w:rPr>
                    <w:t>/</w:t>
                  </w:r>
                </w:p>
              </w:tc>
              <w:tc>
                <w:tcPr>
                  <w:tcW w:w="1657" w:type="dxa"/>
                  <w:vAlign w:val="center"/>
                </w:tcPr>
                <w:p>
                  <w:pPr>
                    <w:adjustRightInd w:val="0"/>
                    <w:snapToGrid w:val="0"/>
                    <w:jc w:val="center"/>
                    <w:rPr>
                      <w:bCs/>
                      <w:color w:val="auto"/>
                      <w:szCs w:val="21"/>
                      <w:highlight w:val="none"/>
                    </w:rPr>
                  </w:pPr>
                  <w:r>
                    <w:rPr>
                      <w:rFonts w:hint="eastAsia"/>
                      <w:bCs/>
                      <w:color w:val="auto"/>
                      <w:szCs w:val="21"/>
                      <w:highlight w:val="none"/>
                    </w:rPr>
                    <w:t>预测值</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50.52</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56.45</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50.46</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50.38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80" w:type="dxa"/>
                  <w:vMerge w:val="continue"/>
                  <w:vAlign w:val="center"/>
                </w:tcPr>
                <w:p>
                  <w:pPr>
                    <w:adjustRightInd w:val="0"/>
                    <w:snapToGrid w:val="0"/>
                    <w:jc w:val="center"/>
                    <w:rPr>
                      <w:bCs/>
                      <w:color w:val="auto"/>
                      <w:szCs w:val="21"/>
                      <w:highlight w:val="none"/>
                    </w:rPr>
                  </w:pPr>
                </w:p>
              </w:tc>
              <w:tc>
                <w:tcPr>
                  <w:tcW w:w="1657" w:type="dxa"/>
                  <w:vAlign w:val="center"/>
                </w:tcPr>
                <w:p>
                  <w:pPr>
                    <w:adjustRightInd w:val="0"/>
                    <w:snapToGrid w:val="0"/>
                    <w:jc w:val="center"/>
                    <w:rPr>
                      <w:bCs/>
                      <w:color w:val="auto"/>
                      <w:szCs w:val="21"/>
                      <w:highlight w:val="none"/>
                    </w:rPr>
                  </w:pPr>
                  <w:r>
                    <w:rPr>
                      <w:rFonts w:hint="eastAsia"/>
                      <w:bCs/>
                      <w:color w:val="auto"/>
                      <w:szCs w:val="21"/>
                      <w:highlight w:val="none"/>
                    </w:rPr>
                    <w:t>昼间标准值</w:t>
                  </w:r>
                </w:p>
              </w:tc>
              <w:tc>
                <w:tcPr>
                  <w:tcW w:w="882" w:type="dxa"/>
                  <w:vAlign w:val="center"/>
                </w:tcPr>
                <w:p>
                  <w:pPr>
                    <w:adjustRightInd w:val="0"/>
                    <w:snapToGrid w:val="0"/>
                    <w:jc w:val="center"/>
                    <w:rPr>
                      <w:bCs/>
                      <w:color w:val="auto"/>
                      <w:szCs w:val="21"/>
                      <w:highlight w:val="none"/>
                    </w:rPr>
                  </w:pPr>
                  <w:r>
                    <w:rPr>
                      <w:rFonts w:hint="eastAsia"/>
                      <w:bCs/>
                      <w:color w:val="auto"/>
                      <w:szCs w:val="21"/>
                      <w:highlight w:val="none"/>
                    </w:rPr>
                    <w:t>60</w:t>
                  </w:r>
                </w:p>
              </w:tc>
              <w:tc>
                <w:tcPr>
                  <w:tcW w:w="888" w:type="dxa"/>
                  <w:vAlign w:val="center"/>
                </w:tcPr>
                <w:p>
                  <w:pPr>
                    <w:adjustRightInd w:val="0"/>
                    <w:snapToGrid w:val="0"/>
                    <w:jc w:val="center"/>
                    <w:rPr>
                      <w:bCs/>
                      <w:color w:val="auto"/>
                      <w:szCs w:val="21"/>
                      <w:highlight w:val="none"/>
                    </w:rPr>
                  </w:pPr>
                  <w:r>
                    <w:rPr>
                      <w:rFonts w:hint="eastAsia"/>
                      <w:bCs/>
                      <w:color w:val="auto"/>
                      <w:szCs w:val="21"/>
                      <w:highlight w:val="none"/>
                    </w:rPr>
                    <w:t>60</w:t>
                  </w:r>
                </w:p>
              </w:tc>
              <w:tc>
                <w:tcPr>
                  <w:tcW w:w="866" w:type="dxa"/>
                  <w:vAlign w:val="center"/>
                </w:tcPr>
                <w:p>
                  <w:pPr>
                    <w:adjustRightInd w:val="0"/>
                    <w:snapToGrid w:val="0"/>
                    <w:jc w:val="center"/>
                    <w:rPr>
                      <w:bCs/>
                      <w:color w:val="auto"/>
                      <w:szCs w:val="21"/>
                      <w:highlight w:val="none"/>
                    </w:rPr>
                  </w:pPr>
                  <w:r>
                    <w:rPr>
                      <w:rFonts w:hint="eastAsia"/>
                      <w:bCs/>
                      <w:color w:val="auto"/>
                      <w:szCs w:val="21"/>
                      <w:highlight w:val="none"/>
                    </w:rPr>
                    <w:t>60</w:t>
                  </w:r>
                </w:p>
              </w:tc>
              <w:tc>
                <w:tcPr>
                  <w:tcW w:w="896" w:type="dxa"/>
                  <w:vAlign w:val="center"/>
                </w:tcPr>
                <w:p>
                  <w:pPr>
                    <w:adjustRightInd w:val="0"/>
                    <w:snapToGrid w:val="0"/>
                    <w:jc w:val="center"/>
                    <w:rPr>
                      <w:bCs/>
                      <w:color w:val="auto"/>
                      <w:szCs w:val="21"/>
                      <w:highlight w:val="none"/>
                    </w:rPr>
                  </w:pPr>
                  <w:r>
                    <w:rPr>
                      <w:rFonts w:hint="eastAsia"/>
                      <w:bCs/>
                      <w:color w:val="auto"/>
                      <w:szCs w:val="21"/>
                      <w:highlight w:val="none"/>
                    </w:rPr>
                    <w:t>60</w:t>
                  </w:r>
                </w:p>
              </w:tc>
            </w:tr>
          </w:tbl>
          <w:p>
            <w:pPr>
              <w:autoSpaceDE w:val="0"/>
              <w:autoSpaceDN w:val="0"/>
              <w:adjustRightInd w:val="0"/>
              <w:spacing w:line="360" w:lineRule="auto"/>
              <w:ind w:firstLine="480" w:firstLineChars="200"/>
              <w:jc w:val="left"/>
              <w:rPr>
                <w:color w:val="auto"/>
                <w:sz w:val="24"/>
                <w:highlight w:val="none"/>
              </w:rPr>
            </w:pPr>
            <w:r>
              <w:rPr>
                <w:rFonts w:hint="eastAsia"/>
                <w:color w:val="auto"/>
                <w:kern w:val="1"/>
                <w:sz w:val="24"/>
                <w:highlight w:val="none"/>
              </w:rPr>
              <w:t>本项目夜间不生产，</w:t>
            </w:r>
            <w:r>
              <w:rPr>
                <w:color w:val="auto"/>
                <w:kern w:val="1"/>
                <w:sz w:val="24"/>
                <w:highlight w:val="none"/>
              </w:rPr>
              <w:t>从上表可见，项目建成后，在</w:t>
            </w:r>
            <w:r>
              <w:rPr>
                <w:rFonts w:hint="eastAsia"/>
                <w:color w:val="auto"/>
                <w:kern w:val="1"/>
                <w:sz w:val="24"/>
                <w:highlight w:val="none"/>
              </w:rPr>
              <w:t>采取相应的隔声降噪措施后，</w:t>
            </w:r>
            <w:r>
              <w:rPr>
                <w:color w:val="auto"/>
                <w:kern w:val="1"/>
                <w:sz w:val="24"/>
                <w:highlight w:val="none"/>
              </w:rPr>
              <w:t>项目厂界噪声</w:t>
            </w:r>
            <w:r>
              <w:rPr>
                <w:rFonts w:hint="eastAsia"/>
                <w:color w:val="auto"/>
                <w:kern w:val="1"/>
                <w:sz w:val="24"/>
                <w:highlight w:val="none"/>
              </w:rPr>
              <w:t>贡献值可</w:t>
            </w:r>
            <w:r>
              <w:rPr>
                <w:color w:val="auto"/>
                <w:kern w:val="1"/>
                <w:sz w:val="24"/>
                <w:highlight w:val="none"/>
              </w:rPr>
              <w:t>满足《工业企业厂界环境噪声排放标准》（GB 12348-2008）中</w:t>
            </w:r>
            <w:r>
              <w:rPr>
                <w:rFonts w:hint="eastAsia"/>
                <w:color w:val="auto"/>
                <w:kern w:val="1"/>
                <w:sz w:val="24"/>
                <w:highlight w:val="none"/>
              </w:rPr>
              <w:t>2类</w:t>
            </w:r>
            <w:r>
              <w:rPr>
                <w:color w:val="auto"/>
                <w:kern w:val="1"/>
                <w:sz w:val="24"/>
                <w:highlight w:val="none"/>
              </w:rPr>
              <w:t>标准</w:t>
            </w:r>
            <w:r>
              <w:rPr>
                <w:rFonts w:hint="eastAsia"/>
                <w:color w:val="auto"/>
                <w:kern w:val="1"/>
                <w:sz w:val="24"/>
                <w:highlight w:val="none"/>
              </w:rPr>
              <w:t>，项目运行对周边声环境影响不大。</w:t>
            </w:r>
          </w:p>
          <w:p>
            <w:pPr>
              <w:spacing w:line="360" w:lineRule="auto"/>
              <w:rPr>
                <w:rFonts w:eastAsiaTheme="minorEastAsia"/>
                <w:b/>
                <w:color w:val="auto"/>
                <w:sz w:val="24"/>
                <w:highlight w:val="none"/>
              </w:rPr>
            </w:pPr>
            <w:r>
              <w:rPr>
                <w:rFonts w:hint="eastAsia" w:eastAsiaTheme="minorEastAsia"/>
                <w:b/>
                <w:color w:val="auto"/>
                <w:sz w:val="24"/>
                <w:highlight w:val="none"/>
              </w:rPr>
              <w:t>3.4监测要求</w:t>
            </w:r>
          </w:p>
          <w:p>
            <w:pPr>
              <w:autoSpaceDE w:val="0"/>
              <w:autoSpaceDN w:val="0"/>
              <w:adjustRightInd w:val="0"/>
              <w:spacing w:line="360" w:lineRule="auto"/>
              <w:ind w:firstLine="480" w:firstLineChars="200"/>
              <w:jc w:val="left"/>
              <w:rPr>
                <w:color w:val="auto"/>
                <w:sz w:val="24"/>
                <w:highlight w:val="none"/>
              </w:rPr>
            </w:pPr>
            <w:r>
              <w:rPr>
                <w:rFonts w:hint="eastAsia"/>
                <w:bCs/>
                <w:color w:val="auto"/>
                <w:sz w:val="24"/>
                <w:highlight w:val="none"/>
              </w:rPr>
              <w:t>噪声监测要求见下表。</w:t>
            </w:r>
          </w:p>
          <w:p>
            <w:pPr>
              <w:adjustRightInd w:val="0"/>
              <w:snapToGrid w:val="0"/>
              <w:jc w:val="center"/>
              <w:rPr>
                <w:rFonts w:hAnsi="宋体"/>
                <w:b/>
                <w:color w:val="auto"/>
                <w:szCs w:val="21"/>
                <w:highlight w:val="none"/>
              </w:rPr>
            </w:pPr>
            <w:r>
              <w:rPr>
                <w:rFonts w:hint="eastAsia" w:hAnsi="宋体"/>
                <w:b/>
                <w:color w:val="auto"/>
                <w:szCs w:val="21"/>
                <w:highlight w:val="none"/>
              </w:rPr>
              <w:t>表4-8  噪声监测要求</w:t>
            </w:r>
          </w:p>
          <w:tbl>
            <w:tblPr>
              <w:tblStyle w:val="25"/>
              <w:tblW w:w="78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84"/>
              <w:gridCol w:w="1824"/>
              <w:gridCol w:w="1108"/>
              <w:gridCol w:w="2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2" w:type="dxa"/>
                  <w:tcBorders>
                    <w:tl2br w:val="nil"/>
                    <w:tr2bl w:val="nil"/>
                  </w:tcBorders>
                  <w:vAlign w:val="center"/>
                </w:tcPr>
                <w:p>
                  <w:pPr>
                    <w:jc w:val="center"/>
                    <w:rPr>
                      <w:color w:val="auto"/>
                      <w:szCs w:val="21"/>
                      <w:highlight w:val="none"/>
                    </w:rPr>
                  </w:pPr>
                  <w:r>
                    <w:rPr>
                      <w:rFonts w:hint="eastAsia"/>
                      <w:color w:val="auto"/>
                      <w:szCs w:val="21"/>
                      <w:highlight w:val="none"/>
                    </w:rPr>
                    <w:t>类别</w:t>
                  </w:r>
                </w:p>
              </w:tc>
              <w:tc>
                <w:tcPr>
                  <w:tcW w:w="1884" w:type="dxa"/>
                  <w:tcBorders>
                    <w:tl2br w:val="nil"/>
                    <w:tr2bl w:val="nil"/>
                  </w:tcBorders>
                  <w:vAlign w:val="center"/>
                </w:tcPr>
                <w:p>
                  <w:pPr>
                    <w:pStyle w:val="15"/>
                    <w:pBdr>
                      <w:bottom w:val="none" w:color="auto" w:sz="0" w:space="0"/>
                    </w:pBdr>
                    <w:tabs>
                      <w:tab w:val="left" w:pos="420"/>
                    </w:tabs>
                    <w:snapToGrid/>
                    <w:rPr>
                      <w:color w:val="auto"/>
                      <w:sz w:val="21"/>
                      <w:szCs w:val="21"/>
                      <w:highlight w:val="none"/>
                    </w:rPr>
                  </w:pPr>
                  <w:r>
                    <w:rPr>
                      <w:rFonts w:hint="eastAsia"/>
                      <w:color w:val="auto"/>
                      <w:sz w:val="21"/>
                      <w:szCs w:val="21"/>
                      <w:highlight w:val="none"/>
                    </w:rPr>
                    <w:t>监测项目</w:t>
                  </w:r>
                </w:p>
              </w:tc>
              <w:tc>
                <w:tcPr>
                  <w:tcW w:w="1824" w:type="dxa"/>
                  <w:tcBorders>
                    <w:tl2br w:val="nil"/>
                    <w:tr2bl w:val="nil"/>
                  </w:tcBorders>
                  <w:vAlign w:val="center"/>
                </w:tcPr>
                <w:p>
                  <w:pPr>
                    <w:jc w:val="center"/>
                    <w:rPr>
                      <w:color w:val="auto"/>
                      <w:szCs w:val="21"/>
                      <w:highlight w:val="none"/>
                    </w:rPr>
                  </w:pPr>
                  <w:r>
                    <w:rPr>
                      <w:rFonts w:hint="eastAsia"/>
                      <w:color w:val="auto"/>
                      <w:szCs w:val="21"/>
                      <w:highlight w:val="none"/>
                    </w:rPr>
                    <w:t>监测点位</w:t>
                  </w:r>
                </w:p>
              </w:tc>
              <w:tc>
                <w:tcPr>
                  <w:tcW w:w="1108" w:type="dxa"/>
                  <w:tcBorders>
                    <w:tl2br w:val="nil"/>
                    <w:tr2bl w:val="nil"/>
                  </w:tcBorders>
                  <w:vAlign w:val="center"/>
                </w:tcPr>
                <w:p>
                  <w:pPr>
                    <w:jc w:val="center"/>
                    <w:rPr>
                      <w:color w:val="auto"/>
                      <w:szCs w:val="21"/>
                      <w:highlight w:val="none"/>
                    </w:rPr>
                  </w:pPr>
                  <w:r>
                    <w:rPr>
                      <w:rFonts w:hint="eastAsia"/>
                      <w:color w:val="auto"/>
                      <w:szCs w:val="21"/>
                      <w:highlight w:val="none"/>
                    </w:rPr>
                    <w:t>监测频次</w:t>
                  </w:r>
                </w:p>
              </w:tc>
              <w:tc>
                <w:tcPr>
                  <w:tcW w:w="2175" w:type="dxa"/>
                  <w:tcBorders>
                    <w:tl2br w:val="nil"/>
                    <w:tr2bl w:val="nil"/>
                  </w:tcBorders>
                  <w:vAlign w:val="center"/>
                </w:tcPr>
                <w:p>
                  <w:pPr>
                    <w:jc w:val="center"/>
                    <w:rPr>
                      <w:color w:val="auto"/>
                      <w:szCs w:val="21"/>
                      <w:highlight w:val="none"/>
                    </w:rPr>
                  </w:pPr>
                  <w:r>
                    <w:rPr>
                      <w:rFonts w:hint="eastAsia"/>
                      <w:color w:val="auto"/>
                      <w:szCs w:val="21"/>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2" w:type="dxa"/>
                  <w:tcBorders>
                    <w:tl2br w:val="nil"/>
                    <w:tr2bl w:val="nil"/>
                  </w:tcBorders>
                  <w:vAlign w:val="center"/>
                </w:tcPr>
                <w:p>
                  <w:pPr>
                    <w:jc w:val="center"/>
                    <w:rPr>
                      <w:color w:val="auto"/>
                      <w:szCs w:val="21"/>
                      <w:highlight w:val="none"/>
                    </w:rPr>
                  </w:pPr>
                  <w:r>
                    <w:rPr>
                      <w:rFonts w:hint="eastAsia"/>
                      <w:color w:val="auto"/>
                      <w:szCs w:val="21"/>
                      <w:highlight w:val="none"/>
                    </w:rPr>
                    <w:t>噪声</w:t>
                  </w:r>
                </w:p>
              </w:tc>
              <w:tc>
                <w:tcPr>
                  <w:tcW w:w="1884" w:type="dxa"/>
                  <w:tcBorders>
                    <w:tl2br w:val="nil"/>
                    <w:tr2bl w:val="nil"/>
                  </w:tcBorders>
                  <w:vAlign w:val="center"/>
                </w:tcPr>
                <w:p>
                  <w:pPr>
                    <w:jc w:val="center"/>
                    <w:rPr>
                      <w:color w:val="auto"/>
                      <w:szCs w:val="21"/>
                      <w:highlight w:val="none"/>
                    </w:rPr>
                  </w:pPr>
                  <w:r>
                    <w:rPr>
                      <w:rFonts w:hint="eastAsia"/>
                      <w:color w:val="auto"/>
                      <w:szCs w:val="21"/>
                      <w:highlight w:val="none"/>
                    </w:rPr>
                    <w:t>连续等效</w:t>
                  </w:r>
                  <w:r>
                    <w:rPr>
                      <w:color w:val="auto"/>
                      <w:szCs w:val="21"/>
                      <w:highlight w:val="none"/>
                    </w:rPr>
                    <w:t>A</w:t>
                  </w:r>
                  <w:r>
                    <w:rPr>
                      <w:rFonts w:hint="eastAsia"/>
                      <w:color w:val="auto"/>
                      <w:szCs w:val="21"/>
                      <w:highlight w:val="none"/>
                    </w:rPr>
                    <w:t>声级</w:t>
                  </w:r>
                </w:p>
              </w:tc>
              <w:tc>
                <w:tcPr>
                  <w:tcW w:w="1824" w:type="dxa"/>
                  <w:tcBorders>
                    <w:tl2br w:val="nil"/>
                    <w:tr2bl w:val="nil"/>
                  </w:tcBorders>
                  <w:vAlign w:val="center"/>
                </w:tcPr>
                <w:p>
                  <w:pPr>
                    <w:jc w:val="center"/>
                    <w:rPr>
                      <w:color w:val="auto"/>
                      <w:szCs w:val="21"/>
                      <w:highlight w:val="none"/>
                    </w:rPr>
                  </w:pPr>
                  <w:r>
                    <w:rPr>
                      <w:rFonts w:hint="eastAsia"/>
                      <w:color w:val="auto"/>
                      <w:szCs w:val="21"/>
                      <w:highlight w:val="none"/>
                    </w:rPr>
                    <w:t>四面厂界外</w:t>
                  </w:r>
                  <w:r>
                    <w:rPr>
                      <w:color w:val="auto"/>
                      <w:szCs w:val="21"/>
                      <w:highlight w:val="none"/>
                    </w:rPr>
                    <w:t>1m</w:t>
                  </w:r>
                </w:p>
              </w:tc>
              <w:tc>
                <w:tcPr>
                  <w:tcW w:w="1108" w:type="dxa"/>
                  <w:tcBorders>
                    <w:tl2br w:val="nil"/>
                    <w:tr2bl w:val="nil"/>
                  </w:tcBorders>
                  <w:vAlign w:val="center"/>
                </w:tcPr>
                <w:p>
                  <w:pPr>
                    <w:jc w:val="center"/>
                    <w:rPr>
                      <w:color w:val="auto"/>
                      <w:szCs w:val="21"/>
                      <w:highlight w:val="none"/>
                    </w:rPr>
                  </w:pPr>
                  <w:r>
                    <w:rPr>
                      <w:color w:val="auto"/>
                      <w:szCs w:val="21"/>
                      <w:highlight w:val="none"/>
                    </w:rPr>
                    <w:t>1</w:t>
                  </w:r>
                  <w:r>
                    <w:rPr>
                      <w:rFonts w:hint="eastAsia"/>
                      <w:color w:val="auto"/>
                      <w:szCs w:val="21"/>
                      <w:highlight w:val="none"/>
                    </w:rPr>
                    <w:t>次</w:t>
                  </w:r>
                  <w:r>
                    <w:rPr>
                      <w:color w:val="auto"/>
                      <w:szCs w:val="21"/>
                      <w:highlight w:val="none"/>
                    </w:rPr>
                    <w:t>/</w:t>
                  </w:r>
                  <w:r>
                    <w:rPr>
                      <w:rFonts w:hint="eastAsia"/>
                      <w:color w:val="auto"/>
                      <w:szCs w:val="21"/>
                      <w:highlight w:val="none"/>
                    </w:rPr>
                    <w:t>季</w:t>
                  </w:r>
                </w:p>
              </w:tc>
              <w:tc>
                <w:tcPr>
                  <w:tcW w:w="2175" w:type="dxa"/>
                  <w:tcBorders>
                    <w:tl2br w:val="nil"/>
                    <w:tr2bl w:val="nil"/>
                  </w:tcBorders>
                  <w:vAlign w:val="center"/>
                </w:tcPr>
                <w:p>
                  <w:pPr>
                    <w:jc w:val="center"/>
                    <w:rPr>
                      <w:color w:val="auto"/>
                      <w:szCs w:val="21"/>
                      <w:highlight w:val="none"/>
                    </w:rPr>
                  </w:pPr>
                  <w:r>
                    <w:rPr>
                      <w:color w:val="auto"/>
                      <w:szCs w:val="21"/>
                      <w:highlight w:val="none"/>
                    </w:rPr>
                    <w:t xml:space="preserve">GB 12348-2008 </w:t>
                  </w:r>
                  <w:r>
                    <w:rPr>
                      <w:rFonts w:hint="eastAsia"/>
                      <w:color w:val="auto"/>
                      <w:szCs w:val="21"/>
                      <w:highlight w:val="none"/>
                    </w:rPr>
                    <w:t>2类</w:t>
                  </w:r>
                </w:p>
              </w:tc>
            </w:tr>
          </w:tbl>
          <w:p>
            <w:pPr>
              <w:spacing w:line="360" w:lineRule="auto"/>
              <w:rPr>
                <w:color w:val="auto"/>
                <w:sz w:val="24"/>
                <w:highlight w:val="none"/>
              </w:rPr>
            </w:pPr>
            <w:r>
              <w:rPr>
                <w:rFonts w:hint="eastAsia" w:eastAsiaTheme="minorEastAsia"/>
                <w:b/>
                <w:color w:val="auto"/>
                <w:sz w:val="24"/>
                <w:highlight w:val="none"/>
              </w:rPr>
              <w:t>4、固体废物环境影响及保护措施</w:t>
            </w:r>
          </w:p>
          <w:p>
            <w:pPr>
              <w:spacing w:line="360" w:lineRule="auto"/>
              <w:rPr>
                <w:b/>
                <w:color w:val="auto"/>
                <w:sz w:val="24"/>
                <w:highlight w:val="none"/>
              </w:rPr>
            </w:pPr>
            <w:r>
              <w:rPr>
                <w:rFonts w:hint="eastAsia" w:eastAsiaTheme="minorEastAsia"/>
                <w:b/>
                <w:color w:val="auto"/>
                <w:sz w:val="24"/>
                <w:highlight w:val="none"/>
              </w:rPr>
              <w:t>4.1</w:t>
            </w:r>
            <w:r>
              <w:rPr>
                <w:rFonts w:eastAsiaTheme="minorEastAsia"/>
                <w:b/>
                <w:color w:val="auto"/>
                <w:sz w:val="24"/>
                <w:highlight w:val="none"/>
              </w:rPr>
              <w:t>固体废物产生情况</w:t>
            </w:r>
          </w:p>
          <w:p>
            <w:pPr>
              <w:spacing w:line="360" w:lineRule="auto"/>
              <w:ind w:firstLine="480" w:firstLineChars="200"/>
              <w:rPr>
                <w:color w:val="auto"/>
                <w:sz w:val="24"/>
                <w:highlight w:val="none"/>
              </w:rPr>
            </w:pPr>
            <w:r>
              <w:rPr>
                <w:rFonts w:hint="eastAsia"/>
                <w:color w:val="auto"/>
                <w:sz w:val="24"/>
                <w:highlight w:val="none"/>
              </w:rPr>
              <w:t>本项目营运期固废主要为包装废料、废边角料及残次品、收集的粉尘、废油漆桶、废粉末涂料箱、漆渣、废矿物油、废UV灯管、废活性炭、生活垃圾、喷淋废水。</w:t>
            </w:r>
          </w:p>
          <w:p>
            <w:pPr>
              <w:spacing w:line="360" w:lineRule="auto"/>
              <w:ind w:firstLine="480" w:firstLineChars="200"/>
              <w:rPr>
                <w:color w:val="auto"/>
                <w:sz w:val="24"/>
                <w:highlight w:val="none"/>
              </w:rPr>
            </w:pPr>
            <w:r>
              <w:rPr>
                <w:rFonts w:hint="eastAsia"/>
                <w:color w:val="auto"/>
                <w:sz w:val="24"/>
                <w:highlight w:val="none"/>
              </w:rPr>
              <w:t>（1）包装废料</w:t>
            </w:r>
          </w:p>
          <w:p>
            <w:pPr>
              <w:spacing w:line="360" w:lineRule="auto"/>
              <w:ind w:firstLine="480" w:firstLineChars="200"/>
              <w:rPr>
                <w:color w:val="auto"/>
                <w:sz w:val="24"/>
                <w:highlight w:val="none"/>
              </w:rPr>
            </w:pPr>
            <w:r>
              <w:rPr>
                <w:rFonts w:hint="eastAsia"/>
                <w:color w:val="auto"/>
                <w:sz w:val="24"/>
                <w:highlight w:val="none"/>
              </w:rPr>
              <w:t>项目在原料使用以及成品包装的过程中会产生包装废料，主要为塑料袋和泡沫制品，包装废料产生量约为 0.1t/a，收集后外售给废品站。</w:t>
            </w:r>
          </w:p>
          <w:p>
            <w:pPr>
              <w:spacing w:line="360" w:lineRule="auto"/>
              <w:ind w:firstLine="480" w:firstLineChars="200"/>
              <w:rPr>
                <w:color w:val="auto"/>
                <w:sz w:val="24"/>
                <w:highlight w:val="none"/>
              </w:rPr>
            </w:pPr>
            <w:r>
              <w:rPr>
                <w:rFonts w:hint="eastAsia"/>
                <w:color w:val="auto"/>
                <w:sz w:val="24"/>
                <w:highlight w:val="none"/>
              </w:rPr>
              <w:t>（2）废边角料及残次品</w:t>
            </w:r>
          </w:p>
          <w:p>
            <w:pPr>
              <w:spacing w:line="360" w:lineRule="auto"/>
              <w:ind w:firstLine="480" w:firstLineChars="200"/>
              <w:rPr>
                <w:color w:val="auto"/>
                <w:sz w:val="24"/>
                <w:highlight w:val="none"/>
              </w:rPr>
            </w:pPr>
            <w:r>
              <w:rPr>
                <w:rFonts w:hint="eastAsia"/>
                <w:color w:val="auto"/>
                <w:sz w:val="24"/>
                <w:highlight w:val="none"/>
              </w:rPr>
              <w:t>项目加工过程废边角料及残次品产生量约3t/a，主要为金属和塑料，收集后外售给资源回收单位。</w:t>
            </w:r>
          </w:p>
          <w:p>
            <w:pPr>
              <w:spacing w:line="360" w:lineRule="auto"/>
              <w:ind w:firstLine="480" w:firstLineChars="200"/>
              <w:rPr>
                <w:color w:val="auto"/>
                <w:sz w:val="24"/>
                <w:highlight w:val="none"/>
              </w:rPr>
            </w:pPr>
            <w:r>
              <w:rPr>
                <w:rFonts w:hint="eastAsia"/>
                <w:color w:val="auto"/>
                <w:sz w:val="24"/>
                <w:highlight w:val="none"/>
              </w:rPr>
              <w:t>（3）收集的粉尘</w:t>
            </w:r>
          </w:p>
          <w:p>
            <w:pPr>
              <w:spacing w:line="360" w:lineRule="auto"/>
              <w:ind w:firstLine="480" w:firstLineChars="200"/>
              <w:rPr>
                <w:color w:val="auto"/>
                <w:sz w:val="24"/>
                <w:highlight w:val="none"/>
              </w:rPr>
            </w:pPr>
            <w:r>
              <w:rPr>
                <w:rFonts w:hint="eastAsia"/>
                <w:color w:val="auto"/>
                <w:sz w:val="24"/>
                <w:highlight w:val="none"/>
                <w:lang w:eastAsia="zh-CN"/>
              </w:rPr>
              <w:t>根据前文分析，</w:t>
            </w:r>
            <w:r>
              <w:rPr>
                <w:rFonts w:hint="eastAsia"/>
                <w:color w:val="auto"/>
                <w:sz w:val="24"/>
                <w:highlight w:val="none"/>
              </w:rPr>
              <w:t>项目切割和雕刻会产生少量粉尘，</w:t>
            </w:r>
            <w:r>
              <w:rPr>
                <w:rFonts w:hint="eastAsia"/>
                <w:color w:val="auto"/>
                <w:sz w:val="24"/>
                <w:highlight w:val="none"/>
                <w:lang w:eastAsia="zh-CN"/>
              </w:rPr>
              <w:t>收集</w:t>
            </w:r>
            <w:r>
              <w:rPr>
                <w:rFonts w:hint="eastAsia"/>
                <w:color w:val="auto"/>
                <w:sz w:val="24"/>
                <w:highlight w:val="none"/>
              </w:rPr>
              <w:t>量约为</w:t>
            </w:r>
            <w:r>
              <w:rPr>
                <w:rFonts w:hint="eastAsia"/>
                <w:color w:val="auto"/>
                <w:sz w:val="24"/>
                <w:highlight w:val="none"/>
                <w:lang w:val="en-US" w:eastAsia="zh-CN"/>
              </w:rPr>
              <w:t>0.422</w:t>
            </w:r>
            <w:r>
              <w:rPr>
                <w:rFonts w:hint="eastAsia"/>
                <w:color w:val="auto"/>
                <w:sz w:val="24"/>
                <w:highlight w:val="none"/>
              </w:rPr>
              <w:t>t/a，主要为金属和塑料，外售资源回收单位。</w:t>
            </w:r>
          </w:p>
          <w:p>
            <w:pPr>
              <w:spacing w:line="360" w:lineRule="auto"/>
              <w:ind w:firstLine="480" w:firstLineChars="200"/>
              <w:rPr>
                <w:color w:val="auto"/>
                <w:sz w:val="24"/>
                <w:highlight w:val="none"/>
              </w:rPr>
            </w:pPr>
            <w:r>
              <w:rPr>
                <w:rFonts w:hint="eastAsia"/>
                <w:color w:val="auto"/>
                <w:sz w:val="24"/>
                <w:highlight w:val="none"/>
              </w:rPr>
              <w:t>（4）漆渣</w:t>
            </w:r>
          </w:p>
          <w:p>
            <w:pPr>
              <w:spacing w:line="360" w:lineRule="auto"/>
              <w:ind w:firstLine="480" w:firstLineChars="200"/>
              <w:rPr>
                <w:color w:val="auto"/>
                <w:sz w:val="24"/>
                <w:highlight w:val="none"/>
              </w:rPr>
            </w:pPr>
            <w:r>
              <w:rPr>
                <w:rFonts w:hint="eastAsia"/>
                <w:color w:val="auto"/>
                <w:sz w:val="24"/>
                <w:highlight w:val="none"/>
              </w:rPr>
              <w:t>项目喷漆工序油漆中所含的树脂等固体成分不易挥发，会产生漆雾，根前文计算，产生量约0.0432t/a。对照《国家危险废物名录》（2021年版），属于危险废物，编号为HW12，代码为900-252-12。由于水性油漆和油性油漆共用一套生产设备，两种漆渣无法分开，均算作危险废物。暂存于危废暂存间，委托有资质单位处理。</w:t>
            </w:r>
          </w:p>
          <w:p>
            <w:pPr>
              <w:spacing w:line="360" w:lineRule="auto"/>
              <w:ind w:firstLine="480" w:firstLineChars="200"/>
              <w:rPr>
                <w:color w:val="auto"/>
                <w:sz w:val="24"/>
                <w:highlight w:val="none"/>
              </w:rPr>
            </w:pPr>
            <w:r>
              <w:rPr>
                <w:rFonts w:hint="eastAsia"/>
                <w:color w:val="auto"/>
                <w:sz w:val="24"/>
                <w:highlight w:val="none"/>
              </w:rPr>
              <w:t>（5）废油漆桶</w:t>
            </w:r>
          </w:p>
          <w:p>
            <w:pPr>
              <w:spacing w:line="360" w:lineRule="auto"/>
              <w:ind w:firstLine="480" w:firstLineChars="200"/>
              <w:rPr>
                <w:color w:val="auto"/>
                <w:sz w:val="24"/>
                <w:highlight w:val="none"/>
              </w:rPr>
            </w:pPr>
            <w:r>
              <w:rPr>
                <w:rFonts w:hint="eastAsia"/>
                <w:color w:val="auto"/>
                <w:sz w:val="24"/>
                <w:highlight w:val="none"/>
              </w:rPr>
              <w:t>项目油性油漆桶产生量约为0.03t/a，对照《国家危险废物名录》（2021年版），属于危险废物，编号为HW49，代码为900-041-49，暂存于危废暂存间，定期委托有相应资质单位处理。项目水性油漆桶产生量约为0.02t/a，属于一般固废，外售回收单位。</w:t>
            </w:r>
          </w:p>
          <w:p>
            <w:pPr>
              <w:spacing w:line="360" w:lineRule="auto"/>
              <w:ind w:firstLine="480" w:firstLineChars="200"/>
              <w:rPr>
                <w:color w:val="auto"/>
                <w:sz w:val="24"/>
                <w:highlight w:val="none"/>
              </w:rPr>
            </w:pPr>
            <w:r>
              <w:rPr>
                <w:rFonts w:hint="eastAsia"/>
                <w:color w:val="auto"/>
                <w:sz w:val="24"/>
                <w:highlight w:val="none"/>
              </w:rPr>
              <w:t>（6）废粉末涂料包装箱</w:t>
            </w:r>
          </w:p>
          <w:p>
            <w:pPr>
              <w:spacing w:line="360" w:lineRule="auto"/>
              <w:ind w:firstLine="480" w:firstLineChars="200"/>
              <w:rPr>
                <w:color w:val="auto"/>
                <w:sz w:val="24"/>
                <w:highlight w:val="none"/>
              </w:rPr>
            </w:pPr>
            <w:r>
              <w:rPr>
                <w:rFonts w:hint="eastAsia"/>
                <w:color w:val="auto"/>
                <w:sz w:val="24"/>
                <w:highlight w:val="none"/>
              </w:rPr>
              <w:t>项目使用的粉末包装箱产生量约为0.02t/a，对照《国家危险废物名录》（2021年版），属于危险废物，编号为HW49，代码为900-041-49，暂存于危废暂存间，定期委托有相应资质单位处理。</w:t>
            </w:r>
          </w:p>
          <w:p>
            <w:pPr>
              <w:spacing w:line="360" w:lineRule="auto"/>
              <w:ind w:firstLine="480" w:firstLineChars="200"/>
              <w:rPr>
                <w:color w:val="auto"/>
                <w:sz w:val="24"/>
                <w:highlight w:val="none"/>
              </w:rPr>
            </w:pPr>
            <w:r>
              <w:rPr>
                <w:rFonts w:hint="eastAsia"/>
                <w:color w:val="auto"/>
                <w:sz w:val="24"/>
                <w:highlight w:val="none"/>
              </w:rPr>
              <w:t>（7）废UV灯管</w:t>
            </w:r>
          </w:p>
          <w:p>
            <w:pPr>
              <w:spacing w:line="360" w:lineRule="auto"/>
              <w:ind w:firstLine="480" w:firstLineChars="200"/>
              <w:rPr>
                <w:color w:val="auto"/>
                <w:sz w:val="24"/>
                <w:highlight w:val="none"/>
              </w:rPr>
            </w:pPr>
            <w:r>
              <w:rPr>
                <w:rFonts w:hint="eastAsia"/>
                <w:color w:val="auto"/>
                <w:sz w:val="24"/>
                <w:highlight w:val="none"/>
              </w:rPr>
              <w:t>项目废气处理装置中使用UV灯管对有机废气进行裂解，其运行时会产生废UV 灯管，类比同类项目生产经验，经估算，本项目紫外灯管损耗量约为0.01t/a，根据《国家危险废物名录》（2021 年版），危险废物类别为 HW29 含汞废物，废物代码为 900-023-29，收集后暂存于危废暂存间，交由有资质的单位处理。</w:t>
            </w:r>
          </w:p>
          <w:p>
            <w:pPr>
              <w:spacing w:line="360" w:lineRule="auto"/>
              <w:ind w:firstLine="480" w:firstLineChars="200"/>
              <w:rPr>
                <w:color w:val="auto"/>
                <w:sz w:val="24"/>
                <w:highlight w:val="none"/>
              </w:rPr>
            </w:pPr>
            <w:r>
              <w:rPr>
                <w:rFonts w:hint="eastAsia"/>
                <w:color w:val="auto"/>
                <w:sz w:val="24"/>
                <w:highlight w:val="none"/>
              </w:rPr>
              <w:t>（8）废活性炭</w:t>
            </w:r>
          </w:p>
          <w:p>
            <w:pPr>
              <w:spacing w:line="360" w:lineRule="auto"/>
              <w:ind w:firstLine="480" w:firstLineChars="200"/>
              <w:rPr>
                <w:color w:val="auto"/>
                <w:sz w:val="24"/>
                <w:highlight w:val="none"/>
              </w:rPr>
            </w:pPr>
            <w:r>
              <w:rPr>
                <w:rFonts w:hint="eastAsia"/>
                <w:color w:val="auto"/>
                <w:sz w:val="24"/>
                <w:highlight w:val="none"/>
              </w:rPr>
              <w:t>项目的废气处理设施的活性炭需要定期更换，对照《国家危险废物名录》（2021年版），废活性炭属于危险废物，编号为HW49 其他废物，代码为900-039-49。根据《现代涂装手册》（化学工业出版社，2010 年出版）P815页，活性炭对有机废气的吸附量约为0.25g废气/g活性炭。根据前文分析，项目本项目经活性炭吸附的VOCs量约为0.092t/a，故项目吸附废气理论所需的活性炭用量约为0.368t/a，则废活性炭产生量为0.46t/a，暂存于危废暂存间，定期委托有资质单位处理。</w:t>
            </w:r>
          </w:p>
          <w:p>
            <w:pPr>
              <w:spacing w:line="360" w:lineRule="auto"/>
              <w:ind w:firstLine="480" w:firstLineChars="200"/>
              <w:rPr>
                <w:color w:val="auto"/>
                <w:sz w:val="24"/>
                <w:highlight w:val="none"/>
              </w:rPr>
            </w:pPr>
            <w:r>
              <w:rPr>
                <w:rFonts w:hint="eastAsia"/>
                <w:color w:val="auto"/>
                <w:sz w:val="24"/>
                <w:highlight w:val="none"/>
              </w:rPr>
              <w:t>（9）废机油</w:t>
            </w:r>
          </w:p>
          <w:p>
            <w:pPr>
              <w:spacing w:line="360" w:lineRule="auto"/>
              <w:ind w:firstLine="480" w:firstLineChars="200"/>
              <w:rPr>
                <w:color w:val="auto"/>
                <w:sz w:val="24"/>
                <w:highlight w:val="none"/>
              </w:rPr>
            </w:pPr>
            <w:r>
              <w:rPr>
                <w:rFonts w:hint="eastAsia"/>
                <w:color w:val="auto"/>
                <w:sz w:val="24"/>
                <w:highlight w:val="none"/>
              </w:rPr>
              <w:t>项目生产设备进行维修、更换润滑油等过程会产生废机油，产生量约为 0.01t/a，根据《国家危险废物名录》（2021年版），为危险废物，危废类别为HW08，危废代码为900-249-08/900-218-08，按《危险废物储存污染控制标准》要求进行储存，委托有资质的单位处理。</w:t>
            </w:r>
          </w:p>
          <w:p>
            <w:pPr>
              <w:spacing w:line="360" w:lineRule="auto"/>
              <w:ind w:firstLine="480" w:firstLineChars="200"/>
              <w:rPr>
                <w:color w:val="auto"/>
                <w:sz w:val="24"/>
                <w:highlight w:val="none"/>
              </w:rPr>
            </w:pPr>
            <w:r>
              <w:rPr>
                <w:rFonts w:hint="eastAsia"/>
                <w:color w:val="auto"/>
                <w:sz w:val="24"/>
                <w:highlight w:val="none"/>
              </w:rPr>
              <w:t>（10）</w:t>
            </w:r>
            <w:r>
              <w:rPr>
                <w:color w:val="auto"/>
                <w:sz w:val="24"/>
                <w:highlight w:val="none"/>
              </w:rPr>
              <w:t>生活垃圾</w:t>
            </w:r>
          </w:p>
          <w:p>
            <w:pPr>
              <w:spacing w:line="360" w:lineRule="auto"/>
              <w:ind w:firstLine="480" w:firstLineChars="200"/>
              <w:rPr>
                <w:color w:val="auto"/>
                <w:sz w:val="24"/>
                <w:highlight w:val="none"/>
              </w:rPr>
            </w:pPr>
            <w:r>
              <w:rPr>
                <w:rFonts w:hint="eastAsia"/>
                <w:color w:val="auto"/>
                <w:sz w:val="24"/>
                <w:highlight w:val="none"/>
              </w:rPr>
              <w:t>项目</w:t>
            </w:r>
            <w:r>
              <w:rPr>
                <w:color w:val="auto"/>
                <w:sz w:val="24"/>
                <w:highlight w:val="none"/>
              </w:rPr>
              <w:t>劳动人员</w:t>
            </w:r>
            <w:r>
              <w:rPr>
                <w:rFonts w:hint="eastAsia"/>
                <w:color w:val="auto"/>
                <w:sz w:val="24"/>
                <w:highlight w:val="none"/>
              </w:rPr>
              <w:t>10</w:t>
            </w:r>
            <w:r>
              <w:rPr>
                <w:color w:val="auto"/>
                <w:sz w:val="24"/>
                <w:highlight w:val="none"/>
              </w:rPr>
              <w:t>人，按每人产生生活垃圾</w:t>
            </w:r>
            <w:r>
              <w:rPr>
                <w:rFonts w:hint="eastAsia"/>
                <w:color w:val="auto"/>
                <w:sz w:val="24"/>
                <w:highlight w:val="none"/>
              </w:rPr>
              <w:t>0.54</w:t>
            </w:r>
            <w:r>
              <w:rPr>
                <w:color w:val="auto"/>
                <w:sz w:val="24"/>
                <w:highlight w:val="none"/>
              </w:rPr>
              <w:t>kg/d计，年工作</w:t>
            </w:r>
            <w:r>
              <w:rPr>
                <w:rFonts w:hint="eastAsia"/>
                <w:color w:val="auto"/>
                <w:sz w:val="24"/>
                <w:highlight w:val="none"/>
              </w:rPr>
              <w:t>30</w:t>
            </w:r>
            <w:r>
              <w:rPr>
                <w:color w:val="auto"/>
                <w:sz w:val="24"/>
                <w:highlight w:val="none"/>
              </w:rPr>
              <w:t>0天，则员工产生的生活垃圾约</w:t>
            </w:r>
            <w:r>
              <w:rPr>
                <w:rFonts w:hint="eastAsia"/>
                <w:color w:val="auto"/>
                <w:sz w:val="24"/>
                <w:highlight w:val="none"/>
              </w:rPr>
              <w:t xml:space="preserve">1.62 </w:t>
            </w:r>
            <w:r>
              <w:rPr>
                <w:color w:val="auto"/>
                <w:sz w:val="24"/>
                <w:highlight w:val="none"/>
              </w:rPr>
              <w:t>t/a</w:t>
            </w:r>
            <w:r>
              <w:rPr>
                <w:rFonts w:hint="eastAsia"/>
                <w:color w:val="auto"/>
                <w:sz w:val="24"/>
                <w:highlight w:val="none"/>
              </w:rPr>
              <w:t>，委托环卫部门清运处理。</w:t>
            </w:r>
          </w:p>
          <w:p>
            <w:pPr>
              <w:widowControl/>
              <w:spacing w:line="360" w:lineRule="auto"/>
              <w:ind w:firstLine="482"/>
              <w:rPr>
                <w:color w:val="auto"/>
                <w:sz w:val="24"/>
                <w:highlight w:val="none"/>
              </w:rPr>
            </w:pPr>
            <w:r>
              <w:rPr>
                <w:rFonts w:hint="eastAsia"/>
                <w:color w:val="auto"/>
                <w:sz w:val="24"/>
                <w:highlight w:val="none"/>
              </w:rPr>
              <w:t>（11）喷淋废水</w:t>
            </w:r>
          </w:p>
          <w:p>
            <w:pPr>
              <w:widowControl/>
              <w:spacing w:line="360" w:lineRule="auto"/>
              <w:ind w:firstLine="482"/>
              <w:rPr>
                <w:color w:val="auto"/>
                <w:sz w:val="24"/>
                <w:highlight w:val="none"/>
              </w:rPr>
            </w:pPr>
            <w:r>
              <w:rPr>
                <w:rFonts w:hint="eastAsia"/>
                <w:color w:val="auto"/>
                <w:sz w:val="24"/>
                <w:highlight w:val="none"/>
              </w:rPr>
              <w:t>项目喷淋废水循环使用，但污染因子经长时间累积，需定期更换循环用水，本项目喷漆房设置1个1m</w:t>
            </w:r>
            <w:r>
              <w:rPr>
                <w:rFonts w:hint="eastAsia"/>
                <w:color w:val="auto"/>
                <w:sz w:val="24"/>
                <w:highlight w:val="none"/>
                <w:vertAlign w:val="superscript"/>
              </w:rPr>
              <w:t>3</w:t>
            </w:r>
            <w:r>
              <w:rPr>
                <w:rFonts w:hint="eastAsia"/>
                <w:color w:val="auto"/>
                <w:sz w:val="24"/>
                <w:highlight w:val="none"/>
              </w:rPr>
              <w:t>的循环水池，循环水每年更换一次，喷淋废水的产生量为2t/a，作危险废物处理，收集暂存危废间交由有资质单位处理。</w:t>
            </w:r>
          </w:p>
          <w:p>
            <w:pPr>
              <w:widowControl/>
              <w:spacing w:line="360" w:lineRule="auto"/>
              <w:ind w:firstLine="482"/>
              <w:rPr>
                <w:color w:val="auto"/>
                <w:sz w:val="24"/>
                <w:highlight w:val="none"/>
              </w:rPr>
            </w:pPr>
            <w:r>
              <w:rPr>
                <w:rFonts w:hint="eastAsia"/>
                <w:color w:val="auto"/>
                <w:sz w:val="24"/>
                <w:highlight w:val="none"/>
              </w:rPr>
              <w:t>（12）废抹布</w:t>
            </w:r>
          </w:p>
          <w:p>
            <w:pPr>
              <w:widowControl/>
              <w:spacing w:line="360" w:lineRule="auto"/>
              <w:ind w:firstLine="482"/>
              <w:rPr>
                <w:color w:val="auto"/>
                <w:sz w:val="24"/>
                <w:highlight w:val="none"/>
              </w:rPr>
            </w:pPr>
            <w:r>
              <w:rPr>
                <w:rFonts w:hint="eastAsia"/>
                <w:color w:val="auto"/>
                <w:sz w:val="24"/>
                <w:highlight w:val="none"/>
              </w:rPr>
              <w:t>项目生产过程中会有部分油漆漏滴，使用抹布擦拭，使用后的废抹布属于编号为HW49危险废物，产生量约为0.01t/a，暂存危废间交由有资质单位处理。</w:t>
            </w:r>
          </w:p>
          <w:p>
            <w:pPr>
              <w:widowControl/>
              <w:spacing w:line="360" w:lineRule="auto"/>
              <w:ind w:firstLine="482"/>
              <w:rPr>
                <w:color w:val="auto"/>
                <w:sz w:val="24"/>
                <w:highlight w:val="none"/>
              </w:rPr>
            </w:pPr>
            <w:r>
              <w:rPr>
                <w:rFonts w:hint="eastAsia"/>
                <w:color w:val="auto"/>
                <w:sz w:val="24"/>
                <w:highlight w:val="none"/>
              </w:rPr>
              <w:t>（13）废灯带</w:t>
            </w:r>
          </w:p>
          <w:p>
            <w:pPr>
              <w:widowControl/>
              <w:spacing w:line="360" w:lineRule="auto"/>
              <w:ind w:firstLine="482"/>
              <w:rPr>
                <w:rFonts w:hint="eastAsia"/>
                <w:color w:val="auto"/>
                <w:sz w:val="24"/>
                <w:highlight w:val="none"/>
              </w:rPr>
            </w:pPr>
            <w:r>
              <w:rPr>
                <w:rFonts w:hint="eastAsia"/>
                <w:color w:val="auto"/>
                <w:sz w:val="24"/>
                <w:highlight w:val="none"/>
              </w:rPr>
              <w:t>项目部分产品根据订单要求装入灯带，失效的废灯带产生量约为0.01t/a，由原厂家回收处理。</w:t>
            </w:r>
          </w:p>
          <w:p>
            <w:pPr>
              <w:widowControl/>
              <w:numPr>
                <w:ilvl w:val="0"/>
                <w:numId w:val="0"/>
              </w:numPr>
              <w:spacing w:line="360" w:lineRule="auto"/>
              <w:ind w:firstLine="480" w:firstLineChars="200"/>
              <w:rPr>
                <w:rFonts w:hint="eastAsia"/>
                <w:color w:val="auto"/>
                <w:sz w:val="24"/>
                <w:highlight w:val="none"/>
                <w:lang w:val="en-US" w:eastAsia="zh-CN"/>
              </w:rPr>
            </w:pPr>
            <w:r>
              <w:rPr>
                <w:rFonts w:hint="eastAsia"/>
                <w:color w:val="auto"/>
                <w:sz w:val="24"/>
                <w:highlight w:val="none"/>
                <w:lang w:val="en-US" w:eastAsia="zh-CN"/>
              </w:rPr>
              <w:t>（14）更换的滤芯</w:t>
            </w:r>
          </w:p>
          <w:p>
            <w:pPr>
              <w:widowControl/>
              <w:numPr>
                <w:ilvl w:val="0"/>
                <w:numId w:val="0"/>
              </w:numPr>
              <w:spacing w:line="360" w:lineRule="auto"/>
              <w:ind w:firstLine="480" w:firstLineChars="200"/>
              <w:rPr>
                <w:rFonts w:hint="default" w:eastAsia="宋体"/>
                <w:color w:val="auto"/>
                <w:sz w:val="24"/>
                <w:highlight w:val="none"/>
                <w:lang w:val="en-US" w:eastAsia="zh-CN"/>
              </w:rPr>
            </w:pPr>
            <w:r>
              <w:rPr>
                <w:rFonts w:hint="eastAsia"/>
                <w:color w:val="auto"/>
                <w:sz w:val="24"/>
                <w:highlight w:val="none"/>
                <w:lang w:val="en-US" w:eastAsia="zh-CN"/>
              </w:rPr>
              <w:t>本项目使用焊接烟气净化器对焊接工段烟气进行处理，该净化器为滤芯过滤，项目生产过程中需定期更换滤芯，更换的量约为0.01t/a。由于焊接烟气主要为金属颗粒，属于一般固废，交由环卫部门处理。</w:t>
            </w:r>
          </w:p>
          <w:p>
            <w:pPr>
              <w:widowControl/>
              <w:spacing w:line="360" w:lineRule="auto"/>
              <w:ind w:firstLine="482"/>
              <w:rPr>
                <w:color w:val="auto"/>
                <w:sz w:val="24"/>
                <w:highlight w:val="none"/>
              </w:rPr>
            </w:pPr>
            <w:r>
              <w:rPr>
                <w:rFonts w:hint="eastAsia"/>
                <w:color w:val="auto"/>
                <w:sz w:val="24"/>
                <w:highlight w:val="none"/>
              </w:rPr>
              <w:t>综上所述，项目营运期</w:t>
            </w:r>
            <w:r>
              <w:rPr>
                <w:color w:val="auto"/>
                <w:sz w:val="24"/>
                <w:highlight w:val="none"/>
              </w:rPr>
              <w:t>固废汇总</w:t>
            </w:r>
            <w:r>
              <w:rPr>
                <w:rFonts w:hint="eastAsia"/>
                <w:color w:val="auto"/>
                <w:sz w:val="24"/>
                <w:highlight w:val="none"/>
              </w:rPr>
              <w:t>情况</w:t>
            </w:r>
            <w:r>
              <w:rPr>
                <w:color w:val="auto"/>
                <w:sz w:val="24"/>
                <w:highlight w:val="none"/>
              </w:rPr>
              <w:t>见</w:t>
            </w:r>
            <w:r>
              <w:rPr>
                <w:rFonts w:hint="eastAsia"/>
                <w:color w:val="auto"/>
                <w:sz w:val="24"/>
                <w:highlight w:val="none"/>
              </w:rPr>
              <w:t>下</w:t>
            </w:r>
            <w:r>
              <w:rPr>
                <w:color w:val="auto"/>
                <w:sz w:val="24"/>
                <w:highlight w:val="none"/>
              </w:rPr>
              <w:t>表。</w:t>
            </w:r>
          </w:p>
          <w:p>
            <w:pPr>
              <w:spacing w:line="300" w:lineRule="exact"/>
              <w:ind w:firstLine="482" w:firstLineChars="200"/>
              <w:jc w:val="center"/>
              <w:rPr>
                <w:rFonts w:hAnsi="宋体"/>
                <w:b/>
                <w:color w:val="auto"/>
                <w:sz w:val="24"/>
                <w:highlight w:val="none"/>
              </w:rPr>
            </w:pPr>
          </w:p>
          <w:p>
            <w:pPr>
              <w:spacing w:line="300" w:lineRule="exact"/>
              <w:ind w:firstLine="422" w:firstLineChars="200"/>
              <w:jc w:val="center"/>
              <w:rPr>
                <w:rFonts w:hAnsi="宋体"/>
                <w:b/>
                <w:color w:val="auto"/>
                <w:szCs w:val="21"/>
                <w:highlight w:val="none"/>
              </w:rPr>
            </w:pPr>
            <w:r>
              <w:rPr>
                <w:rFonts w:hint="eastAsia" w:hAnsi="宋体"/>
                <w:b/>
                <w:color w:val="auto"/>
                <w:szCs w:val="21"/>
                <w:highlight w:val="none"/>
              </w:rPr>
              <w:t>表4-9  项目固体废物产生及处置情况</w:t>
            </w:r>
          </w:p>
          <w:tbl>
            <w:tblPr>
              <w:tblStyle w:val="25"/>
              <w:tblW w:w="7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17"/>
              <w:gridCol w:w="1095"/>
              <w:gridCol w:w="1095"/>
              <w:gridCol w:w="1099"/>
              <w:gridCol w:w="2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序号</w:t>
                  </w:r>
                </w:p>
              </w:tc>
              <w:tc>
                <w:tcPr>
                  <w:tcW w:w="201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名称</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来源</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属性</w:t>
                  </w:r>
                </w:p>
              </w:tc>
              <w:tc>
                <w:tcPr>
                  <w:tcW w:w="1099"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产生量</w:t>
                  </w:r>
                </w:p>
              </w:tc>
              <w:tc>
                <w:tcPr>
                  <w:tcW w:w="2024"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处置措施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1</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包装废料</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生产</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一般固废</w:t>
                  </w:r>
                </w:p>
              </w:tc>
              <w:tc>
                <w:tcPr>
                  <w:tcW w:w="1099" w:type="dxa"/>
                  <w:tcBorders>
                    <w:tl2br w:val="nil"/>
                    <w:tr2bl w:val="nil"/>
                  </w:tcBorders>
                  <w:vAlign w:val="center"/>
                </w:tcPr>
                <w:p>
                  <w:pPr>
                    <w:jc w:val="center"/>
                    <w:rPr>
                      <w:color w:val="auto"/>
                      <w:kern w:val="1"/>
                      <w:szCs w:val="21"/>
                      <w:highlight w:val="none"/>
                    </w:rPr>
                  </w:pPr>
                  <w:r>
                    <w:rPr>
                      <w:rFonts w:hint="eastAsia"/>
                      <w:color w:val="auto"/>
                      <w:szCs w:val="21"/>
                      <w:highlight w:val="none"/>
                    </w:rPr>
                    <w:t>0.1t/a</w:t>
                  </w:r>
                </w:p>
              </w:tc>
              <w:tc>
                <w:tcPr>
                  <w:tcW w:w="2024" w:type="dxa"/>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外卖给废品站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2</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废水性油漆桶</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生产</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一般固废</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0.02</w:t>
                  </w:r>
                  <w:r>
                    <w:rPr>
                      <w:rFonts w:hint="eastAsia"/>
                      <w:color w:val="auto"/>
                      <w:szCs w:val="21"/>
                      <w:highlight w:val="none"/>
                    </w:rPr>
                    <w:t>t/a</w:t>
                  </w:r>
                </w:p>
              </w:tc>
              <w:tc>
                <w:tcPr>
                  <w:tcW w:w="2024" w:type="dxa"/>
                  <w:vMerge w:val="restart"/>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外售资源回收单位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3</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废边角料及残次品</w:t>
                  </w:r>
                </w:p>
              </w:tc>
              <w:tc>
                <w:tcPr>
                  <w:tcW w:w="1095" w:type="dxa"/>
                  <w:vMerge w:val="restart"/>
                  <w:tcBorders>
                    <w:tl2br w:val="nil"/>
                    <w:tr2bl w:val="nil"/>
                  </w:tcBorders>
                  <w:vAlign w:val="center"/>
                </w:tcPr>
                <w:p>
                  <w:pPr>
                    <w:jc w:val="center"/>
                    <w:rPr>
                      <w:color w:val="auto"/>
                      <w:szCs w:val="21"/>
                      <w:highlight w:val="none"/>
                    </w:rPr>
                  </w:pPr>
                  <w:r>
                    <w:rPr>
                      <w:rFonts w:hint="eastAsia"/>
                      <w:color w:val="auto"/>
                      <w:szCs w:val="21"/>
                      <w:highlight w:val="none"/>
                    </w:rPr>
                    <w:t>加工</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一般固废</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3</w:t>
                  </w:r>
                  <w:r>
                    <w:rPr>
                      <w:color w:val="auto"/>
                      <w:szCs w:val="21"/>
                      <w:highlight w:val="none"/>
                    </w:rPr>
                    <w:t>t/a</w:t>
                  </w:r>
                </w:p>
              </w:tc>
              <w:tc>
                <w:tcPr>
                  <w:tcW w:w="2024" w:type="dxa"/>
                  <w:vMerge w:val="continue"/>
                  <w:tcBorders>
                    <w:tl2br w:val="nil"/>
                    <w:tr2bl w:val="nil"/>
                  </w:tcBorders>
                  <w:vAlign w:val="center"/>
                </w:tcPr>
                <w:p>
                  <w:pPr>
                    <w:jc w:val="center"/>
                    <w:rPr>
                      <w:rFonts w:ascii="宋体" w:hAnsi="宋体" w:cs="宋体"/>
                      <w:color w:val="auto"/>
                      <w:kern w:val="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4</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color w:val="auto"/>
                      <w:szCs w:val="21"/>
                      <w:highlight w:val="none"/>
                    </w:rPr>
                    <w:t>收集粉尘</w:t>
                  </w:r>
                </w:p>
              </w:tc>
              <w:tc>
                <w:tcPr>
                  <w:tcW w:w="1095" w:type="dxa"/>
                  <w:vMerge w:val="continue"/>
                  <w:tcBorders>
                    <w:tl2br w:val="nil"/>
                    <w:tr2bl w:val="nil"/>
                  </w:tcBorders>
                  <w:vAlign w:val="center"/>
                </w:tcPr>
                <w:p>
                  <w:pPr>
                    <w:jc w:val="center"/>
                    <w:rPr>
                      <w:color w:val="auto"/>
                      <w:kern w:val="1"/>
                      <w:szCs w:val="21"/>
                      <w:highlight w:val="none"/>
                    </w:rPr>
                  </w:pP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一般固废</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lang w:val="en-US" w:eastAsia="zh-CN"/>
                    </w:rPr>
                    <w:t>0.422</w:t>
                  </w:r>
                  <w:r>
                    <w:rPr>
                      <w:color w:val="auto"/>
                      <w:szCs w:val="21"/>
                      <w:highlight w:val="none"/>
                    </w:rPr>
                    <w:t>t/a</w:t>
                  </w:r>
                </w:p>
              </w:tc>
              <w:tc>
                <w:tcPr>
                  <w:tcW w:w="2024" w:type="dxa"/>
                  <w:vMerge w:val="continue"/>
                  <w:tcBorders>
                    <w:tl2br w:val="nil"/>
                    <w:tr2bl w:val="nil"/>
                  </w:tcBorders>
                  <w:vAlign w:val="center"/>
                </w:tcPr>
                <w:p>
                  <w:pPr>
                    <w:jc w:val="center"/>
                    <w:rPr>
                      <w:rFonts w:ascii="宋体" w:hAnsi="宋体" w:cs="宋体"/>
                      <w:color w:val="auto"/>
                      <w:kern w:val="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47" w:type="dxa"/>
                  <w:tcBorders>
                    <w:tl2br w:val="nil"/>
                    <w:tr2bl w:val="nil"/>
                  </w:tcBorders>
                  <w:vAlign w:val="center"/>
                </w:tcPr>
                <w:p>
                  <w:pPr>
                    <w:autoSpaceDE w:val="0"/>
                    <w:autoSpaceDN w:val="0"/>
                    <w:adjustRightInd w:val="0"/>
                    <w:jc w:val="center"/>
                    <w:rPr>
                      <w:rFonts w:hint="eastAsia"/>
                      <w:color w:val="auto"/>
                      <w:kern w:val="0"/>
                      <w:szCs w:val="21"/>
                      <w:highlight w:val="none"/>
                    </w:rPr>
                  </w:pPr>
                  <w:r>
                    <w:rPr>
                      <w:rFonts w:hint="eastAsia"/>
                      <w:color w:val="auto"/>
                      <w:kern w:val="0"/>
                      <w:szCs w:val="21"/>
                      <w:highlight w:val="none"/>
                    </w:rPr>
                    <w:t>5</w:t>
                  </w:r>
                </w:p>
              </w:tc>
              <w:tc>
                <w:tcPr>
                  <w:tcW w:w="2017" w:type="dxa"/>
                  <w:tcBorders>
                    <w:tl2br w:val="nil"/>
                    <w:tr2bl w:val="nil"/>
                  </w:tcBorders>
                  <w:vAlign w:val="center"/>
                </w:tcPr>
                <w:p>
                  <w:pPr>
                    <w:jc w:val="center"/>
                    <w:rPr>
                      <w:rFonts w:hint="eastAsia" w:eastAsia="宋体"/>
                      <w:color w:val="auto"/>
                      <w:szCs w:val="21"/>
                      <w:highlight w:val="none"/>
                      <w:lang w:eastAsia="zh-CN"/>
                    </w:rPr>
                  </w:pPr>
                  <w:r>
                    <w:rPr>
                      <w:rFonts w:hint="eastAsia"/>
                      <w:color w:val="auto"/>
                      <w:szCs w:val="21"/>
                      <w:highlight w:val="none"/>
                      <w:lang w:eastAsia="zh-CN"/>
                    </w:rPr>
                    <w:t>更换的滤芯</w:t>
                  </w:r>
                </w:p>
              </w:tc>
              <w:tc>
                <w:tcPr>
                  <w:tcW w:w="1095" w:type="dxa"/>
                  <w:tcBorders>
                    <w:tl2br w:val="nil"/>
                    <w:tr2bl w:val="nil"/>
                  </w:tcBorders>
                  <w:vAlign w:val="center"/>
                </w:tcPr>
                <w:p>
                  <w:pPr>
                    <w:jc w:val="center"/>
                    <w:rPr>
                      <w:rFonts w:hint="eastAsia" w:eastAsia="宋体"/>
                      <w:color w:val="auto"/>
                      <w:kern w:val="1"/>
                      <w:szCs w:val="21"/>
                      <w:highlight w:val="none"/>
                      <w:lang w:eastAsia="zh-CN"/>
                    </w:rPr>
                  </w:pPr>
                  <w:r>
                    <w:rPr>
                      <w:rFonts w:hint="eastAsia"/>
                      <w:color w:val="auto"/>
                      <w:kern w:val="1"/>
                      <w:szCs w:val="21"/>
                      <w:highlight w:val="none"/>
                      <w:lang w:eastAsia="zh-CN"/>
                    </w:rPr>
                    <w:t>生产</w:t>
                  </w:r>
                </w:p>
              </w:tc>
              <w:tc>
                <w:tcPr>
                  <w:tcW w:w="1095" w:type="dxa"/>
                  <w:tcBorders>
                    <w:tl2br w:val="nil"/>
                    <w:tr2bl w:val="nil"/>
                  </w:tcBorders>
                  <w:vAlign w:val="center"/>
                </w:tcPr>
                <w:p>
                  <w:pPr>
                    <w:autoSpaceDE w:val="0"/>
                    <w:autoSpaceDN w:val="0"/>
                    <w:adjustRightInd w:val="0"/>
                    <w:jc w:val="center"/>
                    <w:rPr>
                      <w:rFonts w:hint="eastAsia" w:eastAsia="宋体"/>
                      <w:color w:val="auto"/>
                      <w:kern w:val="0"/>
                      <w:szCs w:val="21"/>
                      <w:highlight w:val="none"/>
                      <w:lang w:eastAsia="zh-CN"/>
                    </w:rPr>
                  </w:pPr>
                  <w:r>
                    <w:rPr>
                      <w:rFonts w:hint="eastAsia"/>
                      <w:color w:val="auto"/>
                      <w:kern w:val="0"/>
                      <w:szCs w:val="21"/>
                      <w:highlight w:val="none"/>
                      <w:lang w:eastAsia="zh-CN"/>
                    </w:rPr>
                    <w:t>一般固废</w:t>
                  </w:r>
                </w:p>
              </w:tc>
              <w:tc>
                <w:tcPr>
                  <w:tcW w:w="1099" w:type="dxa"/>
                  <w:tcBorders>
                    <w:tl2br w:val="nil"/>
                    <w:tr2bl w:val="nil"/>
                  </w:tcBorders>
                  <w:vAlign w:val="center"/>
                </w:tcPr>
                <w:p>
                  <w:pPr>
                    <w:jc w:val="center"/>
                    <w:rPr>
                      <w:rFonts w:hint="default" w:eastAsia="宋体"/>
                      <w:color w:val="auto"/>
                      <w:kern w:val="1"/>
                      <w:szCs w:val="21"/>
                      <w:highlight w:val="none"/>
                      <w:lang w:val="en-US" w:eastAsia="zh-CN"/>
                    </w:rPr>
                  </w:pPr>
                  <w:r>
                    <w:rPr>
                      <w:rFonts w:hint="eastAsia"/>
                      <w:color w:val="auto"/>
                      <w:kern w:val="1"/>
                      <w:szCs w:val="21"/>
                      <w:highlight w:val="none"/>
                      <w:lang w:val="en-US" w:eastAsia="zh-CN"/>
                    </w:rPr>
                    <w:t>0.01t/a</w:t>
                  </w:r>
                </w:p>
              </w:tc>
              <w:tc>
                <w:tcPr>
                  <w:tcW w:w="2024" w:type="dxa"/>
                  <w:tcBorders>
                    <w:tl2br w:val="nil"/>
                    <w:tr2bl w:val="nil"/>
                  </w:tcBorders>
                  <w:vAlign w:val="center"/>
                </w:tcPr>
                <w:p>
                  <w:pPr>
                    <w:jc w:val="center"/>
                    <w:rPr>
                      <w:rFonts w:hint="eastAsia" w:ascii="宋体" w:hAnsi="宋体" w:eastAsia="宋体" w:cs="宋体"/>
                      <w:color w:val="auto"/>
                      <w:kern w:val="1"/>
                      <w:szCs w:val="21"/>
                      <w:highlight w:val="none"/>
                      <w:lang w:eastAsia="zh-CN"/>
                    </w:rPr>
                  </w:pPr>
                  <w:r>
                    <w:rPr>
                      <w:rFonts w:hint="eastAsia" w:ascii="宋体" w:hAnsi="宋体" w:cs="宋体"/>
                      <w:color w:val="auto"/>
                      <w:kern w:val="1"/>
                      <w:szCs w:val="21"/>
                      <w:highlight w:val="none"/>
                      <w:lang w:eastAsia="zh-CN"/>
                    </w:rPr>
                    <w:t>交由环卫部门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6</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hAnsi="宋体"/>
                      <w:bCs/>
                      <w:color w:val="auto"/>
                      <w:szCs w:val="21"/>
                      <w:highlight w:val="none"/>
                    </w:rPr>
                    <w:t>漆渣</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喷漆</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危险废物</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0.0432</w:t>
                  </w:r>
                  <w:r>
                    <w:rPr>
                      <w:color w:val="auto"/>
                      <w:szCs w:val="21"/>
                      <w:highlight w:val="none"/>
                    </w:rPr>
                    <w:t>t/a</w:t>
                  </w:r>
                </w:p>
              </w:tc>
              <w:tc>
                <w:tcPr>
                  <w:tcW w:w="2024" w:type="dxa"/>
                  <w:vMerge w:val="restar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暂存危废间交由有资质单位处理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7</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废油性油漆桶</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喷漆</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危险废物</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0.03</w:t>
                  </w:r>
                  <w:r>
                    <w:rPr>
                      <w:rFonts w:hint="eastAsia"/>
                      <w:color w:val="auto"/>
                      <w:szCs w:val="21"/>
                      <w:highlight w:val="none"/>
                    </w:rPr>
                    <w:t>t</w:t>
                  </w:r>
                  <w:r>
                    <w:rPr>
                      <w:color w:val="auto"/>
                      <w:szCs w:val="21"/>
                      <w:highlight w:val="none"/>
                    </w:rPr>
                    <w:t>/a</w:t>
                  </w:r>
                </w:p>
              </w:tc>
              <w:tc>
                <w:tcPr>
                  <w:tcW w:w="2024" w:type="dxa"/>
                  <w:vMerge w:val="continue"/>
                  <w:tcBorders>
                    <w:tl2br w:val="nil"/>
                    <w:tr2bl w:val="nil"/>
                  </w:tcBorders>
                  <w:vAlign w:val="center"/>
                </w:tcPr>
                <w:p>
                  <w:pPr>
                    <w:jc w:val="center"/>
                    <w:rPr>
                      <w:rFonts w:ascii="宋体" w:hAnsi="宋体" w:cs="宋体"/>
                      <w:color w:val="auto"/>
                      <w:kern w:val="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8</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废粉末涂料包装箱</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喷粉</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危险废物</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0.02t</w:t>
                  </w:r>
                  <w:r>
                    <w:rPr>
                      <w:color w:val="auto"/>
                      <w:szCs w:val="21"/>
                      <w:highlight w:val="none"/>
                    </w:rPr>
                    <w:t>/a</w:t>
                  </w:r>
                </w:p>
              </w:tc>
              <w:tc>
                <w:tcPr>
                  <w:tcW w:w="2024" w:type="dxa"/>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9</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废机油</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维修保养</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危险废物</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0.01</w:t>
                  </w:r>
                  <w:r>
                    <w:rPr>
                      <w:color w:val="auto"/>
                      <w:szCs w:val="21"/>
                      <w:highlight w:val="none"/>
                    </w:rPr>
                    <w:t>t/a</w:t>
                  </w:r>
                </w:p>
              </w:tc>
              <w:tc>
                <w:tcPr>
                  <w:tcW w:w="2024" w:type="dxa"/>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10</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w:t>
                  </w:r>
                  <w:r>
                    <w:rPr>
                      <w:color w:val="auto"/>
                      <w:kern w:val="1"/>
                      <w:szCs w:val="21"/>
                      <w:highlight w:val="none"/>
                    </w:rPr>
                    <w:t>UV</w:t>
                  </w:r>
                  <w:r>
                    <w:rPr>
                      <w:rFonts w:hint="eastAsia" w:ascii="宋体" w:hAnsi="宋体" w:cs="宋体"/>
                      <w:color w:val="auto"/>
                      <w:kern w:val="1"/>
                      <w:szCs w:val="21"/>
                      <w:highlight w:val="none"/>
                    </w:rPr>
                    <w:t>灯管</w:t>
                  </w:r>
                </w:p>
              </w:tc>
              <w:tc>
                <w:tcPr>
                  <w:tcW w:w="1095" w:type="dxa"/>
                  <w:vMerge w:val="restart"/>
                  <w:tcBorders>
                    <w:tl2br w:val="nil"/>
                    <w:tr2bl w:val="nil"/>
                  </w:tcBorders>
                  <w:vAlign w:val="center"/>
                </w:tcPr>
                <w:p>
                  <w:pPr>
                    <w:jc w:val="center"/>
                    <w:rPr>
                      <w:color w:val="auto"/>
                      <w:szCs w:val="21"/>
                      <w:highlight w:val="none"/>
                    </w:rPr>
                  </w:pPr>
                  <w:r>
                    <w:rPr>
                      <w:rFonts w:hint="eastAsia"/>
                      <w:color w:val="auto"/>
                      <w:szCs w:val="21"/>
                      <w:highlight w:val="none"/>
                    </w:rPr>
                    <w:t>废气处理</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危险废物</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0.01t/a</w:t>
                  </w:r>
                </w:p>
              </w:tc>
              <w:tc>
                <w:tcPr>
                  <w:tcW w:w="2024" w:type="dxa"/>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11</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废活性炭</w:t>
                  </w:r>
                </w:p>
              </w:tc>
              <w:tc>
                <w:tcPr>
                  <w:tcW w:w="1095" w:type="dxa"/>
                  <w:vMerge w:val="continue"/>
                  <w:tcBorders>
                    <w:tl2br w:val="nil"/>
                    <w:tr2bl w:val="nil"/>
                  </w:tcBorders>
                  <w:vAlign w:val="center"/>
                </w:tcPr>
                <w:p>
                  <w:pPr>
                    <w:jc w:val="center"/>
                    <w:rPr>
                      <w:color w:val="auto"/>
                      <w:szCs w:val="21"/>
                      <w:highlight w:val="none"/>
                    </w:rPr>
                  </w:pP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危险废物</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0.46</w:t>
                  </w:r>
                  <w:r>
                    <w:rPr>
                      <w:color w:val="auto"/>
                      <w:szCs w:val="21"/>
                      <w:highlight w:val="none"/>
                    </w:rPr>
                    <w:t>t/a</w:t>
                  </w:r>
                </w:p>
              </w:tc>
              <w:tc>
                <w:tcPr>
                  <w:tcW w:w="2024" w:type="dxa"/>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12</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废抹布</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生产</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危险废物</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0.01</w:t>
                  </w:r>
                  <w:r>
                    <w:rPr>
                      <w:color w:val="auto"/>
                      <w:szCs w:val="21"/>
                      <w:highlight w:val="none"/>
                    </w:rPr>
                    <w:t>t/a</w:t>
                  </w:r>
                </w:p>
              </w:tc>
              <w:tc>
                <w:tcPr>
                  <w:tcW w:w="2024" w:type="dxa"/>
                  <w:vMerge w:val="continue"/>
                  <w:tcBorders>
                    <w:tl2br w:val="nil"/>
                    <w:tr2bl w:val="nil"/>
                  </w:tcBorders>
                  <w:vAlign w:val="center"/>
                </w:tcPr>
                <w:p>
                  <w:pPr>
                    <w:adjustRightInd w:val="0"/>
                    <w:snapToGrid w:val="0"/>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13</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ascii="宋体" w:hAnsi="宋体" w:cs="宋体"/>
                      <w:color w:val="auto"/>
                      <w:kern w:val="1"/>
                      <w:szCs w:val="21"/>
                      <w:highlight w:val="none"/>
                    </w:rPr>
                    <w:t>生活垃圾</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员工</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一般固废</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1.62</w:t>
                  </w:r>
                  <w:r>
                    <w:rPr>
                      <w:color w:val="auto"/>
                      <w:szCs w:val="21"/>
                      <w:highlight w:val="none"/>
                    </w:rPr>
                    <w:t xml:space="preserve"> t/a</w:t>
                  </w:r>
                </w:p>
              </w:tc>
              <w:tc>
                <w:tcPr>
                  <w:tcW w:w="2024" w:type="dxa"/>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委托环卫部门处理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7"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14</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喷淋废水</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喷漆</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危险废物</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2t/a</w:t>
                  </w:r>
                </w:p>
              </w:tc>
              <w:tc>
                <w:tcPr>
                  <w:tcW w:w="2024" w:type="dxa"/>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暂存危废间交由有资质单位处理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47" w:type="dxa"/>
                  <w:tcBorders>
                    <w:tl2br w:val="nil"/>
                    <w:tr2bl w:val="nil"/>
                  </w:tcBorders>
                  <w:vAlign w:val="center"/>
                </w:tcPr>
                <w:p>
                  <w:pPr>
                    <w:autoSpaceDE w:val="0"/>
                    <w:autoSpaceDN w:val="0"/>
                    <w:adjustRightIn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15</w:t>
                  </w:r>
                </w:p>
              </w:tc>
              <w:tc>
                <w:tcPr>
                  <w:tcW w:w="2017" w:type="dxa"/>
                  <w:tcBorders>
                    <w:tl2br w:val="nil"/>
                    <w:tr2bl w:val="nil"/>
                  </w:tcBorders>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废灯带</w:t>
                  </w:r>
                </w:p>
              </w:tc>
              <w:tc>
                <w:tcPr>
                  <w:tcW w:w="1095" w:type="dxa"/>
                  <w:tcBorders>
                    <w:tl2br w:val="nil"/>
                    <w:tr2bl w:val="nil"/>
                  </w:tcBorders>
                  <w:vAlign w:val="center"/>
                </w:tcPr>
                <w:p>
                  <w:pPr>
                    <w:jc w:val="center"/>
                    <w:rPr>
                      <w:color w:val="auto"/>
                      <w:szCs w:val="21"/>
                      <w:highlight w:val="none"/>
                    </w:rPr>
                  </w:pPr>
                  <w:r>
                    <w:rPr>
                      <w:rFonts w:hint="eastAsia"/>
                      <w:color w:val="auto"/>
                      <w:szCs w:val="21"/>
                      <w:highlight w:val="none"/>
                    </w:rPr>
                    <w:t>组装</w:t>
                  </w:r>
                </w:p>
              </w:tc>
              <w:tc>
                <w:tcPr>
                  <w:tcW w:w="1095" w:type="dxa"/>
                  <w:tcBorders>
                    <w:tl2br w:val="nil"/>
                    <w:tr2bl w:val="nil"/>
                  </w:tcBorders>
                  <w:vAlign w:val="center"/>
                </w:tcPr>
                <w:p>
                  <w:pPr>
                    <w:autoSpaceDE w:val="0"/>
                    <w:autoSpaceDN w:val="0"/>
                    <w:adjustRightInd w:val="0"/>
                    <w:jc w:val="center"/>
                    <w:rPr>
                      <w:color w:val="auto"/>
                      <w:kern w:val="0"/>
                      <w:szCs w:val="21"/>
                      <w:highlight w:val="none"/>
                    </w:rPr>
                  </w:pPr>
                  <w:r>
                    <w:rPr>
                      <w:rFonts w:hint="eastAsia"/>
                      <w:color w:val="auto"/>
                      <w:kern w:val="0"/>
                      <w:szCs w:val="21"/>
                      <w:highlight w:val="none"/>
                    </w:rPr>
                    <w:t>一般固废</w:t>
                  </w:r>
                </w:p>
              </w:tc>
              <w:tc>
                <w:tcPr>
                  <w:tcW w:w="1099" w:type="dxa"/>
                  <w:tcBorders>
                    <w:tl2br w:val="nil"/>
                    <w:tr2bl w:val="nil"/>
                  </w:tcBorders>
                  <w:vAlign w:val="center"/>
                </w:tcPr>
                <w:p>
                  <w:pPr>
                    <w:jc w:val="center"/>
                    <w:rPr>
                      <w:color w:val="auto"/>
                      <w:kern w:val="1"/>
                      <w:szCs w:val="21"/>
                      <w:highlight w:val="none"/>
                    </w:rPr>
                  </w:pPr>
                  <w:r>
                    <w:rPr>
                      <w:rFonts w:hint="eastAsia"/>
                      <w:color w:val="auto"/>
                      <w:kern w:val="1"/>
                      <w:szCs w:val="21"/>
                      <w:highlight w:val="none"/>
                    </w:rPr>
                    <w:t>0.01t/a</w:t>
                  </w:r>
                </w:p>
              </w:tc>
              <w:tc>
                <w:tcPr>
                  <w:tcW w:w="2024" w:type="dxa"/>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原厂家回收</w:t>
                  </w:r>
                </w:p>
              </w:tc>
            </w:tr>
          </w:tbl>
          <w:p>
            <w:pPr>
              <w:spacing w:before="120" w:beforeLines="50" w:line="360" w:lineRule="auto"/>
              <w:rPr>
                <w:rFonts w:eastAsiaTheme="minorEastAsia"/>
                <w:b/>
                <w:color w:val="auto"/>
                <w:sz w:val="24"/>
                <w:highlight w:val="none"/>
              </w:rPr>
            </w:pPr>
            <w:r>
              <w:rPr>
                <w:rFonts w:hint="eastAsia" w:eastAsiaTheme="minorEastAsia"/>
                <w:b/>
                <w:color w:val="auto"/>
                <w:sz w:val="24"/>
                <w:highlight w:val="none"/>
              </w:rPr>
              <w:t>4.2一般固废影响分析</w:t>
            </w:r>
          </w:p>
          <w:p>
            <w:pPr>
              <w:spacing w:line="360" w:lineRule="auto"/>
              <w:ind w:firstLine="480" w:firstLineChars="200"/>
              <w:rPr>
                <w:rFonts w:hAnsi="宋体"/>
                <w:color w:val="auto"/>
                <w:sz w:val="24"/>
                <w:highlight w:val="none"/>
              </w:rPr>
            </w:pPr>
            <w:r>
              <w:rPr>
                <w:rFonts w:hint="eastAsia"/>
                <w:color w:val="auto"/>
                <w:sz w:val="24"/>
                <w:highlight w:val="none"/>
              </w:rPr>
              <w:t>项目</w:t>
            </w:r>
            <w:r>
              <w:rPr>
                <w:rFonts w:hint="eastAsia" w:cs="宋体"/>
                <w:color w:val="auto"/>
                <w:kern w:val="0"/>
                <w:sz w:val="24"/>
                <w:highlight w:val="none"/>
              </w:rPr>
              <w:t>收集粉尘、废边角料及残次品、包装废料等</w:t>
            </w:r>
            <w:r>
              <w:rPr>
                <w:rFonts w:hint="eastAsia" w:cs="宋体"/>
                <w:color w:val="auto"/>
                <w:sz w:val="24"/>
                <w:highlight w:val="none"/>
              </w:rPr>
              <w:t>一般固废</w:t>
            </w:r>
            <w:r>
              <w:rPr>
                <w:rFonts w:hint="eastAsia" w:hAnsi="宋体"/>
                <w:color w:val="auto"/>
                <w:sz w:val="24"/>
                <w:highlight w:val="none"/>
              </w:rPr>
              <w:t>，定期外卖给相关单位综合利用；废灯带由原厂家回收处理；</w:t>
            </w:r>
            <w:r>
              <w:rPr>
                <w:snapToGrid w:val="0"/>
                <w:color w:val="auto"/>
                <w:kern w:val="21"/>
                <w:sz w:val="24"/>
                <w:highlight w:val="none"/>
              </w:rPr>
              <w:t>生活垃圾</w:t>
            </w:r>
            <w:r>
              <w:rPr>
                <w:rFonts w:hint="eastAsia"/>
                <w:snapToGrid w:val="0"/>
                <w:color w:val="auto"/>
                <w:kern w:val="21"/>
                <w:sz w:val="24"/>
                <w:highlight w:val="none"/>
              </w:rPr>
              <w:t>交由环卫部门统一处理，对环境不会造成明显影响</w:t>
            </w:r>
            <w:r>
              <w:rPr>
                <w:snapToGrid w:val="0"/>
                <w:color w:val="auto"/>
                <w:kern w:val="21"/>
                <w:sz w:val="24"/>
                <w:highlight w:val="none"/>
              </w:rPr>
              <w:t>。</w:t>
            </w:r>
          </w:p>
          <w:p>
            <w:pPr>
              <w:spacing w:line="360" w:lineRule="auto"/>
              <w:rPr>
                <w:rFonts w:eastAsiaTheme="minorEastAsia"/>
                <w:b/>
                <w:color w:val="auto"/>
                <w:sz w:val="24"/>
                <w:highlight w:val="none"/>
              </w:rPr>
            </w:pPr>
            <w:r>
              <w:rPr>
                <w:rFonts w:hint="eastAsia" w:eastAsiaTheme="minorEastAsia"/>
                <w:b/>
                <w:color w:val="auto"/>
                <w:sz w:val="24"/>
                <w:highlight w:val="none"/>
              </w:rPr>
              <w:t>4.3危险废物影响分析</w:t>
            </w:r>
          </w:p>
          <w:p>
            <w:pPr>
              <w:adjustRightInd w:val="0"/>
              <w:snapToGrid w:val="0"/>
              <w:spacing w:before="120" w:beforeLines="50" w:line="360" w:lineRule="auto"/>
              <w:ind w:firstLine="480" w:firstLineChars="200"/>
              <w:rPr>
                <w:color w:val="auto"/>
                <w:kern w:val="0"/>
                <w:sz w:val="24"/>
                <w:highlight w:val="none"/>
                <w:lang w:val="zh-TW"/>
              </w:rPr>
            </w:pPr>
            <w:r>
              <w:rPr>
                <w:rFonts w:hint="eastAsia"/>
                <w:color w:val="auto"/>
                <w:sz w:val="24"/>
                <w:highlight w:val="none"/>
              </w:rPr>
              <w:t>本项目在厂房内设置危险废物暂存间，面积约10m</w:t>
            </w:r>
            <w:r>
              <w:rPr>
                <w:rFonts w:hint="eastAsia"/>
                <w:color w:val="auto"/>
                <w:sz w:val="24"/>
                <w:highlight w:val="none"/>
                <w:vertAlign w:val="superscript"/>
              </w:rPr>
              <w:t>2</w:t>
            </w:r>
            <w:r>
              <w:rPr>
                <w:rFonts w:hint="eastAsia"/>
                <w:color w:val="auto"/>
                <w:sz w:val="24"/>
                <w:highlight w:val="none"/>
              </w:rPr>
              <w:t>，</w:t>
            </w:r>
            <w:r>
              <w:rPr>
                <w:rFonts w:hint="eastAsia"/>
                <w:color w:val="auto"/>
                <w:kern w:val="0"/>
                <w:sz w:val="24"/>
                <w:highlight w:val="none"/>
              </w:rPr>
              <w:t>按照</w:t>
            </w:r>
            <w:r>
              <w:rPr>
                <w:rFonts w:hint="eastAsia"/>
                <w:color w:val="auto"/>
                <w:kern w:val="0"/>
                <w:sz w:val="24"/>
                <w:highlight w:val="none"/>
                <w:lang w:val="zh-TW"/>
              </w:rPr>
              <w:t>《危险废物贮存污染控制标准》（</w:t>
            </w:r>
            <w:r>
              <w:rPr>
                <w:rFonts w:hint="eastAsia"/>
                <w:color w:val="auto"/>
                <w:kern w:val="0"/>
                <w:sz w:val="24"/>
                <w:highlight w:val="none"/>
                <w:lang w:val="zh-TW" w:eastAsia="zh-TW"/>
              </w:rPr>
              <w:t>GB18597-20</w:t>
            </w:r>
            <w:r>
              <w:rPr>
                <w:rFonts w:hint="eastAsia"/>
                <w:color w:val="auto"/>
                <w:kern w:val="0"/>
                <w:sz w:val="24"/>
                <w:highlight w:val="none"/>
              </w:rPr>
              <w:t>23</w:t>
            </w:r>
            <w:r>
              <w:rPr>
                <w:rFonts w:hint="eastAsia"/>
                <w:color w:val="auto"/>
                <w:kern w:val="0"/>
                <w:sz w:val="24"/>
                <w:highlight w:val="none"/>
                <w:lang w:val="zh-TW"/>
              </w:rPr>
              <w:t>）的要求建设，地面采取防渗措施（基础防渗，防渗层为</w:t>
            </w:r>
            <w:r>
              <w:rPr>
                <w:rFonts w:hint="eastAsia"/>
                <w:color w:val="auto"/>
                <w:kern w:val="0"/>
                <w:sz w:val="24"/>
                <w:highlight w:val="none"/>
                <w:lang w:val="zh-TW" w:eastAsia="zh-TW"/>
              </w:rPr>
              <w:t>2mm</w:t>
            </w:r>
            <w:r>
              <w:rPr>
                <w:rFonts w:hint="eastAsia"/>
                <w:color w:val="auto"/>
                <w:kern w:val="0"/>
                <w:sz w:val="24"/>
                <w:highlight w:val="none"/>
                <w:lang w:val="zh-TW"/>
              </w:rPr>
              <w:t>厚高密度聚乙烯渗透系数</w:t>
            </w:r>
            <w:r>
              <w:rPr>
                <w:rFonts w:hint="eastAsia"/>
                <w:color w:val="auto"/>
                <w:kern w:val="0"/>
                <w:sz w:val="24"/>
                <w:highlight w:val="none"/>
                <w:lang w:val="zh-TW" w:eastAsia="zh-TW"/>
              </w:rPr>
              <w:t>≤10</w:t>
            </w:r>
            <w:r>
              <w:rPr>
                <w:rFonts w:hint="eastAsia"/>
                <w:color w:val="auto"/>
                <w:kern w:val="0"/>
                <w:sz w:val="24"/>
                <w:highlight w:val="none"/>
                <w:vertAlign w:val="superscript"/>
                <w:lang w:val="zh-TW" w:eastAsia="zh-TW"/>
              </w:rPr>
              <w:t>-10</w:t>
            </w:r>
            <w:r>
              <w:rPr>
                <w:rFonts w:hint="eastAsia"/>
                <w:color w:val="auto"/>
                <w:kern w:val="0"/>
                <w:sz w:val="24"/>
                <w:highlight w:val="none"/>
                <w:lang w:val="zh-TW" w:eastAsia="zh-TW"/>
              </w:rPr>
              <w:t>cm/s</w:t>
            </w:r>
            <w:r>
              <w:rPr>
                <w:rFonts w:hint="eastAsia"/>
                <w:color w:val="auto"/>
                <w:kern w:val="0"/>
                <w:sz w:val="24"/>
                <w:highlight w:val="none"/>
                <w:lang w:val="zh-TW"/>
              </w:rPr>
              <w:t>），设置接液盘，做到“六防”（防风、防雨、防晒、防渗、防漏、防腐）要求，按规范设置液体收集装置</w:t>
            </w:r>
            <w:r>
              <w:rPr>
                <w:rFonts w:hint="eastAsia"/>
                <w:color w:val="auto"/>
                <w:sz w:val="24"/>
                <w:highlight w:val="none"/>
              </w:rPr>
              <w:t>。</w:t>
            </w:r>
            <w:r>
              <w:rPr>
                <w:rFonts w:hint="eastAsia"/>
                <w:color w:val="auto"/>
                <w:kern w:val="0"/>
                <w:sz w:val="24"/>
                <w:highlight w:val="none"/>
              </w:rPr>
              <w:t>项目产生的漆渣、废UV灯管、</w:t>
            </w:r>
            <w:r>
              <w:rPr>
                <w:rFonts w:hint="eastAsia"/>
                <w:color w:val="auto"/>
                <w:kern w:val="0"/>
                <w:sz w:val="24"/>
                <w:highlight w:val="none"/>
                <w:lang w:val="zh-TW"/>
              </w:rPr>
              <w:t>废</w:t>
            </w:r>
            <w:r>
              <w:rPr>
                <w:rFonts w:hint="eastAsia"/>
                <w:color w:val="auto"/>
                <w:kern w:val="0"/>
                <w:sz w:val="24"/>
                <w:highlight w:val="none"/>
              </w:rPr>
              <w:t>机</w:t>
            </w:r>
            <w:r>
              <w:rPr>
                <w:rFonts w:hint="eastAsia"/>
                <w:color w:val="auto"/>
                <w:kern w:val="0"/>
                <w:sz w:val="24"/>
                <w:highlight w:val="none"/>
                <w:lang w:val="zh-TW"/>
              </w:rPr>
              <w:t>油</w:t>
            </w:r>
            <w:r>
              <w:rPr>
                <w:rFonts w:hint="eastAsia"/>
                <w:color w:val="auto"/>
                <w:kern w:val="0"/>
                <w:sz w:val="24"/>
                <w:highlight w:val="none"/>
              </w:rPr>
              <w:t>及废活性炭分别</w:t>
            </w:r>
            <w:r>
              <w:rPr>
                <w:rFonts w:hint="eastAsia"/>
                <w:color w:val="auto"/>
                <w:kern w:val="0"/>
                <w:sz w:val="24"/>
                <w:highlight w:val="none"/>
                <w:lang w:val="zh-TW"/>
              </w:rPr>
              <w:t>储存于</w:t>
            </w:r>
            <w:r>
              <w:rPr>
                <w:rFonts w:hint="eastAsia"/>
                <w:color w:val="auto"/>
                <w:kern w:val="0"/>
                <w:sz w:val="24"/>
                <w:highlight w:val="none"/>
              </w:rPr>
              <w:t>专用</w:t>
            </w:r>
            <w:r>
              <w:rPr>
                <w:rFonts w:hint="eastAsia"/>
                <w:color w:val="auto"/>
                <w:kern w:val="0"/>
                <w:sz w:val="24"/>
                <w:highlight w:val="none"/>
                <w:lang w:val="zh-TW"/>
              </w:rPr>
              <w:t>密闭容器内，</w:t>
            </w:r>
            <w:r>
              <w:rPr>
                <w:rFonts w:hint="eastAsia"/>
                <w:color w:val="auto"/>
                <w:kern w:val="0"/>
                <w:sz w:val="24"/>
                <w:highlight w:val="none"/>
              </w:rPr>
              <w:t>与废油漆桶、废粉末涂料包装箱</w:t>
            </w:r>
            <w:r>
              <w:rPr>
                <w:rFonts w:hint="eastAsia"/>
                <w:color w:val="auto"/>
                <w:kern w:val="0"/>
                <w:sz w:val="24"/>
                <w:highlight w:val="none"/>
                <w:lang w:val="zh-TW"/>
              </w:rPr>
              <w:t>存</w:t>
            </w:r>
            <w:r>
              <w:rPr>
                <w:rFonts w:hint="eastAsia"/>
                <w:color w:val="auto"/>
                <w:kern w:val="0"/>
                <w:sz w:val="24"/>
                <w:highlight w:val="none"/>
              </w:rPr>
              <w:t>分别暂存</w:t>
            </w:r>
            <w:r>
              <w:rPr>
                <w:rFonts w:hint="eastAsia"/>
                <w:color w:val="auto"/>
                <w:kern w:val="0"/>
                <w:sz w:val="24"/>
                <w:highlight w:val="none"/>
                <w:lang w:val="zh-TW"/>
              </w:rPr>
              <w:t>放于危废暂存间，在做好密闭暂存、危废暂存间的防渗措施后，危险废物对环境空气、地表水、地下水、土壤等基本不造成影响。</w:t>
            </w:r>
          </w:p>
          <w:p>
            <w:pPr>
              <w:spacing w:line="360" w:lineRule="auto"/>
              <w:rPr>
                <w:rFonts w:eastAsiaTheme="minorEastAsia"/>
                <w:b/>
                <w:color w:val="auto"/>
                <w:sz w:val="24"/>
                <w:highlight w:val="none"/>
              </w:rPr>
            </w:pPr>
            <w:r>
              <w:rPr>
                <w:rFonts w:hint="eastAsia" w:eastAsiaTheme="minorEastAsia"/>
                <w:b/>
                <w:color w:val="auto"/>
                <w:sz w:val="24"/>
                <w:highlight w:val="none"/>
              </w:rPr>
              <w:t>4.4危险废物环保要求</w:t>
            </w:r>
          </w:p>
          <w:p>
            <w:pPr>
              <w:pStyle w:val="13"/>
              <w:adjustRightInd w:val="0"/>
              <w:spacing w:after="0" w:line="360" w:lineRule="auto"/>
              <w:ind w:firstLine="480" w:firstLineChars="200"/>
              <w:rPr>
                <w:bCs/>
                <w:color w:val="auto"/>
                <w:sz w:val="24"/>
                <w:highlight w:val="none"/>
              </w:rPr>
            </w:pPr>
            <w:r>
              <w:rPr>
                <w:bCs/>
                <w:color w:val="auto"/>
                <w:sz w:val="24"/>
                <w:highlight w:val="none"/>
              </w:rPr>
              <w:t>危险废物严格按照《危险废物贮存污染控制标准》（GB18597-20</w:t>
            </w:r>
            <w:r>
              <w:rPr>
                <w:rFonts w:hint="eastAsia"/>
                <w:bCs/>
                <w:color w:val="auto"/>
                <w:sz w:val="24"/>
                <w:highlight w:val="none"/>
              </w:rPr>
              <w:t>23</w:t>
            </w:r>
            <w:r>
              <w:rPr>
                <w:bCs/>
                <w:color w:val="auto"/>
                <w:sz w:val="24"/>
                <w:highlight w:val="none"/>
              </w:rPr>
              <w:t>）贮存处置，并按照国家有关危险废物申报登记、转移联单等管理制度的要求，向当地</w:t>
            </w:r>
            <w:r>
              <w:rPr>
                <w:rFonts w:hint="eastAsia"/>
                <w:bCs/>
                <w:color w:val="auto"/>
                <w:sz w:val="24"/>
                <w:highlight w:val="none"/>
              </w:rPr>
              <w:t>生态环境</w:t>
            </w:r>
            <w:r>
              <w:rPr>
                <w:bCs/>
                <w:color w:val="auto"/>
                <w:sz w:val="24"/>
                <w:highlight w:val="none"/>
              </w:rPr>
              <w:t>部门进行危险废物的申报、转移等，环评对危废管理提出以下要求：</w:t>
            </w:r>
          </w:p>
          <w:p>
            <w:pPr>
              <w:adjustRightInd w:val="0"/>
              <w:snapToGrid w:val="0"/>
              <w:spacing w:line="360" w:lineRule="auto"/>
              <w:ind w:firstLine="480" w:firstLineChars="200"/>
              <w:rPr>
                <w:color w:val="auto"/>
                <w:sz w:val="24"/>
                <w:highlight w:val="none"/>
              </w:rPr>
            </w:pPr>
            <w:r>
              <w:rPr>
                <w:color w:val="auto"/>
                <w:sz w:val="24"/>
                <w:highlight w:val="none"/>
              </w:rPr>
              <w:t>A、危险废物的收集包装：</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容器和包装物材质、内衬应与盛装的危险废物相容。</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针对不同类别、形态、物理化学性质的危险废物，其容器和包装物应满足相应的防渗、防漏、防腐和强度等要求。</w:t>
            </w:r>
          </w:p>
          <w:p>
            <w:pPr>
              <w:adjustRightInd w:val="0"/>
              <w:snapToGrid w:val="0"/>
              <w:spacing w:line="360" w:lineRule="auto"/>
              <w:ind w:firstLine="480" w:firstLineChars="200"/>
              <w:rPr>
                <w:color w:val="auto"/>
                <w:sz w:val="24"/>
                <w:highlight w:val="none"/>
              </w:rPr>
            </w:pPr>
            <w:r>
              <w:rPr>
                <w:color w:val="auto"/>
                <w:sz w:val="24"/>
                <w:highlight w:val="none"/>
              </w:rPr>
              <w:t>c．</w:t>
            </w:r>
            <w:r>
              <w:rPr>
                <w:rFonts w:hint="eastAsia"/>
                <w:color w:val="auto"/>
                <w:sz w:val="24"/>
                <w:highlight w:val="none"/>
              </w:rPr>
              <w:t>硬质容器和包装物及其支护结构堆叠码放时不应有明显变形，无破损泄漏。</w:t>
            </w:r>
          </w:p>
          <w:p>
            <w:pPr>
              <w:adjustRightInd w:val="0"/>
              <w:snapToGrid w:val="0"/>
              <w:spacing w:line="360" w:lineRule="auto"/>
              <w:ind w:firstLine="480" w:firstLineChars="200"/>
              <w:rPr>
                <w:color w:val="auto"/>
                <w:sz w:val="24"/>
                <w:highlight w:val="none"/>
              </w:rPr>
            </w:pPr>
            <w:r>
              <w:rPr>
                <w:rFonts w:hint="eastAsia"/>
                <w:color w:val="auto"/>
                <w:sz w:val="24"/>
                <w:highlight w:val="none"/>
              </w:rPr>
              <w:t>d. 柔性容器和包装物堆叠码放时应封口严密，无破损泄漏。</w:t>
            </w:r>
          </w:p>
          <w:p>
            <w:pPr>
              <w:adjustRightInd w:val="0"/>
              <w:snapToGrid w:val="0"/>
              <w:spacing w:line="360" w:lineRule="auto"/>
              <w:ind w:firstLine="480" w:firstLineChars="200"/>
              <w:rPr>
                <w:color w:val="auto"/>
                <w:sz w:val="24"/>
                <w:highlight w:val="none"/>
              </w:rPr>
            </w:pPr>
            <w:r>
              <w:rPr>
                <w:rFonts w:hint="eastAsia"/>
                <w:color w:val="auto"/>
                <w:sz w:val="24"/>
                <w:highlight w:val="none"/>
              </w:rPr>
              <w:t>e.使用容器盛装液态、半固态危险废物时，容器内部应留有适当的空间，以适应因温度变化等可能引发的收缩和膨胀，防止其导致容器渗漏或永久变形。</w:t>
            </w:r>
          </w:p>
          <w:p>
            <w:pPr>
              <w:adjustRightInd w:val="0"/>
              <w:snapToGrid w:val="0"/>
              <w:spacing w:line="360" w:lineRule="auto"/>
              <w:ind w:firstLine="480" w:firstLineChars="200"/>
              <w:rPr>
                <w:color w:val="auto"/>
                <w:sz w:val="24"/>
                <w:highlight w:val="none"/>
              </w:rPr>
            </w:pPr>
            <w:r>
              <w:rPr>
                <w:rFonts w:hint="eastAsia"/>
                <w:color w:val="auto"/>
                <w:sz w:val="24"/>
                <w:highlight w:val="none"/>
              </w:rPr>
              <w:t>f.容器和包装物外表面应保持清洁。</w:t>
            </w:r>
          </w:p>
          <w:p>
            <w:pPr>
              <w:adjustRightInd w:val="0"/>
              <w:snapToGrid w:val="0"/>
              <w:spacing w:line="360" w:lineRule="auto"/>
              <w:ind w:firstLine="480" w:firstLineChars="200"/>
              <w:rPr>
                <w:color w:val="auto"/>
                <w:sz w:val="24"/>
                <w:highlight w:val="none"/>
              </w:rPr>
            </w:pPr>
            <w:r>
              <w:rPr>
                <w:color w:val="auto"/>
                <w:sz w:val="24"/>
                <w:highlight w:val="none"/>
              </w:rPr>
              <w:t>B、危险废物的暂存要求：</w:t>
            </w:r>
          </w:p>
          <w:p>
            <w:pPr>
              <w:adjustRightInd w:val="0"/>
              <w:snapToGrid w:val="0"/>
              <w:spacing w:line="360" w:lineRule="auto"/>
              <w:ind w:firstLine="480" w:firstLineChars="200"/>
              <w:rPr>
                <w:color w:val="auto"/>
                <w:sz w:val="24"/>
                <w:highlight w:val="none"/>
              </w:rPr>
            </w:pPr>
            <w:r>
              <w:rPr>
                <w:color w:val="auto"/>
                <w:sz w:val="24"/>
                <w:highlight w:val="none"/>
              </w:rPr>
              <w:t>危险废物堆放场所应满足《危险废物贮存污染控制标准》</w:t>
            </w:r>
            <w:r>
              <w:rPr>
                <w:rFonts w:hint="eastAsia"/>
                <w:color w:val="auto"/>
                <w:sz w:val="24"/>
                <w:highlight w:val="none"/>
              </w:rPr>
              <w:t>（</w:t>
            </w:r>
            <w:r>
              <w:rPr>
                <w:color w:val="auto"/>
                <w:sz w:val="24"/>
                <w:highlight w:val="none"/>
              </w:rPr>
              <w:t>GB18597-20</w:t>
            </w:r>
            <w:r>
              <w:rPr>
                <w:rFonts w:hint="eastAsia"/>
                <w:color w:val="auto"/>
                <w:sz w:val="24"/>
                <w:highlight w:val="none"/>
              </w:rPr>
              <w:t>23）</w:t>
            </w:r>
            <w:r>
              <w:rPr>
                <w:color w:val="auto"/>
                <w:sz w:val="24"/>
                <w:highlight w:val="none"/>
              </w:rPr>
              <w:t>中的有关规定：</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贮存设施或场所、容器和包装物应按《危险废物识别标志设置技术规范》（HJ 1276-2022）要求设置危险废物贮存设施或场所标志、危险废物贮存分区标志和危险废物标签等危险废物识别标志。</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贮存设施应根据危险废物的类别、数量、形态、物理化学性质和污染防治等要求设置必要的贮存分区，避免不相容的危险废物接触、混合。</w:t>
            </w:r>
          </w:p>
          <w:p>
            <w:pPr>
              <w:adjustRightInd w:val="0"/>
              <w:snapToGrid w:val="0"/>
              <w:spacing w:line="360" w:lineRule="auto"/>
              <w:ind w:firstLine="480" w:firstLineChars="200"/>
              <w:rPr>
                <w:color w:val="auto"/>
                <w:sz w:val="24"/>
                <w:highlight w:val="none"/>
              </w:rPr>
            </w:pPr>
            <w:r>
              <w:rPr>
                <w:color w:val="auto"/>
                <w:sz w:val="24"/>
                <w:highlight w:val="none"/>
              </w:rPr>
              <w:t>c.</w:t>
            </w:r>
            <w:r>
              <w:rPr>
                <w:rFonts w:hint="eastAsia"/>
                <w:color w:val="auto"/>
                <w:sz w:val="24"/>
                <w:highlight w:val="none"/>
              </w:rPr>
              <w:t>贮存设施应根据危险废物的形态、物理化学性质、包装形式和污染物迁移途径，采取必要的防风、防晒、防雨、防漏、防渗、防腐以及其他环境污染防治措施，不应露天堆放危险废物。</w:t>
            </w:r>
          </w:p>
          <w:p>
            <w:pPr>
              <w:adjustRightInd w:val="0"/>
              <w:snapToGrid w:val="0"/>
              <w:spacing w:line="360" w:lineRule="auto"/>
              <w:ind w:firstLine="480" w:firstLineChars="200"/>
              <w:rPr>
                <w:color w:val="auto"/>
                <w:sz w:val="24"/>
                <w:highlight w:val="none"/>
              </w:rPr>
            </w:pPr>
            <w:r>
              <w:rPr>
                <w:color w:val="auto"/>
                <w:sz w:val="24"/>
                <w:highlight w:val="none"/>
              </w:rPr>
              <w:t>d.</w:t>
            </w:r>
            <w:r>
              <w:rPr>
                <w:rFonts w:hint="eastAsia"/>
                <w:color w:val="auto"/>
                <w:sz w:val="24"/>
                <w:highlight w:val="none"/>
              </w:rPr>
              <w:t>贮存设施或贮存分区内地面、墙面裙脚、堵截泄漏的围堰、接触危险废物的隔板和墙体等应采用坚固的材料建造，表面无裂缝。</w:t>
            </w:r>
          </w:p>
          <w:p>
            <w:pPr>
              <w:adjustRightInd w:val="0"/>
              <w:snapToGrid w:val="0"/>
              <w:spacing w:line="360" w:lineRule="auto"/>
              <w:ind w:firstLine="480" w:firstLineChars="200"/>
              <w:rPr>
                <w:color w:val="auto"/>
                <w:sz w:val="24"/>
                <w:highlight w:val="none"/>
              </w:rPr>
            </w:pPr>
            <w:r>
              <w:rPr>
                <w:color w:val="auto"/>
                <w:sz w:val="24"/>
                <w:highlight w:val="none"/>
              </w:rPr>
              <w:t>e.</w:t>
            </w:r>
            <w:r>
              <w:rPr>
                <w:rFonts w:hint="eastAsia"/>
                <w:color w:val="auto"/>
                <w:sz w:val="24"/>
                <w:highlight w:val="none"/>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 1 m 厚黏土层（渗透系数不大于 10-7 cm/s），或至少2 mm 厚高密度聚乙烯膜等人工防渗材料（渗透系数不大于10-10 cm/s），或其他防渗性能等效的材料。</w:t>
            </w:r>
          </w:p>
          <w:p>
            <w:pPr>
              <w:adjustRightInd w:val="0"/>
              <w:snapToGrid w:val="0"/>
              <w:spacing w:line="360" w:lineRule="auto"/>
              <w:ind w:firstLine="480" w:firstLineChars="200"/>
              <w:rPr>
                <w:color w:val="auto"/>
                <w:sz w:val="24"/>
                <w:highlight w:val="none"/>
              </w:rPr>
            </w:pPr>
            <w:r>
              <w:rPr>
                <w:color w:val="auto"/>
                <w:sz w:val="24"/>
                <w:highlight w:val="none"/>
              </w:rPr>
              <w:t>f.</w:t>
            </w:r>
            <w:r>
              <w:rPr>
                <w:rFonts w:hint="eastAsia"/>
                <w:color w:val="auto"/>
                <w:sz w:val="24"/>
                <w:highlight w:val="none"/>
              </w:rPr>
              <w:t>同一贮存设施宜采用相同的防渗、防腐工艺（包括防渗、防腐结构或材料），防渗、防腐材料应覆盖所有可能与废物及其渗滤液、渗漏液等接触的构筑物表面；采用不同防渗、防腐工艺应分别建设贮存分区。</w:t>
            </w:r>
          </w:p>
          <w:p>
            <w:pPr>
              <w:adjustRightInd w:val="0"/>
              <w:snapToGrid w:val="0"/>
              <w:spacing w:line="360" w:lineRule="auto"/>
              <w:ind w:firstLine="480" w:firstLineChars="200"/>
              <w:rPr>
                <w:color w:val="auto"/>
                <w:sz w:val="24"/>
                <w:highlight w:val="none"/>
              </w:rPr>
            </w:pPr>
            <w:r>
              <w:rPr>
                <w:color w:val="auto"/>
                <w:sz w:val="24"/>
                <w:highlight w:val="none"/>
              </w:rPr>
              <w:t>C、危险废物内部转运作业应满足如下要求：</w:t>
            </w:r>
          </w:p>
          <w:p>
            <w:pPr>
              <w:adjustRightInd w:val="0"/>
              <w:snapToGrid w:val="0"/>
              <w:spacing w:line="360" w:lineRule="auto"/>
              <w:ind w:firstLine="480" w:firstLineChars="200"/>
              <w:rPr>
                <w:color w:val="auto"/>
                <w:sz w:val="24"/>
                <w:highlight w:val="none"/>
              </w:rPr>
            </w:pPr>
            <w:r>
              <w:rPr>
                <w:color w:val="auto"/>
                <w:sz w:val="24"/>
                <w:highlight w:val="none"/>
              </w:rPr>
              <w:t>a.危险废物内部转运应综合考虑厂区的实际情况确定转运路线，尽量避开办公区和生活区。</w:t>
            </w:r>
          </w:p>
          <w:p>
            <w:pPr>
              <w:adjustRightInd w:val="0"/>
              <w:snapToGrid w:val="0"/>
              <w:spacing w:line="360" w:lineRule="auto"/>
              <w:ind w:firstLine="480" w:firstLineChars="200"/>
              <w:rPr>
                <w:color w:val="auto"/>
                <w:sz w:val="24"/>
                <w:highlight w:val="none"/>
              </w:rPr>
            </w:pPr>
            <w:r>
              <w:rPr>
                <w:color w:val="auto"/>
                <w:sz w:val="24"/>
                <w:highlight w:val="none"/>
              </w:rPr>
              <w:t>b.危险废物内部转运作业应采用专用的工具，危险废物内部转运应填写《危险废物场内转运记录表》。</w:t>
            </w:r>
          </w:p>
          <w:p>
            <w:pPr>
              <w:adjustRightInd w:val="0"/>
              <w:snapToGrid w:val="0"/>
              <w:spacing w:line="360" w:lineRule="auto"/>
              <w:ind w:firstLine="480" w:firstLineChars="200"/>
              <w:rPr>
                <w:color w:val="auto"/>
                <w:sz w:val="24"/>
                <w:highlight w:val="none"/>
              </w:rPr>
            </w:pPr>
            <w:r>
              <w:rPr>
                <w:color w:val="auto"/>
                <w:sz w:val="24"/>
                <w:highlight w:val="none"/>
              </w:rPr>
              <w:t>c.危险废物内部转运结束后，应对转运路线进行检查和清理，确保无危险废物遗失在转运路线上，并对转运工具进行清洗。</w:t>
            </w:r>
          </w:p>
          <w:p>
            <w:pPr>
              <w:adjustRightInd w:val="0"/>
              <w:snapToGrid w:val="0"/>
              <w:spacing w:line="360" w:lineRule="auto"/>
              <w:ind w:firstLine="480" w:firstLineChars="200"/>
              <w:rPr>
                <w:color w:val="auto"/>
                <w:sz w:val="24"/>
                <w:highlight w:val="none"/>
              </w:rPr>
            </w:pPr>
            <w:r>
              <w:rPr>
                <w:color w:val="auto"/>
                <w:sz w:val="24"/>
                <w:highlight w:val="none"/>
              </w:rPr>
              <w:t>D、危险废物的运输要求：</w:t>
            </w:r>
          </w:p>
          <w:p>
            <w:pPr>
              <w:adjustRightInd w:val="0"/>
              <w:snapToGrid w:val="0"/>
              <w:spacing w:line="360" w:lineRule="auto"/>
              <w:ind w:firstLine="480" w:firstLineChars="200"/>
              <w:rPr>
                <w:color w:val="auto"/>
                <w:sz w:val="24"/>
                <w:highlight w:val="none"/>
              </w:rPr>
            </w:pPr>
            <w:r>
              <w:rPr>
                <w:color w:val="auto"/>
                <w:sz w:val="24"/>
                <w:highlight w:val="none"/>
              </w:rPr>
              <w:t>a.危险废物产生单位每转移一车同类危险废物，应当填写一份联单，每车有多类危险废物的，应当按每一类危险废物填写一份联单。</w:t>
            </w:r>
          </w:p>
          <w:p>
            <w:pPr>
              <w:adjustRightInd w:val="0"/>
              <w:snapToGrid w:val="0"/>
              <w:spacing w:line="360" w:lineRule="auto"/>
              <w:ind w:firstLine="480" w:firstLineChars="200"/>
              <w:rPr>
                <w:color w:val="auto"/>
                <w:sz w:val="24"/>
                <w:highlight w:val="none"/>
              </w:rPr>
            </w:pPr>
            <w:r>
              <w:rPr>
                <w:color w:val="auto"/>
                <w:sz w:val="24"/>
                <w:highlight w:val="none"/>
              </w:rPr>
              <w:t>b.危险废物产生单位应当如实填写联单中产生单位栏目，并加盖公章，经交付危险废物运输单位核实验收签字后，将联单第一联副联自留存档，将联单第二联交移出地环境保护行政主管部门，联单第一联正联及其余各联交付运输单位随危险废物转移运行。</w:t>
            </w:r>
          </w:p>
          <w:p>
            <w:pPr>
              <w:adjustRightInd w:val="0"/>
              <w:snapToGrid w:val="0"/>
              <w:spacing w:line="360" w:lineRule="auto"/>
              <w:ind w:firstLine="480" w:firstLineChars="200"/>
              <w:rPr>
                <w:color w:val="auto"/>
                <w:sz w:val="24"/>
                <w:highlight w:val="none"/>
              </w:rPr>
            </w:pPr>
            <w:r>
              <w:rPr>
                <w:color w:val="auto"/>
                <w:sz w:val="24"/>
                <w:highlight w:val="none"/>
              </w:rPr>
              <w:t>c.危险废物接受单位应当按照联单填写的内容对危险废物核实验收，如实填写联单中接受单位栏目并加盖公章。</w:t>
            </w:r>
          </w:p>
          <w:p>
            <w:pPr>
              <w:adjustRightInd w:val="0"/>
              <w:snapToGrid w:val="0"/>
              <w:spacing w:line="360" w:lineRule="auto"/>
              <w:ind w:firstLine="480" w:firstLineChars="200"/>
              <w:rPr>
                <w:color w:val="auto"/>
                <w:sz w:val="24"/>
                <w:highlight w:val="none"/>
              </w:rPr>
            </w:pPr>
            <w:r>
              <w:rPr>
                <w:color w:val="auto"/>
                <w:sz w:val="24"/>
                <w:highlight w:val="none"/>
              </w:rPr>
              <w:t>d.</w:t>
            </w:r>
            <w:r>
              <w:rPr>
                <w:rFonts w:hint="eastAsia"/>
                <w:color w:val="auto"/>
                <w:sz w:val="24"/>
                <w:highlight w:val="none"/>
              </w:rPr>
              <w:t>接收单位</w:t>
            </w:r>
            <w:r>
              <w:rPr>
                <w:color w:val="auto"/>
                <w:sz w:val="24"/>
                <w:highlight w:val="none"/>
              </w:rPr>
              <w:t>应当将联单第一联、第二联副联自接受危险废物之日起十日内交付产生单位，联单第一联由产生单位自留存档，联单第二联副联由产生单位在二日内报送移出地环境保护行政主管部门；</w:t>
            </w:r>
            <w:r>
              <w:rPr>
                <w:rFonts w:hint="eastAsia"/>
                <w:color w:val="auto"/>
                <w:sz w:val="24"/>
                <w:highlight w:val="none"/>
              </w:rPr>
              <w:t>接收单位</w:t>
            </w:r>
            <w:r>
              <w:rPr>
                <w:color w:val="auto"/>
                <w:sz w:val="24"/>
                <w:highlight w:val="none"/>
              </w:rPr>
              <w:t>将联单第三联交付运输单位存档；将联单第四联自留存档；将联单第五联自接受危险废物之日起二日内报送</w:t>
            </w:r>
            <w:r>
              <w:rPr>
                <w:rFonts w:hint="eastAsia"/>
                <w:color w:val="auto"/>
                <w:sz w:val="24"/>
                <w:highlight w:val="none"/>
              </w:rPr>
              <w:t>接收地环境</w:t>
            </w:r>
            <w:r>
              <w:rPr>
                <w:color w:val="auto"/>
                <w:sz w:val="24"/>
                <w:highlight w:val="none"/>
              </w:rPr>
              <w:t>保护行政主管部门。</w:t>
            </w:r>
          </w:p>
          <w:p>
            <w:pPr>
              <w:adjustRightInd w:val="0"/>
              <w:snapToGrid w:val="0"/>
              <w:spacing w:line="360" w:lineRule="auto"/>
              <w:ind w:firstLine="480" w:firstLineChars="200"/>
              <w:rPr>
                <w:color w:val="auto"/>
                <w:sz w:val="24"/>
                <w:highlight w:val="none"/>
              </w:rPr>
            </w:pPr>
            <w:r>
              <w:rPr>
                <w:color w:val="auto"/>
                <w:sz w:val="24"/>
                <w:highlight w:val="none"/>
              </w:rPr>
              <w:t>e.危险废物</w:t>
            </w:r>
            <w:r>
              <w:rPr>
                <w:rFonts w:hint="eastAsia"/>
                <w:color w:val="auto"/>
                <w:sz w:val="24"/>
                <w:highlight w:val="none"/>
              </w:rPr>
              <w:t>接收单位</w:t>
            </w:r>
            <w:r>
              <w:rPr>
                <w:color w:val="auto"/>
                <w:sz w:val="24"/>
                <w:highlight w:val="none"/>
              </w:rPr>
              <w:t>验收危险废物的名称、数量、特性、形态、包装方式与联单填写内容不符的，应当及时向</w:t>
            </w:r>
            <w:r>
              <w:rPr>
                <w:rFonts w:hint="eastAsia"/>
                <w:color w:val="auto"/>
                <w:sz w:val="24"/>
                <w:highlight w:val="none"/>
              </w:rPr>
              <w:t>接收的环境</w:t>
            </w:r>
            <w:r>
              <w:rPr>
                <w:color w:val="auto"/>
                <w:sz w:val="24"/>
                <w:highlight w:val="none"/>
              </w:rPr>
              <w:t>保护行政主管部门报告，并通知产生单位。</w:t>
            </w:r>
          </w:p>
          <w:p>
            <w:pPr>
              <w:pStyle w:val="13"/>
              <w:adjustRightInd w:val="0"/>
              <w:spacing w:after="0" w:line="360" w:lineRule="auto"/>
              <w:ind w:firstLine="480" w:firstLineChars="200"/>
              <w:rPr>
                <w:bCs/>
                <w:color w:val="auto"/>
                <w:sz w:val="24"/>
                <w:highlight w:val="none"/>
              </w:rPr>
            </w:pPr>
            <w:r>
              <w:rPr>
                <w:color w:val="auto"/>
                <w:sz w:val="24"/>
                <w:highlight w:val="none"/>
              </w:rPr>
              <w:t>危险废物的运输应采取危险废物转移“五联单”制度，保证运输安全，防止非法转移和非法处置，保证危险废物的安全监控，防止危险废物污染事故发生，通过落实以上要求、措施，项目危险废物对周围环境影响较小。</w:t>
            </w:r>
          </w:p>
          <w:p>
            <w:pPr>
              <w:spacing w:line="360" w:lineRule="auto"/>
              <w:rPr>
                <w:rFonts w:eastAsiaTheme="minorEastAsia"/>
                <w:b/>
                <w:color w:val="auto"/>
                <w:sz w:val="24"/>
                <w:highlight w:val="none"/>
              </w:rPr>
            </w:pPr>
            <w:r>
              <w:rPr>
                <w:rFonts w:hint="eastAsia" w:eastAsiaTheme="minorEastAsia"/>
                <w:b/>
                <w:color w:val="auto"/>
                <w:sz w:val="24"/>
                <w:highlight w:val="none"/>
              </w:rPr>
              <w:t>5、地下水、土壤环境影响及保护措施</w:t>
            </w:r>
          </w:p>
          <w:p>
            <w:pPr>
              <w:spacing w:line="360" w:lineRule="auto"/>
              <w:ind w:firstLine="480" w:firstLineChars="200"/>
              <w:rPr>
                <w:color w:val="auto"/>
                <w:sz w:val="24"/>
                <w:highlight w:val="none"/>
              </w:rPr>
            </w:pPr>
            <w:r>
              <w:rPr>
                <w:color w:val="auto"/>
                <w:sz w:val="24"/>
                <w:highlight w:val="none"/>
              </w:rPr>
              <w:t>本项目</w:t>
            </w:r>
            <w:r>
              <w:rPr>
                <w:rFonts w:hint="eastAsia"/>
                <w:color w:val="auto"/>
                <w:sz w:val="24"/>
                <w:highlight w:val="none"/>
              </w:rPr>
              <w:t>租赁</w:t>
            </w:r>
            <w:r>
              <w:rPr>
                <w:color w:val="auto"/>
                <w:sz w:val="24"/>
                <w:highlight w:val="none"/>
              </w:rPr>
              <w:t>已建厂房，</w:t>
            </w:r>
            <w:r>
              <w:rPr>
                <w:rFonts w:hint="eastAsia"/>
                <w:color w:val="auto"/>
                <w:sz w:val="24"/>
                <w:highlight w:val="none"/>
              </w:rPr>
              <w:t>周边近距离范围主要为已建成厂房及硬化路面；项目</w:t>
            </w:r>
            <w:r>
              <w:rPr>
                <w:color w:val="auto"/>
                <w:sz w:val="24"/>
                <w:highlight w:val="none"/>
              </w:rPr>
              <w:t>排放的废气污染物主要为</w:t>
            </w:r>
            <w:r>
              <w:rPr>
                <w:rFonts w:hint="eastAsia"/>
                <w:color w:val="auto"/>
                <w:sz w:val="24"/>
                <w:highlight w:val="none"/>
              </w:rPr>
              <w:t>少量的颗粒物、挥发性有机物等，废活性炭、废矿物油、漆渣等危险废物采用专用储存容器暂存，危废暂存间采取防渗措施，并设置防泄漏围堰，在落实防护措施后，项目基本不存在</w:t>
            </w:r>
            <w:r>
              <w:rPr>
                <w:color w:val="auto"/>
                <w:sz w:val="24"/>
                <w:highlight w:val="none"/>
              </w:rPr>
              <w:t>污染土壤</w:t>
            </w:r>
            <w:r>
              <w:rPr>
                <w:rFonts w:hint="eastAsia"/>
                <w:color w:val="auto"/>
                <w:sz w:val="24"/>
                <w:highlight w:val="none"/>
              </w:rPr>
              <w:t>及地下水环境途径，不会对土壤及地下水环境产生影响。</w:t>
            </w:r>
          </w:p>
          <w:p>
            <w:pPr>
              <w:spacing w:line="360" w:lineRule="auto"/>
              <w:ind w:firstLine="480" w:firstLineChars="200"/>
              <w:rPr>
                <w:color w:val="auto"/>
                <w:sz w:val="24"/>
                <w:highlight w:val="none"/>
              </w:rPr>
            </w:pPr>
            <w:r>
              <w:rPr>
                <w:color w:val="auto"/>
                <w:sz w:val="24"/>
                <w:highlight w:val="none"/>
              </w:rPr>
              <w:t>根据厂区各生产功能单元是否可能对地下水造成污染及其风险程度，将厂区划分为重点防渗区、一般防渗区和简单防渗区。重点防渗区是可能会对地下水造成污染，风险程度较高，需要重点防治的区域，主要为</w:t>
            </w:r>
            <w:r>
              <w:rPr>
                <w:rFonts w:hint="eastAsia"/>
                <w:color w:val="auto"/>
                <w:sz w:val="24"/>
                <w:highlight w:val="none"/>
              </w:rPr>
              <w:t>危废暂存间</w:t>
            </w:r>
            <w:r>
              <w:rPr>
                <w:color w:val="auto"/>
                <w:sz w:val="24"/>
                <w:highlight w:val="none"/>
              </w:rPr>
              <w:t>、</w:t>
            </w:r>
            <w:r>
              <w:rPr>
                <w:rFonts w:hint="eastAsia"/>
                <w:color w:val="auto"/>
                <w:sz w:val="24"/>
                <w:highlight w:val="none"/>
              </w:rPr>
              <w:t>喷漆房、二级沉淀池</w:t>
            </w:r>
            <w:r>
              <w:rPr>
                <w:color w:val="auto"/>
                <w:sz w:val="24"/>
                <w:highlight w:val="none"/>
              </w:rPr>
              <w:t>等区域。一般防渗区是可能会对地下水造成污染，但危害性或风险程度相对较低的区域，包括</w:t>
            </w:r>
            <w:r>
              <w:rPr>
                <w:rFonts w:hint="eastAsia"/>
                <w:color w:val="auto"/>
                <w:sz w:val="24"/>
                <w:highlight w:val="none"/>
              </w:rPr>
              <w:t>加工车间、油漆存放区</w:t>
            </w:r>
            <w:r>
              <w:rPr>
                <w:color w:val="auto"/>
                <w:sz w:val="24"/>
                <w:highlight w:val="none"/>
              </w:rPr>
              <w:t>。简单防渗区为不会对地下水造成污染的区域，主要包括</w:t>
            </w:r>
            <w:r>
              <w:rPr>
                <w:rFonts w:hint="eastAsia"/>
                <w:color w:val="auto"/>
                <w:sz w:val="24"/>
                <w:highlight w:val="none"/>
              </w:rPr>
              <w:t>展厅、办公室</w:t>
            </w:r>
            <w:r>
              <w:rPr>
                <w:color w:val="auto"/>
                <w:sz w:val="24"/>
                <w:highlight w:val="none"/>
              </w:rPr>
              <w:t>等区域。</w:t>
            </w:r>
          </w:p>
          <w:p>
            <w:pPr>
              <w:spacing w:line="360" w:lineRule="auto"/>
              <w:ind w:firstLine="480" w:firstLineChars="200"/>
              <w:rPr>
                <w:color w:val="auto"/>
                <w:sz w:val="24"/>
                <w:highlight w:val="none"/>
              </w:rPr>
            </w:pPr>
            <w:r>
              <w:rPr>
                <w:color w:val="auto"/>
                <w:sz w:val="24"/>
                <w:highlight w:val="none"/>
              </w:rPr>
              <w:t xml:space="preserve"> 项目地下水污染防渗分区参照表见</w:t>
            </w:r>
            <w:r>
              <w:rPr>
                <w:rFonts w:hint="eastAsia"/>
                <w:color w:val="auto"/>
                <w:sz w:val="24"/>
                <w:highlight w:val="none"/>
              </w:rPr>
              <w:t>下</w:t>
            </w:r>
            <w:r>
              <w:rPr>
                <w:color w:val="auto"/>
                <w:sz w:val="24"/>
                <w:highlight w:val="none"/>
              </w:rPr>
              <w:t>表。</w:t>
            </w:r>
          </w:p>
          <w:p>
            <w:pPr>
              <w:pStyle w:val="20"/>
              <w:spacing w:after="0" w:line="240" w:lineRule="auto"/>
              <w:jc w:val="center"/>
              <w:rPr>
                <w:b/>
                <w:bCs/>
                <w:color w:val="auto"/>
                <w:szCs w:val="21"/>
                <w:highlight w:val="none"/>
              </w:rPr>
            </w:pPr>
            <w:r>
              <w:rPr>
                <w:b/>
                <w:bCs/>
                <w:color w:val="auto"/>
                <w:szCs w:val="21"/>
                <w:highlight w:val="none"/>
              </w:rPr>
              <w:t>表4-1</w:t>
            </w:r>
            <w:r>
              <w:rPr>
                <w:rFonts w:hint="eastAsia"/>
                <w:b/>
                <w:bCs/>
                <w:color w:val="auto"/>
                <w:szCs w:val="21"/>
                <w:highlight w:val="none"/>
              </w:rPr>
              <w:t>3</w:t>
            </w:r>
            <w:r>
              <w:rPr>
                <w:b/>
                <w:bCs/>
                <w:color w:val="auto"/>
                <w:szCs w:val="21"/>
                <w:highlight w:val="none"/>
              </w:rPr>
              <w:t xml:space="preserve">  分区防渗要求及处理办法</w:t>
            </w:r>
          </w:p>
          <w:tbl>
            <w:tblPr>
              <w:tblStyle w:val="25"/>
              <w:tblW w:w="49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166"/>
              <w:gridCol w:w="2694"/>
              <w:gridCol w:w="2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Borders>
                    <w:tl2br w:val="nil"/>
                    <w:tr2bl w:val="nil"/>
                  </w:tcBorders>
                  <w:vAlign w:val="center"/>
                </w:tcPr>
                <w:p>
                  <w:pPr>
                    <w:adjustRightInd w:val="0"/>
                    <w:snapToGrid w:val="0"/>
                    <w:jc w:val="center"/>
                    <w:rPr>
                      <w:color w:val="auto"/>
                      <w:szCs w:val="21"/>
                      <w:highlight w:val="none"/>
                    </w:rPr>
                  </w:pPr>
                  <w:r>
                    <w:rPr>
                      <w:color w:val="auto"/>
                      <w:szCs w:val="21"/>
                      <w:highlight w:val="none"/>
                    </w:rPr>
                    <w:t>建构筑物</w:t>
                  </w:r>
                </w:p>
              </w:tc>
              <w:tc>
                <w:tcPr>
                  <w:tcW w:w="751" w:type="pct"/>
                  <w:tcBorders>
                    <w:tl2br w:val="nil"/>
                    <w:tr2bl w:val="nil"/>
                  </w:tcBorders>
                  <w:vAlign w:val="center"/>
                </w:tcPr>
                <w:p>
                  <w:pPr>
                    <w:adjustRightInd w:val="0"/>
                    <w:snapToGrid w:val="0"/>
                    <w:jc w:val="center"/>
                    <w:rPr>
                      <w:color w:val="auto"/>
                      <w:szCs w:val="21"/>
                      <w:highlight w:val="none"/>
                    </w:rPr>
                  </w:pPr>
                  <w:r>
                    <w:rPr>
                      <w:color w:val="auto"/>
                      <w:szCs w:val="21"/>
                      <w:highlight w:val="none"/>
                    </w:rPr>
                    <w:t>防渗分区</w:t>
                  </w:r>
                </w:p>
              </w:tc>
              <w:tc>
                <w:tcPr>
                  <w:tcW w:w="1734" w:type="pct"/>
                  <w:tcBorders>
                    <w:tl2br w:val="nil"/>
                    <w:tr2bl w:val="nil"/>
                  </w:tcBorders>
                  <w:vAlign w:val="center"/>
                </w:tcPr>
                <w:p>
                  <w:pPr>
                    <w:adjustRightInd w:val="0"/>
                    <w:snapToGrid w:val="0"/>
                    <w:jc w:val="center"/>
                    <w:rPr>
                      <w:color w:val="auto"/>
                      <w:szCs w:val="21"/>
                      <w:highlight w:val="none"/>
                    </w:rPr>
                  </w:pPr>
                  <w:r>
                    <w:rPr>
                      <w:color w:val="auto"/>
                      <w:szCs w:val="21"/>
                      <w:highlight w:val="none"/>
                    </w:rPr>
                    <w:t>防渗技术要求</w:t>
                  </w:r>
                </w:p>
              </w:tc>
              <w:tc>
                <w:tcPr>
                  <w:tcW w:w="1486" w:type="pct"/>
                  <w:tcBorders>
                    <w:tl2br w:val="nil"/>
                    <w:tr2bl w:val="nil"/>
                  </w:tcBorders>
                  <w:vAlign w:val="center"/>
                </w:tcPr>
                <w:p>
                  <w:pPr>
                    <w:adjustRightInd w:val="0"/>
                    <w:snapToGrid w:val="0"/>
                    <w:jc w:val="center"/>
                    <w:rPr>
                      <w:color w:val="auto"/>
                      <w:szCs w:val="21"/>
                      <w:highlight w:val="none"/>
                    </w:rPr>
                  </w:pPr>
                  <w:r>
                    <w:rPr>
                      <w:color w:val="auto"/>
                      <w:szCs w:val="21"/>
                      <w:highlight w:val="none"/>
                    </w:rPr>
                    <w:t>本项目防渗技术要求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危废暂存间</w:t>
                  </w:r>
                  <w:r>
                    <w:rPr>
                      <w:color w:val="auto"/>
                      <w:szCs w:val="21"/>
                      <w:highlight w:val="none"/>
                    </w:rPr>
                    <w:t>、</w:t>
                  </w:r>
                  <w:r>
                    <w:rPr>
                      <w:rFonts w:hint="eastAsia"/>
                      <w:color w:val="auto"/>
                      <w:szCs w:val="21"/>
                      <w:highlight w:val="none"/>
                    </w:rPr>
                    <w:t>喷漆房、二级沉淀池等</w:t>
                  </w:r>
                </w:p>
              </w:tc>
              <w:tc>
                <w:tcPr>
                  <w:tcW w:w="751" w:type="pct"/>
                  <w:tcBorders>
                    <w:tl2br w:val="nil"/>
                    <w:tr2bl w:val="nil"/>
                  </w:tcBorders>
                  <w:vAlign w:val="center"/>
                </w:tcPr>
                <w:p>
                  <w:pPr>
                    <w:adjustRightInd w:val="0"/>
                    <w:snapToGrid w:val="0"/>
                    <w:jc w:val="center"/>
                    <w:rPr>
                      <w:color w:val="auto"/>
                      <w:szCs w:val="21"/>
                      <w:highlight w:val="none"/>
                    </w:rPr>
                  </w:pPr>
                  <w:r>
                    <w:rPr>
                      <w:color w:val="auto"/>
                      <w:szCs w:val="21"/>
                      <w:highlight w:val="none"/>
                    </w:rPr>
                    <w:t>重点防渗</w:t>
                  </w:r>
                </w:p>
              </w:tc>
              <w:tc>
                <w:tcPr>
                  <w:tcW w:w="1734" w:type="pct"/>
                  <w:tcBorders>
                    <w:tl2br w:val="nil"/>
                    <w:tr2bl w:val="nil"/>
                  </w:tcBorders>
                  <w:vAlign w:val="center"/>
                </w:tcPr>
                <w:p>
                  <w:pPr>
                    <w:adjustRightInd w:val="0"/>
                    <w:snapToGrid w:val="0"/>
                    <w:jc w:val="center"/>
                    <w:rPr>
                      <w:color w:val="auto"/>
                      <w:szCs w:val="21"/>
                      <w:highlight w:val="none"/>
                    </w:rPr>
                  </w:pPr>
                  <w:r>
                    <w:rPr>
                      <w:color w:val="auto"/>
                      <w:szCs w:val="21"/>
                      <w:highlight w:val="none"/>
                    </w:rPr>
                    <w:t>等效黏土防渗层Mb≧6m，K≦1*10</w:t>
                  </w:r>
                  <w:r>
                    <w:rPr>
                      <w:color w:val="auto"/>
                      <w:szCs w:val="21"/>
                      <w:highlight w:val="none"/>
                      <w:vertAlign w:val="superscript"/>
                    </w:rPr>
                    <w:t>-</w:t>
                  </w:r>
                  <w:r>
                    <w:rPr>
                      <w:rFonts w:hint="eastAsia"/>
                      <w:color w:val="auto"/>
                      <w:szCs w:val="21"/>
                      <w:highlight w:val="none"/>
                      <w:vertAlign w:val="superscript"/>
                    </w:rPr>
                    <w:t>10</w:t>
                  </w:r>
                  <w:r>
                    <w:rPr>
                      <w:color w:val="auto"/>
                      <w:szCs w:val="21"/>
                      <w:highlight w:val="none"/>
                    </w:rPr>
                    <w:t>cm/s，或参照《危险废物填埋污染控制标准》（GB18598-2019）执行</w:t>
                  </w:r>
                </w:p>
              </w:tc>
              <w:tc>
                <w:tcPr>
                  <w:tcW w:w="1486" w:type="pct"/>
                  <w:tcBorders>
                    <w:tl2br w:val="nil"/>
                    <w:tr2bl w:val="nil"/>
                  </w:tcBorders>
                  <w:vAlign w:val="center"/>
                </w:tcPr>
                <w:p>
                  <w:pPr>
                    <w:adjustRightInd w:val="0"/>
                    <w:snapToGrid w:val="0"/>
                    <w:jc w:val="center"/>
                    <w:rPr>
                      <w:color w:val="auto"/>
                      <w:szCs w:val="21"/>
                      <w:highlight w:val="none"/>
                    </w:rPr>
                  </w:pPr>
                  <w:r>
                    <w:rPr>
                      <w:color w:val="auto"/>
                      <w:kern w:val="18"/>
                      <w:szCs w:val="21"/>
                      <w:highlight w:val="none"/>
                    </w:rPr>
                    <w:t>铺设10～15cm的水泥进行硬化，再涂环氧树脂防渗</w:t>
                  </w:r>
                  <w:r>
                    <w:rPr>
                      <w:rFonts w:hint="eastAsia"/>
                      <w:color w:val="auto"/>
                      <w:kern w:val="18"/>
                      <w:szCs w:val="21"/>
                      <w:highlight w:val="none"/>
                    </w:rPr>
                    <w:t>，</w:t>
                  </w:r>
                  <w:r>
                    <w:rPr>
                      <w:color w:val="auto"/>
                      <w:kern w:val="18"/>
                      <w:szCs w:val="21"/>
                      <w:highlight w:val="none"/>
                    </w:rPr>
                    <w:t>使重点污染区各单元防渗层渗透系数≤10</w:t>
                  </w:r>
                  <w:r>
                    <w:rPr>
                      <w:color w:val="auto"/>
                      <w:kern w:val="18"/>
                      <w:szCs w:val="21"/>
                      <w:highlight w:val="none"/>
                      <w:vertAlign w:val="superscript"/>
                    </w:rPr>
                    <w:t>-10</w:t>
                  </w:r>
                  <w:r>
                    <w:rPr>
                      <w:color w:val="auto"/>
                      <w:kern w:val="18"/>
                      <w:szCs w:val="21"/>
                      <w:highlight w:val="none"/>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7"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车间、油漆存放区等</w:t>
                  </w:r>
                </w:p>
              </w:tc>
              <w:tc>
                <w:tcPr>
                  <w:tcW w:w="751" w:type="pct"/>
                  <w:tcBorders>
                    <w:tl2br w:val="nil"/>
                    <w:tr2bl w:val="nil"/>
                  </w:tcBorders>
                  <w:vAlign w:val="center"/>
                </w:tcPr>
                <w:p>
                  <w:pPr>
                    <w:adjustRightInd w:val="0"/>
                    <w:snapToGrid w:val="0"/>
                    <w:jc w:val="center"/>
                    <w:rPr>
                      <w:color w:val="auto"/>
                      <w:szCs w:val="21"/>
                      <w:highlight w:val="none"/>
                    </w:rPr>
                  </w:pPr>
                  <w:r>
                    <w:rPr>
                      <w:color w:val="auto"/>
                      <w:szCs w:val="21"/>
                      <w:highlight w:val="none"/>
                    </w:rPr>
                    <w:t>一般防渗</w:t>
                  </w:r>
                </w:p>
              </w:tc>
              <w:tc>
                <w:tcPr>
                  <w:tcW w:w="1734" w:type="pct"/>
                  <w:tcBorders>
                    <w:tl2br w:val="nil"/>
                    <w:tr2bl w:val="nil"/>
                  </w:tcBorders>
                  <w:vAlign w:val="center"/>
                </w:tcPr>
                <w:p>
                  <w:pPr>
                    <w:adjustRightInd w:val="0"/>
                    <w:snapToGrid w:val="0"/>
                    <w:jc w:val="center"/>
                    <w:rPr>
                      <w:color w:val="auto"/>
                      <w:szCs w:val="21"/>
                      <w:highlight w:val="none"/>
                    </w:rPr>
                  </w:pPr>
                  <w:r>
                    <w:rPr>
                      <w:color w:val="auto"/>
                      <w:szCs w:val="21"/>
                      <w:highlight w:val="none"/>
                    </w:rPr>
                    <w:t>等效黏土防渗层Mb≧1.5m，K≦1*10</w:t>
                  </w:r>
                  <w:r>
                    <w:rPr>
                      <w:color w:val="auto"/>
                      <w:szCs w:val="21"/>
                      <w:highlight w:val="none"/>
                      <w:vertAlign w:val="superscript"/>
                    </w:rPr>
                    <w:t>-7</w:t>
                  </w:r>
                  <w:r>
                    <w:rPr>
                      <w:color w:val="auto"/>
                      <w:szCs w:val="21"/>
                      <w:highlight w:val="none"/>
                    </w:rPr>
                    <w:t>cm/s，或参照《危险废物填埋污染控制标准》（GB18598-2019）执行</w:t>
                  </w:r>
                </w:p>
              </w:tc>
              <w:tc>
                <w:tcPr>
                  <w:tcW w:w="1486" w:type="pct"/>
                  <w:tcBorders>
                    <w:tl2br w:val="nil"/>
                    <w:tr2bl w:val="nil"/>
                  </w:tcBorders>
                  <w:vAlign w:val="center"/>
                </w:tcPr>
                <w:p>
                  <w:pPr>
                    <w:adjustRightInd w:val="0"/>
                    <w:snapToGrid w:val="0"/>
                    <w:jc w:val="center"/>
                    <w:rPr>
                      <w:color w:val="auto"/>
                      <w:szCs w:val="21"/>
                      <w:highlight w:val="none"/>
                    </w:rPr>
                  </w:pPr>
                  <w:r>
                    <w:rPr>
                      <w:color w:val="auto"/>
                      <w:kern w:val="18"/>
                      <w:szCs w:val="21"/>
                      <w:highlight w:val="none"/>
                    </w:rPr>
                    <w:t>粘土铺底，上层铺设10～15cm的水泥进行硬化，使一般污染区各单元防渗层渗透系数≤10</w:t>
                  </w:r>
                  <w:r>
                    <w:rPr>
                      <w:color w:val="auto"/>
                      <w:kern w:val="18"/>
                      <w:szCs w:val="21"/>
                      <w:highlight w:val="none"/>
                      <w:vertAlign w:val="superscript"/>
                    </w:rPr>
                    <w:t>-7</w:t>
                  </w:r>
                  <w:r>
                    <w:rPr>
                      <w:color w:val="auto"/>
                      <w:kern w:val="18"/>
                      <w:szCs w:val="21"/>
                      <w:highlight w:val="none"/>
                    </w:rPr>
                    <w:t>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tcBorders>
                    <w:tl2br w:val="nil"/>
                    <w:tr2bl w:val="nil"/>
                  </w:tcBorders>
                  <w:vAlign w:val="center"/>
                </w:tcPr>
                <w:p>
                  <w:pPr>
                    <w:adjustRightInd w:val="0"/>
                    <w:snapToGrid w:val="0"/>
                    <w:jc w:val="center"/>
                    <w:rPr>
                      <w:color w:val="auto"/>
                      <w:szCs w:val="21"/>
                      <w:highlight w:val="none"/>
                    </w:rPr>
                  </w:pPr>
                  <w:r>
                    <w:rPr>
                      <w:color w:val="auto"/>
                      <w:szCs w:val="21"/>
                      <w:highlight w:val="none"/>
                    </w:rPr>
                    <w:t>办公</w:t>
                  </w:r>
                  <w:r>
                    <w:rPr>
                      <w:rFonts w:hint="eastAsia"/>
                      <w:color w:val="auto"/>
                      <w:szCs w:val="21"/>
                      <w:highlight w:val="none"/>
                    </w:rPr>
                    <w:t>室</w:t>
                  </w:r>
                </w:p>
              </w:tc>
              <w:tc>
                <w:tcPr>
                  <w:tcW w:w="751" w:type="pct"/>
                  <w:tcBorders>
                    <w:tl2br w:val="nil"/>
                    <w:tr2bl w:val="nil"/>
                  </w:tcBorders>
                  <w:vAlign w:val="center"/>
                </w:tcPr>
                <w:p>
                  <w:pPr>
                    <w:adjustRightInd w:val="0"/>
                    <w:snapToGrid w:val="0"/>
                    <w:jc w:val="center"/>
                    <w:rPr>
                      <w:color w:val="auto"/>
                      <w:szCs w:val="21"/>
                      <w:highlight w:val="none"/>
                    </w:rPr>
                  </w:pPr>
                  <w:r>
                    <w:rPr>
                      <w:color w:val="auto"/>
                      <w:szCs w:val="21"/>
                      <w:highlight w:val="none"/>
                    </w:rPr>
                    <w:t>简单防渗</w:t>
                  </w:r>
                </w:p>
              </w:tc>
              <w:tc>
                <w:tcPr>
                  <w:tcW w:w="1734" w:type="pct"/>
                  <w:tcBorders>
                    <w:tl2br w:val="nil"/>
                    <w:tr2bl w:val="nil"/>
                  </w:tcBorders>
                  <w:vAlign w:val="center"/>
                </w:tcPr>
                <w:p>
                  <w:pPr>
                    <w:adjustRightInd w:val="0"/>
                    <w:snapToGrid w:val="0"/>
                    <w:jc w:val="center"/>
                    <w:rPr>
                      <w:color w:val="auto"/>
                      <w:szCs w:val="21"/>
                      <w:highlight w:val="none"/>
                    </w:rPr>
                  </w:pPr>
                  <w:r>
                    <w:rPr>
                      <w:color w:val="auto"/>
                      <w:szCs w:val="21"/>
                      <w:highlight w:val="none"/>
                    </w:rPr>
                    <w:t>一般地面硬化</w:t>
                  </w:r>
                </w:p>
              </w:tc>
              <w:tc>
                <w:tcPr>
                  <w:tcW w:w="1486" w:type="pct"/>
                  <w:tcBorders>
                    <w:tl2br w:val="nil"/>
                    <w:tr2bl w:val="nil"/>
                  </w:tcBorders>
                  <w:vAlign w:val="center"/>
                </w:tcPr>
                <w:p>
                  <w:pPr>
                    <w:adjustRightInd w:val="0"/>
                    <w:snapToGrid w:val="0"/>
                    <w:jc w:val="center"/>
                    <w:rPr>
                      <w:color w:val="auto"/>
                      <w:szCs w:val="21"/>
                      <w:highlight w:val="none"/>
                    </w:rPr>
                  </w:pPr>
                  <w:r>
                    <w:rPr>
                      <w:color w:val="auto"/>
                      <w:szCs w:val="21"/>
                      <w:highlight w:val="none"/>
                    </w:rPr>
                    <w:t>一般地面硬化</w:t>
                  </w:r>
                </w:p>
              </w:tc>
            </w:tr>
          </w:tbl>
          <w:p>
            <w:pPr>
              <w:spacing w:line="360" w:lineRule="auto"/>
              <w:rPr>
                <w:rFonts w:eastAsiaTheme="minorEastAsia"/>
                <w:b/>
                <w:color w:val="auto"/>
                <w:sz w:val="24"/>
                <w:highlight w:val="none"/>
              </w:rPr>
            </w:pPr>
            <w:r>
              <w:rPr>
                <w:rFonts w:hint="eastAsia" w:eastAsiaTheme="minorEastAsia"/>
                <w:b/>
                <w:color w:val="auto"/>
                <w:sz w:val="24"/>
                <w:highlight w:val="none"/>
              </w:rPr>
              <w:t>6、环境风险分析</w:t>
            </w:r>
          </w:p>
          <w:p>
            <w:pPr>
              <w:spacing w:line="360" w:lineRule="auto"/>
              <w:rPr>
                <w:rFonts w:eastAsiaTheme="minorEastAsia"/>
                <w:b/>
                <w:color w:val="auto"/>
                <w:sz w:val="24"/>
                <w:highlight w:val="none"/>
              </w:rPr>
            </w:pPr>
            <w:r>
              <w:rPr>
                <w:rFonts w:hint="eastAsia" w:eastAsiaTheme="minorEastAsia"/>
                <w:b/>
                <w:color w:val="auto"/>
                <w:sz w:val="24"/>
                <w:highlight w:val="none"/>
              </w:rPr>
              <w:t>6.1风险识别</w:t>
            </w:r>
          </w:p>
          <w:p>
            <w:pPr>
              <w:adjustRightInd w:val="0"/>
              <w:snapToGrid w:val="0"/>
              <w:spacing w:line="360" w:lineRule="auto"/>
              <w:ind w:firstLine="480" w:firstLineChars="200"/>
              <w:rPr>
                <w:color w:val="auto"/>
                <w:kern w:val="0"/>
                <w:sz w:val="24"/>
                <w:highlight w:val="none"/>
                <w:u w:val="single"/>
              </w:rPr>
            </w:pPr>
            <w:r>
              <w:rPr>
                <w:rFonts w:hint="eastAsia"/>
                <w:color w:val="auto"/>
                <w:kern w:val="0"/>
                <w:sz w:val="24"/>
                <w:highlight w:val="none"/>
              </w:rPr>
              <w:t>根据</w:t>
            </w:r>
            <w:r>
              <w:rPr>
                <w:color w:val="auto"/>
                <w:kern w:val="0"/>
                <w:sz w:val="24"/>
                <w:highlight w:val="none"/>
              </w:rPr>
              <w:t>《有毒有害大气污染物名录》、《有毒有害水污染物名录》及《建设项目环境风险评价技术导则》（HJ/T169-2018）附录 B 中环境风险物质，</w:t>
            </w:r>
            <w:r>
              <w:rPr>
                <w:rFonts w:hint="eastAsia"/>
                <w:color w:val="auto"/>
                <w:kern w:val="0"/>
                <w:sz w:val="24"/>
                <w:highlight w:val="none"/>
              </w:rPr>
              <w:t>本项目涉及的风险物质主要为油漆、润滑油和危险废物（漆渣、废包装桶、废机油及废活性炭等）。</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项目主要环境风险为油漆泄漏、危险废物泄漏及突发火灾等。</w:t>
            </w:r>
          </w:p>
          <w:p>
            <w:pPr>
              <w:spacing w:line="360" w:lineRule="auto"/>
              <w:rPr>
                <w:color w:val="auto"/>
                <w:sz w:val="24"/>
                <w:highlight w:val="none"/>
              </w:rPr>
            </w:pPr>
            <w:r>
              <w:rPr>
                <w:rFonts w:hint="eastAsia" w:eastAsiaTheme="minorEastAsia"/>
                <w:b/>
                <w:color w:val="auto"/>
                <w:sz w:val="24"/>
                <w:highlight w:val="none"/>
              </w:rPr>
              <w:t>6.2环境风险评价等级</w:t>
            </w:r>
          </w:p>
          <w:p>
            <w:pPr>
              <w:pStyle w:val="101"/>
              <w:spacing w:line="360" w:lineRule="auto"/>
              <w:ind w:firstLine="48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根据《建设项目环境风险评价技术导则》（HJ 169-2018），计算所涉及的项目涉及的突然环境事件风险物质的最大存在总量与其在附录B中对应临界量的比值Q。。</w:t>
            </w:r>
          </w:p>
          <w:p>
            <w:pPr>
              <w:pStyle w:val="101"/>
              <w:spacing w:line="360" w:lineRule="auto"/>
              <w:ind w:firstLine="48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当只涉及一种危险物质时，计算该物质的总量与其临界量比值，即为Q；</w:t>
            </w:r>
          </w:p>
          <w:p>
            <w:pPr>
              <w:pStyle w:val="101"/>
              <w:spacing w:line="360" w:lineRule="auto"/>
              <w:ind w:firstLine="48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当存在多种危险物质时，则按下式计算物质总量与其临界量比值（Q）：</w:t>
            </w:r>
          </w:p>
          <w:p>
            <w:pPr>
              <w:pStyle w:val="101"/>
              <w:spacing w:line="360" w:lineRule="auto"/>
              <w:ind w:firstLine="48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drawing>
                <wp:anchor distT="0" distB="0" distL="114300" distR="114300" simplePos="0" relativeHeight="251659264" behindDoc="0" locked="0" layoutInCell="1" allowOverlap="1">
                  <wp:simplePos x="0" y="0"/>
                  <wp:positionH relativeFrom="column">
                    <wp:posOffset>1548130</wp:posOffset>
                  </wp:positionH>
                  <wp:positionV relativeFrom="paragraph">
                    <wp:posOffset>98425</wp:posOffset>
                  </wp:positionV>
                  <wp:extent cx="1702435" cy="454025"/>
                  <wp:effectExtent l="0" t="0" r="0" b="2540"/>
                  <wp:wrapTopAndBottom/>
                  <wp:docPr id="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1"/>
                          <pic:cNvPicPr>
                            <a:picLocks noChangeAspect="1"/>
                          </pic:cNvPicPr>
                        </pic:nvPicPr>
                        <pic:blipFill>
                          <a:blip r:embed="rId14"/>
                          <a:stretch>
                            <a:fillRect/>
                          </a:stretch>
                        </pic:blipFill>
                        <pic:spPr>
                          <a:xfrm>
                            <a:off x="0" y="0"/>
                            <a:ext cx="1702435" cy="454025"/>
                          </a:xfrm>
                          <a:prstGeom prst="rect">
                            <a:avLst/>
                          </a:prstGeom>
                          <a:noFill/>
                          <a:ln>
                            <a:noFill/>
                          </a:ln>
                        </pic:spPr>
                      </pic:pic>
                    </a:graphicData>
                  </a:graphic>
                </wp:anchor>
              </w:drawing>
            </w:r>
            <w:r>
              <w:rPr>
                <w:rFonts w:ascii="Times New Roman" w:hAnsi="Times New Roman" w:eastAsia="宋体"/>
                <w:color w:val="auto"/>
                <w:sz w:val="24"/>
                <w:szCs w:val="24"/>
                <w:highlight w:val="none"/>
              </w:rPr>
              <w:t>式中：q</w:t>
            </w:r>
            <w:r>
              <w:rPr>
                <w:rFonts w:ascii="Times New Roman" w:hAnsi="Times New Roman" w:eastAsia="宋体"/>
                <w:color w:val="auto"/>
                <w:sz w:val="24"/>
                <w:szCs w:val="24"/>
                <w:highlight w:val="none"/>
                <w:vertAlign w:val="subscript"/>
              </w:rPr>
              <w:t>1</w:t>
            </w:r>
            <w:r>
              <w:rPr>
                <w:rFonts w:ascii="Times New Roman" w:hAnsi="Times New Roman" w:eastAsia="宋体"/>
                <w:color w:val="auto"/>
                <w:sz w:val="24"/>
                <w:szCs w:val="24"/>
                <w:highlight w:val="none"/>
              </w:rPr>
              <w:t>，q</w:t>
            </w:r>
            <w:r>
              <w:rPr>
                <w:rFonts w:ascii="Times New Roman" w:hAnsi="Times New Roman" w:eastAsia="宋体"/>
                <w:color w:val="auto"/>
                <w:sz w:val="24"/>
                <w:szCs w:val="24"/>
                <w:highlight w:val="none"/>
                <w:vertAlign w:val="subscript"/>
              </w:rPr>
              <w:t>2</w:t>
            </w:r>
            <w:r>
              <w:rPr>
                <w:rFonts w:ascii="Times New Roman" w:hAnsi="Times New Roman" w:eastAsia="宋体"/>
                <w:color w:val="auto"/>
                <w:sz w:val="24"/>
                <w:szCs w:val="24"/>
                <w:highlight w:val="none"/>
              </w:rPr>
              <w:t>，…，q</w:t>
            </w:r>
            <w:r>
              <w:rPr>
                <w:rFonts w:ascii="Times New Roman" w:hAnsi="Times New Roman" w:eastAsia="宋体"/>
                <w:color w:val="auto"/>
                <w:sz w:val="24"/>
                <w:szCs w:val="24"/>
                <w:highlight w:val="none"/>
                <w:vertAlign w:val="subscript"/>
              </w:rPr>
              <w:t>n</w:t>
            </w:r>
            <w:r>
              <w:rPr>
                <w:rFonts w:ascii="Times New Roman" w:hAnsi="Times New Roman" w:eastAsia="宋体"/>
                <w:color w:val="auto"/>
                <w:sz w:val="24"/>
                <w:szCs w:val="24"/>
                <w:highlight w:val="none"/>
              </w:rPr>
              <w:t>——每种危险物质的最大存在总量，t；</w:t>
            </w:r>
          </w:p>
          <w:p>
            <w:pPr>
              <w:pStyle w:val="101"/>
              <w:spacing w:line="360" w:lineRule="auto"/>
              <w:ind w:firstLine="48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 xml:space="preserve">  Q</w:t>
            </w:r>
            <w:r>
              <w:rPr>
                <w:rFonts w:ascii="Times New Roman" w:hAnsi="Times New Roman" w:eastAsia="宋体"/>
                <w:color w:val="auto"/>
                <w:sz w:val="24"/>
                <w:szCs w:val="24"/>
                <w:highlight w:val="none"/>
                <w:vertAlign w:val="subscript"/>
              </w:rPr>
              <w:t>1</w:t>
            </w:r>
            <w:r>
              <w:rPr>
                <w:rFonts w:ascii="Times New Roman" w:hAnsi="Times New Roman" w:eastAsia="宋体"/>
                <w:color w:val="auto"/>
                <w:sz w:val="24"/>
                <w:szCs w:val="24"/>
                <w:highlight w:val="none"/>
              </w:rPr>
              <w:t>，Q</w:t>
            </w:r>
            <w:r>
              <w:rPr>
                <w:rFonts w:ascii="Times New Roman" w:hAnsi="Times New Roman" w:eastAsia="宋体"/>
                <w:color w:val="auto"/>
                <w:sz w:val="24"/>
                <w:szCs w:val="24"/>
                <w:highlight w:val="none"/>
                <w:vertAlign w:val="subscript"/>
              </w:rPr>
              <w:t>2</w:t>
            </w:r>
            <w:r>
              <w:rPr>
                <w:rFonts w:ascii="Times New Roman" w:hAnsi="Times New Roman" w:eastAsia="宋体"/>
                <w:color w:val="auto"/>
                <w:sz w:val="24"/>
                <w:szCs w:val="24"/>
                <w:highlight w:val="none"/>
              </w:rPr>
              <w:t>，…，Q</w:t>
            </w:r>
            <w:r>
              <w:rPr>
                <w:rFonts w:ascii="Times New Roman" w:hAnsi="Times New Roman" w:eastAsia="宋体"/>
                <w:color w:val="auto"/>
                <w:sz w:val="24"/>
                <w:szCs w:val="24"/>
                <w:highlight w:val="none"/>
                <w:vertAlign w:val="subscript"/>
              </w:rPr>
              <w:t>n</w:t>
            </w:r>
            <w:r>
              <w:rPr>
                <w:rFonts w:ascii="Times New Roman" w:hAnsi="Times New Roman" w:eastAsia="宋体"/>
                <w:color w:val="auto"/>
                <w:sz w:val="24"/>
                <w:szCs w:val="24"/>
                <w:highlight w:val="none"/>
              </w:rPr>
              <w:t>——每种危险物质的临界量，t。</w:t>
            </w:r>
          </w:p>
          <w:p>
            <w:pPr>
              <w:pStyle w:val="101"/>
              <w:spacing w:line="360" w:lineRule="auto"/>
              <w:ind w:firstLine="48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当Q&lt;1时，该项目环境风险潜势为I。</w:t>
            </w:r>
          </w:p>
          <w:p>
            <w:pPr>
              <w:pStyle w:val="101"/>
              <w:spacing w:line="360" w:lineRule="auto"/>
              <w:ind w:firstLine="48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当Q≥1时，将Q值划分为：（1）1≤Q&lt;10；（2）10≤Q&lt;100；（3）Q≥100。</w:t>
            </w:r>
          </w:p>
          <w:p>
            <w:pPr>
              <w:spacing w:line="360" w:lineRule="auto"/>
              <w:ind w:firstLine="480" w:firstLineChars="200"/>
              <w:rPr>
                <w:color w:val="auto"/>
                <w:sz w:val="24"/>
                <w:highlight w:val="none"/>
              </w:rPr>
            </w:pPr>
            <w:r>
              <w:rPr>
                <w:color w:val="auto"/>
                <w:sz w:val="24"/>
                <w:highlight w:val="none"/>
                <w:lang w:val="zh-CN"/>
              </w:rPr>
              <w:t>本项目</w:t>
            </w:r>
            <w:r>
              <w:rPr>
                <w:rFonts w:hint="eastAsia"/>
                <w:color w:val="auto"/>
                <w:sz w:val="24"/>
                <w:highlight w:val="none"/>
                <w:lang w:val="zh-CN"/>
              </w:rPr>
              <w:t>不设物料储罐，</w:t>
            </w:r>
            <w:r>
              <w:rPr>
                <w:rFonts w:hint="eastAsia"/>
                <w:color w:val="auto"/>
                <w:sz w:val="24"/>
                <w:highlight w:val="none"/>
              </w:rPr>
              <w:t>油漆等</w:t>
            </w:r>
            <w:r>
              <w:rPr>
                <w:rFonts w:hint="eastAsia"/>
                <w:color w:val="auto"/>
                <w:sz w:val="24"/>
                <w:highlight w:val="none"/>
                <w:lang w:val="zh-CN"/>
              </w:rPr>
              <w:t>根据公司</w:t>
            </w:r>
            <w:r>
              <w:rPr>
                <w:rFonts w:hint="eastAsia"/>
                <w:color w:val="auto"/>
                <w:sz w:val="24"/>
                <w:highlight w:val="none"/>
              </w:rPr>
              <w:t>生产</w:t>
            </w:r>
            <w:r>
              <w:rPr>
                <w:rFonts w:hint="eastAsia"/>
                <w:color w:val="auto"/>
                <w:sz w:val="24"/>
                <w:highlight w:val="none"/>
                <w:lang w:val="zh-CN"/>
              </w:rPr>
              <w:t>需求由物料生产厂家进行配送，购入后以桶装方式在</w:t>
            </w:r>
            <w:r>
              <w:rPr>
                <w:rFonts w:hint="eastAsia"/>
                <w:color w:val="auto"/>
                <w:sz w:val="24"/>
                <w:highlight w:val="none"/>
              </w:rPr>
              <w:t>厂房内相应区域</w:t>
            </w:r>
            <w:r>
              <w:rPr>
                <w:rFonts w:hint="eastAsia"/>
                <w:color w:val="auto"/>
                <w:sz w:val="24"/>
                <w:highlight w:val="none"/>
                <w:lang w:val="zh-CN"/>
              </w:rPr>
              <w:t>储存。</w:t>
            </w:r>
            <w:r>
              <w:rPr>
                <w:color w:val="auto"/>
                <w:sz w:val="24"/>
                <w:highlight w:val="none"/>
                <w:lang w:val="zh-CN"/>
              </w:rPr>
              <w:t>根据《建设项目环境风险评价技术导则》（HJ169-2018）中附录B，项目涉及的危险物质名称，贮存量及临界量</w:t>
            </w:r>
            <w:r>
              <w:rPr>
                <w:color w:val="auto"/>
                <w:sz w:val="24"/>
                <w:highlight w:val="none"/>
              </w:rPr>
              <w:t>见</w:t>
            </w:r>
            <w:r>
              <w:rPr>
                <w:rFonts w:hint="eastAsia"/>
                <w:color w:val="auto"/>
                <w:sz w:val="24"/>
                <w:highlight w:val="none"/>
              </w:rPr>
              <w:t>下</w:t>
            </w:r>
            <w:r>
              <w:rPr>
                <w:color w:val="auto"/>
                <w:sz w:val="24"/>
                <w:highlight w:val="none"/>
              </w:rPr>
              <w:t>表。</w:t>
            </w:r>
          </w:p>
          <w:p>
            <w:pPr>
              <w:pStyle w:val="102"/>
              <w:numPr>
                <w:ilvl w:val="1"/>
                <w:numId w:val="0"/>
              </w:numPr>
              <w:spacing w:line="240" w:lineRule="auto"/>
              <w:jc w:val="center"/>
              <w:outlineLvl w:val="9"/>
              <w:rPr>
                <w:rFonts w:ascii="Times New Roman" w:hAnsi="Times New Roman" w:cs="Times New Roman"/>
                <w:color w:val="auto"/>
                <w:sz w:val="21"/>
                <w:szCs w:val="21"/>
                <w:highlight w:val="none"/>
                <w:lang w:val="en-US"/>
              </w:rPr>
            </w:pPr>
            <w:r>
              <w:rPr>
                <w:rFonts w:ascii="Times New Roman" w:hAnsi="Times New Roman" w:cs="Times New Roman"/>
                <w:color w:val="auto"/>
                <w:sz w:val="21"/>
                <w:szCs w:val="21"/>
                <w:highlight w:val="none"/>
                <w:lang w:val="en-US"/>
              </w:rPr>
              <w:t>表4-1</w:t>
            </w:r>
            <w:r>
              <w:rPr>
                <w:rFonts w:hint="eastAsia" w:ascii="Times New Roman" w:hAnsi="Times New Roman" w:cs="Times New Roman"/>
                <w:color w:val="auto"/>
                <w:sz w:val="21"/>
                <w:szCs w:val="21"/>
                <w:highlight w:val="none"/>
                <w:lang w:val="en-US"/>
              </w:rPr>
              <w:t>4</w:t>
            </w:r>
            <w:r>
              <w:rPr>
                <w:rFonts w:ascii="Times New Roman" w:hAnsi="Times New Roman" w:cs="Times New Roman"/>
                <w:color w:val="auto"/>
                <w:sz w:val="21"/>
                <w:szCs w:val="21"/>
                <w:highlight w:val="none"/>
                <w:lang w:val="en-US"/>
              </w:rPr>
              <w:t xml:space="preserve"> 危险物质数量与临界量比值（Q）计算结果一览表</w:t>
            </w:r>
          </w:p>
          <w:tbl>
            <w:tblPr>
              <w:tblStyle w:val="25"/>
              <w:tblW w:w="497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069"/>
              <w:gridCol w:w="1285"/>
              <w:gridCol w:w="1287"/>
              <w:gridCol w:w="1439"/>
              <w:gridCol w:w="1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l2br w:val="nil"/>
                    <w:tr2bl w:val="nil"/>
                  </w:tcBorders>
                  <w:vAlign w:val="center"/>
                </w:tcPr>
                <w:p>
                  <w:pPr>
                    <w:adjustRightInd w:val="0"/>
                    <w:snapToGrid w:val="0"/>
                    <w:jc w:val="center"/>
                    <w:rPr>
                      <w:color w:val="auto"/>
                      <w:szCs w:val="21"/>
                      <w:highlight w:val="none"/>
                    </w:rPr>
                  </w:pPr>
                  <w:r>
                    <w:rPr>
                      <w:color w:val="auto"/>
                      <w:szCs w:val="21"/>
                      <w:highlight w:val="none"/>
                    </w:rPr>
                    <w:t>序号</w:t>
                  </w:r>
                </w:p>
              </w:tc>
              <w:tc>
                <w:tcPr>
                  <w:tcW w:w="1312" w:type="pct"/>
                  <w:tcBorders>
                    <w:tl2br w:val="nil"/>
                    <w:tr2bl w:val="nil"/>
                  </w:tcBorders>
                  <w:vAlign w:val="center"/>
                </w:tcPr>
                <w:p>
                  <w:pPr>
                    <w:adjustRightInd w:val="0"/>
                    <w:snapToGrid w:val="0"/>
                    <w:jc w:val="center"/>
                    <w:rPr>
                      <w:color w:val="auto"/>
                      <w:szCs w:val="21"/>
                      <w:highlight w:val="none"/>
                    </w:rPr>
                  </w:pPr>
                  <w:r>
                    <w:rPr>
                      <w:color w:val="auto"/>
                      <w:szCs w:val="21"/>
                      <w:highlight w:val="none"/>
                    </w:rPr>
                    <w:t>物质名称</w:t>
                  </w:r>
                </w:p>
              </w:tc>
              <w:tc>
                <w:tcPr>
                  <w:tcW w:w="81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储存位置</w:t>
                  </w:r>
                </w:p>
              </w:tc>
              <w:tc>
                <w:tcPr>
                  <w:tcW w:w="816" w:type="pct"/>
                  <w:tcBorders>
                    <w:tl2br w:val="nil"/>
                    <w:tr2bl w:val="nil"/>
                  </w:tcBorders>
                  <w:vAlign w:val="center"/>
                </w:tcPr>
                <w:p>
                  <w:pPr>
                    <w:adjustRightInd w:val="0"/>
                    <w:snapToGrid w:val="0"/>
                    <w:jc w:val="center"/>
                    <w:rPr>
                      <w:color w:val="auto"/>
                      <w:szCs w:val="21"/>
                      <w:highlight w:val="none"/>
                    </w:rPr>
                  </w:pPr>
                  <w:r>
                    <w:rPr>
                      <w:color w:val="auto"/>
                      <w:szCs w:val="21"/>
                      <w:highlight w:val="none"/>
                    </w:rPr>
                    <w:t>存储量（t）</w:t>
                  </w:r>
                </w:p>
              </w:tc>
              <w:tc>
                <w:tcPr>
                  <w:tcW w:w="910" w:type="pct"/>
                  <w:tcBorders>
                    <w:tl2br w:val="nil"/>
                    <w:tr2bl w:val="nil"/>
                  </w:tcBorders>
                  <w:vAlign w:val="center"/>
                </w:tcPr>
                <w:p>
                  <w:pPr>
                    <w:adjustRightInd w:val="0"/>
                    <w:snapToGrid w:val="0"/>
                    <w:jc w:val="center"/>
                    <w:rPr>
                      <w:color w:val="auto"/>
                      <w:szCs w:val="21"/>
                      <w:highlight w:val="none"/>
                    </w:rPr>
                  </w:pPr>
                  <w:r>
                    <w:rPr>
                      <w:color w:val="auto"/>
                      <w:szCs w:val="21"/>
                      <w:highlight w:val="none"/>
                    </w:rPr>
                    <w:t>临界量（t）</w:t>
                  </w:r>
                </w:p>
              </w:tc>
              <w:tc>
                <w:tcPr>
                  <w:tcW w:w="716" w:type="pct"/>
                  <w:tcBorders>
                    <w:tl2br w:val="nil"/>
                    <w:tr2bl w:val="nil"/>
                  </w:tcBorders>
                  <w:vAlign w:val="center"/>
                </w:tcPr>
                <w:p>
                  <w:pPr>
                    <w:adjustRightInd w:val="0"/>
                    <w:snapToGrid w:val="0"/>
                    <w:jc w:val="center"/>
                    <w:rPr>
                      <w:color w:val="auto"/>
                      <w:szCs w:val="21"/>
                      <w:highlight w:val="none"/>
                    </w:rPr>
                  </w:pPr>
                  <w:r>
                    <w:rPr>
                      <w:color w:val="auto"/>
                      <w:szCs w:val="21"/>
                      <w:highlight w:val="none"/>
                    </w:rPr>
                    <w:t>q/Q</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l2br w:val="nil"/>
                    <w:tr2bl w:val="nil"/>
                  </w:tcBorders>
                  <w:vAlign w:val="center"/>
                </w:tcPr>
                <w:p>
                  <w:pPr>
                    <w:adjustRightInd w:val="0"/>
                    <w:snapToGrid w:val="0"/>
                    <w:jc w:val="center"/>
                    <w:rPr>
                      <w:color w:val="auto"/>
                      <w:szCs w:val="21"/>
                      <w:highlight w:val="none"/>
                    </w:rPr>
                  </w:pPr>
                  <w:r>
                    <w:rPr>
                      <w:color w:val="auto"/>
                      <w:szCs w:val="21"/>
                      <w:highlight w:val="none"/>
                    </w:rPr>
                    <w:t>1</w:t>
                  </w:r>
                </w:p>
              </w:tc>
              <w:tc>
                <w:tcPr>
                  <w:tcW w:w="1312"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油漆及稀释剂</w:t>
                  </w:r>
                </w:p>
              </w:tc>
              <w:tc>
                <w:tcPr>
                  <w:tcW w:w="815" w:type="pct"/>
                  <w:vMerge w:val="restart"/>
                  <w:tcBorders>
                    <w:tl2br w:val="nil"/>
                    <w:tr2bl w:val="nil"/>
                  </w:tcBorders>
                  <w:vAlign w:val="center"/>
                </w:tcPr>
                <w:p>
                  <w:pPr>
                    <w:adjustRightInd w:val="0"/>
                    <w:snapToGrid w:val="0"/>
                    <w:jc w:val="center"/>
                    <w:rPr>
                      <w:color w:val="auto"/>
                      <w:szCs w:val="21"/>
                      <w:highlight w:val="none"/>
                    </w:rPr>
                  </w:pPr>
                </w:p>
                <w:p>
                  <w:pPr>
                    <w:adjustRightInd w:val="0"/>
                    <w:snapToGrid w:val="0"/>
                    <w:jc w:val="center"/>
                    <w:rPr>
                      <w:color w:val="auto"/>
                      <w:szCs w:val="21"/>
                      <w:highlight w:val="none"/>
                    </w:rPr>
                  </w:pPr>
                  <w:r>
                    <w:rPr>
                      <w:rFonts w:hint="eastAsia"/>
                      <w:color w:val="auto"/>
                      <w:szCs w:val="21"/>
                      <w:highlight w:val="none"/>
                    </w:rPr>
                    <w:t>油漆房</w:t>
                  </w:r>
                </w:p>
                <w:p>
                  <w:pPr>
                    <w:adjustRightInd w:val="0"/>
                    <w:snapToGrid w:val="0"/>
                    <w:jc w:val="center"/>
                    <w:rPr>
                      <w:color w:val="auto"/>
                      <w:szCs w:val="21"/>
                      <w:highlight w:val="none"/>
                    </w:rPr>
                  </w:pPr>
                </w:p>
              </w:tc>
              <w:tc>
                <w:tcPr>
                  <w:tcW w:w="81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0.2</w:t>
                  </w:r>
                </w:p>
              </w:tc>
              <w:tc>
                <w:tcPr>
                  <w:tcW w:w="910"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100</w:t>
                  </w:r>
                </w:p>
              </w:tc>
              <w:tc>
                <w:tcPr>
                  <w:tcW w:w="71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3</w:t>
                  </w:r>
                </w:p>
              </w:tc>
              <w:tc>
                <w:tcPr>
                  <w:tcW w:w="1312"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润滑油</w:t>
                  </w:r>
                </w:p>
              </w:tc>
              <w:tc>
                <w:tcPr>
                  <w:tcW w:w="815" w:type="pct"/>
                  <w:vMerge w:val="continue"/>
                  <w:tcBorders>
                    <w:tl2br w:val="nil"/>
                    <w:tr2bl w:val="nil"/>
                  </w:tcBorders>
                  <w:vAlign w:val="center"/>
                </w:tcPr>
                <w:p>
                  <w:pPr>
                    <w:adjustRightInd w:val="0"/>
                    <w:snapToGrid w:val="0"/>
                    <w:jc w:val="center"/>
                    <w:rPr>
                      <w:color w:val="auto"/>
                      <w:szCs w:val="21"/>
                      <w:highlight w:val="none"/>
                    </w:rPr>
                  </w:pPr>
                </w:p>
              </w:tc>
              <w:tc>
                <w:tcPr>
                  <w:tcW w:w="81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0.05</w:t>
                  </w:r>
                </w:p>
              </w:tc>
              <w:tc>
                <w:tcPr>
                  <w:tcW w:w="910"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2500</w:t>
                  </w:r>
                </w:p>
              </w:tc>
              <w:tc>
                <w:tcPr>
                  <w:tcW w:w="71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427"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4</w:t>
                  </w:r>
                </w:p>
              </w:tc>
              <w:tc>
                <w:tcPr>
                  <w:tcW w:w="1312"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危险固废（废抹布、漆渣、废粉末涂料包装箱、废UV灯管、废包装桶、废活性炭、废机油、喷淋废水等）</w:t>
                  </w:r>
                </w:p>
              </w:tc>
              <w:tc>
                <w:tcPr>
                  <w:tcW w:w="815"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危废暂存间</w:t>
                  </w:r>
                </w:p>
              </w:tc>
              <w:tc>
                <w:tcPr>
                  <w:tcW w:w="81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2.3332</w:t>
                  </w:r>
                </w:p>
              </w:tc>
              <w:tc>
                <w:tcPr>
                  <w:tcW w:w="910"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100</w:t>
                  </w:r>
                </w:p>
              </w:tc>
              <w:tc>
                <w:tcPr>
                  <w:tcW w:w="71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0.0023332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83" w:type="pct"/>
                  <w:gridSpan w:val="5"/>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合计</w:t>
                  </w:r>
                </w:p>
              </w:tc>
              <w:tc>
                <w:tcPr>
                  <w:tcW w:w="716" w:type="pct"/>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0.0043532</w:t>
                  </w:r>
                </w:p>
              </w:tc>
            </w:tr>
          </w:tbl>
          <w:p>
            <w:pPr>
              <w:adjustRightInd w:val="0"/>
              <w:snapToGrid w:val="0"/>
              <w:spacing w:line="360" w:lineRule="auto"/>
              <w:ind w:firstLine="480" w:firstLineChars="200"/>
              <w:rPr>
                <w:color w:val="auto"/>
                <w:sz w:val="24"/>
                <w:highlight w:val="none"/>
              </w:rPr>
            </w:pPr>
            <w:r>
              <w:rPr>
                <w:color w:val="auto"/>
                <w:sz w:val="24"/>
                <w:highlight w:val="none"/>
              </w:rPr>
              <w:t>由上表可知，本项目Q</w:t>
            </w:r>
            <w:r>
              <w:rPr>
                <w:rFonts w:hint="eastAsia"/>
                <w:color w:val="auto"/>
                <w:sz w:val="24"/>
                <w:highlight w:val="none"/>
              </w:rPr>
              <w:t>=0.0043532</w:t>
            </w:r>
            <w:r>
              <w:rPr>
                <w:color w:val="auto"/>
                <w:sz w:val="24"/>
                <w:highlight w:val="none"/>
              </w:rPr>
              <w:t>＜1</w:t>
            </w:r>
            <w:r>
              <w:rPr>
                <w:rFonts w:hint="eastAsia"/>
                <w:color w:val="auto"/>
                <w:sz w:val="24"/>
                <w:highlight w:val="none"/>
              </w:rPr>
              <w:t>，</w:t>
            </w:r>
            <w:r>
              <w:rPr>
                <w:color w:val="auto"/>
                <w:sz w:val="24"/>
                <w:highlight w:val="none"/>
              </w:rPr>
              <w:t>项目风险潜势为Ⅰ</w:t>
            </w:r>
            <w:r>
              <w:rPr>
                <w:rFonts w:hint="eastAsia"/>
                <w:color w:val="auto"/>
                <w:sz w:val="24"/>
                <w:highlight w:val="none"/>
              </w:rPr>
              <w:t>，简单分析即可</w:t>
            </w:r>
            <w:r>
              <w:rPr>
                <w:color w:val="auto"/>
                <w:sz w:val="24"/>
                <w:highlight w:val="none"/>
              </w:rPr>
              <w:t>。</w:t>
            </w:r>
          </w:p>
          <w:p>
            <w:pPr>
              <w:spacing w:line="360" w:lineRule="auto"/>
              <w:rPr>
                <w:rFonts w:eastAsiaTheme="minorEastAsia"/>
                <w:b/>
                <w:color w:val="auto"/>
                <w:sz w:val="24"/>
                <w:highlight w:val="none"/>
              </w:rPr>
            </w:pPr>
            <w:r>
              <w:rPr>
                <w:rFonts w:hint="eastAsia" w:eastAsiaTheme="minorEastAsia"/>
                <w:b/>
                <w:color w:val="auto"/>
                <w:sz w:val="24"/>
                <w:highlight w:val="none"/>
              </w:rPr>
              <w:t>7.3环境风险途径</w:t>
            </w:r>
          </w:p>
          <w:p>
            <w:pPr>
              <w:spacing w:line="360" w:lineRule="auto"/>
              <w:ind w:firstLine="480" w:firstLineChars="200"/>
              <w:jc w:val="left"/>
              <w:rPr>
                <w:color w:val="auto"/>
                <w:sz w:val="24"/>
                <w:highlight w:val="none"/>
              </w:rPr>
            </w:pPr>
            <w:r>
              <w:rPr>
                <w:rFonts w:hint="eastAsia"/>
                <w:color w:val="auto"/>
                <w:sz w:val="24"/>
                <w:highlight w:val="none"/>
              </w:rPr>
              <w:t>本项目环境风险途径见下表。</w:t>
            </w:r>
          </w:p>
          <w:p>
            <w:pPr>
              <w:pStyle w:val="86"/>
              <w:rPr>
                <w:color w:val="auto"/>
                <w:sz w:val="21"/>
                <w:szCs w:val="21"/>
                <w:highlight w:val="none"/>
              </w:rPr>
            </w:pPr>
            <w:r>
              <w:rPr>
                <w:rFonts w:hint="eastAsia"/>
                <w:color w:val="auto"/>
                <w:sz w:val="21"/>
                <w:szCs w:val="21"/>
                <w:highlight w:val="none"/>
              </w:rPr>
              <w:t xml:space="preserve">表4-15 </w:t>
            </w:r>
            <w:r>
              <w:rPr>
                <w:color w:val="auto"/>
                <w:sz w:val="21"/>
                <w:szCs w:val="21"/>
                <w:highlight w:val="none"/>
              </w:rPr>
              <w:t xml:space="preserve"> </w:t>
            </w:r>
            <w:r>
              <w:rPr>
                <w:rFonts w:hint="eastAsia"/>
                <w:color w:val="auto"/>
                <w:sz w:val="21"/>
                <w:szCs w:val="21"/>
                <w:highlight w:val="none"/>
              </w:rPr>
              <w:t>环境风险途径表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417"/>
              <w:gridCol w:w="2191"/>
              <w:gridCol w:w="1176"/>
              <w:gridCol w:w="11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36" w:type="dxa"/>
                  <w:vMerge w:val="restart"/>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事故</w:t>
                  </w:r>
                </w:p>
                <w:p>
                  <w:pPr>
                    <w:pStyle w:val="85"/>
                    <w:rPr>
                      <w:rFonts w:ascii="Times New Roman" w:hAnsi="Times New Roman"/>
                      <w:color w:val="auto"/>
                      <w:highlight w:val="none"/>
                    </w:rPr>
                  </w:pPr>
                  <w:r>
                    <w:rPr>
                      <w:rFonts w:hint="eastAsia" w:ascii="Times New Roman" w:hAnsi="Times New Roman"/>
                      <w:color w:val="auto"/>
                      <w:highlight w:val="none"/>
                    </w:rPr>
                    <w:t>类型</w:t>
                  </w:r>
                </w:p>
              </w:tc>
              <w:tc>
                <w:tcPr>
                  <w:tcW w:w="6968" w:type="dxa"/>
                  <w:gridSpan w:val="4"/>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危害后果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836" w:type="dxa"/>
                  <w:vMerge w:val="continue"/>
                  <w:tcBorders>
                    <w:tl2br w:val="nil"/>
                    <w:tr2bl w:val="nil"/>
                  </w:tcBorders>
                  <w:vAlign w:val="center"/>
                </w:tcPr>
                <w:p>
                  <w:pPr>
                    <w:pStyle w:val="85"/>
                    <w:rPr>
                      <w:rFonts w:ascii="Times New Roman" w:hAnsi="Times New Roman"/>
                      <w:color w:val="auto"/>
                      <w:highlight w:val="none"/>
                    </w:rPr>
                  </w:pPr>
                </w:p>
              </w:tc>
              <w:tc>
                <w:tcPr>
                  <w:tcW w:w="2417"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环境空气</w:t>
                  </w:r>
                </w:p>
              </w:tc>
              <w:tc>
                <w:tcPr>
                  <w:tcW w:w="2191"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地表水</w:t>
                  </w:r>
                </w:p>
              </w:tc>
              <w:tc>
                <w:tcPr>
                  <w:tcW w:w="1176"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地下水</w:t>
                  </w:r>
                </w:p>
              </w:tc>
              <w:tc>
                <w:tcPr>
                  <w:tcW w:w="1184"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土壤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36"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泄漏</w:t>
                  </w:r>
                </w:p>
              </w:tc>
              <w:tc>
                <w:tcPr>
                  <w:tcW w:w="2417"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挥发性物料会挥发进入大气，降低环境空气质量</w:t>
                  </w:r>
                </w:p>
              </w:tc>
              <w:tc>
                <w:tcPr>
                  <w:tcW w:w="2191"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泄漏进入水体，降低地表水质量，影响水生生态。</w:t>
                  </w:r>
                </w:p>
              </w:tc>
              <w:tc>
                <w:tcPr>
                  <w:tcW w:w="2360" w:type="dxa"/>
                  <w:gridSpan w:val="2"/>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泄漏进入地下水及土壤，降低地下水及土壤环境。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36"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火灾、爆炸</w:t>
                  </w:r>
                </w:p>
              </w:tc>
              <w:tc>
                <w:tcPr>
                  <w:tcW w:w="2417"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可燃物料泄漏发生火灾、爆炸，影响环境空气质量</w:t>
                  </w:r>
                </w:p>
              </w:tc>
              <w:tc>
                <w:tcPr>
                  <w:tcW w:w="2191"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消防废水通过雨水管道直接进入邵水，可能造成污染。</w:t>
                  </w:r>
                </w:p>
              </w:tc>
              <w:tc>
                <w:tcPr>
                  <w:tcW w:w="2360" w:type="dxa"/>
                  <w:gridSpan w:val="2"/>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消防废水进入厂区周边裸露地面，可能造成地下水、土壤污染。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36"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废气事故排放</w:t>
                  </w:r>
                </w:p>
              </w:tc>
              <w:tc>
                <w:tcPr>
                  <w:tcW w:w="2417"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废气处理装置故障，VOCs等未经处理直接排入大气，降低周边环境空气质量。</w:t>
                  </w:r>
                </w:p>
              </w:tc>
              <w:tc>
                <w:tcPr>
                  <w:tcW w:w="2191"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w:t>
                  </w:r>
                </w:p>
              </w:tc>
              <w:tc>
                <w:tcPr>
                  <w:tcW w:w="1176"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w:t>
                  </w:r>
                </w:p>
              </w:tc>
              <w:tc>
                <w:tcPr>
                  <w:tcW w:w="1184" w:type="dxa"/>
                  <w:tcBorders>
                    <w:tl2br w:val="nil"/>
                    <w:tr2bl w:val="nil"/>
                  </w:tcBorders>
                  <w:vAlign w:val="center"/>
                </w:tcPr>
                <w:p>
                  <w:pPr>
                    <w:pStyle w:val="85"/>
                    <w:rPr>
                      <w:rFonts w:ascii="Times New Roman" w:hAnsi="Times New Roman"/>
                      <w:color w:val="auto"/>
                      <w:highlight w:val="none"/>
                    </w:rPr>
                  </w:pPr>
                  <w:r>
                    <w:rPr>
                      <w:rFonts w:hint="eastAsia" w:ascii="Times New Roman" w:hAnsi="Times New Roman"/>
                      <w:color w:val="auto"/>
                      <w:highlight w:val="none"/>
                    </w:rPr>
                    <w:t>/</w:t>
                  </w:r>
                </w:p>
              </w:tc>
            </w:tr>
          </w:tbl>
          <w:p>
            <w:pPr>
              <w:spacing w:line="360" w:lineRule="auto"/>
              <w:rPr>
                <w:rFonts w:eastAsiaTheme="minorEastAsia"/>
                <w:b/>
                <w:color w:val="auto"/>
                <w:sz w:val="24"/>
                <w:highlight w:val="none"/>
              </w:rPr>
            </w:pPr>
            <w:r>
              <w:rPr>
                <w:rFonts w:hint="eastAsia" w:eastAsiaTheme="minorEastAsia"/>
                <w:b/>
                <w:color w:val="auto"/>
                <w:sz w:val="24"/>
                <w:highlight w:val="none"/>
              </w:rPr>
              <w:t>7.4环境风险分析</w:t>
            </w:r>
          </w:p>
          <w:p>
            <w:pPr>
              <w:spacing w:line="360" w:lineRule="auto"/>
              <w:ind w:firstLine="480" w:firstLineChars="200"/>
              <w:rPr>
                <w:color w:val="auto"/>
                <w:kern w:val="24"/>
                <w:sz w:val="24"/>
                <w:highlight w:val="none"/>
              </w:rPr>
            </w:pPr>
            <w:r>
              <w:rPr>
                <w:rFonts w:hint="eastAsia"/>
                <w:color w:val="auto"/>
                <w:kern w:val="24"/>
                <w:sz w:val="24"/>
                <w:highlight w:val="none"/>
              </w:rPr>
              <w:t>（1）大气环境风险</w:t>
            </w:r>
          </w:p>
          <w:p>
            <w:pPr>
              <w:spacing w:line="360" w:lineRule="auto"/>
              <w:ind w:firstLine="480" w:firstLineChars="200"/>
              <w:rPr>
                <w:color w:val="auto"/>
                <w:kern w:val="24"/>
                <w:sz w:val="24"/>
                <w:highlight w:val="none"/>
              </w:rPr>
            </w:pPr>
            <w:r>
              <w:rPr>
                <w:rFonts w:hint="eastAsia"/>
                <w:color w:val="auto"/>
                <w:kern w:val="24"/>
                <w:sz w:val="24"/>
                <w:highlight w:val="none"/>
              </w:rPr>
              <w:t>项目风险物质在储存、搬运、使用过程中，因人员操作失误或其他外因导致风险物质泄漏，化学品挥发将影响大气环境。若遇明火或发生化学反应，可能导致火灾甚至爆炸，产生的火灾/爆炸次生CO/伴生灾害将影响大气环境。项目废气处理装置发生故障，VOCs或颗粒物等未经处理直接排入大气，对比正常工况下最大落地浓度将大大增加，降低周边环境空气质量。</w:t>
            </w:r>
          </w:p>
          <w:p>
            <w:pPr>
              <w:spacing w:line="360" w:lineRule="auto"/>
              <w:ind w:firstLine="480" w:firstLineChars="200"/>
              <w:rPr>
                <w:color w:val="auto"/>
                <w:kern w:val="24"/>
                <w:sz w:val="24"/>
                <w:highlight w:val="none"/>
              </w:rPr>
            </w:pPr>
            <w:r>
              <w:rPr>
                <w:rFonts w:hint="eastAsia"/>
                <w:color w:val="auto"/>
                <w:kern w:val="24"/>
                <w:sz w:val="24"/>
                <w:highlight w:val="none"/>
              </w:rPr>
              <w:t>（2）地表水环境风险</w:t>
            </w:r>
          </w:p>
          <w:p>
            <w:pPr>
              <w:spacing w:line="360" w:lineRule="auto"/>
              <w:ind w:firstLine="480" w:firstLineChars="200"/>
              <w:rPr>
                <w:color w:val="auto"/>
                <w:kern w:val="24"/>
                <w:sz w:val="24"/>
                <w:highlight w:val="none"/>
              </w:rPr>
            </w:pPr>
            <w:r>
              <w:rPr>
                <w:rFonts w:hint="eastAsia"/>
                <w:color w:val="auto"/>
                <w:kern w:val="24"/>
                <w:sz w:val="24"/>
                <w:highlight w:val="none"/>
              </w:rPr>
              <w:t>项目风险物质储存量较少，基本无直接通过地面径流影响地表水的风险。但存在发生风险时，消防废水经雨水管道进入周边地表水的风险。若企业的风险物质通过雨水管道直接进入周边水系，将直接引起区域地表水系一定程度污染。由于风险物质储存量较少，对地表水环境影响不大。</w:t>
            </w:r>
          </w:p>
          <w:p>
            <w:pPr>
              <w:spacing w:line="360" w:lineRule="auto"/>
              <w:ind w:firstLine="480" w:firstLineChars="200"/>
              <w:rPr>
                <w:color w:val="auto"/>
                <w:kern w:val="24"/>
                <w:sz w:val="24"/>
                <w:highlight w:val="none"/>
              </w:rPr>
            </w:pPr>
            <w:r>
              <w:rPr>
                <w:rFonts w:hint="eastAsia"/>
                <w:color w:val="auto"/>
                <w:kern w:val="24"/>
                <w:sz w:val="24"/>
                <w:highlight w:val="none"/>
              </w:rPr>
              <w:t>（3）地下水、土壤环境风险</w:t>
            </w:r>
          </w:p>
          <w:p>
            <w:pPr>
              <w:spacing w:line="360" w:lineRule="auto"/>
              <w:ind w:firstLine="480" w:firstLineChars="200"/>
              <w:rPr>
                <w:color w:val="auto"/>
                <w:kern w:val="24"/>
                <w:sz w:val="24"/>
                <w:highlight w:val="none"/>
              </w:rPr>
            </w:pPr>
            <w:r>
              <w:rPr>
                <w:rFonts w:hint="eastAsia"/>
                <w:color w:val="auto"/>
                <w:kern w:val="24"/>
                <w:sz w:val="24"/>
                <w:highlight w:val="none"/>
              </w:rPr>
              <w:t>项目位于现有已建厂房内，项目范围内无裸露地面，但周边有绿化区域，因此存在发生风险时，消防废水经绿化带进入周边地下水、土壤的风险。</w:t>
            </w:r>
          </w:p>
          <w:p>
            <w:pPr>
              <w:spacing w:line="360" w:lineRule="auto"/>
              <w:ind w:firstLine="480" w:firstLineChars="200"/>
              <w:rPr>
                <w:color w:val="auto"/>
                <w:kern w:val="24"/>
                <w:sz w:val="24"/>
                <w:highlight w:val="none"/>
              </w:rPr>
            </w:pPr>
            <w:r>
              <w:rPr>
                <w:rFonts w:hint="eastAsia"/>
                <w:color w:val="auto"/>
                <w:kern w:val="24"/>
                <w:sz w:val="24"/>
                <w:highlight w:val="none"/>
              </w:rPr>
              <w:t>项目油漆存放于厂区内专门的油漆存放区，危险废物暂存于厂区内危废暂存间，做好防风、防雨、防晒及防渗漏措施，同时均设置二次托盘防止泄漏。一旦发生泄漏事故，可及时快速采取措施，截留、处置泄漏物，一般不会对周边地下水、土壤环境造成影响。</w:t>
            </w:r>
          </w:p>
          <w:p>
            <w:pPr>
              <w:spacing w:line="360" w:lineRule="auto"/>
              <w:rPr>
                <w:rFonts w:eastAsiaTheme="minorEastAsia"/>
                <w:b/>
                <w:color w:val="auto"/>
                <w:sz w:val="24"/>
                <w:highlight w:val="none"/>
              </w:rPr>
            </w:pPr>
            <w:r>
              <w:rPr>
                <w:rFonts w:hint="eastAsia" w:eastAsiaTheme="minorEastAsia"/>
                <w:b/>
                <w:color w:val="auto"/>
                <w:sz w:val="24"/>
                <w:highlight w:val="none"/>
              </w:rPr>
              <w:t>7.4环境风险防范措施</w:t>
            </w:r>
          </w:p>
          <w:p>
            <w:pPr>
              <w:adjustRightInd w:val="0"/>
              <w:snapToGrid w:val="0"/>
              <w:spacing w:line="360" w:lineRule="auto"/>
              <w:rPr>
                <w:b/>
                <w:bCs/>
                <w:color w:val="auto"/>
                <w:sz w:val="24"/>
                <w:highlight w:val="none"/>
              </w:rPr>
            </w:pPr>
            <w:r>
              <w:rPr>
                <w:rFonts w:hint="eastAsia"/>
                <w:b/>
                <w:bCs/>
                <w:color w:val="auto"/>
                <w:sz w:val="24"/>
                <w:highlight w:val="none"/>
              </w:rPr>
              <w:t>7.4</w:t>
            </w:r>
            <w:r>
              <w:rPr>
                <w:b/>
                <w:bCs/>
                <w:color w:val="auto"/>
                <w:sz w:val="24"/>
                <w:highlight w:val="none"/>
              </w:rPr>
              <w:t>.</w:t>
            </w:r>
            <w:r>
              <w:rPr>
                <w:rFonts w:hint="eastAsia"/>
                <w:b/>
                <w:bCs/>
                <w:color w:val="auto"/>
                <w:sz w:val="24"/>
                <w:highlight w:val="none"/>
              </w:rPr>
              <w:t>1油漆</w:t>
            </w:r>
            <w:r>
              <w:rPr>
                <w:b/>
                <w:bCs/>
                <w:color w:val="auto"/>
                <w:sz w:val="24"/>
                <w:highlight w:val="none"/>
              </w:rPr>
              <w:t>泄漏事故的风险防范措施</w:t>
            </w:r>
          </w:p>
          <w:p>
            <w:pPr>
              <w:spacing w:line="360" w:lineRule="auto"/>
              <w:ind w:firstLine="480" w:firstLineChars="200"/>
              <w:rPr>
                <w:color w:val="auto"/>
                <w:sz w:val="24"/>
                <w:highlight w:val="none"/>
              </w:rPr>
            </w:pPr>
            <w:r>
              <w:rPr>
                <w:rFonts w:hint="eastAsia"/>
                <w:color w:val="auto"/>
                <w:sz w:val="24"/>
                <w:highlight w:val="none"/>
              </w:rPr>
              <w:t>①油漆储存场所必须设有明显标志，堆放、堆垛衬垫要做到安全、整齐、合理、便于清点检查。做到不超高、不超宽，并按照规定留墙距、柱距、顶距，同时控制单位面积最大贮存量；</w:t>
            </w:r>
          </w:p>
          <w:p>
            <w:pPr>
              <w:spacing w:line="360" w:lineRule="auto"/>
              <w:ind w:firstLine="480" w:firstLineChars="200"/>
              <w:rPr>
                <w:color w:val="auto"/>
                <w:sz w:val="24"/>
                <w:highlight w:val="none"/>
              </w:rPr>
            </w:pPr>
            <w:r>
              <w:rPr>
                <w:rFonts w:hint="eastAsia"/>
                <w:color w:val="auto"/>
                <w:sz w:val="24"/>
                <w:highlight w:val="none"/>
              </w:rPr>
              <w:t>②储存场所必须符合防火防爆要求，出入必须检查验收登记，储存期间定期养护，控制好储存场所温度和湿度，装卸和搬运时轻装轻卸，注意自我防护；</w:t>
            </w:r>
          </w:p>
          <w:p>
            <w:pPr>
              <w:spacing w:line="360" w:lineRule="auto"/>
              <w:ind w:firstLine="480" w:firstLineChars="200"/>
              <w:rPr>
                <w:color w:val="auto"/>
                <w:sz w:val="24"/>
                <w:highlight w:val="none"/>
              </w:rPr>
            </w:pPr>
            <w:r>
              <w:rPr>
                <w:rFonts w:hint="eastAsia"/>
                <w:color w:val="auto"/>
                <w:sz w:val="24"/>
                <w:highlight w:val="none"/>
              </w:rPr>
              <w:t>③要严格遵守有关储存的安全规定，具体包括《仓库防火安全管理规则》、《建筑设计防火规范》等；</w:t>
            </w:r>
          </w:p>
          <w:p>
            <w:pPr>
              <w:spacing w:line="360" w:lineRule="auto"/>
              <w:ind w:firstLine="480" w:firstLineChars="200"/>
              <w:rPr>
                <w:color w:val="auto"/>
                <w:sz w:val="24"/>
                <w:highlight w:val="none"/>
              </w:rPr>
            </w:pPr>
            <w:r>
              <w:rPr>
                <w:rFonts w:hint="eastAsia"/>
                <w:color w:val="auto"/>
                <w:sz w:val="24"/>
                <w:highlight w:val="none"/>
              </w:rPr>
              <w:t>④油漆储存场所安装火灾报警器，基础防渗层至少为1m厚粘土层（渗透系数不大于1.0×10</w:t>
            </w:r>
            <w:r>
              <w:rPr>
                <w:rFonts w:hint="eastAsia"/>
                <w:color w:val="auto"/>
                <w:sz w:val="24"/>
                <w:highlight w:val="none"/>
                <w:vertAlign w:val="superscript"/>
              </w:rPr>
              <w:t>-7</w:t>
            </w:r>
            <w:r>
              <w:rPr>
                <w:rFonts w:hint="eastAsia"/>
                <w:color w:val="auto"/>
                <w:sz w:val="24"/>
                <w:highlight w:val="none"/>
              </w:rPr>
              <w:t>cm/s），地面铺设环氧地坪，配备砂土、抹布等吸收材料，贮存区内的桶装物料设置集液托盘，收集的泄漏物料及吸收材料作为危废处置；</w:t>
            </w:r>
          </w:p>
          <w:p>
            <w:pPr>
              <w:spacing w:line="360" w:lineRule="auto"/>
              <w:ind w:firstLine="480" w:firstLineChars="200"/>
              <w:jc w:val="left"/>
              <w:rPr>
                <w:color w:val="auto"/>
                <w:kern w:val="0"/>
                <w:sz w:val="24"/>
                <w:highlight w:val="none"/>
              </w:rPr>
            </w:pPr>
            <w:r>
              <w:rPr>
                <w:rFonts w:hint="eastAsia"/>
                <w:color w:val="auto"/>
                <w:sz w:val="24"/>
                <w:highlight w:val="none"/>
              </w:rPr>
              <w:t>⑤加强巡视管理，进行定期检查，配以不定期检查</w:t>
            </w:r>
            <w:r>
              <w:rPr>
                <w:color w:val="auto"/>
                <w:sz w:val="24"/>
                <w:highlight w:val="none"/>
              </w:rPr>
              <w:t>。</w:t>
            </w:r>
          </w:p>
          <w:p>
            <w:pPr>
              <w:snapToGrid w:val="0"/>
              <w:spacing w:line="360" w:lineRule="auto"/>
              <w:rPr>
                <w:b/>
                <w:color w:val="auto"/>
                <w:kern w:val="21"/>
                <w:sz w:val="24"/>
                <w:highlight w:val="none"/>
              </w:rPr>
            </w:pPr>
            <w:r>
              <w:rPr>
                <w:rFonts w:hint="eastAsia"/>
                <w:b/>
                <w:bCs/>
                <w:color w:val="auto"/>
                <w:sz w:val="24"/>
                <w:highlight w:val="none"/>
              </w:rPr>
              <w:t>7.4</w:t>
            </w:r>
            <w:r>
              <w:rPr>
                <w:b/>
                <w:bCs/>
                <w:color w:val="auto"/>
                <w:sz w:val="24"/>
                <w:highlight w:val="none"/>
              </w:rPr>
              <w:t>.</w:t>
            </w:r>
            <w:r>
              <w:rPr>
                <w:rFonts w:hint="eastAsia"/>
                <w:b/>
                <w:bCs/>
                <w:color w:val="auto"/>
                <w:sz w:val="24"/>
                <w:highlight w:val="none"/>
              </w:rPr>
              <w:t>2</w:t>
            </w:r>
            <w:r>
              <w:rPr>
                <w:rFonts w:hint="eastAsia"/>
                <w:b/>
                <w:color w:val="auto"/>
                <w:kern w:val="21"/>
                <w:sz w:val="24"/>
                <w:highlight w:val="none"/>
              </w:rPr>
              <w:t>危废暂存间泄漏防范措施</w:t>
            </w:r>
          </w:p>
          <w:p>
            <w:pPr>
              <w:spacing w:line="360" w:lineRule="auto"/>
              <w:ind w:firstLine="480" w:firstLineChars="200"/>
              <w:rPr>
                <w:color w:val="auto"/>
                <w:kern w:val="0"/>
                <w:sz w:val="24"/>
                <w:highlight w:val="none"/>
              </w:rPr>
            </w:pPr>
            <w:r>
              <w:rPr>
                <w:rFonts w:hint="eastAsia"/>
                <w:color w:val="auto"/>
                <w:kern w:val="0"/>
                <w:sz w:val="24"/>
                <w:highlight w:val="none"/>
              </w:rPr>
              <w:t>①</w:t>
            </w:r>
            <w:r>
              <w:rPr>
                <w:rFonts w:hint="eastAsia"/>
                <w:color w:val="auto"/>
                <w:kern w:val="21"/>
                <w:sz w:val="24"/>
                <w:highlight w:val="none"/>
              </w:rPr>
              <w:t>危废暂存间</w:t>
            </w:r>
            <w:r>
              <w:rPr>
                <w:rFonts w:hint="eastAsia"/>
                <w:color w:val="auto"/>
                <w:kern w:val="0"/>
                <w:sz w:val="24"/>
                <w:highlight w:val="none"/>
              </w:rPr>
              <w:t>按照《危险废物贮存污染控制标准》（</w:t>
            </w:r>
            <w:r>
              <w:rPr>
                <w:color w:val="auto"/>
                <w:kern w:val="0"/>
                <w:sz w:val="24"/>
                <w:highlight w:val="none"/>
              </w:rPr>
              <w:t>GB18597-20</w:t>
            </w:r>
            <w:r>
              <w:rPr>
                <w:rFonts w:hint="eastAsia"/>
                <w:color w:val="auto"/>
                <w:kern w:val="0"/>
                <w:sz w:val="24"/>
                <w:highlight w:val="none"/>
              </w:rPr>
              <w:t>23）中有关规定进行建设，</w:t>
            </w:r>
            <w:r>
              <w:rPr>
                <w:rFonts w:hint="eastAsia" w:hAnsi="宋体"/>
                <w:color w:val="auto"/>
                <w:sz w:val="24"/>
                <w:highlight w:val="none"/>
              </w:rPr>
              <w:t>严格做好防渗措施，</w:t>
            </w:r>
            <w:r>
              <w:rPr>
                <w:rFonts w:hint="eastAsia"/>
                <w:color w:val="auto"/>
                <w:kern w:val="0"/>
                <w:sz w:val="24"/>
                <w:highlight w:val="none"/>
              </w:rPr>
              <w:t>并设置符合HJ 1276—2022《危险废物识别标志设置技术规范的专用标志；</w:t>
            </w:r>
          </w:p>
          <w:p>
            <w:pPr>
              <w:spacing w:line="360" w:lineRule="auto"/>
              <w:ind w:firstLine="480" w:firstLineChars="200"/>
              <w:rPr>
                <w:color w:val="auto"/>
                <w:kern w:val="0"/>
                <w:sz w:val="24"/>
                <w:highlight w:val="none"/>
              </w:rPr>
            </w:pPr>
            <w:r>
              <w:rPr>
                <w:rFonts w:hint="eastAsia"/>
                <w:color w:val="auto"/>
                <w:kern w:val="0"/>
                <w:sz w:val="24"/>
                <w:highlight w:val="none"/>
              </w:rPr>
              <w:t>②漆渣、废活性炭、废机油等各类危险废物等采用专用储存容器分开存放，并设有隔离间隔，且周边设置截流沟；</w:t>
            </w:r>
          </w:p>
          <w:p>
            <w:pPr>
              <w:adjustRightInd w:val="0"/>
              <w:snapToGrid w:val="0"/>
              <w:spacing w:line="360" w:lineRule="auto"/>
              <w:ind w:firstLine="480" w:firstLineChars="200"/>
              <w:rPr>
                <w:rFonts w:hAnsi="宋体"/>
                <w:color w:val="auto"/>
                <w:sz w:val="24"/>
                <w:highlight w:val="none"/>
              </w:rPr>
            </w:pPr>
            <w:r>
              <w:rPr>
                <w:rFonts w:hint="eastAsia"/>
                <w:color w:val="auto"/>
                <w:kern w:val="0"/>
                <w:sz w:val="24"/>
                <w:highlight w:val="none"/>
              </w:rPr>
              <w:t>③</w:t>
            </w:r>
            <w:r>
              <w:rPr>
                <w:rFonts w:hint="eastAsia" w:hAnsi="宋体"/>
                <w:color w:val="auto"/>
                <w:sz w:val="24"/>
                <w:highlight w:val="none"/>
              </w:rPr>
              <w:t>做好危险废物的收集、管理、转移记录，建立台账；危险废物妥善收集，由具有危险废物处理资质的单位统一处置，贮存时间不得过长，贮存量不得超过规定要求，以防造成渗漏等二次污染；危废暂存间地面铺设环氧树脂地坪，设置防漏托盘、</w:t>
            </w:r>
            <w:r>
              <w:rPr>
                <w:rFonts w:hint="eastAsia"/>
                <w:color w:val="auto"/>
                <w:kern w:val="0"/>
                <w:sz w:val="24"/>
                <w:highlight w:val="none"/>
              </w:rPr>
              <w:t>隔离设施、报警装置和防风、防晒、防雨、防渗漏设施以及消防设施</w:t>
            </w:r>
            <w:r>
              <w:rPr>
                <w:rFonts w:hint="eastAsia" w:hAnsi="宋体"/>
                <w:color w:val="auto"/>
                <w:sz w:val="24"/>
                <w:highlight w:val="none"/>
              </w:rPr>
              <w:t>。企业每周进行巡视检查，一旦发现包装破损泄漏等情况及时采用砂土、抹布等吸收材料及时收集，收集的物料外送有危险废物处置资质单位处理。</w:t>
            </w:r>
          </w:p>
          <w:p>
            <w:pPr>
              <w:spacing w:line="360" w:lineRule="auto"/>
              <w:ind w:firstLine="480" w:firstLineChars="200"/>
              <w:rPr>
                <w:b/>
                <w:bCs/>
                <w:color w:val="auto"/>
                <w:sz w:val="24"/>
                <w:highlight w:val="none"/>
              </w:rPr>
            </w:pPr>
            <w:r>
              <w:rPr>
                <w:rFonts w:hint="eastAsia"/>
                <w:color w:val="auto"/>
                <w:kern w:val="0"/>
                <w:sz w:val="24"/>
                <w:highlight w:val="none"/>
              </w:rPr>
              <w:t>④加强巡视管理，进行定期检查，配以不定期检查，发现问题，应立即进行维修，如不能维修，应及时更换运输设备或容器。</w:t>
            </w:r>
          </w:p>
          <w:p>
            <w:pPr>
              <w:snapToGrid w:val="0"/>
              <w:spacing w:line="360" w:lineRule="auto"/>
              <w:rPr>
                <w:b/>
                <w:color w:val="auto"/>
                <w:kern w:val="21"/>
                <w:sz w:val="24"/>
                <w:highlight w:val="none"/>
              </w:rPr>
            </w:pPr>
            <w:r>
              <w:rPr>
                <w:rFonts w:hint="eastAsia"/>
                <w:b/>
                <w:bCs/>
                <w:color w:val="auto"/>
                <w:sz w:val="24"/>
                <w:highlight w:val="none"/>
              </w:rPr>
              <w:t>7.4</w:t>
            </w:r>
            <w:r>
              <w:rPr>
                <w:b/>
                <w:bCs/>
                <w:color w:val="auto"/>
                <w:sz w:val="24"/>
                <w:highlight w:val="none"/>
              </w:rPr>
              <w:t>.</w:t>
            </w:r>
            <w:r>
              <w:rPr>
                <w:rFonts w:hint="eastAsia"/>
                <w:b/>
                <w:bCs/>
                <w:color w:val="auto"/>
                <w:sz w:val="24"/>
                <w:highlight w:val="none"/>
              </w:rPr>
              <w:t>3</w:t>
            </w:r>
            <w:r>
              <w:rPr>
                <w:rFonts w:hint="eastAsia"/>
                <w:b/>
                <w:color w:val="auto"/>
                <w:kern w:val="21"/>
                <w:sz w:val="24"/>
                <w:highlight w:val="none"/>
              </w:rPr>
              <w:t>火灾、爆炸事故防范措施</w:t>
            </w:r>
          </w:p>
          <w:p>
            <w:pPr>
              <w:snapToGrid w:val="0"/>
              <w:spacing w:line="360" w:lineRule="auto"/>
              <w:ind w:firstLine="480" w:firstLineChars="200"/>
              <w:rPr>
                <w:color w:val="auto"/>
                <w:kern w:val="0"/>
                <w:sz w:val="24"/>
                <w:highlight w:val="none"/>
              </w:rPr>
            </w:pPr>
            <w:r>
              <w:rPr>
                <w:rFonts w:hint="eastAsia"/>
                <w:color w:val="auto"/>
                <w:kern w:val="0"/>
                <w:sz w:val="24"/>
                <w:highlight w:val="none"/>
              </w:rPr>
              <w:t>①厂区内各原料分类贮存，禁忌物品分开存放。库房远离火种、热源，保证阴凉、通风，采用防爆型照明、通风设施。禁止使用易产生火花的机械设备和工具。保证仓库内容器密封。库房内物料应备有泄漏应急处理设备和合适的收容材料。如物料存放点设置托盘，地面和裙角防渗。</w:t>
            </w:r>
          </w:p>
          <w:p>
            <w:pPr>
              <w:snapToGrid w:val="0"/>
              <w:spacing w:line="360" w:lineRule="auto"/>
              <w:ind w:firstLine="480" w:firstLineChars="200"/>
              <w:rPr>
                <w:color w:val="auto"/>
                <w:kern w:val="0"/>
                <w:sz w:val="24"/>
                <w:highlight w:val="none"/>
              </w:rPr>
            </w:pPr>
            <w:r>
              <w:rPr>
                <w:rFonts w:hint="eastAsia"/>
                <w:color w:val="auto"/>
                <w:kern w:val="0"/>
                <w:sz w:val="24"/>
                <w:highlight w:val="none"/>
              </w:rPr>
              <w:t>②厂区内应设置醒目的防火、禁止吸烟及明火标志。</w:t>
            </w:r>
          </w:p>
          <w:p>
            <w:pPr>
              <w:snapToGrid w:val="0"/>
              <w:spacing w:line="360" w:lineRule="auto"/>
              <w:ind w:firstLine="480" w:firstLineChars="200"/>
              <w:rPr>
                <w:color w:val="auto"/>
                <w:kern w:val="0"/>
                <w:sz w:val="24"/>
                <w:highlight w:val="none"/>
              </w:rPr>
            </w:pPr>
            <w:r>
              <w:rPr>
                <w:rFonts w:hint="eastAsia"/>
                <w:color w:val="auto"/>
                <w:kern w:val="0"/>
                <w:sz w:val="24"/>
                <w:highlight w:val="none"/>
              </w:rPr>
              <w:t>③坚持岗位培训和持证上岗制度，严格执行安全规章制度和操作规程，对所有重要设备（危险源）需作出清晰的警戒标示，并加强操作工人个人防护，上岗穿戴工作服和防护用具（眼镜、手套、工作帽、面罩等）。</w:t>
            </w:r>
          </w:p>
          <w:p>
            <w:pPr>
              <w:snapToGrid w:val="0"/>
              <w:spacing w:line="360" w:lineRule="auto"/>
              <w:ind w:firstLine="480" w:firstLineChars="200"/>
              <w:rPr>
                <w:color w:val="auto"/>
                <w:kern w:val="0"/>
                <w:sz w:val="24"/>
                <w:highlight w:val="none"/>
              </w:rPr>
            </w:pPr>
            <w:r>
              <w:rPr>
                <w:rFonts w:hint="eastAsia"/>
                <w:color w:val="auto"/>
                <w:kern w:val="0"/>
                <w:sz w:val="24"/>
                <w:highlight w:val="none"/>
              </w:rPr>
              <w:t>④做好日常检查工作，发现容器发生破损、损坏现象，应及时采取有效措施，预防泄漏，如发现设备漏气应立即查明原因并及时处理。</w:t>
            </w:r>
          </w:p>
          <w:p>
            <w:pPr>
              <w:snapToGrid w:val="0"/>
              <w:spacing w:line="360" w:lineRule="auto"/>
              <w:ind w:firstLine="480" w:firstLineChars="200"/>
              <w:rPr>
                <w:color w:val="auto"/>
                <w:kern w:val="0"/>
                <w:sz w:val="24"/>
                <w:highlight w:val="none"/>
              </w:rPr>
            </w:pPr>
            <w:r>
              <w:rPr>
                <w:rFonts w:hint="eastAsia"/>
                <w:color w:val="auto"/>
                <w:kern w:val="0"/>
                <w:sz w:val="24"/>
                <w:highlight w:val="none"/>
              </w:rPr>
              <w:t>⑤按照有关企业设计防火规范的要求，工程的安全卫生设计实施规范化管理，满足企业设计防火规范的要求。在防爆区内杜绝布置可能产生火源的设备和建筑物。</w:t>
            </w:r>
          </w:p>
          <w:p>
            <w:pPr>
              <w:snapToGrid w:val="0"/>
              <w:spacing w:line="360" w:lineRule="auto"/>
              <w:ind w:firstLine="480" w:firstLineChars="200"/>
              <w:rPr>
                <w:color w:val="auto"/>
                <w:kern w:val="0"/>
                <w:sz w:val="24"/>
                <w:highlight w:val="none"/>
              </w:rPr>
            </w:pPr>
            <w:r>
              <w:rPr>
                <w:rFonts w:hint="eastAsia"/>
                <w:color w:val="auto"/>
                <w:kern w:val="0"/>
                <w:sz w:val="24"/>
                <w:highlight w:val="none"/>
              </w:rPr>
              <w:t>⑥建立专职消防与义务消防相结合的消防体制，根据有关规范和标准配备消防设施。主要包括：消防水池、消防泵房、消防水管道、消火栓、水炮、固定及半固定式泡沫 灭火系统。并设有室外消火栓箱、小型灭火器、火灾报警器等。同时，统一规划消防水的供给来源，确保消防水用量，建立完善的消防管网系统和泡沫管网系统</w:t>
            </w:r>
          </w:p>
          <w:p>
            <w:pPr>
              <w:snapToGrid w:val="0"/>
              <w:spacing w:line="360" w:lineRule="auto"/>
              <w:rPr>
                <w:b/>
                <w:color w:val="auto"/>
                <w:kern w:val="21"/>
                <w:sz w:val="24"/>
                <w:highlight w:val="none"/>
              </w:rPr>
            </w:pPr>
            <w:r>
              <w:rPr>
                <w:rFonts w:hint="eastAsia"/>
                <w:b/>
                <w:bCs/>
                <w:color w:val="auto"/>
                <w:sz w:val="24"/>
                <w:highlight w:val="none"/>
              </w:rPr>
              <w:t>7.4</w:t>
            </w:r>
            <w:r>
              <w:rPr>
                <w:b/>
                <w:bCs/>
                <w:color w:val="auto"/>
                <w:sz w:val="24"/>
                <w:highlight w:val="none"/>
              </w:rPr>
              <w:t>.</w:t>
            </w:r>
            <w:r>
              <w:rPr>
                <w:rFonts w:hint="eastAsia"/>
                <w:b/>
                <w:bCs/>
                <w:color w:val="auto"/>
                <w:sz w:val="24"/>
                <w:highlight w:val="none"/>
              </w:rPr>
              <w:t>4</w:t>
            </w:r>
            <w:r>
              <w:rPr>
                <w:rFonts w:hint="eastAsia"/>
                <w:b/>
                <w:color w:val="auto"/>
                <w:kern w:val="21"/>
                <w:sz w:val="24"/>
                <w:highlight w:val="none"/>
              </w:rPr>
              <w:t>废气事故排放风险防范措施</w:t>
            </w:r>
          </w:p>
          <w:p>
            <w:pPr>
              <w:snapToGrid w:val="0"/>
              <w:spacing w:line="360" w:lineRule="auto"/>
              <w:ind w:firstLine="480" w:firstLineChars="200"/>
              <w:rPr>
                <w:color w:val="auto"/>
                <w:kern w:val="0"/>
                <w:sz w:val="24"/>
                <w:highlight w:val="none"/>
              </w:rPr>
            </w:pPr>
            <w:r>
              <w:rPr>
                <w:rFonts w:hint="eastAsia"/>
                <w:color w:val="auto"/>
                <w:kern w:val="0"/>
                <w:sz w:val="24"/>
                <w:highlight w:val="none"/>
              </w:rPr>
              <w:t>①及时更换活性炭确保废气处理效率。</w:t>
            </w:r>
          </w:p>
          <w:p>
            <w:pPr>
              <w:snapToGrid w:val="0"/>
              <w:spacing w:line="360" w:lineRule="auto"/>
              <w:ind w:firstLine="480" w:firstLineChars="200"/>
              <w:rPr>
                <w:color w:val="auto"/>
                <w:kern w:val="0"/>
                <w:sz w:val="24"/>
                <w:highlight w:val="none"/>
              </w:rPr>
            </w:pPr>
            <w:r>
              <w:rPr>
                <w:rFonts w:hint="eastAsia"/>
                <w:color w:val="auto"/>
                <w:kern w:val="0"/>
                <w:sz w:val="24"/>
                <w:highlight w:val="none"/>
              </w:rPr>
              <w:t>②定期检修设备，加强日常维护保养，避免或减少故障发生，确保设备处于正常的工作状态。</w:t>
            </w:r>
          </w:p>
          <w:p>
            <w:pPr>
              <w:snapToGrid w:val="0"/>
              <w:spacing w:line="360" w:lineRule="auto"/>
              <w:ind w:firstLine="480" w:firstLineChars="200"/>
              <w:rPr>
                <w:color w:val="auto"/>
                <w:kern w:val="0"/>
                <w:sz w:val="24"/>
                <w:highlight w:val="none"/>
              </w:rPr>
            </w:pPr>
            <w:r>
              <w:rPr>
                <w:rFonts w:hint="eastAsia"/>
                <w:color w:val="auto"/>
                <w:kern w:val="0"/>
                <w:sz w:val="24"/>
                <w:highlight w:val="none"/>
              </w:rPr>
              <w:t>③加强对操作工人的培训，培养员工的安全和环境意识，提高操作工人的技术水平和责任感，降低操作失误而造成的事故。</w:t>
            </w:r>
          </w:p>
          <w:p>
            <w:pPr>
              <w:snapToGrid w:val="0"/>
              <w:spacing w:line="360" w:lineRule="auto"/>
              <w:ind w:firstLine="480" w:firstLineChars="200"/>
              <w:rPr>
                <w:color w:val="auto"/>
                <w:kern w:val="0"/>
                <w:sz w:val="24"/>
                <w:highlight w:val="none"/>
              </w:rPr>
            </w:pPr>
            <w:r>
              <w:rPr>
                <w:rFonts w:hint="eastAsia"/>
                <w:color w:val="auto"/>
                <w:kern w:val="0"/>
                <w:sz w:val="24"/>
                <w:highlight w:val="none"/>
              </w:rPr>
              <w:t xml:space="preserve">④废气净化系统必须由有资质的单位进行设计，配套双电源保护系统，确保其处理效率和稳定运行。 </w:t>
            </w:r>
          </w:p>
          <w:p>
            <w:pPr>
              <w:snapToGrid w:val="0"/>
              <w:spacing w:line="360" w:lineRule="auto"/>
              <w:ind w:firstLine="480" w:firstLineChars="200"/>
              <w:rPr>
                <w:color w:val="auto"/>
                <w:kern w:val="0"/>
                <w:sz w:val="24"/>
                <w:highlight w:val="none"/>
              </w:rPr>
            </w:pPr>
            <w:r>
              <w:rPr>
                <w:rFonts w:hint="eastAsia"/>
                <w:color w:val="auto"/>
                <w:kern w:val="0"/>
                <w:sz w:val="24"/>
                <w:highlight w:val="none"/>
              </w:rPr>
              <w:t xml:space="preserve">⑤注重除尘设施的维护，使其长期保持最佳工作状况。在定期检修工程主体设备时，同时检查和维护各主要废气净化系统，确保除尘器的正常运行。 </w:t>
            </w:r>
          </w:p>
          <w:p>
            <w:pPr>
              <w:snapToGrid w:val="0"/>
              <w:spacing w:line="360" w:lineRule="auto"/>
              <w:ind w:firstLine="480" w:firstLineChars="200"/>
              <w:rPr>
                <w:color w:val="auto"/>
                <w:kern w:val="0"/>
                <w:sz w:val="24"/>
                <w:highlight w:val="none"/>
              </w:rPr>
            </w:pPr>
            <w:r>
              <w:rPr>
                <w:rFonts w:hint="eastAsia"/>
                <w:color w:val="auto"/>
                <w:kern w:val="0"/>
                <w:sz w:val="24"/>
                <w:highlight w:val="none"/>
              </w:rPr>
              <w:t xml:space="preserve">⑥制订详细的除尘系统运行、操作、管理规程，加强对除尘系统的日常检查工作；此外，在计划停机检查时间要对袋式除尘器的所有阀门、花板、检修门、滤袋、脉冲清灰控制装置以及管道进行检查；每年要将所有压力传感器重新校准一次并大修清灰的气源设备。 </w:t>
            </w:r>
          </w:p>
          <w:p>
            <w:pPr>
              <w:snapToGrid w:val="0"/>
              <w:spacing w:line="360" w:lineRule="auto"/>
              <w:ind w:firstLine="480" w:firstLineChars="200"/>
              <w:rPr>
                <w:color w:val="auto"/>
                <w:kern w:val="0"/>
                <w:sz w:val="24"/>
                <w:highlight w:val="none"/>
              </w:rPr>
            </w:pPr>
            <w:r>
              <w:rPr>
                <w:rFonts w:hint="eastAsia"/>
                <w:color w:val="auto"/>
                <w:kern w:val="0"/>
                <w:sz w:val="24"/>
                <w:highlight w:val="none"/>
              </w:rPr>
              <w:t xml:space="preserve">⑦一旦发现废气净化系统设施运行不正常，应立即对废气净化设施进行检修，若该设施一时难以修复，应立即采取紧急措施使主体设备停止生产，待净化设施检修完毕能够正常投入使用时，再共同投入使用。 </w:t>
            </w:r>
          </w:p>
          <w:p>
            <w:pPr>
              <w:snapToGrid w:val="0"/>
              <w:spacing w:line="360" w:lineRule="auto"/>
              <w:ind w:firstLine="480" w:firstLineChars="200"/>
              <w:rPr>
                <w:color w:val="auto"/>
                <w:kern w:val="0"/>
                <w:sz w:val="24"/>
                <w:highlight w:val="none"/>
              </w:rPr>
            </w:pPr>
            <w:r>
              <w:rPr>
                <w:rFonts w:hint="eastAsia"/>
                <w:color w:val="auto"/>
                <w:kern w:val="0"/>
                <w:sz w:val="24"/>
                <w:highlight w:val="none"/>
              </w:rPr>
              <w:t xml:space="preserve">⑧对废气净化设施的易损易耗件应注重备用品的储存，确保设备发生故障时能得到及时的更换。 </w:t>
            </w:r>
          </w:p>
          <w:p>
            <w:pPr>
              <w:snapToGrid w:val="0"/>
              <w:spacing w:line="360" w:lineRule="auto"/>
              <w:ind w:firstLine="480" w:firstLineChars="200"/>
              <w:rPr>
                <w:color w:val="auto"/>
                <w:kern w:val="0"/>
                <w:sz w:val="24"/>
                <w:highlight w:val="none"/>
              </w:rPr>
            </w:pPr>
            <w:r>
              <w:rPr>
                <w:rFonts w:hint="eastAsia"/>
                <w:color w:val="auto"/>
                <w:kern w:val="0"/>
                <w:sz w:val="24"/>
                <w:highlight w:val="none"/>
              </w:rPr>
              <w:t>⑨制定一套科学、完整和严格的故障处理制度和应急措施，责任到人，以便发生故障时及时处理。</w:t>
            </w:r>
          </w:p>
          <w:p>
            <w:pPr>
              <w:pStyle w:val="104"/>
              <w:numPr>
                <w:ilvl w:val="2"/>
                <w:numId w:val="0"/>
              </w:numPr>
              <w:rPr>
                <w:rFonts w:ascii="Times New Roman" w:hAnsi="Times New Roman" w:cs="Times New Roman"/>
                <w:color w:val="auto"/>
                <w:sz w:val="24"/>
                <w:szCs w:val="24"/>
                <w:highlight w:val="none"/>
                <w:lang w:val="en-US"/>
              </w:rPr>
            </w:pPr>
            <w:bookmarkStart w:id="11" w:name="_Toc514743368"/>
            <w:bookmarkStart w:id="12" w:name="_Toc514743653"/>
            <w:bookmarkStart w:id="13" w:name="_Toc523406272"/>
            <w:r>
              <w:rPr>
                <w:rFonts w:hint="eastAsia" w:ascii="Times New Roman" w:hAnsi="Times New Roman" w:cs="Times New Roman"/>
                <w:color w:val="auto"/>
                <w:sz w:val="24"/>
                <w:szCs w:val="24"/>
                <w:highlight w:val="none"/>
                <w:lang w:val="en-US"/>
              </w:rPr>
              <w:t>7</w:t>
            </w:r>
            <w:r>
              <w:rPr>
                <w:rFonts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lang w:val="en-US"/>
              </w:rPr>
              <w:t>5</w:t>
            </w:r>
            <w:r>
              <w:rPr>
                <w:rFonts w:ascii="Times New Roman" w:hAnsi="Times New Roman" w:cs="Times New Roman"/>
                <w:color w:val="auto"/>
                <w:sz w:val="24"/>
                <w:szCs w:val="24"/>
                <w:highlight w:val="none"/>
                <w:lang w:val="en-US"/>
              </w:rPr>
              <w:t>环境风险评价结论</w:t>
            </w:r>
          </w:p>
          <w:bookmarkEnd w:id="11"/>
          <w:bookmarkEnd w:id="12"/>
          <w:bookmarkEnd w:id="13"/>
          <w:p>
            <w:pPr>
              <w:adjustRightInd w:val="0"/>
              <w:snapToGrid w:val="0"/>
              <w:spacing w:line="360" w:lineRule="auto"/>
              <w:ind w:firstLine="480" w:firstLineChars="200"/>
              <w:rPr>
                <w:color w:val="auto"/>
                <w:sz w:val="24"/>
                <w:highlight w:val="none"/>
              </w:rPr>
            </w:pPr>
            <w:r>
              <w:rPr>
                <w:rFonts w:hint="eastAsia"/>
                <w:color w:val="auto"/>
                <w:sz w:val="24"/>
                <w:highlight w:val="none"/>
              </w:rPr>
              <w:t>本项目环境风险潜势为I，环境风险评价等级为简单分析；通过采取环评报告中提出的风险防范措施，可有效降低事故发生概率，所造成的环境影响较小，对外环境影响可接受。因此，本项目的环境风险可防控。</w:t>
            </w:r>
          </w:p>
          <w:p>
            <w:pPr>
              <w:adjustRightInd w:val="0"/>
              <w:snapToGrid w:val="0"/>
              <w:spacing w:line="360" w:lineRule="auto"/>
              <w:rPr>
                <w:rFonts w:ascii="宋体" w:hAnsi="宋体" w:cs="宋体"/>
                <w:bCs/>
                <w:color w:val="auto"/>
                <w:spacing w:val="-10"/>
                <w:sz w:val="24"/>
                <w:highlight w:val="none"/>
              </w:rPr>
            </w:pPr>
          </w:p>
        </w:tc>
      </w:tr>
    </w:tbl>
    <w:p>
      <w:pPr>
        <w:adjustRightInd w:val="0"/>
        <w:snapToGrid w:val="0"/>
        <w:spacing w:line="360" w:lineRule="auto"/>
        <w:rPr>
          <w:rFonts w:ascii="宋体" w:cs="宋体"/>
          <w:b/>
          <w:color w:val="auto"/>
          <w:kern w:val="0"/>
          <w:sz w:val="28"/>
          <w:szCs w:val="28"/>
          <w:highlight w:val="none"/>
        </w:rPr>
        <w:sectPr>
          <w:pgSz w:w="11907" w:h="16840"/>
          <w:pgMar w:top="1701" w:right="1531" w:bottom="2127" w:left="1531" w:header="851" w:footer="851" w:gutter="0"/>
          <w:pgNumType w:fmt="numberInDash"/>
          <w:cols w:space="720" w:num="1"/>
          <w:docGrid w:linePitch="312" w:charSpace="0"/>
        </w:sectPr>
      </w:pPr>
    </w:p>
    <w:p>
      <w:pPr>
        <w:pStyle w:val="21"/>
        <w:jc w:val="center"/>
        <w:outlineLvl w:val="0"/>
        <w:rPr>
          <w:rFonts w:ascii="黑体" w:hAnsi="黑体" w:eastAsia="黑体"/>
          <w:snapToGrid w:val="0"/>
          <w:color w:val="auto"/>
          <w:sz w:val="30"/>
          <w:szCs w:val="30"/>
          <w:highlight w:val="none"/>
        </w:rPr>
      </w:pPr>
      <w:bookmarkStart w:id="14" w:name="_Toc31826"/>
      <w:r>
        <w:rPr>
          <w:rFonts w:hint="eastAsia" w:ascii="黑体" w:hAnsi="黑体" w:eastAsia="黑体"/>
          <w:snapToGrid w:val="0"/>
          <w:color w:val="auto"/>
          <w:sz w:val="30"/>
          <w:szCs w:val="30"/>
          <w:highlight w:val="none"/>
        </w:rPr>
        <w:t>五、</w:t>
      </w:r>
      <w:bookmarkStart w:id="15" w:name="_Hlk54167917"/>
      <w:r>
        <w:rPr>
          <w:rFonts w:hint="eastAsia" w:ascii="黑体" w:hAnsi="黑体" w:eastAsia="黑体"/>
          <w:snapToGrid w:val="0"/>
          <w:color w:val="auto"/>
          <w:sz w:val="30"/>
          <w:szCs w:val="30"/>
          <w:highlight w:val="none"/>
        </w:rPr>
        <w:t>环境保护措施监督检查清单</w:t>
      </w:r>
      <w:bookmarkEnd w:id="14"/>
      <w:bookmarkEnd w:id="15"/>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08"/>
        <w:gridCol w:w="1176"/>
        <w:gridCol w:w="2160"/>
        <w:gridCol w:w="20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78" w:type="dxa"/>
            <w:tcBorders>
              <w:tl2br w:val="single" w:color="auto" w:sz="4" w:space="0"/>
            </w:tcBorders>
          </w:tcPr>
          <w:p>
            <w:pPr>
              <w:adjustRightInd w:val="0"/>
              <w:snapToGrid w:val="0"/>
              <w:ind w:firstLine="840"/>
              <w:rPr>
                <w:rFonts w:ascii="宋体" w:hAnsi="宋体" w:cs="宋体"/>
                <w:color w:val="auto"/>
                <w:sz w:val="24"/>
                <w:highlight w:val="none"/>
              </w:rPr>
            </w:pPr>
            <w:r>
              <w:rPr>
                <w:rFonts w:hint="eastAsia" w:ascii="宋体" w:hAnsi="宋体" w:cs="宋体"/>
                <w:color w:val="auto"/>
                <w:sz w:val="24"/>
                <w:highlight w:val="none"/>
              </w:rPr>
              <w:t>内容</w:t>
            </w:r>
          </w:p>
          <w:p>
            <w:pPr>
              <w:adjustRightInd w:val="0"/>
              <w:snapToGrid w:val="0"/>
              <w:rPr>
                <w:rFonts w:ascii="宋体" w:hAnsi="宋体" w:cs="宋体"/>
                <w:color w:val="auto"/>
                <w:sz w:val="24"/>
                <w:highlight w:val="none"/>
              </w:rPr>
            </w:pPr>
            <w:r>
              <w:rPr>
                <w:rFonts w:hint="eastAsia" w:ascii="宋体" w:hAnsi="宋体" w:cs="宋体"/>
                <w:color w:val="auto"/>
                <w:sz w:val="24"/>
                <w:highlight w:val="none"/>
              </w:rPr>
              <w:t>要素</w:t>
            </w:r>
          </w:p>
        </w:tc>
        <w:tc>
          <w:tcPr>
            <w:tcW w:w="160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排放口(编号、名称)/污染源</w:t>
            </w:r>
          </w:p>
        </w:tc>
        <w:tc>
          <w:tcPr>
            <w:tcW w:w="117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污染物</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项目</w:t>
            </w:r>
          </w:p>
        </w:tc>
        <w:tc>
          <w:tcPr>
            <w:tcW w:w="2160"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环境保护措施</w:t>
            </w:r>
          </w:p>
        </w:tc>
        <w:tc>
          <w:tcPr>
            <w:tcW w:w="207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78" w:type="dxa"/>
            <w:vMerge w:val="restart"/>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大气环境</w:t>
            </w:r>
          </w:p>
        </w:tc>
        <w:tc>
          <w:tcPr>
            <w:tcW w:w="1608" w:type="dxa"/>
            <w:vAlign w:val="center"/>
          </w:tcPr>
          <w:p>
            <w:pPr>
              <w:jc w:val="center"/>
              <w:rPr>
                <w:color w:val="auto"/>
                <w:sz w:val="24"/>
                <w:highlight w:val="none"/>
              </w:rPr>
            </w:pPr>
            <w:r>
              <w:rPr>
                <w:rFonts w:hint="eastAsia"/>
                <w:color w:val="auto"/>
                <w:sz w:val="24"/>
                <w:highlight w:val="none"/>
              </w:rPr>
              <w:t>喷漆、丝网印刷、烘干废气；排气筒</w:t>
            </w:r>
            <w:r>
              <w:rPr>
                <w:color w:val="auto"/>
                <w:sz w:val="24"/>
                <w:highlight w:val="none"/>
              </w:rPr>
              <w:t>DA00</w:t>
            </w:r>
            <w:r>
              <w:rPr>
                <w:rFonts w:hint="eastAsia"/>
                <w:color w:val="auto"/>
                <w:sz w:val="24"/>
                <w:highlight w:val="none"/>
              </w:rPr>
              <w:t>1</w:t>
            </w:r>
          </w:p>
        </w:tc>
        <w:tc>
          <w:tcPr>
            <w:tcW w:w="1176" w:type="dxa"/>
            <w:vAlign w:val="center"/>
          </w:tcPr>
          <w:p>
            <w:pPr>
              <w:jc w:val="center"/>
              <w:rPr>
                <w:bCs/>
                <w:color w:val="auto"/>
                <w:sz w:val="24"/>
                <w:highlight w:val="none"/>
              </w:rPr>
            </w:pPr>
            <w:r>
              <w:rPr>
                <w:rFonts w:hint="eastAsia"/>
                <w:bCs/>
                <w:color w:val="auto"/>
                <w:sz w:val="24"/>
                <w:highlight w:val="none"/>
              </w:rPr>
              <w:t>颗粒物、VOCs、二甲苯</w:t>
            </w:r>
          </w:p>
        </w:tc>
        <w:tc>
          <w:tcPr>
            <w:tcW w:w="2160" w:type="dxa"/>
            <w:vMerge w:val="restart"/>
            <w:vAlign w:val="center"/>
          </w:tcPr>
          <w:p>
            <w:pPr>
              <w:adjustRightInd w:val="0"/>
              <w:snapToGrid w:val="0"/>
              <w:jc w:val="center"/>
              <w:rPr>
                <w:bCs/>
                <w:color w:val="auto"/>
                <w:sz w:val="24"/>
                <w:highlight w:val="none"/>
              </w:rPr>
            </w:pPr>
            <w:r>
              <w:rPr>
                <w:rFonts w:hint="eastAsia" w:hAnsi="宋体"/>
                <w:color w:val="auto"/>
                <w:sz w:val="24"/>
                <w:highlight w:val="none"/>
              </w:rPr>
              <w:t>密闭水帘喷漆房，水喷淋/集气罩</w:t>
            </w:r>
            <w:r>
              <w:rPr>
                <w:rFonts w:hint="eastAsia" w:hAnsi="宋体"/>
                <w:color w:val="auto"/>
                <w:sz w:val="24"/>
                <w:highlight w:val="none"/>
                <w:lang w:val="en-US" w:eastAsia="zh-CN"/>
              </w:rPr>
              <w:t>/管道</w:t>
            </w:r>
            <w:r>
              <w:rPr>
                <w:rFonts w:hint="eastAsia" w:hAnsi="宋体"/>
                <w:color w:val="auto"/>
                <w:sz w:val="24"/>
                <w:highlight w:val="none"/>
              </w:rPr>
              <w:t>+UV光解活性炭一体化设备+15m排气筒</w:t>
            </w:r>
          </w:p>
        </w:tc>
        <w:tc>
          <w:tcPr>
            <w:tcW w:w="2078" w:type="dxa"/>
            <w:vAlign w:val="center"/>
          </w:tcPr>
          <w:p>
            <w:pPr>
              <w:jc w:val="center"/>
              <w:rPr>
                <w:rFonts w:ascii="宋体" w:hAnsi="宋体" w:cs="宋体"/>
                <w:color w:val="auto"/>
                <w:sz w:val="24"/>
                <w:highlight w:val="none"/>
              </w:rPr>
            </w:pPr>
            <w:r>
              <w:rPr>
                <w:rFonts w:hint="eastAsia"/>
                <w:bCs/>
                <w:color w:val="auto"/>
                <w:kern w:val="13"/>
                <w:sz w:val="24"/>
                <w:highlight w:val="none"/>
              </w:rPr>
              <w:t>DB43/1457-2017《印刷工业挥发性有机物排放标准》、《大气污染物综合排放标准》（</w:t>
            </w:r>
            <w:r>
              <w:rPr>
                <w:bCs/>
                <w:color w:val="auto"/>
                <w:kern w:val="13"/>
                <w:sz w:val="24"/>
                <w:highlight w:val="none"/>
              </w:rPr>
              <w:t>GB</w:t>
            </w:r>
            <w:r>
              <w:rPr>
                <w:rFonts w:hint="eastAsia"/>
                <w:bCs/>
                <w:color w:val="auto"/>
                <w:kern w:val="13"/>
                <w:sz w:val="24"/>
                <w:highlight w:val="none"/>
              </w:rPr>
              <w:t>16297-1996）表2中二级标准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778" w:type="dxa"/>
            <w:vMerge w:val="continue"/>
            <w:vAlign w:val="center"/>
          </w:tcPr>
          <w:p>
            <w:pPr>
              <w:adjustRightInd w:val="0"/>
              <w:snapToGrid w:val="0"/>
              <w:jc w:val="center"/>
              <w:rPr>
                <w:rFonts w:ascii="宋体" w:hAnsi="宋体" w:cs="宋体"/>
                <w:color w:val="auto"/>
                <w:sz w:val="24"/>
                <w:highlight w:val="none"/>
              </w:rPr>
            </w:pPr>
          </w:p>
        </w:tc>
        <w:tc>
          <w:tcPr>
            <w:tcW w:w="1608"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喷漆、烘干、丝网印刷</w:t>
            </w:r>
          </w:p>
        </w:tc>
        <w:tc>
          <w:tcPr>
            <w:tcW w:w="1176" w:type="dxa"/>
            <w:vAlign w:val="center"/>
          </w:tcPr>
          <w:p>
            <w:pPr>
              <w:jc w:val="center"/>
              <w:rPr>
                <w:bCs/>
                <w:color w:val="auto"/>
                <w:sz w:val="24"/>
                <w:highlight w:val="none"/>
              </w:rPr>
            </w:pPr>
            <w:r>
              <w:rPr>
                <w:rFonts w:hint="eastAsia"/>
                <w:bCs/>
                <w:color w:val="auto"/>
                <w:sz w:val="24"/>
                <w:highlight w:val="none"/>
              </w:rPr>
              <w:t>颗粒物、VOCs</w:t>
            </w:r>
          </w:p>
        </w:tc>
        <w:tc>
          <w:tcPr>
            <w:tcW w:w="2160" w:type="dxa"/>
            <w:vMerge w:val="continue"/>
            <w:vAlign w:val="center"/>
          </w:tcPr>
          <w:p>
            <w:pPr>
              <w:adjustRightInd w:val="0"/>
              <w:snapToGrid w:val="0"/>
              <w:jc w:val="center"/>
              <w:rPr>
                <w:rFonts w:ascii="宋体" w:hAnsi="宋体" w:cs="宋体"/>
                <w:color w:val="auto"/>
                <w:sz w:val="24"/>
                <w:highlight w:val="none"/>
              </w:rPr>
            </w:pPr>
          </w:p>
        </w:tc>
        <w:tc>
          <w:tcPr>
            <w:tcW w:w="2078" w:type="dxa"/>
            <w:vMerge w:val="restart"/>
            <w:vAlign w:val="center"/>
          </w:tcPr>
          <w:p>
            <w:pPr>
              <w:jc w:val="center"/>
              <w:rPr>
                <w:bCs/>
                <w:color w:val="auto"/>
                <w:kern w:val="13"/>
                <w:sz w:val="24"/>
                <w:highlight w:val="none"/>
              </w:rPr>
            </w:pPr>
            <w:r>
              <w:rPr>
                <w:rFonts w:hint="eastAsia"/>
                <w:bCs/>
                <w:color w:val="auto"/>
                <w:kern w:val="13"/>
                <w:sz w:val="24"/>
                <w:highlight w:val="none"/>
              </w:rPr>
              <w:t>DB43/1457-2017《印刷工业挥发性有机物排放标准》无组织排放浓度限值、《大气污染物综合排放标准》（GB16297-1996）表2中无组织排放监控浓度限值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8" w:type="dxa"/>
            <w:vMerge w:val="continue"/>
            <w:vAlign w:val="center"/>
          </w:tcPr>
          <w:p>
            <w:pPr>
              <w:adjustRightInd w:val="0"/>
              <w:snapToGrid w:val="0"/>
              <w:jc w:val="center"/>
              <w:rPr>
                <w:rFonts w:ascii="宋体" w:hAnsi="宋体" w:cs="宋体"/>
                <w:color w:val="auto"/>
                <w:sz w:val="24"/>
                <w:highlight w:val="none"/>
              </w:rPr>
            </w:pPr>
          </w:p>
        </w:tc>
        <w:tc>
          <w:tcPr>
            <w:tcW w:w="1608" w:type="dxa"/>
            <w:vAlign w:val="center"/>
          </w:tcPr>
          <w:p>
            <w:pPr>
              <w:jc w:val="center"/>
              <w:rPr>
                <w:color w:val="auto"/>
                <w:sz w:val="24"/>
                <w:highlight w:val="none"/>
              </w:rPr>
            </w:pPr>
            <w:r>
              <w:rPr>
                <w:rFonts w:hint="eastAsia"/>
                <w:color w:val="auto"/>
                <w:sz w:val="24"/>
                <w:highlight w:val="none"/>
              </w:rPr>
              <w:t>加工</w:t>
            </w:r>
          </w:p>
        </w:tc>
        <w:tc>
          <w:tcPr>
            <w:tcW w:w="1176" w:type="dxa"/>
            <w:vAlign w:val="center"/>
          </w:tcPr>
          <w:p>
            <w:pPr>
              <w:jc w:val="center"/>
              <w:rPr>
                <w:bCs/>
                <w:color w:val="auto"/>
                <w:sz w:val="24"/>
                <w:highlight w:val="none"/>
              </w:rPr>
            </w:pPr>
            <w:r>
              <w:rPr>
                <w:rFonts w:hint="eastAsia"/>
                <w:bCs/>
                <w:color w:val="auto"/>
                <w:sz w:val="24"/>
                <w:highlight w:val="none"/>
              </w:rPr>
              <w:t>颗粒物</w:t>
            </w:r>
          </w:p>
        </w:tc>
        <w:tc>
          <w:tcPr>
            <w:tcW w:w="2160" w:type="dxa"/>
            <w:vAlign w:val="center"/>
          </w:tcPr>
          <w:p>
            <w:pPr>
              <w:adjustRightInd w:val="0"/>
              <w:snapToGrid w:val="0"/>
              <w:jc w:val="center"/>
              <w:rPr>
                <w:rFonts w:hAnsi="宋体"/>
                <w:color w:val="auto"/>
                <w:sz w:val="24"/>
                <w:highlight w:val="none"/>
                <w:u w:val="single"/>
              </w:rPr>
            </w:pPr>
            <w:r>
              <w:rPr>
                <w:rFonts w:hint="eastAsia" w:hAnsi="宋体"/>
                <w:color w:val="auto"/>
                <w:sz w:val="24"/>
                <w:highlight w:val="none"/>
                <w:lang w:eastAsia="zh-CN"/>
              </w:rPr>
              <w:t>经设备自带布袋除尘器处理后</w:t>
            </w:r>
            <w:r>
              <w:rPr>
                <w:rFonts w:hint="eastAsia" w:hAnsi="宋体"/>
                <w:color w:val="auto"/>
                <w:sz w:val="24"/>
                <w:highlight w:val="none"/>
              </w:rPr>
              <w:t>无组织排放</w:t>
            </w:r>
          </w:p>
        </w:tc>
        <w:tc>
          <w:tcPr>
            <w:tcW w:w="2078" w:type="dxa"/>
            <w:vMerge w:val="continue"/>
            <w:vAlign w:val="center"/>
          </w:tcPr>
          <w:p>
            <w:pPr>
              <w:jc w:val="center"/>
              <w:rPr>
                <w:bCs/>
                <w:color w:val="auto"/>
                <w:kern w:val="13"/>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8" w:type="dxa"/>
            <w:vMerge w:val="continue"/>
            <w:vAlign w:val="center"/>
          </w:tcPr>
          <w:p>
            <w:pPr>
              <w:adjustRightInd w:val="0"/>
              <w:snapToGrid w:val="0"/>
              <w:jc w:val="center"/>
              <w:rPr>
                <w:rFonts w:ascii="宋体" w:hAnsi="宋体" w:cs="宋体"/>
                <w:color w:val="auto"/>
                <w:sz w:val="24"/>
                <w:highlight w:val="none"/>
              </w:rPr>
            </w:pPr>
          </w:p>
        </w:tc>
        <w:tc>
          <w:tcPr>
            <w:tcW w:w="1608" w:type="dxa"/>
            <w:vAlign w:val="center"/>
          </w:tcPr>
          <w:p>
            <w:pPr>
              <w:jc w:val="center"/>
              <w:rPr>
                <w:color w:val="auto"/>
                <w:sz w:val="24"/>
                <w:highlight w:val="none"/>
              </w:rPr>
            </w:pPr>
            <w:r>
              <w:rPr>
                <w:rFonts w:hint="eastAsia"/>
                <w:color w:val="auto"/>
                <w:sz w:val="24"/>
                <w:highlight w:val="none"/>
              </w:rPr>
              <w:t>喷粉</w:t>
            </w:r>
          </w:p>
        </w:tc>
        <w:tc>
          <w:tcPr>
            <w:tcW w:w="1176" w:type="dxa"/>
            <w:vAlign w:val="center"/>
          </w:tcPr>
          <w:p>
            <w:pPr>
              <w:jc w:val="center"/>
              <w:rPr>
                <w:bCs/>
                <w:color w:val="auto"/>
                <w:sz w:val="24"/>
                <w:highlight w:val="none"/>
              </w:rPr>
            </w:pPr>
            <w:r>
              <w:rPr>
                <w:rFonts w:hint="eastAsia"/>
                <w:bCs/>
                <w:color w:val="auto"/>
                <w:sz w:val="24"/>
                <w:highlight w:val="none"/>
              </w:rPr>
              <w:t>颗粒物</w:t>
            </w:r>
          </w:p>
        </w:tc>
        <w:tc>
          <w:tcPr>
            <w:tcW w:w="2160" w:type="dxa"/>
            <w:vAlign w:val="center"/>
          </w:tcPr>
          <w:p>
            <w:pPr>
              <w:adjustRightInd w:val="0"/>
              <w:snapToGrid w:val="0"/>
              <w:jc w:val="center"/>
              <w:rPr>
                <w:color w:val="auto"/>
                <w:sz w:val="24"/>
                <w:highlight w:val="none"/>
              </w:rPr>
            </w:pPr>
            <w:r>
              <w:rPr>
                <w:rFonts w:hint="eastAsia"/>
                <w:color w:val="auto"/>
                <w:sz w:val="24"/>
                <w:highlight w:val="none"/>
              </w:rPr>
              <w:t>经塑粉回收机和布袋除尘回收</w:t>
            </w:r>
          </w:p>
        </w:tc>
        <w:tc>
          <w:tcPr>
            <w:tcW w:w="2078" w:type="dxa"/>
            <w:vAlign w:val="center"/>
          </w:tcPr>
          <w:p>
            <w:pPr>
              <w:jc w:val="center"/>
              <w:rPr>
                <w:bCs/>
                <w:color w:val="auto"/>
                <w:kern w:val="13"/>
                <w:sz w:val="24"/>
                <w:highlight w:val="none"/>
              </w:rPr>
            </w:pPr>
            <w:r>
              <w:rPr>
                <w:rFonts w:hint="eastAsia"/>
                <w:bCs/>
                <w:color w:val="auto"/>
                <w:kern w:val="13"/>
                <w:sz w:val="24"/>
                <w:highlight w:val="none"/>
              </w:rPr>
              <w:t>《大气污染物综合排放标准》（GB16297-1996）表2中无组织排放监控浓度限值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8" w:type="dxa"/>
            <w:vMerge w:val="continue"/>
            <w:vAlign w:val="center"/>
          </w:tcPr>
          <w:p>
            <w:pPr>
              <w:adjustRightInd w:val="0"/>
              <w:snapToGrid w:val="0"/>
              <w:jc w:val="center"/>
              <w:rPr>
                <w:rFonts w:ascii="宋体" w:hAnsi="宋体" w:cs="宋体"/>
                <w:color w:val="auto"/>
                <w:sz w:val="24"/>
                <w:highlight w:val="none"/>
              </w:rPr>
            </w:pPr>
          </w:p>
        </w:tc>
        <w:tc>
          <w:tcPr>
            <w:tcW w:w="1608" w:type="dxa"/>
            <w:vAlign w:val="center"/>
          </w:tcPr>
          <w:p>
            <w:pPr>
              <w:jc w:val="center"/>
              <w:rPr>
                <w:color w:val="auto"/>
                <w:sz w:val="24"/>
                <w:highlight w:val="none"/>
              </w:rPr>
            </w:pPr>
            <w:r>
              <w:rPr>
                <w:rFonts w:hint="eastAsia"/>
                <w:color w:val="auto"/>
                <w:sz w:val="24"/>
                <w:highlight w:val="none"/>
              </w:rPr>
              <w:t>烘干</w:t>
            </w:r>
          </w:p>
        </w:tc>
        <w:tc>
          <w:tcPr>
            <w:tcW w:w="1176" w:type="dxa"/>
            <w:vAlign w:val="center"/>
          </w:tcPr>
          <w:p>
            <w:pPr>
              <w:jc w:val="center"/>
              <w:rPr>
                <w:bCs/>
                <w:color w:val="auto"/>
                <w:sz w:val="24"/>
                <w:highlight w:val="none"/>
              </w:rPr>
            </w:pPr>
            <w:r>
              <w:rPr>
                <w:rFonts w:hint="eastAsia"/>
                <w:bCs/>
                <w:color w:val="auto"/>
                <w:sz w:val="24"/>
                <w:highlight w:val="none"/>
              </w:rPr>
              <w:t>二氧化硫、氮氧化物</w:t>
            </w:r>
          </w:p>
          <w:p>
            <w:pPr>
              <w:rPr>
                <w:color w:val="auto"/>
                <w:highlight w:val="none"/>
              </w:rPr>
            </w:pPr>
          </w:p>
        </w:tc>
        <w:tc>
          <w:tcPr>
            <w:tcW w:w="2160" w:type="dxa"/>
            <w:vAlign w:val="center"/>
          </w:tcPr>
          <w:p>
            <w:pPr>
              <w:adjustRightInd w:val="0"/>
              <w:snapToGrid w:val="0"/>
              <w:jc w:val="center"/>
              <w:rPr>
                <w:color w:val="auto"/>
                <w:sz w:val="24"/>
                <w:highlight w:val="none"/>
              </w:rPr>
            </w:pPr>
            <w:r>
              <w:rPr>
                <w:rFonts w:hint="eastAsia"/>
                <w:color w:val="auto"/>
                <w:sz w:val="24"/>
                <w:highlight w:val="none"/>
              </w:rPr>
              <w:t>经烘干房内</w:t>
            </w:r>
            <w:r>
              <w:rPr>
                <w:rFonts w:hint="eastAsia"/>
                <w:color w:val="auto"/>
                <w:sz w:val="24"/>
                <w:highlight w:val="none"/>
                <w:lang w:eastAsia="zh-CN"/>
              </w:rPr>
              <w:t>管道</w:t>
            </w:r>
            <w:r>
              <w:rPr>
                <w:rFonts w:hint="eastAsia"/>
                <w:color w:val="auto"/>
                <w:sz w:val="24"/>
                <w:highlight w:val="none"/>
              </w:rPr>
              <w:t>收集与有机废气一同通过15m排气筒排放</w:t>
            </w:r>
          </w:p>
        </w:tc>
        <w:tc>
          <w:tcPr>
            <w:tcW w:w="2078" w:type="dxa"/>
            <w:vAlign w:val="center"/>
          </w:tcPr>
          <w:p>
            <w:pPr>
              <w:jc w:val="center"/>
              <w:rPr>
                <w:bCs/>
                <w:color w:val="auto"/>
                <w:kern w:val="13"/>
                <w:sz w:val="24"/>
                <w:highlight w:val="none"/>
              </w:rPr>
            </w:pPr>
            <w:r>
              <w:rPr>
                <w:color w:val="auto"/>
                <w:sz w:val="24"/>
                <w:highlight w:val="none"/>
              </w:rPr>
              <w:t>《湖南省工业炉窑大气污染综合治理实施方案》（湘环发[2020]6号）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778" w:type="dxa"/>
            <w:vMerge w:val="continue"/>
            <w:vAlign w:val="center"/>
          </w:tcPr>
          <w:p>
            <w:pPr>
              <w:adjustRightInd w:val="0"/>
              <w:snapToGrid w:val="0"/>
              <w:jc w:val="center"/>
              <w:rPr>
                <w:rFonts w:ascii="宋体" w:hAnsi="宋体" w:cs="宋体"/>
                <w:color w:val="auto"/>
                <w:sz w:val="24"/>
                <w:highlight w:val="none"/>
              </w:rPr>
            </w:pPr>
          </w:p>
        </w:tc>
        <w:tc>
          <w:tcPr>
            <w:tcW w:w="1608" w:type="dxa"/>
            <w:vAlign w:val="center"/>
          </w:tcPr>
          <w:p>
            <w:pPr>
              <w:jc w:val="center"/>
              <w:rPr>
                <w:rFonts w:hint="eastAsia" w:eastAsia="宋体"/>
                <w:color w:val="auto"/>
                <w:sz w:val="24"/>
                <w:highlight w:val="none"/>
                <w:lang w:eastAsia="zh-CN"/>
              </w:rPr>
            </w:pPr>
            <w:r>
              <w:rPr>
                <w:rFonts w:hint="eastAsia"/>
                <w:color w:val="auto"/>
                <w:sz w:val="24"/>
                <w:highlight w:val="none"/>
                <w:lang w:eastAsia="zh-CN"/>
              </w:rPr>
              <w:t>焊接</w:t>
            </w:r>
          </w:p>
        </w:tc>
        <w:tc>
          <w:tcPr>
            <w:tcW w:w="1176" w:type="dxa"/>
            <w:vAlign w:val="center"/>
          </w:tcPr>
          <w:p>
            <w:pPr>
              <w:ind w:firstLine="240" w:firstLineChars="100"/>
              <w:rPr>
                <w:rFonts w:hint="eastAsia" w:eastAsia="宋体"/>
                <w:color w:val="auto"/>
                <w:highlight w:val="none"/>
                <w:lang w:eastAsia="zh-CN"/>
              </w:rPr>
            </w:pPr>
            <w:r>
              <w:rPr>
                <w:rFonts w:hint="eastAsia"/>
                <w:color w:val="auto"/>
                <w:sz w:val="24"/>
                <w:szCs w:val="24"/>
                <w:highlight w:val="none"/>
                <w:lang w:eastAsia="zh-CN"/>
              </w:rPr>
              <w:t>颗粒物</w:t>
            </w:r>
          </w:p>
        </w:tc>
        <w:tc>
          <w:tcPr>
            <w:tcW w:w="2160" w:type="dxa"/>
            <w:vAlign w:val="center"/>
          </w:tcPr>
          <w:p>
            <w:pPr>
              <w:adjustRightInd w:val="0"/>
              <w:snapToGrid w:val="0"/>
              <w:jc w:val="center"/>
              <w:rPr>
                <w:rFonts w:hint="eastAsia" w:eastAsia="宋体"/>
                <w:color w:val="auto"/>
                <w:sz w:val="24"/>
                <w:highlight w:val="none"/>
                <w:lang w:eastAsia="zh-CN"/>
              </w:rPr>
            </w:pPr>
            <w:r>
              <w:rPr>
                <w:rFonts w:hint="eastAsia"/>
                <w:color w:val="auto"/>
                <w:sz w:val="24"/>
                <w:highlight w:val="none"/>
                <w:lang w:eastAsia="zh-CN"/>
              </w:rPr>
              <w:t>焊接烟气净化器</w:t>
            </w:r>
          </w:p>
        </w:tc>
        <w:tc>
          <w:tcPr>
            <w:tcW w:w="2078" w:type="dxa"/>
            <w:vAlign w:val="center"/>
          </w:tcPr>
          <w:p>
            <w:pPr>
              <w:jc w:val="center"/>
              <w:rPr>
                <w:color w:val="auto"/>
                <w:sz w:val="24"/>
                <w:highlight w:val="none"/>
              </w:rPr>
            </w:pPr>
            <w:r>
              <w:rPr>
                <w:rFonts w:hint="eastAsia"/>
                <w:bCs/>
                <w:color w:val="auto"/>
                <w:kern w:val="13"/>
                <w:sz w:val="24"/>
                <w:highlight w:val="none"/>
              </w:rPr>
              <w:t>《大气污染物综合排放标准》（GB16297-1996）表2中无组织排放监控浓度限值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78" w:type="dxa"/>
            <w:vMerge w:val="restart"/>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地表水环境</w:t>
            </w:r>
          </w:p>
        </w:tc>
        <w:tc>
          <w:tcPr>
            <w:tcW w:w="1608" w:type="dxa"/>
            <w:vAlign w:val="center"/>
          </w:tcPr>
          <w:p>
            <w:pPr>
              <w:adjustRightInd w:val="0"/>
              <w:snapToGrid w:val="0"/>
              <w:jc w:val="center"/>
              <w:rPr>
                <w:rFonts w:ascii="宋体" w:hAnsi="宋体" w:cs="宋体"/>
                <w:color w:val="auto"/>
                <w:sz w:val="24"/>
                <w:highlight w:val="none"/>
              </w:rPr>
            </w:pPr>
            <w:r>
              <w:rPr>
                <w:rFonts w:hint="eastAsia" w:hAnsi="宋体"/>
                <w:color w:val="auto"/>
                <w:sz w:val="24"/>
                <w:highlight w:val="none"/>
              </w:rPr>
              <w:t>生活</w:t>
            </w:r>
            <w:r>
              <w:rPr>
                <w:rFonts w:hAnsi="宋体"/>
                <w:color w:val="auto"/>
                <w:sz w:val="24"/>
                <w:highlight w:val="none"/>
              </w:rPr>
              <w:t>污水</w:t>
            </w:r>
          </w:p>
        </w:tc>
        <w:tc>
          <w:tcPr>
            <w:tcW w:w="1176" w:type="dxa"/>
            <w:vAlign w:val="center"/>
          </w:tcPr>
          <w:p>
            <w:pPr>
              <w:adjustRightInd w:val="0"/>
              <w:snapToGrid w:val="0"/>
              <w:jc w:val="center"/>
              <w:rPr>
                <w:color w:val="auto"/>
                <w:spacing w:val="-10"/>
                <w:sz w:val="24"/>
                <w:highlight w:val="none"/>
              </w:rPr>
            </w:pPr>
            <w:r>
              <w:rPr>
                <w:color w:val="auto"/>
                <w:spacing w:val="-10"/>
                <w:sz w:val="24"/>
                <w:highlight w:val="none"/>
              </w:rPr>
              <w:t>COD</w:t>
            </w:r>
          </w:p>
          <w:p>
            <w:pPr>
              <w:adjustRightInd w:val="0"/>
              <w:snapToGrid w:val="0"/>
              <w:jc w:val="center"/>
              <w:rPr>
                <w:color w:val="auto"/>
                <w:spacing w:val="-10"/>
                <w:sz w:val="24"/>
                <w:highlight w:val="none"/>
              </w:rPr>
            </w:pPr>
            <w:r>
              <w:rPr>
                <w:rFonts w:hint="eastAsia"/>
                <w:color w:val="auto"/>
                <w:spacing w:val="-10"/>
                <w:sz w:val="24"/>
                <w:highlight w:val="none"/>
              </w:rPr>
              <w:t>BOD</w:t>
            </w:r>
            <w:r>
              <w:rPr>
                <w:rFonts w:hint="eastAsia"/>
                <w:color w:val="auto"/>
                <w:spacing w:val="-10"/>
                <w:sz w:val="24"/>
                <w:highlight w:val="none"/>
                <w:vertAlign w:val="subscript"/>
              </w:rPr>
              <w:t>5</w:t>
            </w:r>
          </w:p>
          <w:p>
            <w:pPr>
              <w:pStyle w:val="13"/>
              <w:spacing w:after="0"/>
              <w:jc w:val="center"/>
              <w:rPr>
                <w:color w:val="auto"/>
                <w:sz w:val="24"/>
                <w:highlight w:val="none"/>
              </w:rPr>
            </w:pPr>
            <w:r>
              <w:rPr>
                <w:rFonts w:hint="eastAsia"/>
                <w:color w:val="auto"/>
                <w:spacing w:val="-10"/>
                <w:sz w:val="24"/>
                <w:highlight w:val="none"/>
              </w:rPr>
              <w:t>SS</w:t>
            </w:r>
          </w:p>
          <w:p>
            <w:pPr>
              <w:adjustRightInd w:val="0"/>
              <w:snapToGrid w:val="0"/>
              <w:jc w:val="center"/>
              <w:rPr>
                <w:rFonts w:ascii="宋体" w:hAnsi="宋体" w:cs="宋体"/>
                <w:color w:val="auto"/>
                <w:sz w:val="24"/>
                <w:highlight w:val="none"/>
              </w:rPr>
            </w:pPr>
            <w:r>
              <w:rPr>
                <w:bCs/>
                <w:color w:val="auto"/>
                <w:sz w:val="24"/>
                <w:highlight w:val="none"/>
              </w:rPr>
              <w:t>NH</w:t>
            </w:r>
            <w:r>
              <w:rPr>
                <w:bCs/>
                <w:color w:val="auto"/>
                <w:sz w:val="24"/>
                <w:highlight w:val="none"/>
                <w:vertAlign w:val="subscript"/>
              </w:rPr>
              <w:t>3</w:t>
            </w:r>
            <w:r>
              <w:rPr>
                <w:bCs/>
                <w:color w:val="auto"/>
                <w:sz w:val="24"/>
                <w:highlight w:val="none"/>
              </w:rPr>
              <w:t>-N</w:t>
            </w:r>
          </w:p>
        </w:tc>
        <w:tc>
          <w:tcPr>
            <w:tcW w:w="2160" w:type="dxa"/>
            <w:vAlign w:val="center"/>
          </w:tcPr>
          <w:p>
            <w:pPr>
              <w:adjustRightInd w:val="0"/>
              <w:snapToGrid w:val="0"/>
              <w:jc w:val="center"/>
              <w:rPr>
                <w:rFonts w:ascii="宋体" w:hAnsi="宋体" w:cs="宋体"/>
                <w:color w:val="auto"/>
                <w:sz w:val="24"/>
                <w:highlight w:val="none"/>
              </w:rPr>
            </w:pPr>
            <w:r>
              <w:rPr>
                <w:rFonts w:hint="eastAsia"/>
                <w:bCs/>
                <w:color w:val="auto"/>
                <w:sz w:val="24"/>
                <w:highlight w:val="none"/>
              </w:rPr>
              <w:t>依托现有化粪池</w:t>
            </w:r>
            <w:r>
              <w:rPr>
                <w:bCs/>
                <w:color w:val="auto"/>
                <w:sz w:val="24"/>
                <w:highlight w:val="none"/>
              </w:rPr>
              <w:t>处理</w:t>
            </w:r>
            <w:r>
              <w:rPr>
                <w:rFonts w:hint="eastAsia"/>
                <w:bCs/>
                <w:color w:val="auto"/>
                <w:sz w:val="24"/>
                <w:highlight w:val="none"/>
              </w:rPr>
              <w:t>后用做农肥</w:t>
            </w:r>
          </w:p>
        </w:tc>
        <w:tc>
          <w:tcPr>
            <w:tcW w:w="2078" w:type="dxa"/>
            <w:vAlign w:val="center"/>
          </w:tcPr>
          <w:p>
            <w:pPr>
              <w:adjustRightInd w:val="0"/>
              <w:snapToGrid w:val="0"/>
              <w:jc w:val="center"/>
              <w:rPr>
                <w:rFonts w:ascii="宋体" w:hAnsi="宋体" w:cs="宋体"/>
                <w:color w:val="auto"/>
                <w:sz w:val="24"/>
                <w:highlight w:val="none"/>
              </w:rPr>
            </w:pPr>
            <w:r>
              <w:rPr>
                <w:rFonts w:hint="eastAsia"/>
                <w:bCs/>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778" w:type="dxa"/>
            <w:vMerge w:val="continue"/>
            <w:vAlign w:val="center"/>
          </w:tcPr>
          <w:p>
            <w:pPr>
              <w:adjustRightInd w:val="0"/>
              <w:snapToGrid w:val="0"/>
              <w:jc w:val="center"/>
              <w:rPr>
                <w:rFonts w:ascii="宋体" w:hAnsi="宋体" w:cs="宋体"/>
                <w:color w:val="auto"/>
                <w:sz w:val="24"/>
                <w:highlight w:val="none"/>
              </w:rPr>
            </w:pPr>
          </w:p>
        </w:tc>
        <w:tc>
          <w:tcPr>
            <w:tcW w:w="1608" w:type="dxa"/>
            <w:vAlign w:val="center"/>
          </w:tcPr>
          <w:p>
            <w:pPr>
              <w:adjustRightInd w:val="0"/>
              <w:snapToGrid w:val="0"/>
              <w:jc w:val="center"/>
              <w:rPr>
                <w:rFonts w:hAnsi="宋体"/>
                <w:color w:val="auto"/>
                <w:sz w:val="24"/>
                <w:highlight w:val="none"/>
              </w:rPr>
            </w:pPr>
            <w:r>
              <w:rPr>
                <w:rFonts w:hint="eastAsia" w:hAnsi="宋体"/>
                <w:color w:val="auto"/>
                <w:sz w:val="24"/>
                <w:highlight w:val="none"/>
              </w:rPr>
              <w:t>喷淋废水</w:t>
            </w:r>
          </w:p>
        </w:tc>
        <w:tc>
          <w:tcPr>
            <w:tcW w:w="1176" w:type="dxa"/>
            <w:vAlign w:val="center"/>
          </w:tcPr>
          <w:p>
            <w:pPr>
              <w:adjustRightInd w:val="0"/>
              <w:snapToGrid w:val="0"/>
              <w:jc w:val="center"/>
              <w:rPr>
                <w:bCs/>
                <w:color w:val="auto"/>
                <w:sz w:val="24"/>
                <w:highlight w:val="none"/>
              </w:rPr>
            </w:pPr>
            <w:r>
              <w:rPr>
                <w:color w:val="auto"/>
                <w:spacing w:val="-10"/>
                <w:sz w:val="24"/>
                <w:highlight w:val="none"/>
              </w:rPr>
              <w:t>COD</w:t>
            </w:r>
            <w:r>
              <w:rPr>
                <w:rFonts w:hint="eastAsia"/>
                <w:color w:val="auto"/>
                <w:spacing w:val="-10"/>
                <w:sz w:val="24"/>
                <w:highlight w:val="none"/>
              </w:rPr>
              <w:t>、SS</w:t>
            </w:r>
          </w:p>
        </w:tc>
        <w:tc>
          <w:tcPr>
            <w:tcW w:w="2160" w:type="dxa"/>
            <w:vAlign w:val="center"/>
          </w:tcPr>
          <w:p>
            <w:pPr>
              <w:adjustRightInd w:val="0"/>
              <w:snapToGrid w:val="0"/>
              <w:jc w:val="center"/>
              <w:rPr>
                <w:bCs/>
                <w:color w:val="auto"/>
                <w:sz w:val="24"/>
                <w:highlight w:val="none"/>
              </w:rPr>
            </w:pPr>
            <w:r>
              <w:rPr>
                <w:rFonts w:hint="eastAsia"/>
                <w:bCs/>
                <w:color w:val="auto"/>
                <w:sz w:val="24"/>
                <w:highlight w:val="none"/>
              </w:rPr>
              <w:t>沉淀过滤后循环使用不外排</w:t>
            </w:r>
          </w:p>
        </w:tc>
        <w:tc>
          <w:tcPr>
            <w:tcW w:w="2078" w:type="dxa"/>
            <w:vAlign w:val="center"/>
          </w:tcPr>
          <w:p>
            <w:pPr>
              <w:adjustRightInd w:val="0"/>
              <w:snapToGrid w:val="0"/>
              <w:jc w:val="center"/>
              <w:rPr>
                <w:bCs/>
                <w:color w:val="auto"/>
                <w:sz w:val="24"/>
                <w:highlight w:val="none"/>
              </w:rPr>
            </w:pPr>
            <w:r>
              <w:rPr>
                <w:rFonts w:hint="eastAsia"/>
                <w:bCs/>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7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声环境</w:t>
            </w:r>
          </w:p>
        </w:tc>
        <w:tc>
          <w:tcPr>
            <w:tcW w:w="1608" w:type="dxa"/>
            <w:vAlign w:val="center"/>
          </w:tcPr>
          <w:p>
            <w:pPr>
              <w:adjustRightInd w:val="0"/>
              <w:snapToGrid w:val="0"/>
              <w:jc w:val="center"/>
              <w:rPr>
                <w:rFonts w:ascii="宋体" w:hAnsi="宋体" w:cs="宋体"/>
                <w:color w:val="auto"/>
                <w:sz w:val="24"/>
                <w:highlight w:val="none"/>
              </w:rPr>
            </w:pPr>
            <w:r>
              <w:rPr>
                <w:bCs/>
                <w:color w:val="auto"/>
                <w:sz w:val="24"/>
                <w:highlight w:val="none"/>
              </w:rPr>
              <w:t>设备噪声</w:t>
            </w:r>
          </w:p>
        </w:tc>
        <w:tc>
          <w:tcPr>
            <w:tcW w:w="1176" w:type="dxa"/>
            <w:vAlign w:val="center"/>
          </w:tcPr>
          <w:p>
            <w:pPr>
              <w:adjustRightInd w:val="0"/>
              <w:snapToGrid w:val="0"/>
              <w:jc w:val="center"/>
              <w:rPr>
                <w:rFonts w:ascii="宋体" w:hAnsi="宋体" w:cs="宋体"/>
                <w:color w:val="auto"/>
                <w:sz w:val="24"/>
                <w:highlight w:val="none"/>
              </w:rPr>
            </w:pPr>
            <w:r>
              <w:rPr>
                <w:bCs/>
                <w:color w:val="auto"/>
                <w:sz w:val="24"/>
                <w:highlight w:val="none"/>
              </w:rPr>
              <w:t>等效</w:t>
            </w:r>
            <w:r>
              <w:rPr>
                <w:rFonts w:hint="eastAsia"/>
                <w:bCs/>
                <w:color w:val="auto"/>
                <w:sz w:val="24"/>
                <w:highlight w:val="none"/>
              </w:rPr>
              <w:t>连续</w:t>
            </w:r>
            <w:r>
              <w:rPr>
                <w:bCs/>
                <w:color w:val="auto"/>
                <w:sz w:val="24"/>
                <w:highlight w:val="none"/>
              </w:rPr>
              <w:t>A声级</w:t>
            </w:r>
          </w:p>
        </w:tc>
        <w:tc>
          <w:tcPr>
            <w:tcW w:w="2160" w:type="dxa"/>
            <w:vAlign w:val="center"/>
          </w:tcPr>
          <w:p>
            <w:pPr>
              <w:adjustRightInd w:val="0"/>
              <w:snapToGrid w:val="0"/>
              <w:jc w:val="center"/>
              <w:rPr>
                <w:rFonts w:ascii="宋体" w:hAnsi="宋体" w:cs="宋体"/>
                <w:color w:val="auto"/>
                <w:sz w:val="24"/>
                <w:highlight w:val="none"/>
              </w:rPr>
            </w:pPr>
            <w:r>
              <w:rPr>
                <w:color w:val="auto"/>
                <w:sz w:val="24"/>
                <w:highlight w:val="none"/>
              </w:rPr>
              <w:t>采用低噪声设备</w:t>
            </w:r>
            <w:r>
              <w:rPr>
                <w:rFonts w:hint="eastAsia"/>
                <w:color w:val="auto"/>
                <w:sz w:val="24"/>
                <w:highlight w:val="none"/>
              </w:rPr>
              <w:t>、合理布局，设置</w:t>
            </w:r>
            <w:r>
              <w:rPr>
                <w:color w:val="auto"/>
                <w:sz w:val="24"/>
                <w:highlight w:val="none"/>
              </w:rPr>
              <w:t>减振垫</w:t>
            </w:r>
            <w:r>
              <w:rPr>
                <w:rFonts w:hint="eastAsia"/>
                <w:color w:val="auto"/>
                <w:sz w:val="24"/>
                <w:highlight w:val="none"/>
              </w:rPr>
              <w:t>、厂房隔声，加强维护管理。</w:t>
            </w:r>
          </w:p>
        </w:tc>
        <w:tc>
          <w:tcPr>
            <w:tcW w:w="2078" w:type="dxa"/>
            <w:vAlign w:val="center"/>
          </w:tcPr>
          <w:p>
            <w:pPr>
              <w:adjustRightInd w:val="0"/>
              <w:snapToGrid w:val="0"/>
              <w:jc w:val="center"/>
              <w:rPr>
                <w:rFonts w:ascii="宋体" w:hAnsi="宋体" w:cs="宋体"/>
                <w:color w:val="auto"/>
                <w:sz w:val="24"/>
                <w:highlight w:val="none"/>
              </w:rPr>
            </w:pPr>
            <w:r>
              <w:rPr>
                <w:rFonts w:hint="eastAsia"/>
                <w:color w:val="auto"/>
                <w:sz w:val="24"/>
                <w:highlight w:val="none"/>
              </w:rPr>
              <w:t>《工业企业厂界环境噪声排放标准》（</w:t>
            </w:r>
            <w:r>
              <w:rPr>
                <w:color w:val="auto"/>
                <w:sz w:val="24"/>
                <w:highlight w:val="none"/>
              </w:rPr>
              <w:t>GB12348-2008</w:t>
            </w:r>
            <w:r>
              <w:rPr>
                <w:rFonts w:hint="eastAsia"/>
                <w:color w:val="auto"/>
                <w:sz w:val="24"/>
                <w:highlight w:val="none"/>
              </w:rPr>
              <w:t>）</w:t>
            </w:r>
            <w:r>
              <w:rPr>
                <w:color w:val="auto"/>
                <w:sz w:val="24"/>
                <w:highlight w:val="none"/>
              </w:rPr>
              <w:t>中</w:t>
            </w:r>
            <w:r>
              <w:rPr>
                <w:rFonts w:hint="eastAsia"/>
                <w:color w:val="auto"/>
                <w:sz w:val="24"/>
                <w:highlight w:val="none"/>
              </w:rPr>
              <w:t>2</w:t>
            </w:r>
            <w:r>
              <w:rPr>
                <w:color w:val="auto"/>
                <w:sz w:val="24"/>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7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电磁辐射</w:t>
            </w:r>
          </w:p>
        </w:tc>
        <w:tc>
          <w:tcPr>
            <w:tcW w:w="160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117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2160"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w:t>
            </w:r>
          </w:p>
        </w:tc>
        <w:tc>
          <w:tcPr>
            <w:tcW w:w="207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77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固体废物</w:t>
            </w:r>
          </w:p>
        </w:tc>
        <w:tc>
          <w:tcPr>
            <w:tcW w:w="7022" w:type="dxa"/>
            <w:gridSpan w:val="4"/>
            <w:vAlign w:val="center"/>
          </w:tcPr>
          <w:p>
            <w:pPr>
              <w:adjustRightInd w:val="0"/>
              <w:snapToGrid w:val="0"/>
              <w:spacing w:line="360" w:lineRule="auto"/>
              <w:ind w:firstLine="480" w:firstLineChars="200"/>
              <w:jc w:val="left"/>
              <w:rPr>
                <w:color w:val="auto"/>
                <w:sz w:val="24"/>
                <w:highlight w:val="none"/>
              </w:rPr>
            </w:pPr>
            <w:r>
              <w:rPr>
                <w:rFonts w:hint="eastAsia"/>
                <w:color w:val="auto"/>
                <w:sz w:val="24"/>
                <w:highlight w:val="none"/>
              </w:rPr>
              <w:t>项目在厂房内设置</w:t>
            </w:r>
            <w:r>
              <w:rPr>
                <w:rFonts w:hint="eastAsia" w:cs="宋体"/>
                <w:color w:val="auto"/>
                <w:kern w:val="0"/>
                <w:sz w:val="24"/>
                <w:highlight w:val="none"/>
              </w:rPr>
              <w:t>收集粉尘、废边角料及残次品、包装废料等</w:t>
            </w:r>
            <w:r>
              <w:rPr>
                <w:rFonts w:hint="eastAsia" w:hAnsi="宋体"/>
                <w:color w:val="auto"/>
                <w:sz w:val="24"/>
                <w:highlight w:val="none"/>
              </w:rPr>
              <w:t>定期外卖给相关单位综合利用</w:t>
            </w:r>
            <w:r>
              <w:rPr>
                <w:rFonts w:hAnsi="宋体"/>
                <w:color w:val="auto"/>
                <w:sz w:val="24"/>
                <w:highlight w:val="none"/>
              </w:rPr>
              <w:t>；</w:t>
            </w:r>
            <w:r>
              <w:rPr>
                <w:rFonts w:hint="eastAsia" w:hAnsi="宋体"/>
                <w:color w:val="auto"/>
                <w:sz w:val="24"/>
                <w:highlight w:val="none"/>
              </w:rPr>
              <w:t>危险废物按要求设置规范的危废暂存间，废抹布、废矿物油、废活性炭、漆渣、废UV灯管、废油漆桶、废粉末涂料包装箱、喷淋废水等收集后暂存于</w:t>
            </w:r>
            <w:r>
              <w:rPr>
                <w:rFonts w:hAnsi="宋体"/>
                <w:color w:val="auto"/>
                <w:sz w:val="24"/>
                <w:highlight w:val="none"/>
              </w:rPr>
              <w:t>危废暂存</w:t>
            </w:r>
            <w:r>
              <w:rPr>
                <w:rFonts w:hint="eastAsia" w:hAnsi="宋体"/>
                <w:color w:val="auto"/>
                <w:sz w:val="24"/>
                <w:highlight w:val="none"/>
              </w:rPr>
              <w:t>间</w:t>
            </w:r>
            <w:r>
              <w:rPr>
                <w:rFonts w:hAnsi="宋体"/>
                <w:color w:val="auto"/>
                <w:sz w:val="24"/>
                <w:highlight w:val="none"/>
              </w:rPr>
              <w:t>，</w:t>
            </w:r>
            <w:r>
              <w:rPr>
                <w:rFonts w:hint="eastAsia" w:hAnsi="宋体"/>
                <w:color w:val="auto"/>
                <w:sz w:val="24"/>
                <w:highlight w:val="none"/>
              </w:rPr>
              <w:t>委托</w:t>
            </w:r>
            <w:r>
              <w:rPr>
                <w:rFonts w:hAnsi="宋体"/>
                <w:color w:val="auto"/>
                <w:sz w:val="24"/>
                <w:highlight w:val="none"/>
              </w:rPr>
              <w:t>有资质单位处理</w:t>
            </w:r>
            <w:r>
              <w:rPr>
                <w:rFonts w:hint="eastAsia" w:hAnsi="宋体"/>
                <w:color w:val="auto"/>
                <w:sz w:val="24"/>
                <w:highlight w:val="none"/>
              </w:rPr>
              <w:t>；废灯带由原厂家回收处理；</w:t>
            </w:r>
            <w:r>
              <w:rPr>
                <w:rFonts w:hint="eastAsia" w:hAnsi="宋体"/>
                <w:color w:val="auto"/>
                <w:sz w:val="24"/>
                <w:highlight w:val="none"/>
                <w:lang w:eastAsia="zh-CN"/>
              </w:rPr>
              <w:t>焊接烟尘、</w:t>
            </w:r>
            <w:r>
              <w:rPr>
                <w:rFonts w:hAnsi="宋体"/>
                <w:color w:val="auto"/>
                <w:sz w:val="24"/>
                <w:highlight w:val="none"/>
              </w:rPr>
              <w:t>生活垃圾交由环卫部门统一清运处理。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7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土壤及地下水</w:t>
            </w:r>
          </w:p>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污染防治措施</w:t>
            </w:r>
          </w:p>
        </w:tc>
        <w:tc>
          <w:tcPr>
            <w:tcW w:w="7022" w:type="dxa"/>
            <w:gridSpan w:val="4"/>
            <w:vAlign w:val="center"/>
          </w:tcPr>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①根据规范要求分区防渗，采取防渗措施。</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②按照固体废物属性，根据《危险废物贮存污染控制标准》（GB18597-2023）的要求，在车间内危废暂存场所。</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③加强危险物品、危险废物及一般固废的管理，确保贮存和使用过程中无渗漏。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77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生态保护措施</w:t>
            </w:r>
          </w:p>
        </w:tc>
        <w:tc>
          <w:tcPr>
            <w:tcW w:w="7022" w:type="dxa"/>
            <w:gridSpan w:val="4"/>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78" w:type="dxa"/>
            <w:vAlign w:val="center"/>
          </w:tcPr>
          <w:p>
            <w:pPr>
              <w:adjustRightInd w:val="0"/>
              <w:snapToGrid w:val="0"/>
              <w:jc w:val="center"/>
              <w:rPr>
                <w:rFonts w:ascii="宋体" w:hAnsi="宋体" w:cs="宋体"/>
                <w:color w:val="auto"/>
                <w:spacing w:val="-8"/>
                <w:sz w:val="24"/>
                <w:highlight w:val="none"/>
              </w:rPr>
            </w:pPr>
            <w:r>
              <w:rPr>
                <w:rFonts w:hint="eastAsia" w:ascii="宋体" w:hAnsi="宋体" w:cs="宋体"/>
                <w:color w:val="auto"/>
                <w:spacing w:val="-8"/>
                <w:sz w:val="24"/>
                <w:highlight w:val="none"/>
              </w:rPr>
              <w:t>环境风险</w:t>
            </w:r>
          </w:p>
          <w:p>
            <w:pPr>
              <w:adjustRightInd w:val="0"/>
              <w:snapToGrid w:val="0"/>
              <w:jc w:val="center"/>
              <w:rPr>
                <w:rFonts w:ascii="宋体" w:hAnsi="宋体" w:cs="宋体"/>
                <w:color w:val="auto"/>
                <w:spacing w:val="-8"/>
                <w:sz w:val="24"/>
                <w:highlight w:val="none"/>
              </w:rPr>
            </w:pPr>
            <w:r>
              <w:rPr>
                <w:rFonts w:hint="eastAsia" w:ascii="宋体" w:hAnsi="宋体" w:cs="宋体"/>
                <w:color w:val="auto"/>
                <w:spacing w:val="-8"/>
                <w:sz w:val="24"/>
                <w:highlight w:val="none"/>
              </w:rPr>
              <w:t>防范措施</w:t>
            </w:r>
          </w:p>
        </w:tc>
        <w:tc>
          <w:tcPr>
            <w:tcW w:w="7022" w:type="dxa"/>
            <w:gridSpan w:val="4"/>
            <w:vAlign w:val="center"/>
          </w:tcPr>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（1）车间内配置一定数量灭火器等消防器材，设置火灾报警系统。</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（2）车间消防通道和建筑物耐火等级均按照消防规范要求进行建设，设置严禁烟火的标志。</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（3）建立企业管理制度和操作规程，工作人员必须严格执行具体工艺的操作规程及安全规程，并通过定期培训和宣传，掌握化学品泄漏的应急措施以及正确的处置方法。</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（4）涉及到液态原辅料储存的地面采用防滑防渗硬化处理，</w:t>
            </w:r>
            <w:r>
              <w:rPr>
                <w:rFonts w:hint="eastAsia"/>
                <w:color w:val="auto"/>
                <w:sz w:val="24"/>
                <w:highlight w:val="none"/>
              </w:rPr>
              <w:t>贮存区内的桶装物料设置集液托盘</w:t>
            </w:r>
            <w:r>
              <w:rPr>
                <w:rFonts w:hint="eastAsia" w:hAnsi="宋体"/>
                <w:color w:val="auto"/>
                <w:sz w:val="24"/>
                <w:highlight w:val="none"/>
              </w:rPr>
              <w:t>。</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（5）环保设施出现故障，应迅速停运故障的环保设施、停止生产，禁止污染物未经处理或处理未达标排放。待环保设施正常后方可恢复生产。</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（6）原辅料进出库房应设专人管理，严格检验物品质量、数量、包装情况、有无泄漏。</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7）定期组织员工开展风险应急培训，加强公司职工的教育培训，实行上岗证制度，增强职工风险意识，提高事故自救能力，制定和强化各种安全管理、安全生产的规程，减少人为风险事故（如误操作）的发生。</w:t>
            </w:r>
          </w:p>
          <w:p>
            <w:pPr>
              <w:adjustRightInd w:val="0"/>
              <w:snapToGrid w:val="0"/>
              <w:spacing w:line="360" w:lineRule="auto"/>
              <w:ind w:firstLine="480" w:firstLineChars="200"/>
              <w:rPr>
                <w:rFonts w:hAnsi="宋体"/>
                <w:color w:val="auto"/>
                <w:sz w:val="24"/>
                <w:highlight w:val="none"/>
              </w:rPr>
            </w:pPr>
            <w:r>
              <w:rPr>
                <w:rFonts w:hint="eastAsia" w:hAnsi="宋体"/>
                <w:color w:val="auto"/>
                <w:sz w:val="24"/>
                <w:highlight w:val="none"/>
              </w:rPr>
              <w:t>（8）设置规范的危废暂存间，按照《危险废物贮存污染控制标准》（GB18597-2023）的要求建设，严格做好防渗措施。做好危险废物的收集、管理、转移记录，建立台账；危险废物妥善收集，由具有危险废物处理资质的单位统一处置，贮存时间不得过长，贮存量不得超过规定要求，以防造成渗漏等二次污染；危废暂存间地面铺设环氧树脂地坪，设置防漏托盘。企业每周进行巡视检查，一旦发现包装破损泄漏等情况及时采用砂土、抹布等吸收材料及时收集，收集的物料外送有危险废物处置资质单位处理。</w:t>
            </w:r>
          </w:p>
          <w:p>
            <w:pPr>
              <w:adjustRightInd w:val="0"/>
              <w:snapToGrid w:val="0"/>
              <w:spacing w:line="360" w:lineRule="auto"/>
              <w:ind w:firstLine="480" w:firstLineChars="200"/>
              <w:rPr>
                <w:rFonts w:ascii="宋体" w:hAnsi="宋体" w:cs="宋体"/>
                <w:color w:val="auto"/>
                <w:sz w:val="24"/>
                <w:highlight w:val="none"/>
              </w:rPr>
            </w:pPr>
            <w:r>
              <w:rPr>
                <w:rFonts w:hint="eastAsia" w:hAnsi="宋体"/>
                <w:color w:val="auto"/>
                <w:sz w:val="24"/>
                <w:highlight w:val="none"/>
              </w:rPr>
              <w:t>（9）企业应根据《企业事业单位突发环境事件应急预案备案管理办法（试行）》和《湖南省突发环境事件应急预案管理办法》（湘环发[2013]20号）的相关要求编制应急预案，并报送邵阳市生态环境局备案。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rFonts w:ascii="宋体" w:hAnsi="宋体" w:cs="宋体"/>
                <w:color w:val="auto"/>
                <w:spacing w:val="-8"/>
                <w:sz w:val="24"/>
                <w:highlight w:val="none"/>
              </w:rPr>
            </w:pPr>
            <w:r>
              <w:rPr>
                <w:rFonts w:hint="eastAsia" w:ascii="宋体" w:hAnsi="宋体" w:cs="宋体"/>
                <w:color w:val="auto"/>
                <w:spacing w:val="-8"/>
                <w:sz w:val="24"/>
                <w:highlight w:val="none"/>
              </w:rPr>
              <w:t>其他环境</w:t>
            </w:r>
          </w:p>
          <w:p>
            <w:pPr>
              <w:adjustRightInd w:val="0"/>
              <w:snapToGrid w:val="0"/>
              <w:jc w:val="center"/>
              <w:rPr>
                <w:rFonts w:ascii="宋体" w:hAnsi="宋体" w:cs="宋体"/>
                <w:color w:val="auto"/>
                <w:spacing w:val="-8"/>
                <w:sz w:val="24"/>
                <w:highlight w:val="none"/>
              </w:rPr>
            </w:pPr>
            <w:r>
              <w:rPr>
                <w:rFonts w:hint="eastAsia" w:ascii="宋体" w:hAnsi="宋体" w:cs="宋体"/>
                <w:color w:val="auto"/>
                <w:spacing w:val="-8"/>
                <w:sz w:val="24"/>
                <w:highlight w:val="none"/>
              </w:rPr>
              <w:t>管理要求</w:t>
            </w:r>
          </w:p>
        </w:tc>
        <w:tc>
          <w:tcPr>
            <w:tcW w:w="7022" w:type="dxa"/>
            <w:gridSpan w:val="4"/>
            <w:vAlign w:val="center"/>
          </w:tcPr>
          <w:p>
            <w:pPr>
              <w:adjustRightInd w:val="0"/>
              <w:snapToGrid w:val="0"/>
              <w:spacing w:line="360" w:lineRule="auto"/>
              <w:rPr>
                <w:color w:val="auto"/>
                <w:sz w:val="24"/>
                <w:highlight w:val="none"/>
              </w:rPr>
            </w:pPr>
            <w:r>
              <w:rPr>
                <w:color w:val="auto"/>
                <w:sz w:val="24"/>
                <w:highlight w:val="none"/>
              </w:rPr>
              <w:t>1、环境影响评价制度与排污许可制衔接</w:t>
            </w:r>
            <w:r>
              <w:rPr>
                <w:rFonts w:hint="eastAsia"/>
                <w:color w:val="auto"/>
                <w:sz w:val="24"/>
                <w:highlight w:val="none"/>
              </w:rPr>
              <w:t>要求</w:t>
            </w:r>
          </w:p>
          <w:p>
            <w:pPr>
              <w:adjustRightInd w:val="0"/>
              <w:snapToGrid w:val="0"/>
              <w:spacing w:line="360" w:lineRule="auto"/>
              <w:ind w:firstLine="480" w:firstLineChars="200"/>
              <w:rPr>
                <w:color w:val="auto"/>
                <w:sz w:val="24"/>
                <w:highlight w:val="none"/>
              </w:rPr>
            </w:pPr>
            <w:r>
              <w:rPr>
                <w:color w:val="auto"/>
                <w:sz w:val="24"/>
                <w:highlight w:val="none"/>
              </w:rPr>
              <w:t>建设项目发生实际排污行为之前，排污单位应当按照国家环境保护相关法律法规以及排污许可证申请与核发技术规范要求申请排污许可证，不得无证排污或不按证排污。环境影响报告书（表）2015年1月l日（含）后获得批准的建设项目，其环境影响报告书（表）以及审批文件中与污染物排放相关的主要内容应当纳入排污许可证。建设项目无证排污或不按证排污的，建设单位不得出具该项目验收合格的意见，验收报告中与污染物排放相关的主要内容应当纳入该项目验收完成当年排污许可证执行年报。排污许可证执行报告、台账记录以及自行监测执行情况等应作为开展建设项目环境影响后评价的重要依据。</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  </w:t>
            </w:r>
            <w:r>
              <w:rPr>
                <w:color w:val="auto"/>
                <w:sz w:val="24"/>
                <w:highlight w:val="none"/>
              </w:rPr>
              <w:t>根据《固定污染源排污许可分类管理名录》，本项目属于</w:t>
            </w:r>
            <w:r>
              <w:rPr>
                <w:rFonts w:hint="eastAsia"/>
                <w:color w:val="auto"/>
                <w:sz w:val="24"/>
                <w:highlight w:val="none"/>
              </w:rPr>
              <w:t>“三十、金属制品业33-结构性金属制品制造331”，不涉及通用工序，做登记管理</w:t>
            </w:r>
            <w:r>
              <w:rPr>
                <w:color w:val="auto"/>
                <w:sz w:val="24"/>
                <w:highlight w:val="none"/>
              </w:rPr>
              <w:t>。</w:t>
            </w:r>
            <w:r>
              <w:rPr>
                <w:rFonts w:hint="eastAsia"/>
                <w:color w:val="auto"/>
                <w:sz w:val="24"/>
                <w:highlight w:val="none"/>
              </w:rPr>
              <w:t>（</w:t>
            </w:r>
          </w:p>
          <w:p>
            <w:pPr>
              <w:pStyle w:val="40"/>
              <w:spacing w:beforeLines="0" w:afterLines="0" w:line="360" w:lineRule="auto"/>
              <w:jc w:val="both"/>
              <w:rPr>
                <w:rFonts w:hAnsi="宋体" w:cs="宋体"/>
                <w:color w:val="auto"/>
                <w:sz w:val="24"/>
                <w:szCs w:val="24"/>
                <w:highlight w:val="none"/>
              </w:rPr>
            </w:pPr>
          </w:p>
        </w:tc>
      </w:tr>
    </w:tbl>
    <w:p>
      <w:pPr>
        <w:pStyle w:val="21"/>
        <w:jc w:val="center"/>
        <w:outlineLvl w:val="0"/>
        <w:rPr>
          <w:rFonts w:ascii="黑体" w:hAnsi="黑体" w:eastAsia="黑体"/>
          <w:snapToGrid w:val="0"/>
          <w:color w:val="auto"/>
          <w:sz w:val="30"/>
          <w:szCs w:val="30"/>
          <w:highlight w:val="none"/>
        </w:rPr>
      </w:pPr>
      <w:r>
        <w:rPr>
          <w:snapToGrid w:val="0"/>
          <w:color w:val="auto"/>
          <w:highlight w:val="none"/>
        </w:rPr>
        <w:br w:type="page"/>
      </w:r>
      <w:bookmarkStart w:id="16" w:name="_Toc8841"/>
      <w:r>
        <w:rPr>
          <w:rFonts w:hint="eastAsia" w:ascii="黑体" w:hAnsi="黑体" w:eastAsia="黑体"/>
          <w:snapToGrid w:val="0"/>
          <w:color w:val="auto"/>
          <w:sz w:val="30"/>
          <w:szCs w:val="30"/>
          <w:highlight w:val="none"/>
        </w:rPr>
        <w:t>六、结论</w:t>
      </w:r>
      <w:bookmarkEnd w:id="16"/>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jc w:val="left"/>
              <w:rPr>
                <w:rFonts w:hAnsi="宋体"/>
                <w:bCs/>
                <w:color w:val="auto"/>
                <w:sz w:val="24"/>
                <w:highlight w:val="none"/>
              </w:rPr>
            </w:pPr>
            <w:r>
              <w:rPr>
                <w:rFonts w:hint="eastAsia" w:hAnsi="宋体"/>
                <w:bCs/>
                <w:color w:val="auto"/>
                <w:sz w:val="24"/>
                <w:highlight w:val="none"/>
              </w:rPr>
              <w:t>项目</w:t>
            </w:r>
            <w:r>
              <w:rPr>
                <w:rFonts w:hAnsi="宋体"/>
                <w:bCs/>
                <w:color w:val="auto"/>
                <w:sz w:val="24"/>
                <w:highlight w:val="none"/>
              </w:rPr>
              <w:t>符合国家产业政策</w:t>
            </w:r>
            <w:r>
              <w:rPr>
                <w:rFonts w:hint="eastAsia" w:hAnsi="宋体"/>
                <w:bCs/>
                <w:color w:val="auto"/>
                <w:sz w:val="24"/>
                <w:highlight w:val="none"/>
              </w:rPr>
              <w:t>和相关规划，选址可行</w:t>
            </w:r>
            <w:r>
              <w:rPr>
                <w:rFonts w:hAnsi="宋体"/>
                <w:bCs/>
                <w:color w:val="auto"/>
                <w:sz w:val="24"/>
                <w:highlight w:val="none"/>
              </w:rPr>
              <w:t>，通过认真落实本报告提出的各项污染控制措施</w:t>
            </w:r>
            <w:r>
              <w:rPr>
                <w:rFonts w:hint="eastAsia" w:hAnsi="宋体"/>
                <w:bCs/>
                <w:color w:val="auto"/>
                <w:sz w:val="24"/>
                <w:highlight w:val="none"/>
              </w:rPr>
              <w:t>及环评提出的整改措施</w:t>
            </w:r>
            <w:r>
              <w:rPr>
                <w:rFonts w:hAnsi="宋体"/>
                <w:bCs/>
                <w:color w:val="auto"/>
                <w:sz w:val="24"/>
                <w:highlight w:val="none"/>
              </w:rPr>
              <w:t>后，</w:t>
            </w:r>
            <w:r>
              <w:rPr>
                <w:rFonts w:hint="eastAsia" w:hAnsi="宋体"/>
                <w:bCs/>
                <w:color w:val="auto"/>
                <w:sz w:val="24"/>
                <w:highlight w:val="none"/>
              </w:rPr>
              <w:t>根据上述工程分析，施工期和</w:t>
            </w:r>
            <w:r>
              <w:rPr>
                <w:rFonts w:hAnsi="宋体"/>
                <w:bCs/>
                <w:color w:val="auto"/>
                <w:sz w:val="24"/>
                <w:highlight w:val="none"/>
              </w:rPr>
              <w:t>营运期产生的各类污染</w:t>
            </w:r>
            <w:r>
              <w:rPr>
                <w:rFonts w:hint="eastAsia" w:hAnsi="宋体"/>
                <w:bCs/>
                <w:color w:val="auto"/>
                <w:sz w:val="24"/>
                <w:highlight w:val="none"/>
              </w:rPr>
              <w:t>物均可</w:t>
            </w:r>
            <w:r>
              <w:rPr>
                <w:rFonts w:hAnsi="宋体"/>
                <w:bCs/>
                <w:color w:val="auto"/>
                <w:sz w:val="24"/>
                <w:highlight w:val="none"/>
              </w:rPr>
              <w:t>实现达标排放，</w:t>
            </w:r>
            <w:r>
              <w:rPr>
                <w:rFonts w:hint="eastAsia" w:hAnsi="宋体"/>
                <w:bCs/>
                <w:color w:val="auto"/>
                <w:sz w:val="24"/>
                <w:highlight w:val="none"/>
              </w:rPr>
              <w:t>固废可得到有效控制，环境风险可控，不会改变区域环境功能区划，</w:t>
            </w:r>
            <w:r>
              <w:rPr>
                <w:rFonts w:hAnsi="宋体"/>
                <w:bCs/>
                <w:color w:val="auto"/>
                <w:sz w:val="24"/>
                <w:highlight w:val="none"/>
              </w:rPr>
              <w:t>对</w:t>
            </w:r>
            <w:r>
              <w:rPr>
                <w:rFonts w:hint="eastAsia" w:hAnsi="宋体"/>
                <w:bCs/>
                <w:color w:val="auto"/>
                <w:sz w:val="24"/>
                <w:highlight w:val="none"/>
              </w:rPr>
              <w:t>周边</w:t>
            </w:r>
            <w:r>
              <w:rPr>
                <w:rFonts w:hAnsi="宋体"/>
                <w:bCs/>
                <w:color w:val="auto"/>
                <w:sz w:val="24"/>
                <w:highlight w:val="none"/>
              </w:rPr>
              <w:t>环境不会造成明显影响</w:t>
            </w:r>
            <w:r>
              <w:rPr>
                <w:rFonts w:hint="eastAsia" w:hAnsi="宋体"/>
                <w:bCs/>
                <w:color w:val="auto"/>
                <w:sz w:val="24"/>
                <w:highlight w:val="none"/>
              </w:rPr>
              <w:t>；</w:t>
            </w:r>
            <w:r>
              <w:rPr>
                <w:rFonts w:hAnsi="宋体"/>
                <w:bCs/>
                <w:color w:val="auto"/>
                <w:sz w:val="24"/>
                <w:highlight w:val="none"/>
              </w:rPr>
              <w:t>从环境角度分析，项目建设可行</w:t>
            </w:r>
            <w:r>
              <w:rPr>
                <w:rFonts w:hint="eastAsia" w:hAnsi="宋体"/>
                <w:bCs/>
                <w:color w:val="auto"/>
                <w:sz w:val="24"/>
                <w:highlight w:val="none"/>
              </w:rPr>
              <w:t>。</w:t>
            </w: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ind w:firstLine="480" w:firstLineChars="200"/>
              <w:jc w:val="left"/>
              <w:rPr>
                <w:rFonts w:hAnsi="宋体"/>
                <w:bCs/>
                <w:color w:val="auto"/>
                <w:sz w:val="24"/>
                <w:highlight w:val="none"/>
              </w:rPr>
            </w:pPr>
          </w:p>
          <w:p>
            <w:pPr>
              <w:spacing w:line="360" w:lineRule="auto"/>
              <w:rPr>
                <w:rFonts w:ascii="宋体" w:cs="宋体"/>
                <w:color w:val="auto"/>
                <w:sz w:val="24"/>
                <w:highlight w:val="none"/>
              </w:rPr>
            </w:pPr>
          </w:p>
        </w:tc>
      </w:tr>
    </w:tbl>
    <w:p>
      <w:pPr>
        <w:rPr>
          <w:rFonts w:ascii="宋体"/>
          <w:color w:val="auto"/>
          <w:highlight w:val="none"/>
        </w:rPr>
        <w:sectPr>
          <w:pgSz w:w="11906" w:h="16838"/>
          <w:pgMar w:top="1701" w:right="1531" w:bottom="1701" w:left="1531" w:header="851" w:footer="851" w:gutter="0"/>
          <w:pgNumType w:fmt="numberInDash"/>
          <w:cols w:space="720" w:num="1"/>
          <w:docGrid w:linePitch="312" w:charSpace="0"/>
        </w:sectPr>
      </w:pPr>
    </w:p>
    <w:p>
      <w:pPr>
        <w:pStyle w:val="21"/>
        <w:adjustRightInd w:val="0"/>
        <w:snapToGrid w:val="0"/>
        <w:spacing w:before="0" w:beforeAutospacing="0" w:after="0" w:afterAutospacing="0"/>
        <w:outlineLvl w:val="0"/>
        <w:rPr>
          <w:rFonts w:ascii="黑体" w:hAnsi="黑体" w:eastAsia="黑体"/>
          <w:snapToGrid w:val="0"/>
          <w:color w:val="auto"/>
          <w:sz w:val="32"/>
          <w:szCs w:val="32"/>
          <w:highlight w:val="none"/>
        </w:rPr>
      </w:pPr>
      <w:bookmarkStart w:id="17" w:name="_Toc26113"/>
      <w:r>
        <w:rPr>
          <w:rFonts w:hint="eastAsia" w:ascii="黑体" w:hAnsi="黑体" w:eastAsia="黑体"/>
          <w:snapToGrid w:val="0"/>
          <w:color w:val="auto"/>
          <w:sz w:val="32"/>
          <w:szCs w:val="32"/>
          <w:highlight w:val="none"/>
        </w:rPr>
        <w:t>附表</w:t>
      </w:r>
      <w:bookmarkEnd w:id="17"/>
    </w:p>
    <w:p>
      <w:pPr>
        <w:pStyle w:val="21"/>
        <w:adjustRightInd w:val="0"/>
        <w:snapToGrid w:val="0"/>
        <w:spacing w:before="0" w:beforeAutospacing="0" w:after="0" w:afterAutospacing="0"/>
        <w:jc w:val="center"/>
        <w:outlineLvl w:val="0"/>
        <w:rPr>
          <w:rFonts w:ascii="方正小标宋_GBK" w:hAnsi="黑体" w:eastAsia="方正小标宋_GBK"/>
          <w:snapToGrid w:val="0"/>
          <w:color w:val="auto"/>
          <w:sz w:val="38"/>
          <w:szCs w:val="38"/>
          <w:highlight w:val="none"/>
        </w:rPr>
      </w:pPr>
      <w:bookmarkStart w:id="18" w:name="_Toc20275"/>
      <w:r>
        <w:rPr>
          <w:rFonts w:hint="eastAsia" w:ascii="方正小标宋_GBK" w:hAnsi="黑体" w:eastAsia="方正小标宋_GBK"/>
          <w:snapToGrid w:val="0"/>
          <w:color w:val="auto"/>
          <w:sz w:val="38"/>
          <w:szCs w:val="38"/>
          <w:highlight w:val="none"/>
        </w:rPr>
        <w:t>建设项目污染物排放量汇总表</w:t>
      </w:r>
      <w:bookmarkEnd w:id="18"/>
    </w:p>
    <w:tbl>
      <w:tblPr>
        <w:tblStyle w:val="2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76"/>
        <w:gridCol w:w="1542"/>
        <w:gridCol w:w="1276"/>
        <w:gridCol w:w="1701"/>
        <w:gridCol w:w="1559"/>
        <w:gridCol w:w="1314"/>
        <w:gridCol w:w="1740"/>
        <w:gridCol w:w="14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40"/>
              <w:spacing w:beforeLines="0" w:afterLines="0" w:line="240" w:lineRule="auto"/>
              <w:jc w:val="right"/>
              <w:rPr>
                <w:rFonts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项目</w:t>
            </w:r>
          </w:p>
          <w:p>
            <w:pPr>
              <w:pStyle w:val="40"/>
              <w:spacing w:beforeLines="0" w:afterLines="0" w:line="240" w:lineRule="auto"/>
              <w:jc w:val="left"/>
              <w:rPr>
                <w:rFonts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分类</w:t>
            </w:r>
          </w:p>
        </w:tc>
        <w:tc>
          <w:tcPr>
            <w:tcW w:w="1576" w:type="dxa"/>
            <w:tcMar>
              <w:left w:w="28" w:type="dxa"/>
              <w:right w:w="28" w:type="dxa"/>
            </w:tcMar>
            <w:vAlign w:val="center"/>
          </w:tcPr>
          <w:p>
            <w:pPr>
              <w:pStyle w:val="40"/>
              <w:spacing w:beforeLines="0" w:afterLines="0" w:line="240" w:lineRule="auto"/>
              <w:rPr>
                <w:rFonts w:ascii="黑体" w:hAnsi="黑体" w:eastAsia="黑体" w:cs="宋体"/>
                <w:snapToGrid w:val="0"/>
                <w:color w:val="auto"/>
                <w:spacing w:val="-6"/>
                <w:kern w:val="21"/>
                <w:szCs w:val="21"/>
                <w:highlight w:val="none"/>
              </w:rPr>
            </w:pPr>
            <w:r>
              <w:rPr>
                <w:rFonts w:hint="eastAsia" w:ascii="黑体" w:hAnsi="黑体" w:eastAsia="黑体" w:cs="宋体"/>
                <w:snapToGrid w:val="0"/>
                <w:color w:val="auto"/>
                <w:spacing w:val="-6"/>
                <w:kern w:val="21"/>
                <w:szCs w:val="21"/>
                <w:highlight w:val="none"/>
              </w:rPr>
              <w:t>污染物名称</w:t>
            </w:r>
          </w:p>
        </w:tc>
        <w:tc>
          <w:tcPr>
            <w:tcW w:w="1542" w:type="dxa"/>
            <w:tcMar>
              <w:left w:w="28" w:type="dxa"/>
              <w:right w:w="28" w:type="dxa"/>
            </w:tcMar>
            <w:vAlign w:val="center"/>
          </w:tcPr>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现有工程</w:t>
            </w:r>
          </w:p>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排放量（固</w:t>
            </w:r>
            <w:r>
              <w:rPr>
                <w:rFonts w:hint="eastAsia" w:ascii="黑体" w:hAnsi="黑体" w:eastAsia="黑体"/>
                <w:snapToGrid w:val="0"/>
                <w:color w:val="auto"/>
                <w:spacing w:val="-6"/>
                <w:kern w:val="21"/>
                <w:szCs w:val="21"/>
                <w:highlight w:val="none"/>
              </w:rPr>
              <w:t>体</w:t>
            </w:r>
            <w:r>
              <w:rPr>
                <w:rFonts w:ascii="黑体" w:hAnsi="黑体" w:eastAsia="黑体"/>
                <w:snapToGrid w:val="0"/>
                <w:color w:val="auto"/>
                <w:spacing w:val="-6"/>
                <w:kern w:val="21"/>
                <w:szCs w:val="21"/>
                <w:highlight w:val="none"/>
              </w:rPr>
              <w:t>废</w:t>
            </w:r>
            <w:r>
              <w:rPr>
                <w:rFonts w:hint="eastAsia" w:ascii="黑体" w:hAnsi="黑体" w:eastAsia="黑体"/>
                <w:snapToGrid w:val="0"/>
                <w:color w:val="auto"/>
                <w:spacing w:val="-6"/>
                <w:kern w:val="21"/>
                <w:szCs w:val="21"/>
                <w:highlight w:val="none"/>
              </w:rPr>
              <w:t>物</w:t>
            </w:r>
            <w:r>
              <w:rPr>
                <w:rFonts w:ascii="黑体" w:hAnsi="黑体" w:eastAsia="黑体"/>
                <w:snapToGrid w:val="0"/>
                <w:color w:val="auto"/>
                <w:spacing w:val="-6"/>
                <w:kern w:val="21"/>
                <w:szCs w:val="21"/>
                <w:highlight w:val="none"/>
              </w:rPr>
              <w:t>产生量）</w:t>
            </w: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1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szCs w:val="21"/>
                <w:highlight w:val="none"/>
              </w:rPr>
              <w:t>①</w:t>
            </w:r>
            <w:r>
              <w:rPr>
                <w:rFonts w:ascii="黑体" w:hAnsi="黑体" w:eastAsia="黑体"/>
                <w:snapToGrid w:val="0"/>
                <w:color w:val="auto"/>
                <w:spacing w:val="-6"/>
                <w:kern w:val="21"/>
                <w:szCs w:val="21"/>
                <w:highlight w:val="none"/>
              </w:rPr>
              <w:fldChar w:fldCharType="end"/>
            </w:r>
          </w:p>
        </w:tc>
        <w:tc>
          <w:tcPr>
            <w:tcW w:w="1276" w:type="dxa"/>
            <w:tcMar>
              <w:left w:w="28" w:type="dxa"/>
              <w:right w:w="28" w:type="dxa"/>
            </w:tcMar>
            <w:vAlign w:val="center"/>
          </w:tcPr>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现有工程</w:t>
            </w:r>
          </w:p>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许可排放量</w:t>
            </w:r>
          </w:p>
          <w:p>
            <w:pPr>
              <w:pStyle w:val="40"/>
              <w:spacing w:beforeLines="0" w:afterLines="0"/>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2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snapToGrid w:val="0"/>
                <w:color w:val="auto"/>
                <w:spacing w:val="-6"/>
                <w:kern w:val="21"/>
                <w:szCs w:val="21"/>
                <w:highlight w:val="none"/>
              </w:rPr>
              <w:t>②</w:t>
            </w:r>
            <w:r>
              <w:rPr>
                <w:rFonts w:ascii="黑体" w:hAnsi="黑体" w:eastAsia="黑体"/>
                <w:snapToGrid w:val="0"/>
                <w:color w:val="auto"/>
                <w:spacing w:val="-6"/>
                <w:kern w:val="21"/>
                <w:szCs w:val="21"/>
                <w:highlight w:val="none"/>
              </w:rPr>
              <w:fldChar w:fldCharType="end"/>
            </w:r>
          </w:p>
        </w:tc>
        <w:tc>
          <w:tcPr>
            <w:tcW w:w="1701" w:type="dxa"/>
            <w:tcMar>
              <w:left w:w="28" w:type="dxa"/>
              <w:right w:w="28" w:type="dxa"/>
            </w:tcMar>
            <w:vAlign w:val="center"/>
          </w:tcPr>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在建工程</w:t>
            </w:r>
          </w:p>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排放量（固</w:t>
            </w:r>
            <w:r>
              <w:rPr>
                <w:rFonts w:hint="eastAsia" w:ascii="黑体" w:hAnsi="黑体" w:eastAsia="黑体"/>
                <w:snapToGrid w:val="0"/>
                <w:color w:val="auto"/>
                <w:spacing w:val="-6"/>
                <w:kern w:val="21"/>
                <w:szCs w:val="21"/>
                <w:highlight w:val="none"/>
              </w:rPr>
              <w:t>体</w:t>
            </w:r>
            <w:r>
              <w:rPr>
                <w:rFonts w:ascii="黑体" w:hAnsi="黑体" w:eastAsia="黑体"/>
                <w:snapToGrid w:val="0"/>
                <w:color w:val="auto"/>
                <w:spacing w:val="-6"/>
                <w:kern w:val="21"/>
                <w:szCs w:val="21"/>
                <w:highlight w:val="none"/>
              </w:rPr>
              <w:t>废</w:t>
            </w:r>
            <w:r>
              <w:rPr>
                <w:rFonts w:hint="eastAsia" w:ascii="黑体" w:hAnsi="黑体" w:eastAsia="黑体"/>
                <w:snapToGrid w:val="0"/>
                <w:color w:val="auto"/>
                <w:spacing w:val="-6"/>
                <w:kern w:val="21"/>
                <w:szCs w:val="21"/>
                <w:highlight w:val="none"/>
              </w:rPr>
              <w:t>物</w:t>
            </w:r>
            <w:r>
              <w:rPr>
                <w:rFonts w:ascii="黑体" w:hAnsi="黑体" w:eastAsia="黑体"/>
                <w:snapToGrid w:val="0"/>
                <w:color w:val="auto"/>
                <w:spacing w:val="-6"/>
                <w:kern w:val="21"/>
                <w:szCs w:val="21"/>
                <w:highlight w:val="none"/>
              </w:rPr>
              <w:t>产生量）</w:t>
            </w: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3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szCs w:val="21"/>
                <w:highlight w:val="none"/>
              </w:rPr>
              <w:t>③</w:t>
            </w:r>
            <w:r>
              <w:rPr>
                <w:rFonts w:ascii="黑体" w:hAnsi="黑体" w:eastAsia="黑体"/>
                <w:snapToGrid w:val="0"/>
                <w:color w:val="auto"/>
                <w:spacing w:val="-6"/>
                <w:kern w:val="21"/>
                <w:szCs w:val="21"/>
                <w:highlight w:val="none"/>
              </w:rPr>
              <w:fldChar w:fldCharType="end"/>
            </w:r>
          </w:p>
        </w:tc>
        <w:tc>
          <w:tcPr>
            <w:tcW w:w="1559" w:type="dxa"/>
            <w:tcMar>
              <w:left w:w="28" w:type="dxa"/>
              <w:right w:w="28" w:type="dxa"/>
            </w:tcMar>
            <w:vAlign w:val="center"/>
          </w:tcPr>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本项目</w:t>
            </w:r>
          </w:p>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排放量（固</w:t>
            </w:r>
            <w:r>
              <w:rPr>
                <w:rFonts w:hint="eastAsia" w:ascii="黑体" w:hAnsi="黑体" w:eastAsia="黑体"/>
                <w:snapToGrid w:val="0"/>
                <w:color w:val="auto"/>
                <w:spacing w:val="-6"/>
                <w:kern w:val="21"/>
                <w:szCs w:val="21"/>
                <w:highlight w:val="none"/>
              </w:rPr>
              <w:t>体</w:t>
            </w:r>
            <w:r>
              <w:rPr>
                <w:rFonts w:ascii="黑体" w:hAnsi="黑体" w:eastAsia="黑体"/>
                <w:snapToGrid w:val="0"/>
                <w:color w:val="auto"/>
                <w:spacing w:val="-6"/>
                <w:kern w:val="21"/>
                <w:szCs w:val="21"/>
                <w:highlight w:val="none"/>
              </w:rPr>
              <w:t>废</w:t>
            </w:r>
            <w:r>
              <w:rPr>
                <w:rFonts w:hint="eastAsia" w:ascii="黑体" w:hAnsi="黑体" w:eastAsia="黑体"/>
                <w:snapToGrid w:val="0"/>
                <w:color w:val="auto"/>
                <w:spacing w:val="-6"/>
                <w:kern w:val="21"/>
                <w:szCs w:val="21"/>
                <w:highlight w:val="none"/>
              </w:rPr>
              <w:t>物</w:t>
            </w:r>
            <w:r>
              <w:rPr>
                <w:rFonts w:ascii="黑体" w:hAnsi="黑体" w:eastAsia="黑体"/>
                <w:snapToGrid w:val="0"/>
                <w:color w:val="auto"/>
                <w:spacing w:val="-6"/>
                <w:kern w:val="21"/>
                <w:szCs w:val="21"/>
                <w:highlight w:val="none"/>
              </w:rPr>
              <w:t>产生量）</w:t>
            </w: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4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szCs w:val="21"/>
                <w:highlight w:val="none"/>
              </w:rPr>
              <w:t>④</w:t>
            </w:r>
            <w:r>
              <w:rPr>
                <w:rFonts w:ascii="黑体" w:hAnsi="黑体" w:eastAsia="黑体"/>
                <w:snapToGrid w:val="0"/>
                <w:color w:val="auto"/>
                <w:spacing w:val="-6"/>
                <w:kern w:val="21"/>
                <w:szCs w:val="21"/>
                <w:highlight w:val="none"/>
              </w:rPr>
              <w:fldChar w:fldCharType="end"/>
            </w:r>
          </w:p>
        </w:tc>
        <w:tc>
          <w:tcPr>
            <w:tcW w:w="1314" w:type="dxa"/>
            <w:tcMar>
              <w:left w:w="28" w:type="dxa"/>
              <w:right w:w="28" w:type="dxa"/>
            </w:tcMar>
            <w:vAlign w:val="center"/>
          </w:tcPr>
          <w:p>
            <w:pPr>
              <w:pStyle w:val="40"/>
              <w:spacing w:beforeLines="0" w:afterLines="0" w:line="240" w:lineRule="auto"/>
              <w:rPr>
                <w:rFonts w:ascii="黑体" w:hAnsi="黑体" w:eastAsia="黑体"/>
                <w:snapToGrid w:val="0"/>
                <w:color w:val="auto"/>
                <w:spacing w:val="-16"/>
                <w:kern w:val="21"/>
                <w:szCs w:val="21"/>
                <w:highlight w:val="none"/>
              </w:rPr>
            </w:pPr>
            <w:r>
              <w:rPr>
                <w:rFonts w:ascii="黑体" w:hAnsi="黑体" w:eastAsia="黑体"/>
                <w:snapToGrid w:val="0"/>
                <w:color w:val="auto"/>
                <w:spacing w:val="-16"/>
                <w:kern w:val="21"/>
                <w:szCs w:val="21"/>
                <w:highlight w:val="none"/>
              </w:rPr>
              <w:t>以新带老削减量</w:t>
            </w:r>
          </w:p>
          <w:p>
            <w:pPr>
              <w:pStyle w:val="40"/>
              <w:spacing w:beforeLines="0" w:afterLines="0" w:line="240" w:lineRule="auto"/>
              <w:rPr>
                <w:rFonts w:ascii="黑体" w:hAnsi="黑体" w:eastAsia="黑体"/>
                <w:snapToGrid w:val="0"/>
                <w:color w:val="auto"/>
                <w:spacing w:val="-16"/>
                <w:kern w:val="21"/>
                <w:szCs w:val="21"/>
                <w:highlight w:val="none"/>
              </w:rPr>
            </w:pPr>
            <w:r>
              <w:rPr>
                <w:rFonts w:ascii="黑体" w:hAnsi="黑体" w:eastAsia="黑体"/>
                <w:snapToGrid w:val="0"/>
                <w:color w:val="auto"/>
                <w:spacing w:val="-16"/>
                <w:kern w:val="21"/>
                <w:szCs w:val="21"/>
                <w:highlight w:val="none"/>
              </w:rPr>
              <w:t>（新建项目不填）</w:t>
            </w:r>
            <w:r>
              <w:rPr>
                <w:rFonts w:ascii="黑体" w:hAnsi="黑体" w:eastAsia="黑体"/>
                <w:snapToGrid w:val="0"/>
                <w:color w:val="auto"/>
                <w:spacing w:val="-16"/>
                <w:kern w:val="21"/>
                <w:szCs w:val="21"/>
                <w:highlight w:val="none"/>
              </w:rPr>
              <w:fldChar w:fldCharType="begin"/>
            </w:r>
            <w:r>
              <w:rPr>
                <w:rFonts w:ascii="黑体" w:hAnsi="黑体" w:eastAsia="黑体"/>
                <w:snapToGrid w:val="0"/>
                <w:color w:val="auto"/>
                <w:spacing w:val="-16"/>
                <w:kern w:val="21"/>
                <w:szCs w:val="21"/>
                <w:highlight w:val="none"/>
              </w:rPr>
              <w:instrText xml:space="preserve"> = 5 \* GB3 \* MERGEFORMAT </w:instrText>
            </w:r>
            <w:r>
              <w:rPr>
                <w:rFonts w:ascii="黑体" w:hAnsi="黑体" w:eastAsia="黑体"/>
                <w:snapToGrid w:val="0"/>
                <w:color w:val="auto"/>
                <w:spacing w:val="-16"/>
                <w:kern w:val="21"/>
                <w:szCs w:val="21"/>
                <w:highlight w:val="none"/>
              </w:rPr>
              <w:fldChar w:fldCharType="separate"/>
            </w:r>
            <w:r>
              <w:rPr>
                <w:rFonts w:hint="eastAsia" w:ascii="黑体" w:hAnsi="黑体" w:eastAsia="黑体" w:cs="宋体"/>
                <w:color w:val="auto"/>
                <w:szCs w:val="21"/>
                <w:highlight w:val="none"/>
              </w:rPr>
              <w:t>⑤</w:t>
            </w:r>
            <w:r>
              <w:rPr>
                <w:rFonts w:ascii="黑体" w:hAnsi="黑体" w:eastAsia="黑体"/>
                <w:snapToGrid w:val="0"/>
                <w:color w:val="auto"/>
                <w:spacing w:val="-16"/>
                <w:kern w:val="21"/>
                <w:szCs w:val="21"/>
                <w:highlight w:val="none"/>
              </w:rPr>
              <w:fldChar w:fldCharType="end"/>
            </w:r>
          </w:p>
        </w:tc>
        <w:tc>
          <w:tcPr>
            <w:tcW w:w="1740" w:type="dxa"/>
            <w:tcMar>
              <w:left w:w="28" w:type="dxa"/>
              <w:right w:w="28" w:type="dxa"/>
            </w:tcMar>
            <w:vAlign w:val="center"/>
          </w:tcPr>
          <w:p>
            <w:pPr>
              <w:pStyle w:val="40"/>
              <w:spacing w:beforeLines="0" w:afterLines="0" w:line="240" w:lineRule="auto"/>
              <w:rPr>
                <w:rFonts w:ascii="黑体" w:hAnsi="黑体" w:eastAsia="黑体"/>
                <w:snapToGrid w:val="0"/>
                <w:color w:val="auto"/>
                <w:spacing w:val="-16"/>
                <w:kern w:val="21"/>
                <w:szCs w:val="21"/>
                <w:highlight w:val="none"/>
              </w:rPr>
            </w:pPr>
            <w:r>
              <w:rPr>
                <w:rFonts w:ascii="黑体" w:hAnsi="黑体" w:eastAsia="黑体"/>
                <w:snapToGrid w:val="0"/>
                <w:color w:val="auto"/>
                <w:spacing w:val="-16"/>
                <w:kern w:val="21"/>
                <w:szCs w:val="21"/>
                <w:highlight w:val="none"/>
              </w:rPr>
              <w:t>本项目建成后</w:t>
            </w:r>
          </w:p>
          <w:p>
            <w:pPr>
              <w:pStyle w:val="40"/>
              <w:spacing w:beforeLines="0" w:afterLines="0" w:line="240" w:lineRule="auto"/>
              <w:rPr>
                <w:rFonts w:ascii="黑体" w:hAnsi="黑体" w:eastAsia="黑体"/>
                <w:snapToGrid w:val="0"/>
                <w:color w:val="auto"/>
                <w:spacing w:val="-16"/>
                <w:kern w:val="21"/>
                <w:szCs w:val="21"/>
                <w:highlight w:val="none"/>
              </w:rPr>
            </w:pPr>
            <w:r>
              <w:rPr>
                <w:rFonts w:hint="eastAsia" w:ascii="黑体" w:hAnsi="黑体" w:eastAsia="黑体"/>
                <w:snapToGrid w:val="0"/>
                <w:color w:val="auto"/>
                <w:spacing w:val="-16"/>
                <w:kern w:val="21"/>
                <w:szCs w:val="21"/>
                <w:highlight w:val="none"/>
              </w:rPr>
              <w:t>全厂</w:t>
            </w:r>
            <w:r>
              <w:rPr>
                <w:rFonts w:ascii="黑体" w:hAnsi="黑体" w:eastAsia="黑体"/>
                <w:snapToGrid w:val="0"/>
                <w:color w:val="auto"/>
                <w:spacing w:val="-16"/>
                <w:kern w:val="21"/>
                <w:szCs w:val="21"/>
                <w:highlight w:val="none"/>
              </w:rPr>
              <w:t>排放量（固</w:t>
            </w:r>
            <w:r>
              <w:rPr>
                <w:rFonts w:hint="eastAsia" w:ascii="黑体" w:hAnsi="黑体" w:eastAsia="黑体"/>
                <w:snapToGrid w:val="0"/>
                <w:color w:val="auto"/>
                <w:spacing w:val="-16"/>
                <w:kern w:val="21"/>
                <w:szCs w:val="21"/>
                <w:highlight w:val="none"/>
              </w:rPr>
              <w:t>体</w:t>
            </w:r>
            <w:r>
              <w:rPr>
                <w:rFonts w:ascii="黑体" w:hAnsi="黑体" w:eastAsia="黑体"/>
                <w:snapToGrid w:val="0"/>
                <w:color w:val="auto"/>
                <w:spacing w:val="-16"/>
                <w:kern w:val="21"/>
                <w:szCs w:val="21"/>
                <w:highlight w:val="none"/>
              </w:rPr>
              <w:t>废</w:t>
            </w:r>
            <w:r>
              <w:rPr>
                <w:rFonts w:hint="eastAsia" w:ascii="黑体" w:hAnsi="黑体" w:eastAsia="黑体"/>
                <w:snapToGrid w:val="0"/>
                <w:color w:val="auto"/>
                <w:spacing w:val="-16"/>
                <w:kern w:val="21"/>
                <w:szCs w:val="21"/>
                <w:highlight w:val="none"/>
              </w:rPr>
              <w:t>物</w:t>
            </w:r>
            <w:r>
              <w:rPr>
                <w:rFonts w:ascii="黑体" w:hAnsi="黑体" w:eastAsia="黑体"/>
                <w:snapToGrid w:val="0"/>
                <w:color w:val="auto"/>
                <w:spacing w:val="-16"/>
                <w:kern w:val="21"/>
                <w:szCs w:val="21"/>
                <w:highlight w:val="none"/>
              </w:rPr>
              <w:t>产生量）</w:t>
            </w:r>
            <w:r>
              <w:rPr>
                <w:rFonts w:ascii="黑体" w:hAnsi="黑体" w:eastAsia="黑体"/>
                <w:snapToGrid w:val="0"/>
                <w:color w:val="auto"/>
                <w:spacing w:val="-16"/>
                <w:kern w:val="21"/>
                <w:szCs w:val="21"/>
                <w:highlight w:val="none"/>
              </w:rPr>
              <w:fldChar w:fldCharType="begin"/>
            </w:r>
            <w:r>
              <w:rPr>
                <w:rFonts w:ascii="黑体" w:hAnsi="黑体" w:eastAsia="黑体"/>
                <w:snapToGrid w:val="0"/>
                <w:color w:val="auto"/>
                <w:spacing w:val="-16"/>
                <w:kern w:val="21"/>
                <w:szCs w:val="21"/>
                <w:highlight w:val="none"/>
              </w:rPr>
              <w:instrText xml:space="preserve"> = 6 \* GB3 \* MERGEFORMAT </w:instrText>
            </w:r>
            <w:r>
              <w:rPr>
                <w:rFonts w:ascii="黑体" w:hAnsi="黑体" w:eastAsia="黑体"/>
                <w:snapToGrid w:val="0"/>
                <w:color w:val="auto"/>
                <w:spacing w:val="-16"/>
                <w:kern w:val="21"/>
                <w:szCs w:val="21"/>
                <w:highlight w:val="none"/>
              </w:rPr>
              <w:fldChar w:fldCharType="separate"/>
            </w:r>
            <w:r>
              <w:rPr>
                <w:rFonts w:hint="eastAsia" w:ascii="黑体" w:hAnsi="黑体" w:eastAsia="黑体" w:cs="宋体"/>
                <w:color w:val="auto"/>
                <w:szCs w:val="21"/>
                <w:highlight w:val="none"/>
              </w:rPr>
              <w:t>⑥</w:t>
            </w:r>
            <w:r>
              <w:rPr>
                <w:rFonts w:ascii="黑体" w:hAnsi="黑体" w:eastAsia="黑体"/>
                <w:snapToGrid w:val="0"/>
                <w:color w:val="auto"/>
                <w:spacing w:val="-16"/>
                <w:kern w:val="21"/>
                <w:szCs w:val="21"/>
                <w:highlight w:val="none"/>
              </w:rPr>
              <w:fldChar w:fldCharType="end"/>
            </w:r>
          </w:p>
        </w:tc>
        <w:tc>
          <w:tcPr>
            <w:tcW w:w="1492" w:type="dxa"/>
            <w:tcMar>
              <w:left w:w="28" w:type="dxa"/>
              <w:right w:w="28" w:type="dxa"/>
            </w:tcMar>
            <w:vAlign w:val="center"/>
          </w:tcPr>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t>变化量</w:t>
            </w:r>
          </w:p>
          <w:p>
            <w:pPr>
              <w:pStyle w:val="40"/>
              <w:spacing w:beforeLines="0" w:afterLines="0" w:line="240" w:lineRule="auto"/>
              <w:rPr>
                <w:rFonts w:ascii="黑体" w:hAnsi="黑体" w:eastAsia="黑体"/>
                <w:snapToGrid w:val="0"/>
                <w:color w:val="auto"/>
                <w:spacing w:val="-6"/>
                <w:kern w:val="21"/>
                <w:szCs w:val="21"/>
                <w:highlight w:val="none"/>
              </w:rPr>
            </w:pPr>
            <w:r>
              <w:rPr>
                <w:rFonts w:ascii="黑体" w:hAnsi="黑体" w:eastAsia="黑体"/>
                <w:snapToGrid w:val="0"/>
                <w:color w:val="auto"/>
                <w:spacing w:val="-6"/>
                <w:kern w:val="21"/>
                <w:szCs w:val="21"/>
                <w:highlight w:val="none"/>
              </w:rPr>
              <w:fldChar w:fldCharType="begin"/>
            </w:r>
            <w:r>
              <w:rPr>
                <w:rFonts w:ascii="黑体" w:hAnsi="黑体" w:eastAsia="黑体"/>
                <w:snapToGrid w:val="0"/>
                <w:color w:val="auto"/>
                <w:spacing w:val="-6"/>
                <w:kern w:val="21"/>
                <w:szCs w:val="21"/>
                <w:highlight w:val="none"/>
              </w:rPr>
              <w:instrText xml:space="preserve"> = 7 \* GB3 \* MERGEFORMAT </w:instrText>
            </w:r>
            <w:r>
              <w:rPr>
                <w:rFonts w:ascii="黑体" w:hAnsi="黑体" w:eastAsia="黑体"/>
                <w:snapToGrid w:val="0"/>
                <w:color w:val="auto"/>
                <w:spacing w:val="-6"/>
                <w:kern w:val="21"/>
                <w:szCs w:val="21"/>
                <w:highlight w:val="none"/>
              </w:rPr>
              <w:fldChar w:fldCharType="separate"/>
            </w:r>
            <w:r>
              <w:rPr>
                <w:rFonts w:hint="eastAsia" w:ascii="黑体" w:hAnsi="黑体" w:eastAsia="黑体" w:cs="宋体"/>
                <w:color w:val="auto"/>
                <w:szCs w:val="21"/>
                <w:highlight w:val="none"/>
              </w:rPr>
              <w:t>⑦</w:t>
            </w:r>
            <w:r>
              <w:rPr>
                <w:rFonts w:ascii="黑体" w:hAnsi="黑体" w:eastAsia="黑体"/>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restart"/>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废气</w:t>
            </w:r>
          </w:p>
        </w:tc>
        <w:tc>
          <w:tcPr>
            <w:tcW w:w="1576" w:type="dxa"/>
            <w:vAlign w:val="center"/>
          </w:tcPr>
          <w:p>
            <w:pPr>
              <w:pStyle w:val="62"/>
              <w:snapToGrid w:val="0"/>
              <w:jc w:val="center"/>
              <w:rPr>
                <w:rFonts w:eastAsia="宋体"/>
                <w:color w:val="auto"/>
                <w:kern w:val="0"/>
                <w:highlight w:val="none"/>
              </w:rPr>
            </w:pPr>
            <w:r>
              <w:rPr>
                <w:rFonts w:hint="eastAsia" w:eastAsia="宋体"/>
                <w:color w:val="auto"/>
                <w:kern w:val="0"/>
                <w:highlight w:val="none"/>
              </w:rPr>
              <w:t>VOCs</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autoSpaceDE w:val="0"/>
              <w:autoSpaceDN w:val="0"/>
              <w:jc w:val="center"/>
              <w:rPr>
                <w:color w:val="auto"/>
                <w:kern w:val="0"/>
                <w:szCs w:val="21"/>
                <w:highlight w:val="none"/>
              </w:rPr>
            </w:pPr>
            <w:r>
              <w:rPr>
                <w:rFonts w:hint="eastAsia"/>
                <w:color w:val="auto"/>
                <w:kern w:val="0"/>
                <w:szCs w:val="21"/>
                <w:highlight w:val="none"/>
                <w:lang w:eastAsia="zh-CN"/>
              </w:rPr>
              <w:t>0.20267</w:t>
            </w:r>
            <w:r>
              <w:rPr>
                <w:rFonts w:hint="eastAsia"/>
                <w:color w:val="auto"/>
                <w:szCs w:val="21"/>
                <w:highlight w:val="none"/>
              </w:rPr>
              <w:t>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autoSpaceDE w:val="0"/>
              <w:autoSpaceDN w:val="0"/>
              <w:jc w:val="center"/>
              <w:rPr>
                <w:rFonts w:eastAsiaTheme="minorEastAsia"/>
                <w:snapToGrid w:val="0"/>
                <w:color w:val="auto"/>
                <w:kern w:val="21"/>
                <w:szCs w:val="21"/>
                <w:highlight w:val="none"/>
              </w:rPr>
            </w:pPr>
            <w:r>
              <w:rPr>
                <w:rFonts w:hint="eastAsia"/>
                <w:color w:val="auto"/>
                <w:kern w:val="0"/>
                <w:szCs w:val="21"/>
                <w:highlight w:val="none"/>
                <w:lang w:eastAsia="zh-CN"/>
              </w:rPr>
              <w:t>0.20267</w:t>
            </w:r>
            <w:r>
              <w:rPr>
                <w:rFonts w:hint="eastAsia"/>
                <w:color w:val="auto"/>
                <w:szCs w:val="21"/>
                <w:highlight w:val="none"/>
              </w:rPr>
              <w:t>t/a</w:t>
            </w:r>
          </w:p>
        </w:tc>
        <w:tc>
          <w:tcPr>
            <w:tcW w:w="1492" w:type="dxa"/>
            <w:vAlign w:val="center"/>
          </w:tcPr>
          <w:p>
            <w:pPr>
              <w:autoSpaceDE w:val="0"/>
              <w:autoSpaceDN w:val="0"/>
              <w:jc w:val="center"/>
              <w:rPr>
                <w:rFonts w:hAnsi="宋体" w:cs="宋体"/>
                <w:snapToGrid w:val="0"/>
                <w:color w:val="auto"/>
                <w:kern w:val="2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pStyle w:val="62"/>
              <w:snapToGrid w:val="0"/>
              <w:jc w:val="center"/>
              <w:rPr>
                <w:rFonts w:eastAsia="宋体"/>
                <w:color w:val="auto"/>
                <w:kern w:val="0"/>
                <w:highlight w:val="none"/>
              </w:rPr>
            </w:pPr>
            <w:r>
              <w:rPr>
                <w:rFonts w:hint="eastAsia" w:eastAsia="宋体"/>
                <w:color w:val="auto"/>
                <w:kern w:val="0"/>
                <w:highlight w:val="none"/>
              </w:rPr>
              <w:t>颗粒物</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pStyle w:val="85"/>
              <w:rPr>
                <w:rFonts w:ascii="Times New Roman" w:hAnsi="Times New Roman" w:cs="Times New Roman"/>
                <w:snapToGrid w:val="0"/>
                <w:color w:val="auto"/>
                <w:kern w:val="21"/>
                <w:highlight w:val="none"/>
              </w:rPr>
            </w:pPr>
            <w:r>
              <w:rPr>
                <w:rFonts w:hint="eastAsia" w:ascii="Times New Roman" w:hAnsi="Times New Roman"/>
                <w:color w:val="auto"/>
                <w:highlight w:val="none"/>
                <w:lang w:eastAsia="zh-CN"/>
              </w:rPr>
              <w:t>0.25336</w:t>
            </w:r>
            <w:r>
              <w:rPr>
                <w:rFonts w:hint="eastAsia" w:ascii="Times New Roman" w:hAnsi="Times New Roman"/>
                <w:color w:val="auto"/>
                <w:highlight w:val="none"/>
              </w:rPr>
              <w:t>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pStyle w:val="85"/>
              <w:rPr>
                <w:rFonts w:ascii="Times New Roman" w:hAnsi="Times New Roman" w:cs="Times New Roman"/>
                <w:snapToGrid w:val="0"/>
                <w:color w:val="auto"/>
                <w:kern w:val="21"/>
                <w:highlight w:val="none"/>
              </w:rPr>
            </w:pPr>
            <w:r>
              <w:rPr>
                <w:rFonts w:hint="eastAsia" w:ascii="Times New Roman" w:hAnsi="Times New Roman"/>
                <w:color w:val="auto"/>
                <w:highlight w:val="none"/>
                <w:lang w:eastAsia="zh-CN"/>
              </w:rPr>
              <w:t>0.25336</w:t>
            </w:r>
            <w:r>
              <w:rPr>
                <w:rFonts w:hint="eastAsia" w:ascii="Times New Roman" w:hAnsi="Times New Roman"/>
                <w:color w:val="auto"/>
                <w:highlight w:val="none"/>
              </w:rPr>
              <w:t>t/a</w:t>
            </w:r>
          </w:p>
        </w:tc>
        <w:tc>
          <w:tcPr>
            <w:tcW w:w="1492" w:type="dxa"/>
            <w:vAlign w:val="center"/>
          </w:tcPr>
          <w:p>
            <w:pPr>
              <w:ind w:firstLine="630" w:firstLineChars="300"/>
              <w:rPr>
                <w:rFonts w:hAnsi="宋体"/>
                <w:snapToGrid w:val="0"/>
                <w:color w:val="auto"/>
                <w:kern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pStyle w:val="62"/>
              <w:snapToGrid w:val="0"/>
              <w:jc w:val="center"/>
              <w:rPr>
                <w:rFonts w:eastAsia="宋体"/>
                <w:color w:val="auto"/>
                <w:kern w:val="0"/>
                <w:highlight w:val="none"/>
              </w:rPr>
            </w:pPr>
            <w:r>
              <w:rPr>
                <w:rFonts w:hint="eastAsia" w:eastAsia="宋体"/>
                <w:color w:val="auto"/>
                <w:kern w:val="0"/>
                <w:highlight w:val="none"/>
              </w:rPr>
              <w:t>二甲苯</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pStyle w:val="85"/>
              <w:rPr>
                <w:rFonts w:ascii="Times New Roman" w:hAnsi="Times New Roman"/>
                <w:color w:val="auto"/>
                <w:highlight w:val="none"/>
              </w:rPr>
            </w:pPr>
            <w:r>
              <w:rPr>
                <w:rFonts w:hint="eastAsia" w:ascii="Times New Roman" w:hAnsi="Times New Roman"/>
                <w:color w:val="auto"/>
                <w:highlight w:val="none"/>
              </w:rPr>
              <w:t>0.0936t/a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pStyle w:val="85"/>
              <w:rPr>
                <w:rFonts w:ascii="Times New Roman" w:hAnsi="Times New Roman"/>
                <w:color w:val="auto"/>
                <w:highlight w:val="none"/>
              </w:rPr>
            </w:pPr>
            <w:r>
              <w:rPr>
                <w:rFonts w:hint="eastAsia" w:ascii="Times New Roman" w:hAnsi="Times New Roman"/>
                <w:color w:val="auto"/>
                <w:highlight w:val="none"/>
              </w:rPr>
              <w:t>0.0936t/a</w:t>
            </w:r>
          </w:p>
        </w:tc>
        <w:tc>
          <w:tcPr>
            <w:tcW w:w="1492" w:type="dxa"/>
            <w:vAlign w:val="center"/>
          </w:tcPr>
          <w:p>
            <w:pPr>
              <w:ind w:firstLine="630" w:firstLineChars="300"/>
              <w:rPr>
                <w:color w:val="auto"/>
                <w:kern w:val="0"/>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pStyle w:val="62"/>
              <w:snapToGrid w:val="0"/>
              <w:jc w:val="center"/>
              <w:rPr>
                <w:rFonts w:eastAsia="宋体"/>
                <w:color w:val="auto"/>
                <w:kern w:val="0"/>
                <w:highlight w:val="none"/>
              </w:rPr>
            </w:pPr>
            <w:r>
              <w:rPr>
                <w:rFonts w:hint="eastAsia" w:eastAsia="宋体"/>
                <w:color w:val="auto"/>
                <w:kern w:val="0"/>
                <w:highlight w:val="none"/>
              </w:rPr>
              <w:t>SO</w:t>
            </w:r>
            <w:r>
              <w:rPr>
                <w:rFonts w:hint="eastAsia" w:eastAsia="宋体"/>
                <w:color w:val="auto"/>
                <w:kern w:val="0"/>
                <w:highlight w:val="none"/>
                <w:vertAlign w:val="subscript"/>
              </w:rPr>
              <w:t>2</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pStyle w:val="85"/>
              <w:rPr>
                <w:rFonts w:ascii="Times New Roman" w:hAnsi="Times New Roman"/>
                <w:color w:val="auto"/>
                <w:highlight w:val="none"/>
              </w:rPr>
            </w:pPr>
            <w:r>
              <w:rPr>
                <w:rFonts w:hint="eastAsia" w:ascii="Times New Roman" w:hAnsi="Times New Roman"/>
                <w:color w:val="auto"/>
                <w:highlight w:val="none"/>
              </w:rPr>
              <w:t>0.04kg/a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pStyle w:val="85"/>
              <w:rPr>
                <w:rFonts w:ascii="Times New Roman" w:hAnsi="Times New Roman"/>
                <w:color w:val="auto"/>
                <w:highlight w:val="none"/>
              </w:rPr>
            </w:pPr>
            <w:r>
              <w:rPr>
                <w:rFonts w:hint="eastAsia" w:ascii="Times New Roman" w:hAnsi="Times New Roman"/>
                <w:color w:val="auto"/>
                <w:highlight w:val="none"/>
              </w:rPr>
              <w:t>0.04kg/a</w:t>
            </w:r>
          </w:p>
        </w:tc>
        <w:tc>
          <w:tcPr>
            <w:tcW w:w="1492" w:type="dxa"/>
            <w:vAlign w:val="center"/>
          </w:tcPr>
          <w:p>
            <w:pPr>
              <w:ind w:firstLine="630" w:firstLineChars="300"/>
              <w:rPr>
                <w:color w:val="auto"/>
                <w:kern w:val="0"/>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pStyle w:val="62"/>
              <w:snapToGrid w:val="0"/>
              <w:jc w:val="center"/>
              <w:rPr>
                <w:rFonts w:eastAsia="宋体"/>
                <w:color w:val="auto"/>
                <w:kern w:val="0"/>
                <w:highlight w:val="none"/>
              </w:rPr>
            </w:pPr>
            <w:r>
              <w:rPr>
                <w:rFonts w:hint="eastAsia" w:eastAsia="宋体"/>
                <w:color w:val="auto"/>
                <w:kern w:val="0"/>
                <w:highlight w:val="none"/>
              </w:rPr>
              <w:t>NOx</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pStyle w:val="85"/>
              <w:rPr>
                <w:rFonts w:ascii="Times New Roman" w:hAnsi="Times New Roman"/>
                <w:color w:val="auto"/>
                <w:highlight w:val="none"/>
              </w:rPr>
            </w:pPr>
            <w:r>
              <w:rPr>
                <w:rFonts w:hint="eastAsia" w:ascii="Times New Roman" w:hAnsi="Times New Roman"/>
                <w:color w:val="auto"/>
                <w:highlight w:val="none"/>
              </w:rPr>
              <w:t>0.3174kg/a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pStyle w:val="85"/>
              <w:rPr>
                <w:rFonts w:ascii="Times New Roman" w:hAnsi="Times New Roman"/>
                <w:color w:val="auto"/>
                <w:highlight w:val="none"/>
              </w:rPr>
            </w:pPr>
            <w:r>
              <w:rPr>
                <w:rFonts w:hint="eastAsia" w:ascii="Times New Roman" w:hAnsi="Times New Roman"/>
                <w:color w:val="auto"/>
                <w:highlight w:val="none"/>
              </w:rPr>
              <w:t>0.3174kg/a</w:t>
            </w:r>
          </w:p>
        </w:tc>
        <w:tc>
          <w:tcPr>
            <w:tcW w:w="1492" w:type="dxa"/>
            <w:vAlign w:val="center"/>
          </w:tcPr>
          <w:p>
            <w:pPr>
              <w:ind w:firstLine="630" w:firstLineChars="300"/>
              <w:rPr>
                <w:color w:val="auto"/>
                <w:kern w:val="0"/>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restart"/>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一般工业</w:t>
            </w:r>
          </w:p>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固体废物</w:t>
            </w:r>
          </w:p>
        </w:tc>
        <w:tc>
          <w:tcPr>
            <w:tcW w:w="1576" w:type="dxa"/>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包装废料</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szCs w:val="21"/>
                <w:highlight w:val="none"/>
              </w:rPr>
              <w:t>0.1t/a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szCs w:val="21"/>
                <w:highlight w:val="none"/>
              </w:rPr>
              <w:t>0.1t/a</w:t>
            </w:r>
          </w:p>
        </w:tc>
        <w:tc>
          <w:tcPr>
            <w:tcW w:w="1492" w:type="dxa"/>
            <w:vAlign w:val="center"/>
          </w:tcPr>
          <w:p>
            <w:pPr>
              <w:jc w:val="center"/>
              <w:rPr>
                <w:color w:val="auto"/>
                <w:kern w:val="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废边角料及残次品</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3</w:t>
            </w:r>
            <w:r>
              <w:rPr>
                <w:color w:val="auto"/>
                <w:szCs w:val="21"/>
                <w:highlight w:val="none"/>
              </w:rPr>
              <w:t>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3</w:t>
            </w:r>
            <w:r>
              <w:rPr>
                <w:color w:val="auto"/>
                <w:szCs w:val="21"/>
                <w:highlight w:val="none"/>
              </w:rPr>
              <w:t>t/a</w:t>
            </w:r>
          </w:p>
        </w:tc>
        <w:tc>
          <w:tcPr>
            <w:tcW w:w="1492" w:type="dxa"/>
            <w:vAlign w:val="center"/>
          </w:tcPr>
          <w:p>
            <w:pPr>
              <w:jc w:val="center"/>
              <w:rPr>
                <w:color w:val="auto"/>
                <w:kern w:val="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rFonts w:ascii="宋体" w:hAnsi="宋体" w:cs="宋体"/>
                <w:color w:val="auto"/>
                <w:kern w:val="1"/>
                <w:szCs w:val="21"/>
                <w:highlight w:val="none"/>
              </w:rPr>
            </w:pPr>
            <w:r>
              <w:rPr>
                <w:rFonts w:hint="eastAsia"/>
                <w:color w:val="auto"/>
                <w:szCs w:val="21"/>
                <w:highlight w:val="none"/>
              </w:rPr>
              <w:t>收集粉尘</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lang w:val="en-US" w:eastAsia="zh-CN"/>
              </w:rPr>
              <w:t>0.422</w:t>
            </w:r>
            <w:r>
              <w:rPr>
                <w:color w:val="auto"/>
                <w:szCs w:val="21"/>
                <w:highlight w:val="none"/>
              </w:rPr>
              <w:t xml:space="preserve"> 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lang w:val="en-US" w:eastAsia="zh-CN"/>
              </w:rPr>
              <w:t>0.422</w:t>
            </w:r>
            <w:r>
              <w:rPr>
                <w:color w:val="auto"/>
                <w:szCs w:val="21"/>
                <w:highlight w:val="none"/>
              </w:rPr>
              <w:t xml:space="preserve"> t/a</w:t>
            </w:r>
          </w:p>
        </w:tc>
        <w:tc>
          <w:tcPr>
            <w:tcW w:w="1492" w:type="dxa"/>
            <w:vAlign w:val="center"/>
          </w:tcPr>
          <w:p>
            <w:pPr>
              <w:jc w:val="center"/>
              <w:rPr>
                <w:color w:val="auto"/>
                <w:kern w:val="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color w:val="auto"/>
                <w:szCs w:val="21"/>
                <w:highlight w:val="none"/>
              </w:rPr>
            </w:pPr>
            <w:r>
              <w:rPr>
                <w:rFonts w:hint="eastAsia"/>
                <w:color w:val="auto"/>
                <w:szCs w:val="21"/>
                <w:highlight w:val="none"/>
              </w:rPr>
              <w:t>废灯带</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0.01</w:t>
            </w:r>
            <w:r>
              <w:rPr>
                <w:color w:val="auto"/>
                <w:szCs w:val="21"/>
                <w:highlight w:val="none"/>
              </w:rPr>
              <w:t>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0.01</w:t>
            </w:r>
            <w:r>
              <w:rPr>
                <w:color w:val="auto"/>
                <w:szCs w:val="21"/>
                <w:highlight w:val="none"/>
              </w:rPr>
              <w:t>t/a</w:t>
            </w:r>
          </w:p>
        </w:tc>
        <w:tc>
          <w:tcPr>
            <w:tcW w:w="1492" w:type="dxa"/>
            <w:vAlign w:val="center"/>
          </w:tcPr>
          <w:p>
            <w:pPr>
              <w:jc w:val="center"/>
              <w:rPr>
                <w:color w:val="auto"/>
                <w:kern w:val="0"/>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color w:val="auto"/>
                <w:szCs w:val="21"/>
                <w:highlight w:val="none"/>
              </w:rPr>
            </w:pPr>
            <w:r>
              <w:rPr>
                <w:rFonts w:hint="eastAsia"/>
                <w:color w:val="auto"/>
                <w:szCs w:val="21"/>
                <w:highlight w:val="none"/>
              </w:rPr>
              <w:t>废水性油漆桶</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0.02</w:t>
            </w:r>
            <w:r>
              <w:rPr>
                <w:color w:val="auto"/>
                <w:szCs w:val="21"/>
                <w:highlight w:val="none"/>
              </w:rPr>
              <w:t>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0.02</w:t>
            </w:r>
            <w:r>
              <w:rPr>
                <w:color w:val="auto"/>
                <w:szCs w:val="21"/>
                <w:highlight w:val="none"/>
              </w:rPr>
              <w:t>t/a</w:t>
            </w:r>
          </w:p>
        </w:tc>
        <w:tc>
          <w:tcPr>
            <w:tcW w:w="1492" w:type="dxa"/>
            <w:vAlign w:val="center"/>
          </w:tcPr>
          <w:p>
            <w:pPr>
              <w:pStyle w:val="40"/>
              <w:spacing w:beforeLines="0" w:afterLines="0" w:line="240" w:lineRule="auto"/>
              <w:rPr>
                <w:color w:val="auto"/>
                <w:kern w:val="0"/>
                <w:szCs w:val="21"/>
                <w:highlight w:val="none"/>
              </w:rPr>
            </w:pPr>
            <w:r>
              <w:rPr>
                <w:rFonts w:hint="eastAsia" w:hAnsi="宋体" w:cs="宋体"/>
                <w:snapToGrid w:val="0"/>
                <w:color w:val="auto"/>
                <w:kern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rFonts w:hint="eastAsia" w:eastAsia="宋体"/>
                <w:color w:val="auto"/>
                <w:szCs w:val="21"/>
                <w:highlight w:val="none"/>
                <w:lang w:eastAsia="zh-CN"/>
              </w:rPr>
            </w:pPr>
            <w:r>
              <w:rPr>
                <w:rFonts w:hint="eastAsia"/>
                <w:color w:val="auto"/>
                <w:szCs w:val="21"/>
                <w:highlight w:val="none"/>
                <w:lang w:eastAsia="zh-CN"/>
              </w:rPr>
              <w:t>更换的滤芯</w:t>
            </w:r>
          </w:p>
        </w:tc>
        <w:tc>
          <w:tcPr>
            <w:tcW w:w="1542" w:type="dxa"/>
            <w:vAlign w:val="center"/>
          </w:tcPr>
          <w:p>
            <w:pPr>
              <w:pStyle w:val="40"/>
              <w:spacing w:beforeLines="0" w:afterLines="0" w:line="240" w:lineRule="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rFonts w:hint="eastAsia"/>
                <w:color w:val="auto"/>
                <w:kern w:val="1"/>
                <w:szCs w:val="21"/>
                <w:highlight w:val="none"/>
              </w:rPr>
            </w:pPr>
            <w:r>
              <w:rPr>
                <w:rFonts w:hint="eastAsia"/>
                <w:color w:val="auto"/>
                <w:kern w:val="1"/>
                <w:szCs w:val="21"/>
                <w:highlight w:val="none"/>
                <w:lang w:val="en-US" w:eastAsia="zh-CN"/>
              </w:rPr>
              <w:t>0.01t</w:t>
            </w:r>
            <w:r>
              <w:rPr>
                <w:color w:val="auto"/>
                <w:szCs w:val="21"/>
                <w:highlight w:val="none"/>
              </w:rPr>
              <w:t>/a</w:t>
            </w:r>
          </w:p>
        </w:tc>
        <w:tc>
          <w:tcPr>
            <w:tcW w:w="1314" w:type="dxa"/>
            <w:vAlign w:val="center"/>
          </w:tcPr>
          <w:p>
            <w:pPr>
              <w:pStyle w:val="40"/>
              <w:spacing w:beforeLines="0" w:afterLines="0" w:line="240" w:lineRule="auto"/>
              <w:rPr>
                <w:rFonts w:hint="eastAsia"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rFonts w:hint="eastAsia"/>
                <w:color w:val="auto"/>
                <w:kern w:val="1"/>
                <w:szCs w:val="21"/>
                <w:highlight w:val="none"/>
              </w:rPr>
            </w:pPr>
            <w:r>
              <w:rPr>
                <w:rFonts w:hint="eastAsia"/>
                <w:color w:val="auto"/>
                <w:kern w:val="1"/>
                <w:szCs w:val="21"/>
                <w:highlight w:val="none"/>
                <w:lang w:val="en-US" w:eastAsia="zh-CN"/>
              </w:rPr>
              <w:t>0.01t</w:t>
            </w:r>
            <w:r>
              <w:rPr>
                <w:color w:val="auto"/>
                <w:szCs w:val="21"/>
                <w:highlight w:val="none"/>
              </w:rPr>
              <w:t>/a</w:t>
            </w:r>
          </w:p>
        </w:tc>
        <w:tc>
          <w:tcPr>
            <w:tcW w:w="1492" w:type="dxa"/>
            <w:vAlign w:val="center"/>
          </w:tcPr>
          <w:p>
            <w:pPr>
              <w:pStyle w:val="40"/>
              <w:spacing w:beforeLines="0" w:afterLines="0" w:line="240" w:lineRule="auto"/>
              <w:rPr>
                <w:rFonts w:hint="eastAsia" w:hAnsi="宋体" w:cs="宋体"/>
                <w:snapToGrid w:val="0"/>
                <w:color w:val="auto"/>
                <w:kern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restart"/>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危险废物</w:t>
            </w:r>
          </w:p>
        </w:tc>
        <w:tc>
          <w:tcPr>
            <w:tcW w:w="1576" w:type="dxa"/>
            <w:vAlign w:val="center"/>
          </w:tcPr>
          <w:p>
            <w:pPr>
              <w:jc w:val="center"/>
              <w:rPr>
                <w:rFonts w:ascii="宋体" w:hAnsi="宋体" w:cs="宋体"/>
                <w:color w:val="auto"/>
                <w:kern w:val="1"/>
                <w:szCs w:val="21"/>
                <w:highlight w:val="none"/>
              </w:rPr>
            </w:pPr>
            <w:r>
              <w:rPr>
                <w:rFonts w:hint="eastAsia" w:hAnsi="宋体"/>
                <w:bCs/>
                <w:color w:val="auto"/>
                <w:szCs w:val="21"/>
                <w:highlight w:val="none"/>
              </w:rPr>
              <w:t>漆渣</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0.0432</w:t>
            </w:r>
            <w:r>
              <w:rPr>
                <w:color w:val="auto"/>
                <w:szCs w:val="21"/>
                <w:highlight w:val="none"/>
              </w:rPr>
              <w:t>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0.0432</w:t>
            </w:r>
            <w:r>
              <w:rPr>
                <w:color w:val="auto"/>
                <w:szCs w:val="21"/>
                <w:highlight w:val="none"/>
              </w:rPr>
              <w:t>t/a</w:t>
            </w:r>
          </w:p>
        </w:tc>
        <w:tc>
          <w:tcPr>
            <w:tcW w:w="1492" w:type="dxa"/>
            <w:vAlign w:val="center"/>
          </w:tcPr>
          <w:p>
            <w:pPr>
              <w:jc w:val="center"/>
              <w:rPr>
                <w:color w:val="auto"/>
                <w:kern w:val="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废油性油漆桶</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0.03t</w:t>
            </w:r>
            <w:r>
              <w:rPr>
                <w:color w:val="auto"/>
                <w:szCs w:val="21"/>
                <w:highlight w:val="none"/>
              </w:rPr>
              <w: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0.03t</w:t>
            </w:r>
            <w:r>
              <w:rPr>
                <w:color w:val="auto"/>
                <w:szCs w:val="21"/>
                <w:highlight w:val="none"/>
              </w:rPr>
              <w:t>/a</w:t>
            </w:r>
          </w:p>
        </w:tc>
        <w:tc>
          <w:tcPr>
            <w:tcW w:w="1492" w:type="dxa"/>
            <w:vAlign w:val="center"/>
          </w:tcPr>
          <w:p>
            <w:pPr>
              <w:jc w:val="center"/>
              <w:rPr>
                <w:color w:val="auto"/>
                <w:kern w:val="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废粉末涂料包装箱</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0.02</w:t>
            </w:r>
            <w:r>
              <w:rPr>
                <w:color w:val="auto"/>
                <w:szCs w:val="21"/>
                <w:highlight w:val="none"/>
              </w:rPr>
              <w:t>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0.02</w:t>
            </w:r>
            <w:r>
              <w:rPr>
                <w:color w:val="auto"/>
                <w:szCs w:val="21"/>
                <w:highlight w:val="none"/>
              </w:rPr>
              <w:t>t/a</w:t>
            </w:r>
          </w:p>
        </w:tc>
        <w:tc>
          <w:tcPr>
            <w:tcW w:w="1492" w:type="dxa"/>
            <w:vAlign w:val="center"/>
          </w:tcPr>
          <w:p>
            <w:pPr>
              <w:jc w:val="center"/>
              <w:rPr>
                <w:color w:val="auto"/>
                <w:kern w:val="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废机油</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0.01t/a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0.01t/a</w:t>
            </w:r>
          </w:p>
        </w:tc>
        <w:tc>
          <w:tcPr>
            <w:tcW w:w="1492" w:type="dxa"/>
            <w:vAlign w:val="center"/>
          </w:tcPr>
          <w:p>
            <w:pPr>
              <w:jc w:val="center"/>
              <w:rPr>
                <w:color w:val="auto"/>
                <w:kern w:val="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w:t>
            </w:r>
            <w:r>
              <w:rPr>
                <w:color w:val="auto"/>
                <w:kern w:val="1"/>
                <w:szCs w:val="21"/>
                <w:highlight w:val="none"/>
              </w:rPr>
              <w:t>UV</w:t>
            </w:r>
            <w:r>
              <w:rPr>
                <w:rFonts w:hint="eastAsia" w:ascii="宋体" w:hAnsi="宋体" w:cs="宋体"/>
                <w:color w:val="auto"/>
                <w:kern w:val="1"/>
                <w:szCs w:val="21"/>
                <w:highlight w:val="none"/>
              </w:rPr>
              <w:t>灯管</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0.01</w:t>
            </w:r>
            <w:r>
              <w:rPr>
                <w:color w:val="auto"/>
                <w:szCs w:val="21"/>
                <w:highlight w:val="none"/>
              </w:rPr>
              <w:t xml:space="preserve"> 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0.01</w:t>
            </w:r>
            <w:r>
              <w:rPr>
                <w:color w:val="auto"/>
                <w:szCs w:val="21"/>
                <w:highlight w:val="none"/>
              </w:rPr>
              <w:t xml:space="preserve"> t/a</w:t>
            </w:r>
          </w:p>
        </w:tc>
        <w:tc>
          <w:tcPr>
            <w:tcW w:w="1492" w:type="dxa"/>
            <w:vAlign w:val="center"/>
          </w:tcPr>
          <w:p>
            <w:pPr>
              <w:jc w:val="center"/>
              <w:rPr>
                <w:color w:val="auto"/>
                <w:kern w:val="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废活性炭</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01"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0.46</w:t>
            </w:r>
            <w:r>
              <w:rPr>
                <w:color w:val="auto"/>
                <w:szCs w:val="21"/>
                <w:highlight w:val="none"/>
              </w:rPr>
              <w:t xml:space="preserve"> t/a</w:t>
            </w:r>
          </w:p>
        </w:tc>
        <w:tc>
          <w:tcPr>
            <w:tcW w:w="1314"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0.46</w:t>
            </w:r>
            <w:r>
              <w:rPr>
                <w:color w:val="auto"/>
                <w:szCs w:val="21"/>
                <w:highlight w:val="none"/>
              </w:rPr>
              <w:t>t/a</w:t>
            </w:r>
          </w:p>
        </w:tc>
        <w:tc>
          <w:tcPr>
            <w:tcW w:w="1492" w:type="dxa"/>
            <w:vAlign w:val="center"/>
          </w:tcPr>
          <w:p>
            <w:pPr>
              <w:jc w:val="center"/>
              <w:rPr>
                <w:color w:val="auto"/>
                <w:kern w:val="1"/>
                <w:szCs w:val="21"/>
                <w:highlight w:val="none"/>
              </w:rPr>
            </w:pPr>
            <w:r>
              <w:rPr>
                <w:rFonts w:hint="eastAsia"/>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bookmarkStart w:id="19" w:name="_Toc14077"/>
          </w:p>
        </w:tc>
        <w:tc>
          <w:tcPr>
            <w:tcW w:w="1576" w:type="dxa"/>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喷淋废水</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ascii="Times New Roman" w:hAnsi="Times New Roman" w:cs="Times New Roman"/>
                <w:snapToGrid w:val="0"/>
                <w:color w:val="auto"/>
                <w:kern w:val="21"/>
                <w:szCs w:val="21"/>
                <w:highlight w:val="none"/>
              </w:rPr>
            </w:pPr>
            <w:r>
              <w:rPr>
                <w:rFonts w:ascii="Times New Roman" w:hAnsi="Times New Roman" w:cs="Times New Roman"/>
                <w:snapToGrid w:val="0"/>
                <w:color w:val="auto"/>
                <w:kern w:val="21"/>
                <w:szCs w:val="21"/>
                <w:highlight w:val="none"/>
              </w:rPr>
              <w:t>/</w:t>
            </w:r>
          </w:p>
        </w:tc>
        <w:tc>
          <w:tcPr>
            <w:tcW w:w="1701" w:type="dxa"/>
            <w:vAlign w:val="center"/>
          </w:tcPr>
          <w:p>
            <w:pPr>
              <w:pStyle w:val="40"/>
              <w:spacing w:beforeLines="0" w:afterLines="0" w:line="240" w:lineRule="auto"/>
              <w:rPr>
                <w:rFonts w:ascii="Times New Roman" w:hAnsi="Times New Roman" w:cs="Times New Roman"/>
                <w:snapToGrid w:val="0"/>
                <w:color w:val="auto"/>
                <w:kern w:val="21"/>
                <w:szCs w:val="21"/>
                <w:highlight w:val="none"/>
              </w:rPr>
            </w:pPr>
            <w:r>
              <w:rPr>
                <w:rFonts w:ascii="Times New Roman" w:hAnsi="Times New Roman" w:cs="Times New Roman"/>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2</w:t>
            </w:r>
            <w:r>
              <w:rPr>
                <w:color w:val="auto"/>
                <w:szCs w:val="21"/>
                <w:highlight w:val="none"/>
              </w:rPr>
              <w:t xml:space="preserve"> t/a</w:t>
            </w:r>
          </w:p>
        </w:tc>
        <w:tc>
          <w:tcPr>
            <w:tcW w:w="1314" w:type="dxa"/>
            <w:vAlign w:val="center"/>
          </w:tcPr>
          <w:p>
            <w:pPr>
              <w:pStyle w:val="40"/>
              <w:spacing w:beforeLines="0" w:afterLines="0" w:line="240" w:lineRule="auto"/>
              <w:rPr>
                <w:rFonts w:ascii="Times New Roman" w:hAnsi="Times New Roman" w:cs="Times New Roman"/>
                <w:snapToGrid w:val="0"/>
                <w:color w:val="auto"/>
                <w:kern w:val="21"/>
                <w:szCs w:val="21"/>
                <w:highlight w:val="none"/>
              </w:rPr>
            </w:pPr>
            <w:r>
              <w:rPr>
                <w:rFonts w:ascii="Times New Roman" w:hAnsi="Times New Roman" w:cs="Times New Roman"/>
                <w:snapToGrid w:val="0"/>
                <w:color w:val="auto"/>
                <w:kern w:val="21"/>
                <w:szCs w:val="21"/>
                <w:highlight w:val="none"/>
              </w:rPr>
              <w:t>/</w:t>
            </w:r>
          </w:p>
        </w:tc>
        <w:tc>
          <w:tcPr>
            <w:tcW w:w="1740" w:type="dxa"/>
            <w:vAlign w:val="center"/>
          </w:tcPr>
          <w:p>
            <w:pPr>
              <w:spacing w:line="360" w:lineRule="auto"/>
              <w:jc w:val="center"/>
              <w:rPr>
                <w:rFonts w:eastAsiaTheme="minorEastAsia"/>
                <w:snapToGrid w:val="0"/>
                <w:color w:val="auto"/>
                <w:kern w:val="21"/>
                <w:szCs w:val="21"/>
                <w:highlight w:val="none"/>
              </w:rPr>
            </w:pPr>
            <w:r>
              <w:rPr>
                <w:rFonts w:hint="eastAsia"/>
                <w:color w:val="auto"/>
                <w:kern w:val="1"/>
                <w:szCs w:val="21"/>
                <w:highlight w:val="none"/>
              </w:rPr>
              <w:t>2</w:t>
            </w:r>
            <w:r>
              <w:rPr>
                <w:color w:val="auto"/>
                <w:szCs w:val="21"/>
                <w:highlight w:val="none"/>
              </w:rPr>
              <w:t xml:space="preserve"> t/a</w:t>
            </w:r>
          </w:p>
        </w:tc>
        <w:tc>
          <w:tcPr>
            <w:tcW w:w="149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88" w:type="dxa"/>
            <w:vMerge w:val="continue"/>
            <w:vAlign w:val="center"/>
          </w:tcPr>
          <w:p>
            <w:pPr>
              <w:pStyle w:val="40"/>
              <w:spacing w:beforeLines="0" w:afterLines="0" w:line="240" w:lineRule="auto"/>
              <w:rPr>
                <w:rFonts w:hAnsi="宋体" w:cs="宋体"/>
                <w:snapToGrid w:val="0"/>
                <w:color w:val="auto"/>
                <w:kern w:val="21"/>
                <w:szCs w:val="21"/>
                <w:highlight w:val="none"/>
              </w:rPr>
            </w:pPr>
          </w:p>
        </w:tc>
        <w:tc>
          <w:tcPr>
            <w:tcW w:w="1576" w:type="dxa"/>
            <w:vAlign w:val="center"/>
          </w:tcPr>
          <w:p>
            <w:pPr>
              <w:jc w:val="center"/>
              <w:rPr>
                <w:rFonts w:ascii="宋体" w:hAnsi="宋体" w:cs="宋体"/>
                <w:color w:val="auto"/>
                <w:kern w:val="1"/>
                <w:szCs w:val="21"/>
                <w:highlight w:val="none"/>
              </w:rPr>
            </w:pPr>
            <w:r>
              <w:rPr>
                <w:rFonts w:hint="eastAsia" w:ascii="宋体" w:hAnsi="宋体" w:cs="宋体"/>
                <w:color w:val="auto"/>
                <w:kern w:val="1"/>
                <w:szCs w:val="21"/>
                <w:highlight w:val="none"/>
              </w:rPr>
              <w:t>废抹布</w:t>
            </w:r>
          </w:p>
        </w:tc>
        <w:tc>
          <w:tcPr>
            <w:tcW w:w="154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c>
          <w:tcPr>
            <w:tcW w:w="1276" w:type="dxa"/>
            <w:vAlign w:val="center"/>
          </w:tcPr>
          <w:p>
            <w:pPr>
              <w:pStyle w:val="40"/>
              <w:spacing w:beforeLines="0" w:afterLines="0" w:line="240" w:lineRule="auto"/>
              <w:rPr>
                <w:rFonts w:ascii="Times New Roman" w:hAnsi="Times New Roman" w:cs="Times New Roman"/>
                <w:snapToGrid w:val="0"/>
                <w:color w:val="auto"/>
                <w:kern w:val="21"/>
                <w:szCs w:val="21"/>
                <w:highlight w:val="none"/>
              </w:rPr>
            </w:pPr>
            <w:r>
              <w:rPr>
                <w:rFonts w:ascii="Times New Roman" w:hAnsi="Times New Roman" w:cs="Times New Roman"/>
                <w:snapToGrid w:val="0"/>
                <w:color w:val="auto"/>
                <w:kern w:val="21"/>
                <w:szCs w:val="21"/>
                <w:highlight w:val="none"/>
              </w:rPr>
              <w:t>/</w:t>
            </w:r>
          </w:p>
        </w:tc>
        <w:tc>
          <w:tcPr>
            <w:tcW w:w="1701" w:type="dxa"/>
            <w:vAlign w:val="center"/>
          </w:tcPr>
          <w:p>
            <w:pPr>
              <w:pStyle w:val="40"/>
              <w:spacing w:beforeLines="0" w:afterLines="0" w:line="240" w:lineRule="auto"/>
              <w:rPr>
                <w:rFonts w:ascii="Times New Roman" w:hAnsi="Times New Roman" w:cs="Times New Roman"/>
                <w:snapToGrid w:val="0"/>
                <w:color w:val="auto"/>
                <w:kern w:val="21"/>
                <w:szCs w:val="21"/>
                <w:highlight w:val="none"/>
              </w:rPr>
            </w:pPr>
            <w:r>
              <w:rPr>
                <w:rFonts w:ascii="Times New Roman" w:hAnsi="Times New Roman" w:cs="Times New Roman"/>
                <w:snapToGrid w:val="0"/>
                <w:color w:val="auto"/>
                <w:kern w:val="21"/>
                <w:szCs w:val="21"/>
                <w:highlight w:val="none"/>
              </w:rPr>
              <w:t>/</w:t>
            </w:r>
          </w:p>
        </w:tc>
        <w:tc>
          <w:tcPr>
            <w:tcW w:w="1559" w:type="dxa"/>
            <w:vAlign w:val="center"/>
          </w:tcPr>
          <w:p>
            <w:pPr>
              <w:jc w:val="center"/>
              <w:rPr>
                <w:color w:val="auto"/>
                <w:kern w:val="1"/>
                <w:szCs w:val="21"/>
                <w:highlight w:val="none"/>
              </w:rPr>
            </w:pPr>
            <w:r>
              <w:rPr>
                <w:rFonts w:hint="eastAsia"/>
                <w:color w:val="auto"/>
                <w:kern w:val="1"/>
                <w:szCs w:val="21"/>
                <w:highlight w:val="none"/>
              </w:rPr>
              <w:t>0.01</w:t>
            </w:r>
            <w:r>
              <w:rPr>
                <w:color w:val="auto"/>
                <w:szCs w:val="21"/>
                <w:highlight w:val="none"/>
              </w:rPr>
              <w:t xml:space="preserve"> t/a</w:t>
            </w:r>
          </w:p>
        </w:tc>
        <w:tc>
          <w:tcPr>
            <w:tcW w:w="1314" w:type="dxa"/>
            <w:vAlign w:val="center"/>
          </w:tcPr>
          <w:p>
            <w:pPr>
              <w:pStyle w:val="40"/>
              <w:spacing w:beforeLines="0" w:afterLines="0" w:line="240" w:lineRule="auto"/>
              <w:rPr>
                <w:rFonts w:ascii="Times New Roman" w:hAnsi="Times New Roman" w:cs="Times New Roman"/>
                <w:snapToGrid w:val="0"/>
                <w:color w:val="auto"/>
                <w:kern w:val="21"/>
                <w:szCs w:val="21"/>
                <w:highlight w:val="none"/>
              </w:rPr>
            </w:pPr>
            <w:r>
              <w:rPr>
                <w:rFonts w:ascii="Times New Roman" w:hAnsi="Times New Roman" w:cs="Times New Roman"/>
                <w:snapToGrid w:val="0"/>
                <w:color w:val="auto"/>
                <w:kern w:val="21"/>
                <w:szCs w:val="21"/>
                <w:highlight w:val="none"/>
              </w:rPr>
              <w:t>/</w:t>
            </w:r>
          </w:p>
        </w:tc>
        <w:tc>
          <w:tcPr>
            <w:tcW w:w="1740" w:type="dxa"/>
            <w:vAlign w:val="center"/>
          </w:tcPr>
          <w:p>
            <w:pPr>
              <w:spacing w:line="360" w:lineRule="auto"/>
              <w:jc w:val="center"/>
              <w:rPr>
                <w:color w:val="auto"/>
                <w:kern w:val="1"/>
                <w:szCs w:val="21"/>
                <w:highlight w:val="none"/>
              </w:rPr>
            </w:pPr>
            <w:r>
              <w:rPr>
                <w:rFonts w:hint="eastAsia"/>
                <w:color w:val="auto"/>
                <w:kern w:val="1"/>
                <w:szCs w:val="21"/>
                <w:highlight w:val="none"/>
              </w:rPr>
              <w:t>0.01</w:t>
            </w:r>
            <w:r>
              <w:rPr>
                <w:color w:val="auto"/>
                <w:szCs w:val="21"/>
                <w:highlight w:val="none"/>
              </w:rPr>
              <w:t xml:space="preserve"> t/a</w:t>
            </w:r>
          </w:p>
        </w:tc>
        <w:tc>
          <w:tcPr>
            <w:tcW w:w="1492" w:type="dxa"/>
            <w:vAlign w:val="center"/>
          </w:tcPr>
          <w:p>
            <w:pPr>
              <w:pStyle w:val="40"/>
              <w:spacing w:beforeLines="0" w:afterLines="0" w:line="240" w:lineRule="auto"/>
              <w:rPr>
                <w:rFonts w:hAnsi="宋体" w:cs="宋体"/>
                <w:snapToGrid w:val="0"/>
                <w:color w:val="auto"/>
                <w:kern w:val="21"/>
                <w:szCs w:val="21"/>
                <w:highlight w:val="none"/>
              </w:rPr>
            </w:pPr>
            <w:r>
              <w:rPr>
                <w:rFonts w:hint="eastAsia" w:hAnsi="宋体" w:cs="宋体"/>
                <w:snapToGrid w:val="0"/>
                <w:color w:val="auto"/>
                <w:kern w:val="21"/>
                <w:szCs w:val="21"/>
                <w:highlight w:val="none"/>
              </w:rPr>
              <w:t>/</w:t>
            </w:r>
          </w:p>
        </w:tc>
      </w:tr>
    </w:tbl>
    <w:p>
      <w:pPr>
        <w:pStyle w:val="40"/>
        <w:spacing w:before="24" w:after="24" w:line="260" w:lineRule="auto"/>
        <w:jc w:val="left"/>
        <w:outlineLvl w:val="0"/>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bookmarkEnd w:id="19"/>
    </w:p>
    <w:sectPr>
      <w:footerReference r:id="rId6" w:type="default"/>
      <w:pgSz w:w="16838" w:h="11906" w:orient="landscape"/>
      <w:pgMar w:top="1276" w:right="1701" w:bottom="1531" w:left="1701"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方正小标宋_GBK">
    <w:altName w:val="微软雅黑"/>
    <w:panose1 w:val="00000000000000000000"/>
    <w:charset w:val="86"/>
    <w:family w:val="script"/>
    <w:pitch w:val="default"/>
    <w:sig w:usb0="00000000" w:usb1="00000000" w:usb2="00082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9"/>
                              <w:rFonts w:ascii="宋体" w:hAnsi="宋体"/>
                              <w:sz w:val="28"/>
                              <w:szCs w:val="28"/>
                            </w:rPr>
                          </w:pP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I</w:t>
                          </w:r>
                          <w:r>
                            <w:rPr>
                              <w:rStyle w:val="29"/>
                              <w:rFonts w:ascii="宋体" w:hAnsi="宋体"/>
                              <w:sz w:val="28"/>
                              <w:szCs w:val="2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3M/cMBAACR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Jl&#10;tXqdJeoD1Jj5EDA3DXd+wPTZD+jMzAcVbf4iJ4JxRDtfBZZDIiI/Wq/W6wpDAmPzBfHZ4/MQIb2V&#10;3pJsNDTiBIuw/PQe0pg6p+Rqzt9rY8oUjfvLgZjZw3LvY4/ZSsN+mAjtfXtGPj0Ov6EOd50S886h&#10;tthfmo04G/vJyDUg3B4TFi79ZNQRaiqGkyqMpq3Kq/DnvWQ9/kn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rncz9wwEAAJEDAAAOAAAAAAAAAAEAIAAAAB4BAABkcnMvZTJvRG9jLnhtbFBL&#10;BQYAAAAABgAGAFkBAABTBQAAAAA=&#10;">
              <v:fill on="f" focussize="0,0"/>
              <v:stroke on="f"/>
              <v:imagedata o:title=""/>
              <o:lock v:ext="edit" aspectratio="f"/>
              <v:textbox inset="0mm,0mm,0mm,0mm" style="mso-fit-shape-to-text:t;">
                <w:txbxContent>
                  <w:p>
                    <w:pPr>
                      <w:pStyle w:val="18"/>
                      <w:rPr>
                        <w:rStyle w:val="29"/>
                        <w:rFonts w:ascii="宋体" w:hAnsi="宋体"/>
                        <w:sz w:val="28"/>
                        <w:szCs w:val="28"/>
                      </w:rPr>
                    </w:pP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I</w:t>
                    </w:r>
                    <w:r>
                      <w:rPr>
                        <w:rStyle w:val="2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9"/>
                              <w:rFonts w:ascii="宋体" w:hAnsi="宋体"/>
                              <w:sz w:val="28"/>
                              <w:szCs w:val="28"/>
                            </w:rPr>
                          </w:pP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- 53 -</w:t>
                          </w:r>
                          <w:r>
                            <w:rPr>
                              <w:rStyle w:val="29"/>
                              <w:rFonts w:ascii="宋体" w:hAnsi="宋体"/>
                              <w:sz w:val="28"/>
                              <w:szCs w:val="28"/>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QwcsQBAACR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S4rjFiV++f7v8+HX5+ZUs&#10;q9VNlqgPUGPmY8DcNNz7AdNnP6AzMx9UtPmLnAjGUeDzVWA5JCLyo/Vqva4wJDA2XxCfPT0PEdJb&#10;6S3JRkMjTrAIy0/vIY2pc0qu5vyDNqZM0bi/HIiZPSz3PvaYrTTsh4nQ3rdn5NPj8BvqcNcpMe8c&#10;apv3ZDbibOwnI9eAcHdMWLj0k1FHqKkYTqowmrYqr8Kf95L19Cd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v3QwcsQBAACRAwAADgAAAAAAAAABACAAAAAeAQAAZHJzL2Uyb0RvYy54bWxQ&#10;SwUGAAAAAAYABgBZAQAAVAUAAAAA&#10;">
              <v:fill on="f" focussize="0,0"/>
              <v:stroke on="f"/>
              <v:imagedata o:title=""/>
              <o:lock v:ext="edit" aspectratio="f"/>
              <v:textbox inset="0mm,0mm,0mm,0mm" style="mso-fit-shape-to-text:t;">
                <w:txbxContent>
                  <w:p>
                    <w:pPr>
                      <w:pStyle w:val="18"/>
                      <w:rPr>
                        <w:rStyle w:val="29"/>
                        <w:rFonts w:ascii="宋体" w:hAnsi="宋体"/>
                        <w:sz w:val="28"/>
                        <w:szCs w:val="28"/>
                      </w:rPr>
                    </w:pP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- 53 -</w:t>
                    </w:r>
                    <w:r>
                      <w:rPr>
                        <w:rStyle w:val="29"/>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Style w:val="29"/>
                              <w:rFonts w:ascii="宋体" w:hAnsi="宋体"/>
                              <w:sz w:val="28"/>
                              <w:szCs w:val="28"/>
                            </w:rPr>
                          </w:pP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- 55 -</w:t>
                          </w:r>
                          <w:r>
                            <w:rPr>
                              <w:rStyle w:val="29"/>
                              <w:rFonts w:ascii="宋体" w:hAnsi="宋体"/>
                              <w:sz w:val="28"/>
                              <w:szCs w:val="28"/>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le3sQBAACR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wU0oKbHc4MTP37+df/w6//xK&#10;lkX5LknUe6gw88ljbhzu3IDpsx/QmZgPbTDpi5wIxlHg00VgOUQi0qNVuVoVGBIYmy+Iz56f+wDx&#10;vXSGJKOmASeYheXHR4hj6pySqll3r7TOU9T2LwdiJg9LvY89JisOu2EitHPNCfn0OPyaWtx1SvSD&#10;RW3TnsxGmI3dZKQa4G8PEQvnfhLqCDUVw0llRtNWpVX4856znv+k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Bule3sQBAACRAwAADgAAAAAAAAABACAAAAAeAQAAZHJzL2Uyb0RvYy54bWxQ&#10;SwUGAAAAAAYABgBZAQAAVAUAAAAA&#10;">
              <v:fill on="f" focussize="0,0"/>
              <v:stroke on="f"/>
              <v:imagedata o:title=""/>
              <o:lock v:ext="edit" aspectratio="f"/>
              <v:textbox inset="0mm,0mm,0mm,0mm" style="mso-fit-shape-to-text:t;">
                <w:txbxContent>
                  <w:p>
                    <w:pPr>
                      <w:pStyle w:val="18"/>
                      <w:rPr>
                        <w:rStyle w:val="29"/>
                        <w:rFonts w:ascii="宋体" w:hAnsi="宋体"/>
                        <w:sz w:val="28"/>
                        <w:szCs w:val="28"/>
                      </w:rPr>
                    </w:pPr>
                    <w:r>
                      <w:rPr>
                        <w:rStyle w:val="29"/>
                        <w:rFonts w:ascii="宋体" w:hAnsi="宋体"/>
                        <w:sz w:val="28"/>
                        <w:szCs w:val="28"/>
                      </w:rPr>
                      <w:fldChar w:fldCharType="begin"/>
                    </w:r>
                    <w:r>
                      <w:rPr>
                        <w:rStyle w:val="29"/>
                        <w:rFonts w:ascii="宋体" w:hAnsi="宋体"/>
                        <w:sz w:val="28"/>
                        <w:szCs w:val="28"/>
                      </w:rPr>
                      <w:instrText xml:space="preserve"> PAGE  \* MERGEFORMAT </w:instrText>
                    </w:r>
                    <w:r>
                      <w:rPr>
                        <w:rStyle w:val="29"/>
                        <w:rFonts w:ascii="宋体" w:hAnsi="宋体"/>
                        <w:sz w:val="28"/>
                        <w:szCs w:val="28"/>
                      </w:rPr>
                      <w:fldChar w:fldCharType="separate"/>
                    </w:r>
                    <w:r>
                      <w:rPr>
                        <w:rStyle w:val="29"/>
                        <w:rFonts w:ascii="宋体" w:hAnsi="宋体"/>
                        <w:sz w:val="28"/>
                        <w:szCs w:val="28"/>
                      </w:rPr>
                      <w:t>- 55 -</w:t>
                    </w:r>
                    <w:r>
                      <w:rPr>
                        <w:rStyle w:val="29"/>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B2EF5"/>
    <w:multiLevelType w:val="multilevel"/>
    <w:tmpl w:val="A66B2EF5"/>
    <w:lvl w:ilvl="0" w:tentative="0">
      <w:start w:val="1"/>
      <w:numFmt w:val="decimal"/>
      <w:isLgl/>
      <w:suff w:val="space"/>
      <w:lvlText w:val="%1"/>
      <w:lvlJc w:val="left"/>
      <w:pPr>
        <w:ind w:left="720" w:firstLine="0"/>
      </w:pPr>
      <w:rPr>
        <w:rFonts w:hint="eastAsia" w:ascii="Times New Roman" w:hAnsi="Times New Roman" w:eastAsia="宋体" w:cs="Times New Roman"/>
        <w:b/>
        <w:i w:val="0"/>
        <w:sz w:val="36"/>
        <w:szCs w:val="36"/>
      </w:rPr>
    </w:lvl>
    <w:lvl w:ilvl="1" w:tentative="0">
      <w:start w:val="1"/>
      <w:numFmt w:val="decimal"/>
      <w:isLgl/>
      <w:suff w:val="space"/>
      <w:lvlText w:val="%1.%2"/>
      <w:lvlJc w:val="left"/>
      <w:pPr>
        <w:ind w:left="180" w:firstLine="0"/>
      </w:pPr>
      <w:rPr>
        <w:rFonts w:hint="eastAsia" w:ascii="Times New Roman" w:hAnsi="Times New Roman" w:eastAsia="宋体"/>
        <w:b/>
        <w:i w:val="0"/>
        <w:sz w:val="30"/>
      </w:rPr>
    </w:lvl>
    <w:lvl w:ilvl="2" w:tentative="0">
      <w:start w:val="1"/>
      <w:numFmt w:val="decimal"/>
      <w:isLgl/>
      <w:suff w:val="space"/>
      <w:lvlText w:val="%1.%2.%3"/>
      <w:lvlJc w:val="left"/>
      <w:pPr>
        <w:ind w:left="1440" w:firstLine="0"/>
      </w:pPr>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3" w:tentative="0">
      <w:start w:val="1"/>
      <w:numFmt w:val="decimal"/>
      <w:pStyle w:val="5"/>
      <w:isLgl/>
      <w:suff w:val="space"/>
      <w:lvlText w:val="%1.%2.%3.%4"/>
      <w:lvlJc w:val="left"/>
      <w:pPr>
        <w:ind w:left="360" w:firstLine="0"/>
      </w:pPr>
      <w:rPr>
        <w:rFonts w:hint="eastAsia" w:ascii="Times New Roman" w:hAnsi="Times New Roman" w:eastAsia="宋体"/>
        <w:b/>
        <w:i w:val="0"/>
        <w:sz w:val="24"/>
      </w:rPr>
    </w:lvl>
    <w:lvl w:ilvl="4" w:tentative="0">
      <w:start w:val="1"/>
      <w:numFmt w:val="decimal"/>
      <w:suff w:val="space"/>
      <w:lvlText w:val="( %5 )"/>
      <w:lvlJc w:val="left"/>
      <w:pPr>
        <w:ind w:left="540" w:firstLine="0"/>
      </w:pPr>
      <w:rPr>
        <w:rFonts w:hint="eastAsia"/>
        <w:b w:val="0"/>
        <w:i w:val="0"/>
        <w:sz w:val="24"/>
      </w:rPr>
    </w:lvl>
    <w:lvl w:ilvl="5" w:tentative="0">
      <w:start w:val="1"/>
      <w:numFmt w:val="decimalEnclosedCircle"/>
      <w:suff w:val="space"/>
      <w:lvlText w:val="%6"/>
      <w:lvlJc w:val="left"/>
      <w:pPr>
        <w:ind w:left="720" w:firstLine="0"/>
      </w:pPr>
      <w:rPr>
        <w:rFonts w:hint="eastAsia"/>
      </w:rPr>
    </w:lvl>
    <w:lvl w:ilvl="6" w:tentative="0">
      <w:start w:val="1"/>
      <w:numFmt w:val="decimal"/>
      <w:lvlText w:val="%1.%2.%3.%4.%5.%6.%7"/>
      <w:lvlJc w:val="left"/>
      <w:pPr>
        <w:tabs>
          <w:tab w:val="left" w:pos="4715"/>
        </w:tabs>
        <w:ind w:left="4715" w:hanging="1276"/>
      </w:pPr>
      <w:rPr>
        <w:rFonts w:hint="eastAsia"/>
      </w:rPr>
    </w:lvl>
    <w:lvl w:ilvl="7" w:tentative="0">
      <w:start w:val="1"/>
      <w:numFmt w:val="decimal"/>
      <w:lvlText w:val="%1.%2.%3.%4.%5.%6.%7.%8"/>
      <w:lvlJc w:val="left"/>
      <w:pPr>
        <w:tabs>
          <w:tab w:val="left" w:pos="5282"/>
        </w:tabs>
        <w:ind w:left="5282" w:hanging="1418"/>
      </w:pPr>
      <w:rPr>
        <w:rFonts w:hint="eastAsia"/>
      </w:rPr>
    </w:lvl>
    <w:lvl w:ilvl="8" w:tentative="0">
      <w:start w:val="1"/>
      <w:numFmt w:val="decimal"/>
      <w:lvlText w:val="%1.%2.%3.%4.%5.%6.%7.%8.%9"/>
      <w:lvlJc w:val="left"/>
      <w:pPr>
        <w:tabs>
          <w:tab w:val="left" w:pos="5990"/>
        </w:tabs>
        <w:ind w:left="5990" w:hanging="1700"/>
      </w:pPr>
      <w:rPr>
        <w:rFonts w:hint="eastAsia"/>
      </w:rPr>
    </w:lvl>
  </w:abstractNum>
  <w:abstractNum w:abstractNumId="1">
    <w:nsid w:val="DB42B53A"/>
    <w:multiLevelType w:val="singleLevel"/>
    <w:tmpl w:val="DB42B53A"/>
    <w:lvl w:ilvl="0" w:tentative="0">
      <w:start w:val="1"/>
      <w:numFmt w:val="decimal"/>
      <w:suff w:val="nothing"/>
      <w:lvlText w:val="%1、"/>
      <w:lvlJc w:val="left"/>
    </w:lvl>
  </w:abstractNum>
  <w:abstractNum w:abstractNumId="2">
    <w:nsid w:val="435141F0"/>
    <w:multiLevelType w:val="multilevel"/>
    <w:tmpl w:val="435141F0"/>
    <w:lvl w:ilvl="0" w:tentative="0">
      <w:start w:val="1"/>
      <w:numFmt w:val="decimal"/>
      <w:isLgl/>
      <w:suff w:val="space"/>
      <w:lvlText w:val="%1"/>
      <w:lvlJc w:val="left"/>
      <w:pPr>
        <w:ind w:left="720" w:firstLine="0"/>
      </w:pPr>
      <w:rPr>
        <w:rFonts w:hint="eastAsia" w:ascii="Times New Roman" w:hAnsi="Times New Roman" w:eastAsia="宋体" w:cs="Times New Roman"/>
        <w:b/>
        <w:i w:val="0"/>
        <w:sz w:val="36"/>
        <w:szCs w:val="36"/>
      </w:rPr>
    </w:lvl>
    <w:lvl w:ilvl="1" w:tentative="0">
      <w:start w:val="1"/>
      <w:numFmt w:val="decimal"/>
      <w:isLgl/>
      <w:suff w:val="space"/>
      <w:lvlText w:val="%1.%2"/>
      <w:lvlJc w:val="left"/>
      <w:pPr>
        <w:ind w:left="180" w:firstLine="0"/>
      </w:pPr>
      <w:rPr>
        <w:rFonts w:hint="default" w:ascii="Times New Roman" w:hAnsi="Times New Roman" w:eastAsia="宋体"/>
        <w:b/>
        <w:i w:val="0"/>
        <w:sz w:val="30"/>
      </w:rPr>
    </w:lvl>
    <w:lvl w:ilvl="2" w:tentative="0">
      <w:start w:val="1"/>
      <w:numFmt w:val="decimal"/>
      <w:isLgl/>
      <w:suff w:val="space"/>
      <w:lvlText w:val="%1.%2.%3"/>
      <w:lvlJc w:val="left"/>
      <w:rPr>
        <w:rFonts w:hint="eastAsia" w:ascii="Times New Roman" w:hAnsi="Times New Roman"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360" w:firstLine="0"/>
      </w:pPr>
      <w:rPr>
        <w:rFonts w:hint="default" w:ascii="Times New Roman" w:hAnsi="Times New Roman" w:eastAsia="宋体"/>
        <w:b/>
        <w:i w:val="0"/>
        <w:sz w:val="24"/>
      </w:rPr>
    </w:lvl>
    <w:lvl w:ilvl="4" w:tentative="0">
      <w:start w:val="1"/>
      <w:numFmt w:val="decimal"/>
      <w:pStyle w:val="6"/>
      <w:suff w:val="space"/>
      <w:lvlText w:val="( %5 )"/>
      <w:lvlJc w:val="left"/>
      <w:pPr>
        <w:ind w:left="540" w:firstLine="0"/>
      </w:pPr>
      <w:rPr>
        <w:rFonts w:hint="eastAsia"/>
        <w:b w:val="0"/>
        <w:i w:val="0"/>
        <w:sz w:val="24"/>
      </w:rPr>
    </w:lvl>
    <w:lvl w:ilvl="5" w:tentative="0">
      <w:start w:val="1"/>
      <w:numFmt w:val="decimalEnclosedCircle"/>
      <w:suff w:val="space"/>
      <w:lvlText w:val="%6"/>
      <w:lvlJc w:val="left"/>
      <w:pPr>
        <w:ind w:left="720" w:firstLine="0"/>
      </w:pPr>
      <w:rPr>
        <w:rFonts w:hint="eastAsia"/>
      </w:rPr>
    </w:lvl>
    <w:lvl w:ilvl="6" w:tentative="0">
      <w:start w:val="1"/>
      <w:numFmt w:val="decimal"/>
      <w:lvlText w:val="%1.%2.%3.%4.%5.%6.%7"/>
      <w:lvlJc w:val="left"/>
      <w:pPr>
        <w:tabs>
          <w:tab w:val="left" w:pos="4715"/>
        </w:tabs>
        <w:ind w:left="4715" w:hanging="1276"/>
      </w:pPr>
      <w:rPr>
        <w:rFonts w:hint="eastAsia"/>
      </w:rPr>
    </w:lvl>
    <w:lvl w:ilvl="7" w:tentative="0">
      <w:start w:val="1"/>
      <w:numFmt w:val="decimal"/>
      <w:lvlText w:val="%1.%2.%3.%4.%5.%6.%7.%8"/>
      <w:lvlJc w:val="left"/>
      <w:pPr>
        <w:tabs>
          <w:tab w:val="left" w:pos="5282"/>
        </w:tabs>
        <w:ind w:left="5282" w:hanging="1418"/>
      </w:pPr>
      <w:rPr>
        <w:rFonts w:hint="eastAsia"/>
      </w:rPr>
    </w:lvl>
    <w:lvl w:ilvl="8" w:tentative="0">
      <w:start w:val="1"/>
      <w:numFmt w:val="decimal"/>
      <w:lvlText w:val="%1.%2.%3.%4.%5.%6.%7.%8.%9"/>
      <w:lvlJc w:val="left"/>
      <w:pPr>
        <w:tabs>
          <w:tab w:val="left" w:pos="5990"/>
        </w:tabs>
        <w:ind w:left="5990"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1NDY3YzlmNTM5MTA4YTk4Y2NhMmMwYzcyMjRkMWUifQ=="/>
  </w:docVars>
  <w:rsids>
    <w:rsidRoot w:val="00D75595"/>
    <w:rsid w:val="000003CB"/>
    <w:rsid w:val="0004005D"/>
    <w:rsid w:val="000434A7"/>
    <w:rsid w:val="000553D0"/>
    <w:rsid w:val="00073AF6"/>
    <w:rsid w:val="000824ED"/>
    <w:rsid w:val="00085AB9"/>
    <w:rsid w:val="00090A0C"/>
    <w:rsid w:val="00096D3E"/>
    <w:rsid w:val="000A442E"/>
    <w:rsid w:val="000A4517"/>
    <w:rsid w:val="000D085C"/>
    <w:rsid w:val="000E2067"/>
    <w:rsid w:val="000E31AC"/>
    <w:rsid w:val="000E44FF"/>
    <w:rsid w:val="000E6BB4"/>
    <w:rsid w:val="000F2ABF"/>
    <w:rsid w:val="00111B9C"/>
    <w:rsid w:val="00121555"/>
    <w:rsid w:val="00121619"/>
    <w:rsid w:val="00126692"/>
    <w:rsid w:val="00126DE5"/>
    <w:rsid w:val="001363BC"/>
    <w:rsid w:val="001E5D80"/>
    <w:rsid w:val="002060D3"/>
    <w:rsid w:val="00224555"/>
    <w:rsid w:val="00235324"/>
    <w:rsid w:val="0024302D"/>
    <w:rsid w:val="00243C89"/>
    <w:rsid w:val="00252EB1"/>
    <w:rsid w:val="00253B1B"/>
    <w:rsid w:val="00270177"/>
    <w:rsid w:val="00281B61"/>
    <w:rsid w:val="00294282"/>
    <w:rsid w:val="002A19F9"/>
    <w:rsid w:val="002A6E11"/>
    <w:rsid w:val="002B3965"/>
    <w:rsid w:val="002C54E7"/>
    <w:rsid w:val="002E6FC8"/>
    <w:rsid w:val="00310E88"/>
    <w:rsid w:val="003245BC"/>
    <w:rsid w:val="00324F3E"/>
    <w:rsid w:val="00336D33"/>
    <w:rsid w:val="00360F83"/>
    <w:rsid w:val="003A599B"/>
    <w:rsid w:val="003D2FAF"/>
    <w:rsid w:val="003D33B6"/>
    <w:rsid w:val="003E6C9E"/>
    <w:rsid w:val="00405343"/>
    <w:rsid w:val="0041399B"/>
    <w:rsid w:val="00417127"/>
    <w:rsid w:val="004275BE"/>
    <w:rsid w:val="00435E44"/>
    <w:rsid w:val="0044722D"/>
    <w:rsid w:val="00454193"/>
    <w:rsid w:val="004543B9"/>
    <w:rsid w:val="00472263"/>
    <w:rsid w:val="00472F57"/>
    <w:rsid w:val="004947CA"/>
    <w:rsid w:val="00496F90"/>
    <w:rsid w:val="004B6260"/>
    <w:rsid w:val="004B6E03"/>
    <w:rsid w:val="004C2130"/>
    <w:rsid w:val="004D664F"/>
    <w:rsid w:val="005236EE"/>
    <w:rsid w:val="005316DF"/>
    <w:rsid w:val="00531D26"/>
    <w:rsid w:val="0054124A"/>
    <w:rsid w:val="00562D0C"/>
    <w:rsid w:val="00593201"/>
    <w:rsid w:val="005D048A"/>
    <w:rsid w:val="0060444B"/>
    <w:rsid w:val="0060792C"/>
    <w:rsid w:val="00620FE7"/>
    <w:rsid w:val="00631AF9"/>
    <w:rsid w:val="0064519C"/>
    <w:rsid w:val="00645ECE"/>
    <w:rsid w:val="00684A79"/>
    <w:rsid w:val="006869B8"/>
    <w:rsid w:val="00695167"/>
    <w:rsid w:val="006961C2"/>
    <w:rsid w:val="006A58A4"/>
    <w:rsid w:val="006C34A2"/>
    <w:rsid w:val="006C61AF"/>
    <w:rsid w:val="006E1FCA"/>
    <w:rsid w:val="006E4288"/>
    <w:rsid w:val="006E5C91"/>
    <w:rsid w:val="006F4609"/>
    <w:rsid w:val="00703ECA"/>
    <w:rsid w:val="0070639B"/>
    <w:rsid w:val="00722735"/>
    <w:rsid w:val="0072306E"/>
    <w:rsid w:val="00724302"/>
    <w:rsid w:val="00726711"/>
    <w:rsid w:val="0073361C"/>
    <w:rsid w:val="00743A80"/>
    <w:rsid w:val="007618D3"/>
    <w:rsid w:val="007717DA"/>
    <w:rsid w:val="00775DC4"/>
    <w:rsid w:val="0079241C"/>
    <w:rsid w:val="007C0961"/>
    <w:rsid w:val="007D627F"/>
    <w:rsid w:val="008026CB"/>
    <w:rsid w:val="00810AB1"/>
    <w:rsid w:val="00816B52"/>
    <w:rsid w:val="0081767B"/>
    <w:rsid w:val="00823D4F"/>
    <w:rsid w:val="00837A61"/>
    <w:rsid w:val="00842B08"/>
    <w:rsid w:val="00850AF6"/>
    <w:rsid w:val="00867A10"/>
    <w:rsid w:val="00880FCB"/>
    <w:rsid w:val="00883DAE"/>
    <w:rsid w:val="00891112"/>
    <w:rsid w:val="0089571F"/>
    <w:rsid w:val="008957A1"/>
    <w:rsid w:val="008B213D"/>
    <w:rsid w:val="008C414C"/>
    <w:rsid w:val="008E6503"/>
    <w:rsid w:val="008E7118"/>
    <w:rsid w:val="008F0E34"/>
    <w:rsid w:val="00900365"/>
    <w:rsid w:val="0091026B"/>
    <w:rsid w:val="00914BD7"/>
    <w:rsid w:val="00941184"/>
    <w:rsid w:val="00944EC9"/>
    <w:rsid w:val="00944F94"/>
    <w:rsid w:val="00951C8D"/>
    <w:rsid w:val="00951E5C"/>
    <w:rsid w:val="009959F4"/>
    <w:rsid w:val="009A76FF"/>
    <w:rsid w:val="009B3A8B"/>
    <w:rsid w:val="009B4364"/>
    <w:rsid w:val="009B7583"/>
    <w:rsid w:val="009C22A3"/>
    <w:rsid w:val="009C34B2"/>
    <w:rsid w:val="009E3B1E"/>
    <w:rsid w:val="009E5B7B"/>
    <w:rsid w:val="009E6CEA"/>
    <w:rsid w:val="009F763B"/>
    <w:rsid w:val="00A13287"/>
    <w:rsid w:val="00A23E68"/>
    <w:rsid w:val="00A26B10"/>
    <w:rsid w:val="00A321A7"/>
    <w:rsid w:val="00A32FAE"/>
    <w:rsid w:val="00A3347B"/>
    <w:rsid w:val="00A34DE8"/>
    <w:rsid w:val="00A44B7A"/>
    <w:rsid w:val="00A71273"/>
    <w:rsid w:val="00A718EC"/>
    <w:rsid w:val="00A87B87"/>
    <w:rsid w:val="00AA3EA4"/>
    <w:rsid w:val="00AB0FE6"/>
    <w:rsid w:val="00AB53DC"/>
    <w:rsid w:val="00AC1466"/>
    <w:rsid w:val="00AD5BD6"/>
    <w:rsid w:val="00AE5141"/>
    <w:rsid w:val="00AF4EB8"/>
    <w:rsid w:val="00B05A16"/>
    <w:rsid w:val="00B37FA2"/>
    <w:rsid w:val="00B620E7"/>
    <w:rsid w:val="00B71F73"/>
    <w:rsid w:val="00B82709"/>
    <w:rsid w:val="00B93AB6"/>
    <w:rsid w:val="00BB465B"/>
    <w:rsid w:val="00BE0E82"/>
    <w:rsid w:val="00BE311D"/>
    <w:rsid w:val="00BE7A16"/>
    <w:rsid w:val="00BF1F3F"/>
    <w:rsid w:val="00BF4889"/>
    <w:rsid w:val="00C0744F"/>
    <w:rsid w:val="00C32CA3"/>
    <w:rsid w:val="00C5422D"/>
    <w:rsid w:val="00C56C45"/>
    <w:rsid w:val="00C72A09"/>
    <w:rsid w:val="00C80AD4"/>
    <w:rsid w:val="00C931EC"/>
    <w:rsid w:val="00C9491F"/>
    <w:rsid w:val="00D073A0"/>
    <w:rsid w:val="00D07BC8"/>
    <w:rsid w:val="00D5049D"/>
    <w:rsid w:val="00D75595"/>
    <w:rsid w:val="00D8063C"/>
    <w:rsid w:val="00D906A0"/>
    <w:rsid w:val="00D94013"/>
    <w:rsid w:val="00D95E22"/>
    <w:rsid w:val="00DA369B"/>
    <w:rsid w:val="00DC203A"/>
    <w:rsid w:val="00DC32D8"/>
    <w:rsid w:val="00DC3D80"/>
    <w:rsid w:val="00DD0058"/>
    <w:rsid w:val="00DD3725"/>
    <w:rsid w:val="00DE626E"/>
    <w:rsid w:val="00DF14A6"/>
    <w:rsid w:val="00DF1A67"/>
    <w:rsid w:val="00E05FAB"/>
    <w:rsid w:val="00E12753"/>
    <w:rsid w:val="00E40080"/>
    <w:rsid w:val="00E406D8"/>
    <w:rsid w:val="00E442E9"/>
    <w:rsid w:val="00E54011"/>
    <w:rsid w:val="00E86AE6"/>
    <w:rsid w:val="00E931F5"/>
    <w:rsid w:val="00EB3C7A"/>
    <w:rsid w:val="00ED39D6"/>
    <w:rsid w:val="00EF5EFA"/>
    <w:rsid w:val="00F1280E"/>
    <w:rsid w:val="00F26133"/>
    <w:rsid w:val="00F43BAC"/>
    <w:rsid w:val="00F4775D"/>
    <w:rsid w:val="00F63DB5"/>
    <w:rsid w:val="00F6457D"/>
    <w:rsid w:val="00F655DE"/>
    <w:rsid w:val="00F75F66"/>
    <w:rsid w:val="00FA0BE2"/>
    <w:rsid w:val="00FA390F"/>
    <w:rsid w:val="00FB7A1B"/>
    <w:rsid w:val="00FD01FD"/>
    <w:rsid w:val="01170933"/>
    <w:rsid w:val="016E3A6C"/>
    <w:rsid w:val="019439E4"/>
    <w:rsid w:val="01BA3A4F"/>
    <w:rsid w:val="01F935F9"/>
    <w:rsid w:val="01FA2545"/>
    <w:rsid w:val="0288091B"/>
    <w:rsid w:val="02A37F45"/>
    <w:rsid w:val="02E41392"/>
    <w:rsid w:val="035006CE"/>
    <w:rsid w:val="03534BA4"/>
    <w:rsid w:val="037D0DE0"/>
    <w:rsid w:val="03AB0F73"/>
    <w:rsid w:val="03B97CC9"/>
    <w:rsid w:val="03BB44CE"/>
    <w:rsid w:val="03D50CE5"/>
    <w:rsid w:val="041E3592"/>
    <w:rsid w:val="04316D12"/>
    <w:rsid w:val="0437492F"/>
    <w:rsid w:val="04C51B3E"/>
    <w:rsid w:val="04E961A2"/>
    <w:rsid w:val="05527F96"/>
    <w:rsid w:val="05685F23"/>
    <w:rsid w:val="056F17D9"/>
    <w:rsid w:val="057666F2"/>
    <w:rsid w:val="05AD77A7"/>
    <w:rsid w:val="062676BF"/>
    <w:rsid w:val="063302DF"/>
    <w:rsid w:val="06B11285"/>
    <w:rsid w:val="06C63942"/>
    <w:rsid w:val="07672F17"/>
    <w:rsid w:val="08212C67"/>
    <w:rsid w:val="082B4E14"/>
    <w:rsid w:val="08617918"/>
    <w:rsid w:val="09191248"/>
    <w:rsid w:val="09D1383A"/>
    <w:rsid w:val="0A6C0177"/>
    <w:rsid w:val="0B2D50B2"/>
    <w:rsid w:val="0BB32337"/>
    <w:rsid w:val="0BEC2BDA"/>
    <w:rsid w:val="0D542463"/>
    <w:rsid w:val="0D825A8B"/>
    <w:rsid w:val="0D855573"/>
    <w:rsid w:val="0DC97CC2"/>
    <w:rsid w:val="0EEB4272"/>
    <w:rsid w:val="0F620EA3"/>
    <w:rsid w:val="0FAF1FF5"/>
    <w:rsid w:val="0FFE098A"/>
    <w:rsid w:val="10D823EF"/>
    <w:rsid w:val="10F32C20"/>
    <w:rsid w:val="113E0119"/>
    <w:rsid w:val="117C66D8"/>
    <w:rsid w:val="119727DC"/>
    <w:rsid w:val="11BF511D"/>
    <w:rsid w:val="12575F0C"/>
    <w:rsid w:val="12B63CED"/>
    <w:rsid w:val="14661066"/>
    <w:rsid w:val="150C42FE"/>
    <w:rsid w:val="15236652"/>
    <w:rsid w:val="158E2C91"/>
    <w:rsid w:val="15CF4861"/>
    <w:rsid w:val="162D27D1"/>
    <w:rsid w:val="172D53F1"/>
    <w:rsid w:val="18102C21"/>
    <w:rsid w:val="18A96915"/>
    <w:rsid w:val="19056E64"/>
    <w:rsid w:val="192E1334"/>
    <w:rsid w:val="19401075"/>
    <w:rsid w:val="1A032A8D"/>
    <w:rsid w:val="1A5D3890"/>
    <w:rsid w:val="1AE6762C"/>
    <w:rsid w:val="1B7E5D1E"/>
    <w:rsid w:val="1CDB12CB"/>
    <w:rsid w:val="1D6E55A1"/>
    <w:rsid w:val="1DBF1EB5"/>
    <w:rsid w:val="1E44139C"/>
    <w:rsid w:val="1E5921D0"/>
    <w:rsid w:val="1EFF7608"/>
    <w:rsid w:val="1F3A5DE3"/>
    <w:rsid w:val="1FD5051A"/>
    <w:rsid w:val="21246103"/>
    <w:rsid w:val="228B5EDA"/>
    <w:rsid w:val="22C57637"/>
    <w:rsid w:val="22F15E3D"/>
    <w:rsid w:val="22F914DD"/>
    <w:rsid w:val="232A6612"/>
    <w:rsid w:val="23952DE0"/>
    <w:rsid w:val="23BA6D92"/>
    <w:rsid w:val="24D033E1"/>
    <w:rsid w:val="24E20BC8"/>
    <w:rsid w:val="2575323C"/>
    <w:rsid w:val="26BB3FF1"/>
    <w:rsid w:val="27393945"/>
    <w:rsid w:val="27B00A8F"/>
    <w:rsid w:val="281C4C20"/>
    <w:rsid w:val="28B31227"/>
    <w:rsid w:val="28D20387"/>
    <w:rsid w:val="29C46B7D"/>
    <w:rsid w:val="2A3873C3"/>
    <w:rsid w:val="2A3D1330"/>
    <w:rsid w:val="2AF30AF4"/>
    <w:rsid w:val="2B280474"/>
    <w:rsid w:val="2B6E0DBE"/>
    <w:rsid w:val="2BF66D21"/>
    <w:rsid w:val="2C462B5E"/>
    <w:rsid w:val="2C4C0267"/>
    <w:rsid w:val="2CD809E0"/>
    <w:rsid w:val="2D487DFB"/>
    <w:rsid w:val="2DA70000"/>
    <w:rsid w:val="2DC133DF"/>
    <w:rsid w:val="2E597D6D"/>
    <w:rsid w:val="2E7425EC"/>
    <w:rsid w:val="2EC25066"/>
    <w:rsid w:val="2EE9640A"/>
    <w:rsid w:val="2F212059"/>
    <w:rsid w:val="2F657E0E"/>
    <w:rsid w:val="2F967648"/>
    <w:rsid w:val="300D2F16"/>
    <w:rsid w:val="306B21D4"/>
    <w:rsid w:val="30DF4720"/>
    <w:rsid w:val="30FC037F"/>
    <w:rsid w:val="31572824"/>
    <w:rsid w:val="31E04847"/>
    <w:rsid w:val="321C4E59"/>
    <w:rsid w:val="32282096"/>
    <w:rsid w:val="3330453B"/>
    <w:rsid w:val="34A91542"/>
    <w:rsid w:val="34FE2487"/>
    <w:rsid w:val="35CB0F7F"/>
    <w:rsid w:val="364F7BE0"/>
    <w:rsid w:val="365715F2"/>
    <w:rsid w:val="365F436F"/>
    <w:rsid w:val="367D530A"/>
    <w:rsid w:val="36CD4E12"/>
    <w:rsid w:val="373A5879"/>
    <w:rsid w:val="381B2841"/>
    <w:rsid w:val="38AA2EDF"/>
    <w:rsid w:val="3A3B3060"/>
    <w:rsid w:val="3C510E67"/>
    <w:rsid w:val="3C8935A3"/>
    <w:rsid w:val="3C8B0E0E"/>
    <w:rsid w:val="3CE26941"/>
    <w:rsid w:val="3CE66A30"/>
    <w:rsid w:val="3D1960D3"/>
    <w:rsid w:val="3D505120"/>
    <w:rsid w:val="3D696951"/>
    <w:rsid w:val="3D732D02"/>
    <w:rsid w:val="3DD752B1"/>
    <w:rsid w:val="3E31474A"/>
    <w:rsid w:val="3EB321A1"/>
    <w:rsid w:val="3F0043E8"/>
    <w:rsid w:val="416D11DA"/>
    <w:rsid w:val="418A1593"/>
    <w:rsid w:val="41AB1A22"/>
    <w:rsid w:val="42267F66"/>
    <w:rsid w:val="44786454"/>
    <w:rsid w:val="46660971"/>
    <w:rsid w:val="468E5764"/>
    <w:rsid w:val="46C21C03"/>
    <w:rsid w:val="47152B0E"/>
    <w:rsid w:val="47EA1216"/>
    <w:rsid w:val="47EA5CC6"/>
    <w:rsid w:val="48262C1F"/>
    <w:rsid w:val="48783BDF"/>
    <w:rsid w:val="48AF4FDC"/>
    <w:rsid w:val="48B83026"/>
    <w:rsid w:val="493F26F7"/>
    <w:rsid w:val="49E01865"/>
    <w:rsid w:val="4A7A3890"/>
    <w:rsid w:val="4AD97B68"/>
    <w:rsid w:val="4BC82D38"/>
    <w:rsid w:val="4C33213B"/>
    <w:rsid w:val="4C393501"/>
    <w:rsid w:val="4C5D29D1"/>
    <w:rsid w:val="4D3E0E14"/>
    <w:rsid w:val="4DC90790"/>
    <w:rsid w:val="4DD47EDC"/>
    <w:rsid w:val="4EC713B6"/>
    <w:rsid w:val="4F1B24E0"/>
    <w:rsid w:val="4F480CDE"/>
    <w:rsid w:val="4FBB2BDE"/>
    <w:rsid w:val="4FD819E7"/>
    <w:rsid w:val="4FE45FA0"/>
    <w:rsid w:val="50F761D9"/>
    <w:rsid w:val="516A68B5"/>
    <w:rsid w:val="524515BD"/>
    <w:rsid w:val="53300AD1"/>
    <w:rsid w:val="539C389A"/>
    <w:rsid w:val="53AF336E"/>
    <w:rsid w:val="53E24934"/>
    <w:rsid w:val="546C26B9"/>
    <w:rsid w:val="54853743"/>
    <w:rsid w:val="55C51987"/>
    <w:rsid w:val="56296BAB"/>
    <w:rsid w:val="5630121A"/>
    <w:rsid w:val="567F1177"/>
    <w:rsid w:val="57DB6BC5"/>
    <w:rsid w:val="57FF515B"/>
    <w:rsid w:val="587939C8"/>
    <w:rsid w:val="58B84EC8"/>
    <w:rsid w:val="58BC00DB"/>
    <w:rsid w:val="59141D65"/>
    <w:rsid w:val="59164EF0"/>
    <w:rsid w:val="59C74711"/>
    <w:rsid w:val="59F9083F"/>
    <w:rsid w:val="59F94FCA"/>
    <w:rsid w:val="5A817034"/>
    <w:rsid w:val="5A995F2D"/>
    <w:rsid w:val="5AFB39CB"/>
    <w:rsid w:val="5B500161"/>
    <w:rsid w:val="5B81367E"/>
    <w:rsid w:val="5B831757"/>
    <w:rsid w:val="5CAA0BA4"/>
    <w:rsid w:val="5CB06623"/>
    <w:rsid w:val="5CBB7205"/>
    <w:rsid w:val="5DFC1211"/>
    <w:rsid w:val="5EB60CCF"/>
    <w:rsid w:val="5EC64CF9"/>
    <w:rsid w:val="5F1155D8"/>
    <w:rsid w:val="5F17346F"/>
    <w:rsid w:val="602E20D9"/>
    <w:rsid w:val="60CA3E22"/>
    <w:rsid w:val="613060FE"/>
    <w:rsid w:val="62F40ED1"/>
    <w:rsid w:val="633B5253"/>
    <w:rsid w:val="635C258D"/>
    <w:rsid w:val="649F4216"/>
    <w:rsid w:val="653C570D"/>
    <w:rsid w:val="65C52C36"/>
    <w:rsid w:val="674D5DD8"/>
    <w:rsid w:val="67786A75"/>
    <w:rsid w:val="698B12A5"/>
    <w:rsid w:val="6A602D2B"/>
    <w:rsid w:val="6B52371D"/>
    <w:rsid w:val="6C003CF1"/>
    <w:rsid w:val="6CAF2C15"/>
    <w:rsid w:val="6CBC7C38"/>
    <w:rsid w:val="6D446D96"/>
    <w:rsid w:val="6D9A1056"/>
    <w:rsid w:val="6E476932"/>
    <w:rsid w:val="6ED34534"/>
    <w:rsid w:val="70CF37DB"/>
    <w:rsid w:val="71145EC7"/>
    <w:rsid w:val="712A4EB4"/>
    <w:rsid w:val="72677C3B"/>
    <w:rsid w:val="72EA3164"/>
    <w:rsid w:val="73165014"/>
    <w:rsid w:val="73883629"/>
    <w:rsid w:val="73CC0FAC"/>
    <w:rsid w:val="74BE66A5"/>
    <w:rsid w:val="74ED46D1"/>
    <w:rsid w:val="754A6BDF"/>
    <w:rsid w:val="75BB69C6"/>
    <w:rsid w:val="76B0757A"/>
    <w:rsid w:val="77A42B90"/>
    <w:rsid w:val="78CE0D8B"/>
    <w:rsid w:val="799D433C"/>
    <w:rsid w:val="79F42D87"/>
    <w:rsid w:val="7B535FDD"/>
    <w:rsid w:val="7B55214E"/>
    <w:rsid w:val="7CD833EB"/>
    <w:rsid w:val="7E160CD0"/>
    <w:rsid w:val="7E3A2CE9"/>
    <w:rsid w:val="7E996541"/>
    <w:rsid w:val="7ED450AA"/>
    <w:rsid w:val="7EDE4F65"/>
    <w:rsid w:val="7F361788"/>
    <w:rsid w:val="7F5D6E1B"/>
    <w:rsid w:val="7FAD7ECD"/>
    <w:rsid w:val="7FBC7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spacing w:line="420" w:lineRule="exact"/>
      <w:jc w:val="center"/>
      <w:outlineLvl w:val="1"/>
    </w:pPr>
    <w:rPr>
      <w:sz w:val="24"/>
    </w:rPr>
  </w:style>
  <w:style w:type="paragraph" w:styleId="4">
    <w:name w:val="heading 3"/>
    <w:basedOn w:val="1"/>
    <w:next w:val="1"/>
    <w:link w:val="71"/>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semiHidden/>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qFormat/>
    <w:uiPriority w:val="0"/>
    <w:pPr>
      <w:numPr>
        <w:ilvl w:val="4"/>
        <w:numId w:val="2"/>
      </w:numPr>
      <w:tabs>
        <w:tab w:val="left" w:pos="289"/>
      </w:tabs>
      <w:spacing w:before="25" w:after="25"/>
      <w:ind w:left="0" w:firstLine="200"/>
      <w:outlineLvl w:val="4"/>
    </w:pPr>
    <w:rPr>
      <w:bCs/>
      <w:kern w:val="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7">
    <w:name w:val="Note Heading"/>
    <w:basedOn w:val="1"/>
    <w:next w:val="1"/>
    <w:qFormat/>
    <w:uiPriority w:val="0"/>
    <w:pPr>
      <w:jc w:val="center"/>
    </w:pPr>
  </w:style>
  <w:style w:type="paragraph" w:styleId="8">
    <w:name w:val="Normal Indent"/>
    <w:basedOn w:val="1"/>
    <w:next w:val="9"/>
    <w:link w:val="48"/>
    <w:qFormat/>
    <w:uiPriority w:val="0"/>
    <w:pPr>
      <w:ind w:firstLine="420"/>
    </w:pPr>
    <w:rPr>
      <w:rFonts w:asciiTheme="minorHAnsi" w:hAnsiTheme="minorHAnsi" w:cstheme="minorBidi"/>
      <w:sz w:val="30"/>
      <w:szCs w:val="22"/>
    </w:rPr>
  </w:style>
  <w:style w:type="paragraph" w:styleId="9">
    <w:name w:val="toc 1"/>
    <w:basedOn w:val="1"/>
    <w:next w:val="1"/>
    <w:qFormat/>
    <w:uiPriority w:val="0"/>
  </w:style>
  <w:style w:type="paragraph" w:styleId="10">
    <w:name w:val="caption"/>
    <w:basedOn w:val="1"/>
    <w:next w:val="1"/>
    <w:link w:val="53"/>
    <w:qFormat/>
    <w:uiPriority w:val="0"/>
    <w:pPr>
      <w:spacing w:before="6" w:after="6" w:line="0" w:lineRule="atLeast"/>
    </w:pPr>
    <w:rPr>
      <w:rFonts w:ascii="Arial" w:hAnsi="Arial"/>
      <w:kern w:val="24"/>
      <w:sz w:val="24"/>
    </w:rPr>
  </w:style>
  <w:style w:type="paragraph" w:styleId="11">
    <w:name w:val="Document Map"/>
    <w:basedOn w:val="1"/>
    <w:link w:val="43"/>
    <w:semiHidden/>
    <w:unhideWhenUsed/>
    <w:qFormat/>
    <w:uiPriority w:val="99"/>
    <w:rPr>
      <w:rFonts w:ascii="宋体"/>
      <w:sz w:val="18"/>
      <w:szCs w:val="18"/>
    </w:rPr>
  </w:style>
  <w:style w:type="paragraph" w:styleId="12">
    <w:name w:val="annotation text"/>
    <w:basedOn w:val="1"/>
    <w:link w:val="121"/>
    <w:autoRedefine/>
    <w:qFormat/>
    <w:uiPriority w:val="0"/>
    <w:pPr>
      <w:jc w:val="left"/>
    </w:pPr>
  </w:style>
  <w:style w:type="paragraph" w:styleId="13">
    <w:name w:val="Body Text"/>
    <w:basedOn w:val="1"/>
    <w:next w:val="1"/>
    <w:link w:val="47"/>
    <w:autoRedefine/>
    <w:semiHidden/>
    <w:unhideWhenUsed/>
    <w:qFormat/>
    <w:uiPriority w:val="99"/>
    <w:pPr>
      <w:spacing w:after="120"/>
    </w:pPr>
  </w:style>
  <w:style w:type="paragraph" w:styleId="14">
    <w:name w:val="Body Text Indent"/>
    <w:basedOn w:val="1"/>
    <w:next w:val="15"/>
    <w:autoRedefine/>
    <w:qFormat/>
    <w:uiPriority w:val="0"/>
    <w:pPr>
      <w:spacing w:after="120"/>
      <w:ind w:left="420" w:leftChars="200"/>
    </w:pPr>
    <w:rPr>
      <w:kern w:val="0"/>
      <w:sz w:val="24"/>
      <w:szCs w:val="20"/>
    </w:rPr>
  </w:style>
  <w:style w:type="paragraph" w:styleId="15">
    <w:name w:val="header"/>
    <w:basedOn w:val="1"/>
    <w:next w:val="1"/>
    <w:link w:val="4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Plain Text"/>
    <w:basedOn w:val="1"/>
    <w:link w:val="63"/>
    <w:autoRedefine/>
    <w:semiHidden/>
    <w:unhideWhenUsed/>
    <w:qFormat/>
    <w:uiPriority w:val="99"/>
    <w:rPr>
      <w:rFonts w:ascii="宋体" w:hAnsi="Courier New" w:cs="Courier New"/>
      <w:szCs w:val="21"/>
    </w:rPr>
  </w:style>
  <w:style w:type="paragraph" w:styleId="17">
    <w:name w:val="Balloon Text"/>
    <w:basedOn w:val="1"/>
    <w:link w:val="61"/>
    <w:autoRedefine/>
    <w:semiHidden/>
    <w:unhideWhenUsed/>
    <w:qFormat/>
    <w:uiPriority w:val="99"/>
    <w:rPr>
      <w:sz w:val="18"/>
      <w:szCs w:val="18"/>
    </w:rPr>
  </w:style>
  <w:style w:type="paragraph" w:styleId="18">
    <w:name w:val="footer"/>
    <w:basedOn w:val="1"/>
    <w:link w:val="4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9">
    <w:name w:val="table of figures"/>
    <w:basedOn w:val="1"/>
    <w:next w:val="1"/>
    <w:qFormat/>
    <w:uiPriority w:val="0"/>
    <w:pPr>
      <w:ind w:left="1920" w:leftChars="200"/>
      <w:jc w:val="center"/>
    </w:pPr>
    <w:rPr>
      <w:b/>
    </w:rPr>
  </w:style>
  <w:style w:type="paragraph" w:styleId="20">
    <w:name w:val="Body Text 2"/>
    <w:basedOn w:val="1"/>
    <w:next w:val="1"/>
    <w:unhideWhenUsed/>
    <w:qFormat/>
    <w:uiPriority w:val="99"/>
    <w:pPr>
      <w:spacing w:after="120" w:line="480" w:lineRule="auto"/>
    </w:pPr>
  </w:style>
  <w:style w:type="paragraph" w:styleId="21">
    <w:name w:val="Normal (Web)"/>
    <w:basedOn w:val="1"/>
    <w:link w:val="38"/>
    <w:qFormat/>
    <w:uiPriority w:val="99"/>
    <w:pPr>
      <w:widowControl/>
      <w:spacing w:before="100" w:beforeAutospacing="1" w:after="100" w:afterAutospacing="1"/>
      <w:jc w:val="left"/>
    </w:pPr>
    <w:rPr>
      <w:rFonts w:ascii="宋体" w:hAnsi="宋体" w:cstheme="minorBidi"/>
      <w:sz w:val="24"/>
      <w:szCs w:val="22"/>
    </w:rPr>
  </w:style>
  <w:style w:type="paragraph" w:styleId="22">
    <w:name w:val="annotation subject"/>
    <w:basedOn w:val="12"/>
    <w:next w:val="12"/>
    <w:link w:val="122"/>
    <w:semiHidden/>
    <w:unhideWhenUsed/>
    <w:qFormat/>
    <w:uiPriority w:val="99"/>
    <w:rPr>
      <w:b/>
      <w:bCs/>
    </w:rPr>
  </w:style>
  <w:style w:type="paragraph" w:styleId="23">
    <w:name w:val="Body Text First Indent"/>
    <w:basedOn w:val="13"/>
    <w:next w:val="1"/>
    <w:link w:val="50"/>
    <w:qFormat/>
    <w:uiPriority w:val="0"/>
    <w:pPr>
      <w:ind w:firstLine="420" w:firstLineChars="100"/>
    </w:pPr>
    <w:rPr>
      <w:rFonts w:eastAsia="黑体" w:asciiTheme="minorHAnsi" w:hAnsiTheme="minorHAnsi" w:cstheme="minorBidi"/>
      <w:spacing w:val="-20"/>
      <w:sz w:val="30"/>
      <w:szCs w:val="22"/>
    </w:rPr>
  </w:style>
  <w:style w:type="paragraph" w:styleId="24">
    <w:name w:val="Body Text First Indent 2"/>
    <w:basedOn w:val="14"/>
    <w:next w:val="1"/>
    <w:qFormat/>
    <w:uiPriority w:val="0"/>
    <w:pPr>
      <w:ind w:firstLine="420" w:firstLineChars="200"/>
    </w:pPr>
    <w:rPr>
      <w:sz w:val="21"/>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semiHidden/>
    <w:unhideWhenUsed/>
    <w:qFormat/>
    <w:uiPriority w:val="99"/>
    <w:rPr>
      <w:color w:val="0000FF"/>
      <w:u w:val="single"/>
    </w:rPr>
  </w:style>
  <w:style w:type="character" w:styleId="31">
    <w:name w:val="annotation reference"/>
    <w:basedOn w:val="27"/>
    <w:semiHidden/>
    <w:qFormat/>
    <w:uiPriority w:val="0"/>
    <w:rPr>
      <w:sz w:val="21"/>
    </w:rPr>
  </w:style>
  <w:style w:type="paragraph" w:customStyle="1" w:styleId="32">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3">
    <w:name w:val="Default"/>
    <w:basedOn w:val="34"/>
    <w:next w:val="1"/>
    <w:qFormat/>
    <w:uiPriority w:val="0"/>
    <w:pPr>
      <w:autoSpaceDE w:val="0"/>
      <w:autoSpaceDN w:val="0"/>
      <w:adjustRightInd w:val="0"/>
    </w:pPr>
    <w:rPr>
      <w:rFonts w:hAnsi="Times New Roman" w:cs="宋体"/>
      <w:color w:val="000000"/>
      <w:sz w:val="24"/>
    </w:rPr>
  </w:style>
  <w:style w:type="paragraph" w:customStyle="1" w:styleId="34">
    <w:name w:val="纯文本1"/>
    <w:basedOn w:val="1"/>
    <w:qFormat/>
    <w:uiPriority w:val="0"/>
    <w:rPr>
      <w:rFonts w:ascii="宋体" w:hAnsi="Courier New"/>
    </w:rPr>
  </w:style>
  <w:style w:type="paragraph" w:customStyle="1" w:styleId="35">
    <w:name w:val="样式5"/>
    <w:basedOn w:val="36"/>
    <w:qFormat/>
    <w:uiPriority w:val="0"/>
    <w:pPr>
      <w:ind w:firstLine="510"/>
    </w:pPr>
  </w:style>
  <w:style w:type="paragraph" w:customStyle="1" w:styleId="36">
    <w:name w:val="正文1"/>
    <w:basedOn w:val="1"/>
    <w:qFormat/>
    <w:uiPriority w:val="0"/>
    <w:pPr>
      <w:spacing w:line="360" w:lineRule="auto"/>
      <w:ind w:firstLine="200" w:firstLineChars="200"/>
    </w:pPr>
    <w:rPr>
      <w:kern w:val="0"/>
    </w:rPr>
  </w:style>
  <w:style w:type="character" w:customStyle="1" w:styleId="37">
    <w:name w:val="页脚 Char"/>
    <w:qFormat/>
    <w:locked/>
    <w:uiPriority w:val="0"/>
    <w:rPr>
      <w:sz w:val="18"/>
    </w:rPr>
  </w:style>
  <w:style w:type="character" w:customStyle="1" w:styleId="38">
    <w:name w:val="普通(网站) Char"/>
    <w:link w:val="21"/>
    <w:autoRedefine/>
    <w:qFormat/>
    <w:locked/>
    <w:uiPriority w:val="0"/>
    <w:rPr>
      <w:rFonts w:ascii="宋体" w:hAnsi="宋体" w:eastAsia="宋体"/>
      <w:sz w:val="24"/>
    </w:rPr>
  </w:style>
  <w:style w:type="character" w:customStyle="1" w:styleId="39">
    <w:name w:val="表格 Char"/>
    <w:link w:val="40"/>
    <w:qFormat/>
    <w:locked/>
    <w:uiPriority w:val="0"/>
    <w:rPr>
      <w:rFonts w:ascii="宋体"/>
    </w:rPr>
  </w:style>
  <w:style w:type="paragraph" w:customStyle="1" w:styleId="40">
    <w:name w:val="表格"/>
    <w:basedOn w:val="1"/>
    <w:next w:val="41"/>
    <w:link w:val="39"/>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paragraph" w:customStyle="1" w:styleId="41">
    <w:name w:val="正文首行"/>
    <w:basedOn w:val="8"/>
    <w:qFormat/>
    <w:uiPriority w:val="0"/>
    <w:pPr>
      <w:spacing w:line="480" w:lineRule="exact"/>
      <w:ind w:firstLine="200"/>
    </w:pPr>
  </w:style>
  <w:style w:type="character" w:customStyle="1" w:styleId="42">
    <w:name w:val="页脚 Char1"/>
    <w:basedOn w:val="27"/>
    <w:link w:val="18"/>
    <w:semiHidden/>
    <w:qFormat/>
    <w:uiPriority w:val="99"/>
    <w:rPr>
      <w:rFonts w:ascii="Times New Roman" w:hAnsi="Times New Roman" w:eastAsia="宋体" w:cs="Times New Roman"/>
      <w:sz w:val="18"/>
      <w:szCs w:val="18"/>
    </w:rPr>
  </w:style>
  <w:style w:type="character" w:customStyle="1" w:styleId="43">
    <w:name w:val="文档结构图 Char"/>
    <w:basedOn w:val="27"/>
    <w:link w:val="11"/>
    <w:semiHidden/>
    <w:qFormat/>
    <w:uiPriority w:val="99"/>
    <w:rPr>
      <w:rFonts w:ascii="宋体" w:hAnsi="Times New Roman" w:eastAsia="宋体" w:cs="Times New Roman"/>
      <w:sz w:val="18"/>
      <w:szCs w:val="18"/>
    </w:rPr>
  </w:style>
  <w:style w:type="character" w:customStyle="1" w:styleId="44">
    <w:name w:val="页眉 Char"/>
    <w:basedOn w:val="27"/>
    <w:link w:val="15"/>
    <w:qFormat/>
    <w:uiPriority w:val="0"/>
    <w:rPr>
      <w:rFonts w:ascii="Times New Roman" w:hAnsi="Times New Roman" w:eastAsia="宋体" w:cs="Times New Roman"/>
      <w:sz w:val="18"/>
      <w:szCs w:val="18"/>
    </w:rPr>
  </w:style>
  <w:style w:type="paragraph" w:customStyle="1" w:styleId="45">
    <w:name w:val="表内字"/>
    <w:qFormat/>
    <w:uiPriority w:val="0"/>
    <w:pPr>
      <w:snapToGrid w:val="0"/>
      <w:spacing w:line="240" w:lineRule="exact"/>
      <w:jc w:val="center"/>
    </w:pPr>
    <w:rPr>
      <w:rFonts w:ascii="Calibri" w:hAnsi="Calibri" w:eastAsia="仿宋_GB2312" w:cs="Times New Roman"/>
      <w:sz w:val="21"/>
      <w:szCs w:val="22"/>
      <w:lang w:val="en-US" w:eastAsia="zh-CN" w:bidi="ar-SA"/>
    </w:rPr>
  </w:style>
  <w:style w:type="character" w:customStyle="1" w:styleId="46">
    <w:name w:val="正文首行缩进 Char"/>
    <w:basedOn w:val="47"/>
    <w:qFormat/>
    <w:uiPriority w:val="0"/>
    <w:rPr>
      <w:rFonts w:ascii="Times New Roman" w:hAnsi="Times New Roman" w:eastAsia="黑体" w:cs="Times New Roman"/>
      <w:spacing w:val="-20"/>
      <w:sz w:val="30"/>
      <w:szCs w:val="24"/>
    </w:rPr>
  </w:style>
  <w:style w:type="character" w:customStyle="1" w:styleId="47">
    <w:name w:val="正文文本 Char"/>
    <w:basedOn w:val="27"/>
    <w:link w:val="13"/>
    <w:semiHidden/>
    <w:qFormat/>
    <w:uiPriority w:val="99"/>
    <w:rPr>
      <w:rFonts w:ascii="Times New Roman" w:hAnsi="Times New Roman" w:eastAsia="宋体" w:cs="Times New Roman"/>
      <w:szCs w:val="24"/>
    </w:rPr>
  </w:style>
  <w:style w:type="character" w:customStyle="1" w:styleId="48">
    <w:name w:val="正文缩进 Char"/>
    <w:basedOn w:val="27"/>
    <w:link w:val="8"/>
    <w:qFormat/>
    <w:uiPriority w:val="0"/>
    <w:rPr>
      <w:rFonts w:eastAsia="宋体"/>
      <w:sz w:val="30"/>
    </w:rPr>
  </w:style>
  <w:style w:type="character" w:customStyle="1" w:styleId="49">
    <w:name w:val="content1"/>
    <w:basedOn w:val="27"/>
    <w:qFormat/>
    <w:uiPriority w:val="0"/>
    <w:rPr>
      <w:color w:val="000000"/>
      <w:sz w:val="20"/>
      <w:szCs w:val="20"/>
    </w:rPr>
  </w:style>
  <w:style w:type="character" w:customStyle="1" w:styleId="50">
    <w:name w:val="正文首行缩进 Char1"/>
    <w:basedOn w:val="47"/>
    <w:link w:val="23"/>
    <w:semiHidden/>
    <w:qFormat/>
    <w:uiPriority w:val="99"/>
    <w:rPr>
      <w:rFonts w:ascii="Times New Roman" w:hAnsi="Times New Roman" w:eastAsia="宋体" w:cs="Times New Roman"/>
      <w:szCs w:val="24"/>
    </w:rPr>
  </w:style>
  <w:style w:type="paragraph" w:customStyle="1" w:styleId="51">
    <w:name w:val="样式 小四 首行缩进:  0.85 厘米 行距: 1.5 倍行距"/>
    <w:basedOn w:val="1"/>
    <w:qFormat/>
    <w:uiPriority w:val="0"/>
    <w:pPr>
      <w:spacing w:line="360" w:lineRule="auto"/>
      <w:ind w:firstLine="482"/>
    </w:pPr>
    <w:rPr>
      <w:sz w:val="24"/>
    </w:rPr>
  </w:style>
  <w:style w:type="paragraph" w:customStyle="1" w:styleId="52">
    <w:name w:val="正文 32"/>
    <w:basedOn w:val="1"/>
    <w:qFormat/>
    <w:uiPriority w:val="0"/>
    <w:pPr>
      <w:autoSpaceDE w:val="0"/>
      <w:autoSpaceDN w:val="0"/>
      <w:adjustRightInd w:val="0"/>
      <w:spacing w:line="300" w:lineRule="auto"/>
      <w:ind w:firstLine="567"/>
    </w:pPr>
    <w:rPr>
      <w:rFonts w:eastAsia="楷体_GB2312"/>
      <w:kern w:val="0"/>
      <w:sz w:val="24"/>
    </w:rPr>
  </w:style>
  <w:style w:type="character" w:customStyle="1" w:styleId="53">
    <w:name w:val="题注 Char"/>
    <w:link w:val="10"/>
    <w:qFormat/>
    <w:uiPriority w:val="0"/>
    <w:rPr>
      <w:rFonts w:ascii="Arial" w:hAnsi="Arial" w:eastAsia="宋体" w:cs="Times New Roman"/>
      <w:kern w:val="24"/>
      <w:sz w:val="24"/>
      <w:szCs w:val="24"/>
    </w:rPr>
  </w:style>
  <w:style w:type="paragraph" w:customStyle="1" w:styleId="54">
    <w:name w:val="az"/>
    <w:basedOn w:val="1"/>
    <w:autoRedefine/>
    <w:qFormat/>
    <w:uiPriority w:val="0"/>
    <w:pPr>
      <w:jc w:val="center"/>
    </w:pPr>
    <w:rPr>
      <w:color w:val="000000"/>
      <w:szCs w:val="21"/>
    </w:rPr>
  </w:style>
  <w:style w:type="paragraph" w:customStyle="1" w:styleId="55">
    <w:name w:val="1文章"/>
    <w:basedOn w:val="1"/>
    <w:autoRedefine/>
    <w:qFormat/>
    <w:uiPriority w:val="0"/>
    <w:pPr>
      <w:snapToGrid w:val="0"/>
      <w:spacing w:line="360" w:lineRule="auto"/>
      <w:ind w:firstLine="573"/>
    </w:pPr>
    <w:rPr>
      <w:rFonts w:eastAsia="仿宋_GB2312"/>
      <w:sz w:val="28"/>
      <w:szCs w:val="20"/>
    </w:rPr>
  </w:style>
  <w:style w:type="character" w:customStyle="1" w:styleId="56">
    <w:name w:val="表文字 Char"/>
    <w:basedOn w:val="27"/>
    <w:link w:val="57"/>
    <w:autoRedefine/>
    <w:qFormat/>
    <w:uiPriority w:val="0"/>
    <w:rPr>
      <w:rFonts w:eastAsia="宋体"/>
      <w:sz w:val="24"/>
    </w:rPr>
  </w:style>
  <w:style w:type="paragraph" w:customStyle="1" w:styleId="57">
    <w:name w:val="表文字"/>
    <w:basedOn w:val="1"/>
    <w:link w:val="56"/>
    <w:qFormat/>
    <w:uiPriority w:val="0"/>
    <w:pPr>
      <w:overflowPunct w:val="0"/>
      <w:autoSpaceDE w:val="0"/>
      <w:autoSpaceDN w:val="0"/>
      <w:adjustRightInd w:val="0"/>
      <w:jc w:val="center"/>
    </w:pPr>
    <w:rPr>
      <w:rFonts w:asciiTheme="minorHAnsi" w:hAnsiTheme="minorHAnsi" w:cstheme="minorBidi"/>
      <w:sz w:val="24"/>
      <w:szCs w:val="22"/>
    </w:rPr>
  </w:style>
  <w:style w:type="paragraph" w:customStyle="1" w:styleId="58">
    <w:name w:val="reader-word-layer"/>
    <w:basedOn w:val="1"/>
    <w:qFormat/>
    <w:uiPriority w:val="0"/>
    <w:pPr>
      <w:widowControl/>
      <w:spacing w:before="100" w:beforeAutospacing="1" w:after="100" w:afterAutospacing="1"/>
      <w:jc w:val="left"/>
    </w:pPr>
    <w:rPr>
      <w:rFonts w:ascii="宋体" w:hAnsi="宋体" w:cs="宋体"/>
      <w:kern w:val="0"/>
      <w:sz w:val="24"/>
      <w:szCs w:val="20"/>
    </w:rPr>
  </w:style>
  <w:style w:type="table" w:customStyle="1" w:styleId="59">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0">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61">
    <w:name w:val="批注框文本 Char"/>
    <w:basedOn w:val="27"/>
    <w:link w:val="17"/>
    <w:semiHidden/>
    <w:qFormat/>
    <w:uiPriority w:val="99"/>
    <w:rPr>
      <w:rFonts w:ascii="Times New Roman" w:hAnsi="Times New Roman" w:eastAsia="宋体" w:cs="Times New Roman"/>
      <w:sz w:val="18"/>
      <w:szCs w:val="18"/>
    </w:rPr>
  </w:style>
  <w:style w:type="paragraph" w:customStyle="1" w:styleId="62">
    <w:name w:val="表格内容"/>
    <w:basedOn w:val="16"/>
    <w:next w:val="16"/>
    <w:link w:val="77"/>
    <w:qFormat/>
    <w:uiPriority w:val="0"/>
    <w:pPr>
      <w:jc w:val="left"/>
    </w:pPr>
    <w:rPr>
      <w:rFonts w:ascii="Times New Roman" w:hAnsi="Times New Roman" w:eastAsia="Times New Roman" w:cs="Times New Roman"/>
    </w:rPr>
  </w:style>
  <w:style w:type="character" w:customStyle="1" w:styleId="63">
    <w:name w:val="纯文本 Char"/>
    <w:basedOn w:val="27"/>
    <w:link w:val="16"/>
    <w:autoRedefine/>
    <w:semiHidden/>
    <w:qFormat/>
    <w:uiPriority w:val="99"/>
    <w:rPr>
      <w:rFonts w:ascii="宋体" w:hAnsi="Courier New" w:eastAsia="宋体" w:cs="Courier New"/>
      <w:szCs w:val="21"/>
    </w:rPr>
  </w:style>
  <w:style w:type="paragraph" w:customStyle="1" w:styleId="64">
    <w:name w:val="标题 21"/>
    <w:basedOn w:val="1"/>
    <w:autoRedefine/>
    <w:qFormat/>
    <w:uiPriority w:val="1"/>
    <w:pPr>
      <w:autoSpaceDE w:val="0"/>
      <w:autoSpaceDN w:val="0"/>
      <w:adjustRightInd w:val="0"/>
      <w:ind w:left="714"/>
      <w:jc w:val="left"/>
      <w:outlineLvl w:val="1"/>
    </w:pPr>
    <w:rPr>
      <w:rFonts w:ascii="宋体" w:cs="宋体"/>
      <w:b/>
      <w:bCs/>
      <w:kern w:val="0"/>
      <w:sz w:val="24"/>
    </w:rPr>
  </w:style>
  <w:style w:type="character" w:customStyle="1" w:styleId="65">
    <w:name w:val="胡正文 Char"/>
    <w:link w:val="66"/>
    <w:autoRedefine/>
    <w:qFormat/>
    <w:uiPriority w:val="0"/>
    <w:rPr>
      <w:rFonts w:ascii="宋体" w:hAnsi="宋体"/>
      <w:sz w:val="24"/>
      <w:szCs w:val="28"/>
    </w:rPr>
  </w:style>
  <w:style w:type="paragraph" w:customStyle="1" w:styleId="66">
    <w:name w:val="胡正文"/>
    <w:basedOn w:val="1"/>
    <w:link w:val="65"/>
    <w:autoRedefine/>
    <w:qFormat/>
    <w:uiPriority w:val="0"/>
    <w:pPr>
      <w:spacing w:line="360" w:lineRule="auto"/>
      <w:ind w:firstLine="200" w:firstLineChars="200"/>
      <w:jc w:val="left"/>
    </w:pPr>
    <w:rPr>
      <w:rFonts w:ascii="宋体" w:hAnsi="宋体" w:eastAsiaTheme="minorEastAsia" w:cstheme="minorBidi"/>
      <w:sz w:val="24"/>
      <w:szCs w:val="28"/>
    </w:rPr>
  </w:style>
  <w:style w:type="paragraph" w:customStyle="1" w:styleId="67">
    <w:name w:val="正文修改"/>
    <w:basedOn w:val="1"/>
    <w:autoRedefine/>
    <w:qFormat/>
    <w:uiPriority w:val="0"/>
    <w:pPr>
      <w:spacing w:line="360" w:lineRule="auto"/>
      <w:ind w:firstLine="480" w:firstLineChars="200"/>
    </w:pPr>
    <w:rPr>
      <w:rFonts w:ascii="Calibri" w:hAnsi="Calibri" w:cs="宋体"/>
      <w:sz w:val="30"/>
      <w:szCs w:val="20"/>
    </w:rPr>
  </w:style>
  <w:style w:type="character" w:customStyle="1" w:styleId="68">
    <w:name w:val="报告书正文 Char"/>
    <w:basedOn w:val="27"/>
    <w:link w:val="69"/>
    <w:qFormat/>
    <w:uiPriority w:val="99"/>
    <w:rPr>
      <w:rFonts w:eastAsia="宋体"/>
      <w:sz w:val="24"/>
    </w:rPr>
  </w:style>
  <w:style w:type="paragraph" w:customStyle="1" w:styleId="69">
    <w:name w:val="报告书正文"/>
    <w:basedOn w:val="1"/>
    <w:link w:val="68"/>
    <w:qFormat/>
    <w:uiPriority w:val="99"/>
    <w:pPr>
      <w:spacing w:line="300" w:lineRule="auto"/>
      <w:ind w:firstLine="200" w:firstLineChars="200"/>
    </w:pPr>
    <w:rPr>
      <w:rFonts w:asciiTheme="minorHAnsi" w:hAnsiTheme="minorHAnsi" w:cstheme="minorBidi"/>
      <w:sz w:val="24"/>
      <w:szCs w:val="22"/>
    </w:rPr>
  </w:style>
  <w:style w:type="paragraph" w:customStyle="1" w:styleId="70">
    <w:name w:val="样式 行距: 固定值 24 磅 首行缩进:  1.47 字符"/>
    <w:basedOn w:val="1"/>
    <w:qFormat/>
    <w:uiPriority w:val="0"/>
    <w:pPr>
      <w:adjustRightInd w:val="0"/>
      <w:snapToGrid w:val="0"/>
      <w:spacing w:line="480" w:lineRule="exact"/>
      <w:ind w:firstLine="200" w:firstLineChars="200"/>
    </w:pPr>
    <w:rPr>
      <w:rFonts w:cs="宋体"/>
      <w:sz w:val="24"/>
      <w:szCs w:val="20"/>
    </w:rPr>
  </w:style>
  <w:style w:type="character" w:customStyle="1" w:styleId="71">
    <w:name w:val="标题 3 Char"/>
    <w:basedOn w:val="27"/>
    <w:link w:val="4"/>
    <w:qFormat/>
    <w:uiPriority w:val="0"/>
    <w:rPr>
      <w:rFonts w:ascii="Times New Roman" w:hAnsi="Times New Roman" w:eastAsia="宋体" w:cs="Times New Roman"/>
      <w:b/>
      <w:bCs/>
      <w:kern w:val="0"/>
      <w:sz w:val="32"/>
      <w:szCs w:val="32"/>
    </w:rPr>
  </w:style>
  <w:style w:type="character" w:customStyle="1" w:styleId="72">
    <w:name w:val="题注 Char1"/>
    <w:qFormat/>
    <w:uiPriority w:val="0"/>
    <w:rPr>
      <w:b/>
      <w:color w:val="000000"/>
      <w:sz w:val="24"/>
      <w:szCs w:val="21"/>
    </w:rPr>
  </w:style>
  <w:style w:type="character" w:customStyle="1" w:styleId="73">
    <w:name w:val="表格文字 Char"/>
    <w:link w:val="74"/>
    <w:qFormat/>
    <w:uiPriority w:val="0"/>
    <w:rPr>
      <w:rFonts w:ascii="仿宋_GB2312" w:hAnsi="Arial Black" w:eastAsia="仿宋_GB2312"/>
      <w:kern w:val="44"/>
      <w:sz w:val="24"/>
      <w:szCs w:val="24"/>
    </w:rPr>
  </w:style>
  <w:style w:type="paragraph" w:customStyle="1" w:styleId="74">
    <w:name w:val="表格文字"/>
    <w:basedOn w:val="13"/>
    <w:next w:val="1"/>
    <w:link w:val="73"/>
    <w:qFormat/>
    <w:uiPriority w:val="0"/>
    <w:pPr>
      <w:jc w:val="center"/>
    </w:pPr>
    <w:rPr>
      <w:rFonts w:ascii="仿宋_GB2312" w:hAnsi="Arial Black" w:eastAsia="仿宋_GB2312" w:cstheme="minorBidi"/>
      <w:kern w:val="44"/>
      <w:sz w:val="24"/>
    </w:rPr>
  </w:style>
  <w:style w:type="paragraph" w:customStyle="1" w:styleId="75">
    <w:name w:val="特殊标题３"/>
    <w:basedOn w:val="1"/>
    <w:qFormat/>
    <w:uiPriority w:val="0"/>
    <w:pPr>
      <w:overflowPunct w:val="0"/>
      <w:autoSpaceDE w:val="0"/>
      <w:autoSpaceDN w:val="0"/>
      <w:spacing w:line="360" w:lineRule="auto"/>
    </w:pPr>
    <w:rPr>
      <w:rFonts w:eastAsia="仿宋_GB2312"/>
      <w:sz w:val="28"/>
    </w:rPr>
  </w:style>
  <w:style w:type="paragraph" w:customStyle="1" w:styleId="76">
    <w:name w:val="正文_7"/>
    <w:qFormat/>
    <w:uiPriority w:val="0"/>
    <w:pPr>
      <w:widowControl w:val="0"/>
      <w:jc w:val="both"/>
    </w:pPr>
    <w:rPr>
      <w:rFonts w:ascii="Calibri" w:hAnsi="Calibri" w:eastAsia="宋体" w:cs="Times New Roman"/>
      <w:kern w:val="2"/>
      <w:sz w:val="21"/>
      <w:lang w:val="en-US" w:eastAsia="zh-CN" w:bidi="ar-SA"/>
    </w:rPr>
  </w:style>
  <w:style w:type="character" w:customStyle="1" w:styleId="77">
    <w:name w:val="表格内容 Char"/>
    <w:link w:val="62"/>
    <w:qFormat/>
    <w:uiPriority w:val="0"/>
    <w:rPr>
      <w:rFonts w:ascii="Times New Roman" w:hAnsi="Times New Roman" w:eastAsia="Times New Roman" w:cs="Times New Roman"/>
      <w:kern w:val="2"/>
      <w:sz w:val="21"/>
      <w:szCs w:val="21"/>
    </w:rPr>
  </w:style>
  <w:style w:type="paragraph" w:customStyle="1" w:styleId="78">
    <w:name w:val="标准正文"/>
    <w:basedOn w:val="1"/>
    <w:qFormat/>
    <w:uiPriority w:val="0"/>
    <w:pPr>
      <w:spacing w:line="360" w:lineRule="auto"/>
      <w:ind w:firstLine="480" w:firstLineChars="200"/>
    </w:pPr>
    <w:rPr>
      <w:rFonts w:hAnsi="宋体"/>
      <w:sz w:val="24"/>
    </w:rPr>
  </w:style>
  <w:style w:type="paragraph" w:customStyle="1" w:styleId="79">
    <w:name w:val="报告正文"/>
    <w:basedOn w:val="1"/>
    <w:qFormat/>
    <w:uiPriority w:val="0"/>
    <w:pPr>
      <w:adjustRightInd w:val="0"/>
      <w:spacing w:beforeLines="25" w:line="360" w:lineRule="auto"/>
      <w:ind w:firstLine="482"/>
      <w:textAlignment w:val="baseline"/>
    </w:pPr>
    <w:rPr>
      <w:kern w:val="24"/>
      <w:sz w:val="24"/>
      <w:szCs w:val="21"/>
    </w:rPr>
  </w:style>
  <w:style w:type="paragraph" w:customStyle="1" w:styleId="80">
    <w:name w:val="我的样式3"/>
    <w:basedOn w:val="1"/>
    <w:qFormat/>
    <w:uiPriority w:val="0"/>
    <w:pPr>
      <w:spacing w:before="260" w:after="260" w:line="480" w:lineRule="exact"/>
      <w:outlineLvl w:val="2"/>
    </w:pPr>
    <w:rPr>
      <w:b/>
      <w:bCs/>
      <w:kern w:val="0"/>
      <w:sz w:val="30"/>
      <w:szCs w:val="30"/>
    </w:rPr>
  </w:style>
  <w:style w:type="paragraph" w:customStyle="1" w:styleId="81">
    <w:name w:val="表标"/>
    <w:basedOn w:val="1"/>
    <w:qFormat/>
    <w:uiPriority w:val="0"/>
    <w:pPr>
      <w:jc w:val="center"/>
    </w:pPr>
    <w:rPr>
      <w:b/>
    </w:rPr>
  </w:style>
  <w:style w:type="character" w:customStyle="1" w:styleId="82">
    <w:name w:val="正文啊 Char"/>
    <w:link w:val="83"/>
    <w:qFormat/>
    <w:uiPriority w:val="0"/>
  </w:style>
  <w:style w:type="paragraph" w:customStyle="1" w:styleId="83">
    <w:name w:val="正文啊"/>
    <w:basedOn w:val="1"/>
    <w:link w:val="82"/>
    <w:qFormat/>
    <w:uiPriority w:val="0"/>
    <w:pPr>
      <w:ind w:firstLine="480"/>
    </w:pPr>
  </w:style>
  <w:style w:type="paragraph" w:customStyle="1" w:styleId="84">
    <w:name w:val="表格文字1"/>
    <w:basedOn w:val="1"/>
    <w:qFormat/>
    <w:uiPriority w:val="0"/>
    <w:pPr>
      <w:tabs>
        <w:tab w:val="left" w:pos="2745"/>
      </w:tabs>
      <w:snapToGrid w:val="0"/>
    </w:pPr>
    <w:rPr>
      <w:bCs/>
      <w:lang w:val="zh-CN"/>
    </w:rPr>
  </w:style>
  <w:style w:type="paragraph" w:customStyle="1" w:styleId="85">
    <w:name w:val="表格内文字"/>
    <w:qFormat/>
    <w:uiPriority w:val="0"/>
    <w:pPr>
      <w:jc w:val="center"/>
    </w:pPr>
    <w:rPr>
      <w:rFonts w:ascii="Calibri" w:hAnsi="Calibri" w:eastAsia="宋体" w:cs="宋体"/>
      <w:kern w:val="2"/>
      <w:sz w:val="21"/>
      <w:szCs w:val="21"/>
      <w:lang w:val="en-US" w:eastAsia="zh-CN" w:bidi="ar-SA"/>
    </w:rPr>
  </w:style>
  <w:style w:type="paragraph" w:customStyle="1" w:styleId="86">
    <w:name w:val="表格标题"/>
    <w:autoRedefine/>
    <w:qFormat/>
    <w:uiPriority w:val="0"/>
    <w:pPr>
      <w:tabs>
        <w:tab w:val="right" w:leader="dot" w:pos="8296"/>
      </w:tabs>
      <w:jc w:val="center"/>
    </w:pPr>
    <w:rPr>
      <w:rFonts w:ascii="Times New Roman" w:hAnsi="Times New Roman" w:eastAsia="宋体" w:cs="Times New Roman"/>
      <w:b/>
      <w:kern w:val="2"/>
      <w:sz w:val="24"/>
      <w:szCs w:val="24"/>
      <w:lang w:val="en-US" w:eastAsia="zh-CN" w:bidi="ar-SA"/>
    </w:rPr>
  </w:style>
  <w:style w:type="paragraph" w:customStyle="1" w:styleId="87">
    <w:name w:val="样式 表格底下标注 + 首行缩进:  2 字符"/>
    <w:basedOn w:val="1"/>
    <w:autoRedefine/>
    <w:qFormat/>
    <w:uiPriority w:val="0"/>
    <w:pPr>
      <w:widowControl/>
      <w:ind w:firstLine="360"/>
      <w:jc w:val="left"/>
    </w:pPr>
    <w:rPr>
      <w:rFonts w:cs="宋体"/>
      <w:bCs/>
      <w:sz w:val="18"/>
      <w:szCs w:val="20"/>
    </w:rPr>
  </w:style>
  <w:style w:type="paragraph" w:customStyle="1" w:styleId="88">
    <w:name w:val="表头"/>
    <w:basedOn w:val="1"/>
    <w:next w:val="1"/>
    <w:qFormat/>
    <w:uiPriority w:val="0"/>
    <w:pPr>
      <w:jc w:val="center"/>
    </w:pPr>
    <w:rPr>
      <w:b/>
      <w:bCs/>
      <w:kern w:val="0"/>
      <w:szCs w:val="21"/>
    </w:rPr>
  </w:style>
  <w:style w:type="table" w:customStyle="1" w:styleId="89">
    <w:name w:val="表格样式1"/>
    <w:basedOn w:val="25"/>
    <w:qFormat/>
    <w:uiPriority w:val="0"/>
    <w:pPr>
      <w:jc w:val="center"/>
    </w:pPr>
    <w:rPr>
      <w:sz w:val="21"/>
    </w:rPr>
    <w:tblPr>
      <w:tblBorders>
        <w:top w:val="single" w:color="auto" w:sz="12" w:space="0"/>
        <w:bottom w:val="single" w:color="auto" w:sz="12" w:space="0"/>
        <w:insideH w:val="single" w:color="auto" w:sz="6" w:space="0"/>
        <w:insideV w:val="single" w:color="auto" w:sz="6" w:space="0"/>
      </w:tblBorders>
      <w:tblCellMar>
        <w:top w:w="0" w:type="dxa"/>
        <w:left w:w="57" w:type="dxa"/>
        <w:bottom w:w="0" w:type="dxa"/>
        <w:right w:w="57" w:type="dxa"/>
      </w:tblCellMar>
    </w:tblPr>
    <w:tcPr>
      <w:vAlign w:val="center"/>
    </w:tcPr>
  </w:style>
  <w:style w:type="paragraph" w:customStyle="1" w:styleId="90">
    <w:name w:val="表头、图脚"/>
    <w:next w:val="24"/>
    <w:qFormat/>
    <w:uiPriority w:val="0"/>
    <w:pPr>
      <w:jc w:val="center"/>
    </w:pPr>
    <w:rPr>
      <w:rFonts w:ascii="Times New Roman" w:hAnsi="Times New Roman" w:eastAsia="宋体" w:cs="Times New Roman"/>
      <w:b/>
      <w:sz w:val="21"/>
      <w:lang w:val="en-US" w:eastAsia="zh-CN" w:bidi="ar-SA"/>
    </w:rPr>
  </w:style>
  <w:style w:type="paragraph" w:customStyle="1" w:styleId="91">
    <w:name w:val="Other|1"/>
    <w:basedOn w:val="1"/>
    <w:qFormat/>
    <w:uiPriority w:val="0"/>
    <w:pPr>
      <w:jc w:val="center"/>
    </w:pPr>
    <w:rPr>
      <w:sz w:val="20"/>
      <w:szCs w:val="20"/>
      <w:lang w:val="zh-TW" w:eastAsia="zh-TW" w:bidi="zh-TW"/>
    </w:rPr>
  </w:style>
  <w:style w:type="paragraph" w:customStyle="1" w:styleId="92">
    <w:name w:val="首行缩进2"/>
    <w:qFormat/>
    <w:uiPriority w:val="0"/>
    <w:pPr>
      <w:spacing w:before="120" w:line="360" w:lineRule="auto"/>
      <w:ind w:firstLine="640" w:firstLineChars="200"/>
    </w:pPr>
    <w:rPr>
      <w:rFonts w:ascii="Times New Roman" w:hAnsi="Times New Roman" w:eastAsia="宋体" w:cs="Times New Roman"/>
      <w:sz w:val="24"/>
      <w:lang w:val="en-US" w:eastAsia="zh-CN" w:bidi="ar-SA"/>
    </w:rPr>
  </w:style>
  <w:style w:type="paragraph" w:customStyle="1" w:styleId="93">
    <w:name w:val="正文2"/>
    <w:basedOn w:val="1"/>
    <w:qFormat/>
    <w:uiPriority w:val="0"/>
    <w:pPr>
      <w:tabs>
        <w:tab w:val="left" w:pos="22680"/>
      </w:tabs>
      <w:spacing w:line="360" w:lineRule="auto"/>
      <w:ind w:firstLine="602" w:firstLineChars="200"/>
      <w:jc w:val="left"/>
    </w:pPr>
    <w:rPr>
      <w:rFonts w:ascii="宋体" w:hAnsi="宋体"/>
      <w:sz w:val="24"/>
      <w:szCs w:val="20"/>
    </w:rPr>
  </w:style>
  <w:style w:type="paragraph" w:customStyle="1" w:styleId="94">
    <w:name w:val="表格 1"/>
    <w:basedOn w:val="1"/>
    <w:qFormat/>
    <w:uiPriority w:val="0"/>
    <w:pPr>
      <w:autoSpaceDE w:val="0"/>
      <w:autoSpaceDN w:val="0"/>
      <w:adjustRightInd w:val="0"/>
      <w:jc w:val="center"/>
    </w:pPr>
    <w:rPr>
      <w:rFonts w:eastAsia="楷体_GB2312"/>
      <w:kern w:val="0"/>
      <w:sz w:val="28"/>
      <w:szCs w:val="20"/>
    </w:rPr>
  </w:style>
  <w:style w:type="paragraph" w:customStyle="1" w:styleId="9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中文报告书样式"/>
    <w:basedOn w:val="1"/>
    <w:qFormat/>
    <w:uiPriority w:val="0"/>
    <w:pPr>
      <w:adjustRightInd w:val="0"/>
      <w:spacing w:line="480" w:lineRule="atLeast"/>
      <w:ind w:firstLine="482"/>
      <w:textAlignment w:val="baseline"/>
    </w:pPr>
    <w:rPr>
      <w:kern w:val="24"/>
      <w:szCs w:val="20"/>
    </w:rPr>
  </w:style>
  <w:style w:type="paragraph" w:customStyle="1" w:styleId="97">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98">
    <w:name w:val="p0"/>
    <w:basedOn w:val="1"/>
    <w:qFormat/>
    <w:uiPriority w:val="0"/>
    <w:pPr>
      <w:widowControl/>
    </w:pPr>
    <w:rPr>
      <w:kern w:val="0"/>
      <w:szCs w:val="21"/>
    </w:rPr>
  </w:style>
  <w:style w:type="paragraph" w:customStyle="1" w:styleId="99">
    <w:name w:val="样式 样式 (符号) 宋体 小四 行距: 固定值 26 磅 + (符号) Times New Roman"/>
    <w:basedOn w:val="100"/>
    <w:qFormat/>
    <w:uiPriority w:val="0"/>
  </w:style>
  <w:style w:type="paragraph" w:customStyle="1" w:styleId="100">
    <w:name w:val="样式 (符号) 宋体 小四 行距: 固定值 26 磅"/>
    <w:basedOn w:val="1"/>
    <w:qFormat/>
    <w:uiPriority w:val="0"/>
    <w:pPr>
      <w:spacing w:line="520" w:lineRule="exact"/>
      <w:ind w:firstLine="480" w:firstLineChars="200"/>
    </w:pPr>
    <w:rPr>
      <w:rFonts w:hAnsi="宋体" w:cs="宋体"/>
      <w:sz w:val="24"/>
      <w:szCs w:val="20"/>
    </w:rPr>
  </w:style>
  <w:style w:type="paragraph" w:customStyle="1" w:styleId="101">
    <w:name w:val="环评正文"/>
    <w:basedOn w:val="1"/>
    <w:next w:val="1"/>
    <w:qFormat/>
    <w:uiPriority w:val="0"/>
    <w:pPr>
      <w:spacing w:line="500" w:lineRule="exact"/>
      <w:ind w:firstLine="560" w:firstLineChars="200"/>
    </w:pPr>
    <w:rPr>
      <w:rFonts w:ascii="仿宋_GB2312" w:hAnsi="Calibri" w:eastAsia="仿宋_GB2312"/>
      <w:sz w:val="28"/>
      <w:szCs w:val="22"/>
    </w:rPr>
  </w:style>
  <w:style w:type="paragraph" w:customStyle="1" w:styleId="102">
    <w:name w:val="样式2"/>
    <w:basedOn w:val="103"/>
    <w:qFormat/>
    <w:uiPriority w:val="0"/>
    <w:pPr>
      <w:spacing w:line="360" w:lineRule="auto"/>
      <w:ind w:firstLine="0"/>
      <w:outlineLvl w:val="1"/>
    </w:pPr>
    <w:rPr>
      <w:b/>
      <w:sz w:val="30"/>
      <w:szCs w:val="30"/>
    </w:rPr>
  </w:style>
  <w:style w:type="paragraph" w:styleId="103">
    <w:name w:val="List Paragraph"/>
    <w:basedOn w:val="1"/>
    <w:qFormat/>
    <w:uiPriority w:val="1"/>
    <w:pPr>
      <w:ind w:left="858" w:hanging="361"/>
    </w:pPr>
    <w:rPr>
      <w:rFonts w:ascii="宋体" w:hAnsi="宋体" w:cs="宋体"/>
      <w:lang w:val="zh-CN" w:bidi="zh-CN"/>
    </w:rPr>
  </w:style>
  <w:style w:type="paragraph" w:customStyle="1" w:styleId="104">
    <w:name w:val="样式3"/>
    <w:basedOn w:val="102"/>
    <w:qFormat/>
    <w:uiPriority w:val="0"/>
    <w:pPr>
      <w:ind w:left="709" w:hanging="709"/>
      <w:outlineLvl w:val="2"/>
    </w:pPr>
    <w:rPr>
      <w:sz w:val="28"/>
      <w:szCs w:val="28"/>
    </w:rPr>
  </w:style>
  <w:style w:type="paragraph" w:customStyle="1" w:styleId="105">
    <w:name w:val="段落 Char1"/>
    <w:basedOn w:val="1"/>
    <w:qFormat/>
    <w:uiPriority w:val="0"/>
    <w:pPr>
      <w:tabs>
        <w:tab w:val="left" w:pos="1021"/>
      </w:tabs>
      <w:spacing w:line="360" w:lineRule="auto"/>
      <w:ind w:firstLine="504" w:firstLineChars="200"/>
    </w:pPr>
    <w:rPr>
      <w:bCs/>
      <w:spacing w:val="6"/>
      <w:kern w:val="24"/>
      <w:sz w:val="24"/>
    </w:rPr>
  </w:style>
  <w:style w:type="paragraph" w:customStyle="1" w:styleId="106">
    <w:name w:val="d-正文"/>
    <w:basedOn w:val="1"/>
    <w:qFormat/>
    <w:uiPriority w:val="0"/>
    <w:pPr>
      <w:widowControl/>
      <w:adjustRightInd w:val="0"/>
      <w:snapToGrid w:val="0"/>
      <w:spacing w:line="360" w:lineRule="auto"/>
      <w:ind w:firstLine="480" w:firstLineChars="200"/>
      <w:jc w:val="left"/>
    </w:pPr>
    <w:rPr>
      <w:kern w:val="0"/>
      <w:sz w:val="24"/>
    </w:rPr>
  </w:style>
  <w:style w:type="paragraph" w:customStyle="1" w:styleId="107">
    <w:name w:val="段落"/>
    <w:basedOn w:val="1"/>
    <w:qFormat/>
    <w:uiPriority w:val="0"/>
    <w:pPr>
      <w:spacing w:line="360" w:lineRule="auto"/>
      <w:ind w:firstLine="200" w:firstLineChars="200"/>
    </w:pPr>
    <w:rPr>
      <w:sz w:val="24"/>
    </w:rPr>
  </w:style>
  <w:style w:type="paragraph" w:customStyle="1" w:styleId="108">
    <w:name w:val="黄酒表格标题"/>
    <w:qFormat/>
    <w:uiPriority w:val="0"/>
    <w:pPr>
      <w:tabs>
        <w:tab w:val="left" w:pos="-2848"/>
      </w:tabs>
      <w:jc w:val="center"/>
    </w:pPr>
    <w:rPr>
      <w:rFonts w:ascii="Calibri" w:hAnsi="Calibri" w:eastAsia="宋体" w:cs="宋体"/>
      <w:b/>
      <w:sz w:val="21"/>
      <w:szCs w:val="21"/>
      <w:lang w:val="en-US" w:eastAsia="zh-CN" w:bidi="ar-SA"/>
    </w:rPr>
  </w:style>
  <w:style w:type="character" w:customStyle="1" w:styleId="109">
    <w:name w:val="font11"/>
    <w:qFormat/>
    <w:uiPriority w:val="0"/>
    <w:rPr>
      <w:rFonts w:hint="eastAsia" w:ascii="宋体" w:hAnsi="宋体" w:eastAsia="宋体" w:cs="宋体"/>
      <w:color w:val="000000"/>
      <w:sz w:val="24"/>
      <w:szCs w:val="24"/>
      <w:u w:val="none"/>
    </w:rPr>
  </w:style>
  <w:style w:type="paragraph" w:customStyle="1" w:styleId="110">
    <w:name w:val="_Style 6"/>
    <w:basedOn w:val="1"/>
    <w:qFormat/>
    <w:uiPriority w:val="0"/>
    <w:pPr>
      <w:spacing w:line="360" w:lineRule="auto"/>
      <w:ind w:firstLine="200" w:firstLineChars="200"/>
    </w:pPr>
  </w:style>
  <w:style w:type="paragraph" w:customStyle="1" w:styleId="111">
    <w:name w:val="正文格式"/>
    <w:basedOn w:val="1"/>
    <w:qFormat/>
    <w:uiPriority w:val="0"/>
    <w:pPr>
      <w:spacing w:line="360" w:lineRule="auto"/>
      <w:ind w:firstLine="200" w:firstLineChars="200"/>
      <w:jc w:val="left"/>
    </w:pPr>
    <w:rPr>
      <w:szCs w:val="22"/>
    </w:rPr>
  </w:style>
  <w:style w:type="paragraph" w:customStyle="1" w:styleId="11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3">
    <w:name w:val="表格文字2"/>
    <w:basedOn w:val="74"/>
    <w:qFormat/>
    <w:uiPriority w:val="0"/>
    <w:rPr>
      <w:rFonts w:ascii="宋体" w:hAnsi="宋体"/>
      <w:color w:val="000000"/>
      <w:szCs w:val="21"/>
    </w:rPr>
  </w:style>
  <w:style w:type="paragraph" w:customStyle="1" w:styleId="114">
    <w:name w:val="WPSOffice手动目录 1"/>
    <w:qFormat/>
    <w:uiPriority w:val="0"/>
    <w:rPr>
      <w:rFonts w:ascii="Times New Roman" w:hAnsi="Times New Roman" w:eastAsia="宋体" w:cs="Times New Roman"/>
      <w:lang w:val="en-US" w:eastAsia="zh-CN" w:bidi="ar-SA"/>
    </w:rPr>
  </w:style>
  <w:style w:type="paragraph" w:customStyle="1" w:styleId="115">
    <w:name w:val="文本正文"/>
    <w:basedOn w:val="1"/>
    <w:qFormat/>
    <w:uiPriority w:val="0"/>
    <w:pPr>
      <w:spacing w:line="360" w:lineRule="auto"/>
      <w:ind w:firstLine="480" w:firstLineChars="200"/>
    </w:pPr>
    <w:rPr>
      <w:sz w:val="24"/>
    </w:rPr>
  </w:style>
  <w:style w:type="paragraph" w:customStyle="1" w:styleId="116">
    <w:name w:val="图表标题"/>
    <w:basedOn w:val="19"/>
    <w:next w:val="40"/>
    <w:qFormat/>
    <w:uiPriority w:val="0"/>
    <w:pPr>
      <w:ind w:left="0" w:leftChars="0"/>
      <w:outlineLvl w:val="4"/>
    </w:pPr>
    <w:rPr>
      <w:bCs/>
      <w:snapToGrid w:val="0"/>
    </w:rPr>
  </w:style>
  <w:style w:type="paragraph" w:customStyle="1" w:styleId="117">
    <w:name w:val="表格1"/>
    <w:basedOn w:val="1"/>
    <w:qFormat/>
    <w:uiPriority w:val="0"/>
    <w:pPr>
      <w:jc w:val="center"/>
    </w:pPr>
    <w:rPr>
      <w:bCs/>
      <w:color w:val="000000"/>
      <w:kern w:val="0"/>
      <w:szCs w:val="19"/>
    </w:rPr>
  </w:style>
  <w:style w:type="character" w:customStyle="1" w:styleId="118">
    <w:name w:val="样式 正文01 + Times New Roman Char"/>
    <w:link w:val="119"/>
    <w:qFormat/>
    <w:uiPriority w:val="0"/>
    <w:rPr>
      <w:bCs/>
      <w:kern w:val="0"/>
      <w:sz w:val="20"/>
      <w:szCs w:val="20"/>
    </w:rPr>
  </w:style>
  <w:style w:type="paragraph" w:customStyle="1" w:styleId="119">
    <w:name w:val="样式 正文01 + Times New Roman"/>
    <w:basedOn w:val="120"/>
    <w:link w:val="118"/>
    <w:qFormat/>
    <w:uiPriority w:val="0"/>
    <w:pPr>
      <w:ind w:firstLine="0"/>
    </w:pPr>
    <w:rPr>
      <w:bCs/>
      <w:kern w:val="0"/>
      <w:sz w:val="20"/>
    </w:rPr>
  </w:style>
  <w:style w:type="paragraph" w:customStyle="1" w:styleId="120">
    <w:name w:val="正文01"/>
    <w:basedOn w:val="8"/>
    <w:qFormat/>
    <w:uiPriority w:val="0"/>
    <w:pPr>
      <w:spacing w:line="360" w:lineRule="auto"/>
      <w:ind w:firstLine="480"/>
    </w:pPr>
    <w:rPr>
      <w:rFonts w:ascii="Times New Roman" w:hAnsi="Times New Roman" w:cs="Times New Roman"/>
      <w:sz w:val="24"/>
      <w:szCs w:val="20"/>
    </w:rPr>
  </w:style>
  <w:style w:type="character" w:customStyle="1" w:styleId="121">
    <w:name w:val="批注文字 Char"/>
    <w:basedOn w:val="27"/>
    <w:link w:val="12"/>
    <w:qFormat/>
    <w:uiPriority w:val="0"/>
    <w:rPr>
      <w:kern w:val="2"/>
      <w:sz w:val="21"/>
      <w:szCs w:val="24"/>
    </w:rPr>
  </w:style>
  <w:style w:type="character" w:customStyle="1" w:styleId="122">
    <w:name w:val="批注主题 Char"/>
    <w:basedOn w:val="121"/>
    <w:link w:val="22"/>
    <w:semiHidden/>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32895</Words>
  <Characters>37279</Characters>
  <Lines>299</Lines>
  <Paragraphs>84</Paragraphs>
  <TotalTime>602</TotalTime>
  <ScaleCrop>false</ScaleCrop>
  <LinksUpToDate>false</LinksUpToDate>
  <CharactersWithSpaces>38074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2022-05-15T05:43:00Z</dcterms:created>
  <dc:creator>Administrator</dc:creator>
  <cp:lastModifiedBy>WPS_393732280</cp:lastModifiedBy>
  <cp:lastPrinted>2023-09-07T03:21:00Z</cp:lastPrinted>
  <dcterms:modified xsi:type="dcterms:W3CDTF">2024-01-30T09:33:17Z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9F54B0AB64F0444989D7E5E717960648_13</vt:lpwstr>
  </property>
  <property fmtid="{D5CDD505-2E9C-101B-9397-08002B2CF9AE}" pid="4" name="commondata">
    <vt:lpwstr>eyJoZGlkIjoiMGViMDViNzMwMzY5YjUzZGE2NzkzMzFlNTI5YzRiZmQifQ==</vt:lpwstr>
  </property>
</Properties>
</file>