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邵市环评（1）〔2023〕</w:t>
      </w:r>
      <w:r>
        <w:rPr>
          <w:rFonts w:hint="eastAsia" w:ascii="仿宋" w:hAnsi="仿宋" w:eastAsia="仿宋" w:cs="仿宋"/>
          <w:sz w:val="32"/>
          <w:szCs w:val="32"/>
          <w:lang w:val="en-US" w:eastAsia="zh-CN"/>
        </w:rPr>
        <w:t>32</w:t>
      </w:r>
      <w:r>
        <w:rPr>
          <w:rFonts w:hint="eastAsia" w:ascii="仿宋" w:hAnsi="仿宋" w:eastAsia="仿宋" w:cs="仿宋"/>
          <w:sz w:val="32"/>
          <w:szCs w:val="32"/>
        </w:rPr>
        <w:t>号</w:t>
      </w:r>
    </w:p>
    <w:p>
      <w:pPr>
        <w:spacing w:before="156" w:beforeLines="50" w:line="480" w:lineRule="auto"/>
        <w:jc w:val="center"/>
        <w:rPr>
          <w:rFonts w:ascii="宋体" w:hAnsi="宋体" w:cs="宋体"/>
          <w:b/>
          <w:bCs/>
          <w:sz w:val="36"/>
          <w:szCs w:val="36"/>
        </w:rPr>
      </w:pPr>
      <w:r>
        <w:rPr>
          <w:rFonts w:hint="eastAsia" w:ascii="宋体" w:hAnsi="宋体" w:cs="宋体"/>
          <w:b/>
          <w:bCs/>
          <w:sz w:val="36"/>
          <w:szCs w:val="36"/>
        </w:rPr>
        <w:t>关于</w:t>
      </w:r>
      <w:r>
        <w:rPr>
          <w:rFonts w:hint="eastAsia" w:ascii="宋体" w:hAnsi="宋体" w:cs="宋体"/>
          <w:b/>
          <w:bCs/>
          <w:sz w:val="36"/>
          <w:szCs w:val="36"/>
          <w:lang w:eastAsia="zh-CN"/>
        </w:rPr>
        <w:t>邵东市盈多彩印包装有限公司年印刷900吨纸质包装材料建设项目</w:t>
      </w:r>
      <w:r>
        <w:rPr>
          <w:rFonts w:hint="eastAsia" w:ascii="宋体" w:hAnsi="宋体" w:cs="宋体"/>
          <w:b/>
          <w:bCs/>
          <w:sz w:val="36"/>
          <w:szCs w:val="36"/>
        </w:rPr>
        <w:t>环境影响报告表的批复</w:t>
      </w:r>
    </w:p>
    <w:p>
      <w:pPr>
        <w:spacing w:line="480" w:lineRule="exact"/>
        <w:ind w:firstLine="482"/>
        <w:rPr>
          <w:rFonts w:ascii="Times New Roman" w:hAnsi="Times New Roman"/>
          <w:color w:val="0000FF"/>
          <w:sz w:val="24"/>
        </w:rPr>
      </w:pPr>
    </w:p>
    <w:p>
      <w:pPr>
        <w:spacing w:line="480" w:lineRule="exact"/>
        <w:rPr>
          <w:rFonts w:ascii="仿宋" w:hAnsi="仿宋" w:eastAsia="仿宋" w:cs="仿宋"/>
          <w:sz w:val="32"/>
          <w:szCs w:val="32"/>
        </w:rPr>
      </w:pPr>
      <w:r>
        <w:rPr>
          <w:rFonts w:hint="eastAsia" w:ascii="仿宋" w:hAnsi="仿宋" w:eastAsia="仿宋" w:cs="仿宋"/>
          <w:sz w:val="32"/>
          <w:szCs w:val="32"/>
          <w:lang w:eastAsia="zh-CN"/>
        </w:rPr>
        <w:t>邵东市盈多彩印包装有限公司</w:t>
      </w:r>
      <w:r>
        <w:rPr>
          <w:rFonts w:hint="eastAsia" w:ascii="仿宋" w:hAnsi="仿宋" w:eastAsia="仿宋" w:cs="仿宋"/>
          <w:sz w:val="32"/>
          <w:szCs w:val="32"/>
        </w:rPr>
        <w:t>：</w:t>
      </w:r>
    </w:p>
    <w:p>
      <w:pPr>
        <w:spacing w:line="480" w:lineRule="exact"/>
        <w:ind w:firstLine="482"/>
        <w:rPr>
          <w:rFonts w:ascii="仿宋" w:hAnsi="仿宋" w:eastAsia="仿宋" w:cs="仿宋"/>
          <w:kern w:val="0"/>
          <w:sz w:val="32"/>
          <w:szCs w:val="32"/>
        </w:rPr>
      </w:pPr>
      <w:r>
        <w:rPr>
          <w:rFonts w:hint="eastAsia" w:ascii="仿宋" w:hAnsi="仿宋" w:eastAsia="仿宋" w:cs="仿宋"/>
          <w:kern w:val="0"/>
          <w:sz w:val="32"/>
          <w:szCs w:val="32"/>
        </w:rPr>
        <w:t>你单位报送的《</w:t>
      </w:r>
      <w:r>
        <w:rPr>
          <w:rFonts w:hint="eastAsia" w:ascii="仿宋" w:hAnsi="仿宋" w:eastAsia="仿宋" w:cs="仿宋"/>
          <w:sz w:val="32"/>
          <w:szCs w:val="32"/>
          <w:lang w:eastAsia="zh-CN"/>
        </w:rPr>
        <w:t>邵东市盈多彩印包装有限公司年印刷900吨纸质包装材料建设项目</w:t>
      </w:r>
      <w:r>
        <w:rPr>
          <w:rFonts w:hint="eastAsia" w:ascii="仿宋" w:hAnsi="仿宋" w:eastAsia="仿宋" w:cs="仿宋"/>
          <w:kern w:val="0"/>
          <w:sz w:val="32"/>
          <w:szCs w:val="32"/>
        </w:rPr>
        <w:t>环境影响报告表》以及项目申请批复的报告已收悉。经研究，现批复如下：</w:t>
      </w:r>
    </w:p>
    <w:p>
      <w:pPr>
        <w:numPr>
          <w:ilvl w:val="0"/>
          <w:numId w:val="2"/>
        </w:numPr>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基本情况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你单位投资</w:t>
      </w:r>
      <w:r>
        <w:rPr>
          <w:rFonts w:hint="eastAsia" w:ascii="仿宋" w:hAnsi="仿宋" w:eastAsia="仿宋" w:cs="仿宋"/>
          <w:sz w:val="32"/>
          <w:szCs w:val="32"/>
          <w:lang w:val="en-US" w:eastAsia="zh-CN"/>
        </w:rPr>
        <w:t>3</w:t>
      </w:r>
      <w:r>
        <w:rPr>
          <w:rFonts w:hint="eastAsia" w:ascii="仿宋" w:hAnsi="仿宋" w:eastAsia="仿宋" w:cs="仿宋"/>
          <w:sz w:val="32"/>
          <w:szCs w:val="32"/>
        </w:rPr>
        <w:t>00万元，在湖南省邵阳市邵东市黑田铺镇团结村印刷产业园（现包装印刷、塑料制品、新材料工业园）内厂房1栋建设</w:t>
      </w:r>
      <w:r>
        <w:rPr>
          <w:rFonts w:hint="eastAsia" w:ascii="仿宋" w:hAnsi="仿宋" w:eastAsia="仿宋" w:cs="仿宋"/>
          <w:sz w:val="32"/>
          <w:szCs w:val="32"/>
          <w:lang w:eastAsia="zh-CN"/>
        </w:rPr>
        <w:t>年印刷900吨纸质包装材料建设项目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项目总</w:t>
      </w:r>
      <w:r>
        <w:rPr>
          <w:rFonts w:ascii="仿宋" w:hAnsi="仿宋" w:eastAsia="仿宋" w:cs="仿宋"/>
          <w:sz w:val="32"/>
          <w:szCs w:val="32"/>
        </w:rPr>
        <w:t>用地面积</w:t>
      </w:r>
      <w:r>
        <w:rPr>
          <w:rFonts w:hint="eastAsia" w:ascii="仿宋" w:hAnsi="仿宋" w:eastAsia="仿宋" w:cs="仿宋"/>
          <w:sz w:val="32"/>
          <w:szCs w:val="32"/>
        </w:rPr>
        <w:t>2483.47</w:t>
      </w:r>
      <w:r>
        <w:rPr>
          <w:rFonts w:ascii="仿宋" w:hAnsi="仿宋" w:eastAsia="仿宋" w:cs="仿宋"/>
          <w:sz w:val="32"/>
          <w:szCs w:val="32"/>
        </w:rPr>
        <w:t>m</w:t>
      </w:r>
      <w:r>
        <w:rPr>
          <w:rFonts w:ascii="仿宋" w:hAnsi="仿宋" w:eastAsia="仿宋" w:cs="仿宋"/>
          <w:sz w:val="32"/>
          <w:szCs w:val="32"/>
          <w:vertAlign w:val="superscript"/>
        </w:rPr>
        <w:t>2</w:t>
      </w:r>
      <w:r>
        <w:rPr>
          <w:rFonts w:ascii="仿宋" w:hAnsi="仿宋" w:eastAsia="仿宋" w:cs="仿宋"/>
          <w:sz w:val="32"/>
          <w:szCs w:val="32"/>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主要建设内容包括主体</w:t>
      </w:r>
      <w:r>
        <w:rPr>
          <w:rFonts w:hint="eastAsia" w:ascii="仿宋" w:hAnsi="仿宋" w:eastAsia="仿宋" w:cs="仿宋"/>
          <w:color w:val="000000" w:themeColor="text1"/>
          <w:sz w:val="32"/>
          <w:szCs w:val="32"/>
          <w:highlight w:val="none"/>
          <w:lang w:val="en-US" w:eastAsia="zh-CN"/>
          <w14:textFill>
            <w14:solidFill>
              <w14:schemeClr w14:val="tx1"/>
            </w14:solidFill>
          </w14:textFill>
        </w:rPr>
        <w:t>工程、储运工程、辅助工程等，同时</w:t>
      </w:r>
      <w:r>
        <w:rPr>
          <w:rFonts w:hint="eastAsia" w:ascii="仿宋" w:hAnsi="仿宋" w:eastAsia="仿宋" w:cs="仿宋"/>
          <w:b w:val="0"/>
          <w:bCs w:val="0"/>
          <w:color w:val="000000" w:themeColor="text1"/>
          <w:sz w:val="32"/>
          <w:szCs w:val="32"/>
          <w:lang w:val="en-US" w:eastAsia="zh-CN"/>
          <w14:textFill>
            <w14:solidFill>
              <w14:schemeClr w14:val="tx1"/>
            </w14:solidFill>
          </w14:textFill>
        </w:rPr>
        <w:t>配套建设相应的环保设施、公用设施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kern w:val="0"/>
          <w:sz w:val="32"/>
          <w:szCs w:val="32"/>
        </w:rPr>
        <w:t>根据国家发</w:t>
      </w:r>
      <w:r>
        <w:rPr>
          <w:rFonts w:hint="eastAsia" w:ascii="仿宋" w:hAnsi="仿宋" w:eastAsia="仿宋" w:cs="仿宋"/>
          <w:sz w:val="32"/>
          <w:szCs w:val="32"/>
        </w:rPr>
        <w:t>展改革委第49号令《产业结构调整指导目录（2019年本）（2021年修订）》,该项目符合国家产业政策要求。根据</w:t>
      </w:r>
      <w:r>
        <w:rPr>
          <w:rFonts w:hint="eastAsia" w:ascii="仿宋" w:hAnsi="仿宋" w:eastAsia="仿宋" w:cs="仿宋"/>
          <w:sz w:val="32"/>
          <w:szCs w:val="32"/>
          <w:lang w:eastAsia="zh-CN"/>
        </w:rPr>
        <w:t>湖南徐工助成环保技术有限公司</w:t>
      </w:r>
      <w:r>
        <w:rPr>
          <w:rFonts w:hint="eastAsia" w:ascii="仿宋" w:hAnsi="仿宋" w:eastAsia="仿宋" w:cs="仿宋"/>
          <w:sz w:val="32"/>
          <w:szCs w:val="32"/>
        </w:rPr>
        <w:t>编制的建设项目环境影响报告表的分析结论，在你单位认真落实环评报告表提出的环保措施，确保外排污染物达标的前提下，从环境保护的角度，同意你单位按照报告表确定的地点、规模、工艺、污染防治措施建设该项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二、在项目的建设、生产过程中，应严格执行环保“三同时”制度，并重点做好以下几项工作：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1、控制废水污染物排放。项目排水采取雨污分流。营运期厂区</w:t>
      </w:r>
      <w:r>
        <w:rPr>
          <w:rFonts w:ascii="仿宋" w:hAnsi="仿宋" w:eastAsia="仿宋" w:cs="仿宋"/>
          <w:sz w:val="32"/>
          <w:szCs w:val="32"/>
        </w:rPr>
        <w:t>雨水进入园区雨水管网</w:t>
      </w:r>
      <w:r>
        <w:rPr>
          <w:rFonts w:hint="eastAsia" w:ascii="仿宋" w:hAnsi="仿宋" w:eastAsia="仿宋" w:cs="仿宋"/>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生活污水经</w:t>
      </w:r>
      <w:r>
        <w:rPr>
          <w:rFonts w:hint="eastAsia" w:ascii="仿宋" w:hAnsi="仿宋" w:eastAsia="仿宋" w:cs="仿宋"/>
          <w:color w:val="000000" w:themeColor="text1"/>
          <w:sz w:val="32"/>
          <w:szCs w:val="32"/>
          <w14:textFill>
            <w14:solidFill>
              <w14:schemeClr w14:val="tx1"/>
            </w14:solidFill>
          </w14:textFill>
        </w:rPr>
        <w:t>化粪池处理</w:t>
      </w:r>
      <w:r>
        <w:rPr>
          <w:rFonts w:hint="eastAsia" w:ascii="仿宋" w:hAnsi="仿宋" w:eastAsia="仿宋" w:cs="仿宋"/>
          <w:color w:val="000000" w:themeColor="text1"/>
          <w:sz w:val="32"/>
          <w:szCs w:val="32"/>
          <w:lang w:eastAsia="zh-CN"/>
          <w14:textFill>
            <w14:solidFill>
              <w14:schemeClr w14:val="tx1"/>
            </w14:solidFill>
          </w14:textFill>
        </w:rPr>
        <w:t>后达到《污水综合排放标准》(GB8978-1996)三级标准及《污水排入城镇下水道水质标准》(GB/T31962-2015)表1中B等级标准，通过市政污水管网排入</w:t>
      </w:r>
      <w:r>
        <w:rPr>
          <w:rFonts w:hint="eastAsia" w:ascii="仿宋" w:hAnsi="仿宋" w:eastAsia="仿宋" w:cs="仿宋"/>
          <w:sz w:val="32"/>
          <w:szCs w:val="32"/>
          <w:lang w:eastAsia="zh-CN"/>
        </w:rPr>
        <w:t>邵东美桥城市污水处理厂</w:t>
      </w:r>
      <w:r>
        <w:rPr>
          <w:rFonts w:hint="eastAsia" w:ascii="仿宋" w:hAnsi="仿宋" w:eastAsia="仿宋" w:cs="仿宋"/>
          <w:sz w:val="32"/>
          <w:szCs w:val="32"/>
        </w:rPr>
        <w:t>处理。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2、强化废气污染防治。营运期印刷、覆膜、粘合工序</w:t>
      </w:r>
      <w:r>
        <w:rPr>
          <w:rFonts w:hint="eastAsia" w:ascii="仿宋" w:hAnsi="仿宋" w:eastAsia="仿宋" w:cs="仿宋"/>
          <w:sz w:val="32"/>
          <w:szCs w:val="32"/>
          <w:lang w:val="en-US" w:eastAsia="zh-CN"/>
        </w:rPr>
        <w:t>产生的挥发性有机废气经集气罩收集后通过活性炭吸附装置处理后通过23m高</w:t>
      </w:r>
      <w:bookmarkStart w:id="0" w:name="_GoBack"/>
      <w:bookmarkEnd w:id="0"/>
      <w:r>
        <w:rPr>
          <w:rFonts w:hint="eastAsia" w:ascii="仿宋" w:hAnsi="仿宋" w:eastAsia="仿宋" w:cs="仿宋"/>
          <w:sz w:val="32"/>
          <w:szCs w:val="32"/>
          <w:lang w:val="en-US" w:eastAsia="zh-CN"/>
        </w:rPr>
        <w:t>排气筒高空排放，有组织非甲烷总烃</w:t>
      </w:r>
      <w:r>
        <w:rPr>
          <w:rFonts w:hint="eastAsia" w:ascii="仿宋" w:hAnsi="仿宋" w:eastAsia="仿宋" w:cs="仿宋"/>
          <w:sz w:val="32"/>
          <w:szCs w:val="32"/>
          <w:lang w:eastAsia="zh-CN"/>
        </w:rPr>
        <w:t>须达到《湖南省地方标准-印刷业挥发性有机物排放标准》（DB43/1357-2017）</w:t>
      </w:r>
      <w:r>
        <w:rPr>
          <w:rFonts w:hint="eastAsia" w:ascii="仿宋" w:hAnsi="仿宋" w:eastAsia="仿宋" w:cs="仿宋"/>
          <w:sz w:val="32"/>
          <w:szCs w:val="32"/>
          <w:lang w:val="en-US" w:eastAsia="zh-CN"/>
        </w:rPr>
        <w:t>表1排放限值要求；</w:t>
      </w:r>
      <w:r>
        <w:rPr>
          <w:rFonts w:hint="eastAsia" w:ascii="仿宋" w:hAnsi="仿宋" w:eastAsia="仿宋" w:cs="仿宋"/>
          <w:sz w:val="32"/>
          <w:szCs w:val="32"/>
        </w:rPr>
        <w:t>无组织非甲烷总烃</w:t>
      </w:r>
      <w:r>
        <w:rPr>
          <w:rFonts w:hint="eastAsia" w:ascii="仿宋" w:hAnsi="仿宋" w:eastAsia="仿宋" w:cs="仿宋"/>
          <w:sz w:val="32"/>
          <w:szCs w:val="32"/>
          <w:lang w:eastAsia="zh-CN"/>
        </w:rPr>
        <w:t>须达到《湖南省地方标准-印刷业挥发性有机物排放标准》（DB43/1357-2017）</w:t>
      </w:r>
      <w:r>
        <w:rPr>
          <w:rFonts w:hint="eastAsia" w:ascii="仿宋" w:hAnsi="仿宋" w:eastAsia="仿宋" w:cs="仿宋"/>
          <w:sz w:val="32"/>
          <w:szCs w:val="32"/>
          <w:lang w:val="en-US" w:eastAsia="zh-CN"/>
        </w:rPr>
        <w:t>表2排放限值要求</w:t>
      </w:r>
      <w:r>
        <w:rPr>
          <w:rFonts w:hint="eastAsia" w:ascii="仿宋" w:hAnsi="仿宋" w:eastAsia="仿宋" w:cs="仿宋"/>
          <w:sz w:val="32"/>
          <w:szCs w:val="32"/>
        </w:rPr>
        <w:t>。</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3、加强噪声控制管理。</w:t>
      </w:r>
      <w:r>
        <w:rPr>
          <w:rFonts w:hint="eastAsia" w:ascii="仿宋" w:hAnsi="仿宋" w:eastAsia="仿宋" w:cs="仿宋"/>
          <w:color w:val="000000" w:themeColor="text1"/>
          <w:sz w:val="32"/>
          <w:szCs w:val="32"/>
          <w:lang w:val="en-US" w:eastAsia="zh-CN"/>
          <w14:textFill>
            <w14:solidFill>
              <w14:schemeClr w14:val="tx1"/>
            </w14:solidFill>
          </w14:textFill>
        </w:rPr>
        <w:t>选用先进的低噪声设备，对高噪声设备采取减振、消音、隔声等措施，确保</w:t>
      </w:r>
      <w:r>
        <w:rPr>
          <w:rFonts w:ascii="仿宋" w:hAnsi="仿宋" w:eastAsia="仿宋" w:cs="仿宋"/>
          <w:sz w:val="32"/>
          <w:szCs w:val="32"/>
        </w:rPr>
        <w:t>厂界噪声</w:t>
      </w:r>
      <w:r>
        <w:rPr>
          <w:rFonts w:hint="eastAsia" w:ascii="仿宋" w:hAnsi="仿宋" w:eastAsia="仿宋" w:cs="仿宋"/>
          <w:sz w:val="32"/>
          <w:szCs w:val="32"/>
          <w:lang w:eastAsia="zh-CN"/>
        </w:rPr>
        <w:t>须达到</w:t>
      </w:r>
      <w:r>
        <w:rPr>
          <w:rFonts w:ascii="仿宋" w:hAnsi="仿宋" w:eastAsia="仿宋" w:cs="仿宋"/>
          <w:sz w:val="32"/>
          <w:szCs w:val="32"/>
        </w:rPr>
        <w:t>《工业企业厂界噪声排放标准》（GB12348-2008）3类标准。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妥善处置固体废物。按照“减量化、资源化、无害化”原则妥善处置固体废物。废边角废料及不合格品集中收集外售综合利用；废胶水桶集中收集外售综合利用；废酒精桶、废洗车水桶、废油墨及废油墨桶、含油墨抹布、废润滑油、废润滑油桶、废CTP版、废活性炭等危险废物均统一收集后暂存于危废暂存间，</w:t>
      </w:r>
      <w:r>
        <w:rPr>
          <w:rFonts w:hint="eastAsia" w:ascii="Times New Roman" w:hAnsi="Times New Roman" w:eastAsia="仿宋"/>
          <w:kern w:val="0"/>
          <w:sz w:val="32"/>
          <w:szCs w:val="32"/>
        </w:rPr>
        <w:t>危险废物暂存须</w:t>
      </w:r>
      <w:r>
        <w:rPr>
          <w:rFonts w:hint="eastAsia" w:ascii="仿宋" w:hAnsi="仿宋" w:eastAsia="仿宋" w:cs="仿宋"/>
          <w:color w:val="000000"/>
          <w:spacing w:val="5"/>
          <w:sz w:val="32"/>
          <w:szCs w:val="32"/>
        </w:rPr>
        <w:t>符合《危险废物贮存污染控制标准》（</w:t>
      </w:r>
      <w:r>
        <w:rPr>
          <w:rFonts w:hint="eastAsia" w:ascii="仿宋" w:hAnsi="仿宋" w:eastAsia="仿宋" w:cs="仿宋"/>
          <w:sz w:val="32"/>
          <w:szCs w:val="32"/>
        </w:rPr>
        <w:t>GB18597—2023）</w:t>
      </w:r>
      <w:r>
        <w:rPr>
          <w:rFonts w:hint="eastAsia" w:ascii="仿宋" w:hAnsi="仿宋" w:eastAsia="仿宋" w:cs="仿宋"/>
          <w:color w:val="000000"/>
          <w:sz w:val="32"/>
          <w:szCs w:val="32"/>
        </w:rPr>
        <w:t>的要求</w:t>
      </w:r>
      <w:r>
        <w:rPr>
          <w:rFonts w:ascii="Times New Roman" w:hAnsi="Times New Roman" w:eastAsia="仿宋"/>
          <w:kern w:val="0"/>
          <w:sz w:val="32"/>
          <w:szCs w:val="32"/>
        </w:rPr>
        <w:t>，</w:t>
      </w:r>
      <w:r>
        <w:rPr>
          <w:rFonts w:hint="eastAsia" w:ascii="Times New Roman" w:hAnsi="Times New Roman" w:eastAsia="仿宋"/>
          <w:kern w:val="0"/>
          <w:sz w:val="32"/>
          <w:szCs w:val="32"/>
        </w:rPr>
        <w:t>并</w:t>
      </w:r>
      <w:r>
        <w:rPr>
          <w:rFonts w:ascii="Times New Roman" w:hAnsi="Times New Roman" w:eastAsia="仿宋"/>
          <w:kern w:val="0"/>
          <w:sz w:val="32"/>
          <w:szCs w:val="32"/>
        </w:rPr>
        <w:t>定期交由资质单位处置</w:t>
      </w:r>
      <w:r>
        <w:rPr>
          <w:rFonts w:hint="eastAsia" w:ascii="仿宋" w:hAnsi="仿宋" w:eastAsia="仿宋" w:cs="仿宋"/>
          <w:sz w:val="32"/>
          <w:szCs w:val="32"/>
        </w:rPr>
        <w:t>；</w:t>
      </w:r>
      <w:r>
        <w:rPr>
          <w:rFonts w:ascii="仿宋" w:hAnsi="仿宋" w:eastAsia="仿宋" w:cs="仿宋"/>
          <w:sz w:val="32"/>
          <w:szCs w:val="32"/>
        </w:rPr>
        <w:t>生活垃圾分类收集至垃圾桶</w:t>
      </w:r>
      <w:r>
        <w:rPr>
          <w:rFonts w:hint="eastAsia" w:ascii="仿宋" w:hAnsi="仿宋" w:eastAsia="仿宋" w:cs="仿宋"/>
          <w:sz w:val="32"/>
          <w:szCs w:val="32"/>
        </w:rPr>
        <w:t>，由当地环卫部门统一清运处置</w:t>
      </w:r>
      <w:r>
        <w:rPr>
          <w:rFonts w:ascii="仿宋" w:hAnsi="仿宋" w:eastAsia="仿宋" w:cs="仿宋"/>
          <w:sz w:val="32"/>
          <w:szCs w:val="32"/>
        </w:rPr>
        <w:t>。</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5、强化风险防范措施。</w:t>
      </w:r>
      <w:r>
        <w:rPr>
          <w:rFonts w:hint="eastAsia" w:ascii="仿宋" w:hAnsi="仿宋" w:eastAsia="仿宋" w:cs="仿宋"/>
          <w:sz w:val="32"/>
          <w:szCs w:val="32"/>
          <w:lang w:val="en-US" w:eastAsia="zh-CN"/>
        </w:rPr>
        <w:t>化学品仓库、</w:t>
      </w:r>
      <w:r>
        <w:rPr>
          <w:rFonts w:hint="eastAsia" w:ascii="仿宋" w:hAnsi="仿宋" w:eastAsia="仿宋" w:cs="仿宋"/>
          <w:sz w:val="32"/>
          <w:szCs w:val="32"/>
        </w:rPr>
        <w:t>危废贮存场所等环境风险单元设防风、防雨、防晒、防渗、防漏、防腐等措施；建设单位在日常生产过程中须加强对废气处理设施的监督管理和运行维护，保证废气处理设施正常运行，杜绝事故排放发生。确保环境安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6、加强企业环境管理。合理布局生产设施和污染防治设施，建立健全生产与环境保护管理制度，实行清洁生产，全过程控制污染。</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三、项目建成后，在启动生产设施或者实际排污之前,按规定办理排污许可手续。</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五、按规定办理项目竣工环境保护验收手续，经验收合格后方可投入运营。</w:t>
      </w:r>
    </w:p>
    <w:p>
      <w:pPr>
        <w:spacing w:line="580" w:lineRule="exact"/>
        <w:ind w:firstLine="4160" w:firstLineChars="1300"/>
        <w:jc w:val="center"/>
        <w:rPr>
          <w:rFonts w:ascii="仿宋" w:hAnsi="仿宋" w:eastAsia="仿宋" w:cs="仿宋"/>
          <w:sz w:val="32"/>
          <w:szCs w:val="32"/>
        </w:rPr>
      </w:pPr>
      <w:r>
        <w:rPr>
          <w:rFonts w:hint="eastAsia" w:ascii="仿宋" w:hAnsi="仿宋" w:eastAsia="仿宋" w:cs="仿宋"/>
          <w:sz w:val="32"/>
          <w:szCs w:val="32"/>
        </w:rPr>
        <w:t xml:space="preserve">   </w:t>
      </w:r>
    </w:p>
    <w:p>
      <w:pPr>
        <w:spacing w:line="580" w:lineRule="exact"/>
        <w:ind w:firstLine="4160" w:firstLineChars="1300"/>
        <w:jc w:val="center"/>
        <w:rPr>
          <w:rFonts w:hint="eastAsia" w:ascii="仿宋" w:hAnsi="仿宋" w:eastAsia="仿宋" w:cs="仿宋"/>
          <w:sz w:val="32"/>
          <w:szCs w:val="32"/>
        </w:rPr>
      </w:pPr>
      <w:r>
        <w:rPr>
          <w:rFonts w:hint="eastAsia" w:ascii="仿宋" w:hAnsi="仿宋" w:eastAsia="仿宋" w:cs="仿宋"/>
          <w:sz w:val="32"/>
          <w:szCs w:val="32"/>
        </w:rPr>
        <w:t xml:space="preserve">    </w:t>
      </w:r>
    </w:p>
    <w:p>
      <w:pPr>
        <w:spacing w:line="580" w:lineRule="exact"/>
        <w:ind w:firstLine="4160" w:firstLineChars="13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邵阳市生态环境局</w:t>
      </w:r>
    </w:p>
    <w:p>
      <w:pPr>
        <w:spacing w:line="480" w:lineRule="atLeas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ascii="仿宋" w:hAnsi="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抄送：</w:t>
      </w:r>
      <w:r>
        <w:rPr>
          <w:rFonts w:hint="eastAsia" w:ascii="仿宋" w:hAnsi="仿宋" w:eastAsia="仿宋" w:cs="仿宋"/>
          <w:sz w:val="32"/>
          <w:szCs w:val="32"/>
          <w:lang w:val="en-US" w:eastAsia="zh-CN"/>
        </w:rPr>
        <w:t>黑田铺</w:t>
      </w:r>
      <w:r>
        <w:rPr>
          <w:rFonts w:hint="eastAsia" w:ascii="仿宋" w:hAnsi="仿宋" w:eastAsia="仿宋" w:cs="仿宋"/>
          <w:sz w:val="32"/>
          <w:szCs w:val="32"/>
        </w:rPr>
        <w:t>镇</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人民政府   </w:t>
      </w:r>
      <w:r>
        <w:rPr>
          <w:rFonts w:hint="eastAsia" w:ascii="仿宋" w:hAnsi="仿宋" w:eastAsia="仿宋" w:cs="仿宋"/>
          <w:sz w:val="32"/>
          <w:szCs w:val="32"/>
          <w:lang w:eastAsia="zh-CN"/>
        </w:rPr>
        <w:t>湖南徐工助成环保技术有限公司</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C8FB4"/>
    <w:multiLevelType w:val="multilevel"/>
    <w:tmpl w:val="A89C8FB4"/>
    <w:lvl w:ilvl="0" w:tentative="0">
      <w:start w:val="1"/>
      <w:numFmt w:val="decimal"/>
      <w:suff w:val="space"/>
      <w:lvlText w:val="%1"/>
      <w:lvlJc w:val="left"/>
      <w:pPr>
        <w:ind w:left="0" w:firstLine="0"/>
      </w:pPr>
      <w:rPr>
        <w:rFonts w:hint="eastAsia" w:ascii="Arial Unicode MS" w:hAnsi="Arial Unicode MS" w:eastAsia="宋体"/>
        <w:b/>
        <w:i w:val="0"/>
        <w:sz w:val="30"/>
      </w:rPr>
    </w:lvl>
    <w:lvl w:ilvl="1" w:tentative="0">
      <w:start w:val="1"/>
      <w:numFmt w:val="decimal"/>
      <w:suff w:val="space"/>
      <w:lvlText w:val="%1.%2"/>
      <w:lvlJc w:val="left"/>
      <w:pPr>
        <w:ind w:left="0" w:firstLine="0"/>
      </w:pPr>
      <w:rPr>
        <w:rFonts w:hint="eastAsia" w:ascii="Arial Unicode MS" w:hAnsi="Arial Unicode MS" w:eastAsia="宋体"/>
        <w:b/>
        <w:i w:val="0"/>
        <w:sz w:val="28"/>
      </w:rPr>
    </w:lvl>
    <w:lvl w:ilvl="2" w:tentative="0">
      <w:start w:val="1"/>
      <w:numFmt w:val="decimal"/>
      <w:suff w:val="space"/>
      <w:lvlText w:val="%1.%2.%3"/>
      <w:lvlJc w:val="left"/>
      <w:pPr>
        <w:ind w:left="0" w:firstLine="0"/>
      </w:pPr>
      <w:rPr>
        <w:rFonts w:hint="eastAsia" w:ascii="Arial Unicode MS" w:hAnsi="Arial Unicode MS" w:eastAsia="宋体"/>
        <w:b/>
        <w:i w:val="0"/>
        <w:sz w:val="24"/>
      </w:rPr>
    </w:lvl>
    <w:lvl w:ilvl="3" w:tentative="0">
      <w:start w:val="1"/>
      <w:numFmt w:val="decimal"/>
      <w:suff w:val="space"/>
      <w:lvlText w:val="%1.%2.%3.%4"/>
      <w:lvlJc w:val="left"/>
      <w:pPr>
        <w:ind w:left="0" w:firstLine="0"/>
      </w:pPr>
      <w:rPr>
        <w:rFonts w:hint="eastAsia" w:ascii="Arial Unicode MS" w:hAnsi="Arial Unicode MS" w:eastAsia="宋体"/>
        <w:b/>
        <w:i w:val="0"/>
        <w:sz w:val="24"/>
      </w:rPr>
    </w:lvl>
    <w:lvl w:ilvl="4" w:tentative="0">
      <w:start w:val="1"/>
      <w:numFmt w:val="decimal"/>
      <w:pStyle w:val="5"/>
      <w:suff w:val="space"/>
      <w:lvlText w:val="%1.%2.%3.%4.%5"/>
      <w:lvlJc w:val="left"/>
      <w:pPr>
        <w:ind w:left="0" w:firstLine="0"/>
      </w:pPr>
      <w:rPr>
        <w:rFonts w:hint="eastAsia" w:ascii="Arial Unicode MS" w:hAnsi="Arial Unicode MS"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AB51145"/>
    <w:multiLevelType w:val="singleLevel"/>
    <w:tmpl w:val="4AB511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DdjZGQ5ZjUxNDI0OGIyZGEwMWUzN2RmOWE2NGMifQ=="/>
  </w:docVars>
  <w:rsids>
    <w:rsidRoot w:val="009F5158"/>
    <w:rsid w:val="001D5189"/>
    <w:rsid w:val="00280655"/>
    <w:rsid w:val="006A70F6"/>
    <w:rsid w:val="008D1172"/>
    <w:rsid w:val="009F5158"/>
    <w:rsid w:val="00AF44F9"/>
    <w:rsid w:val="00E64C20"/>
    <w:rsid w:val="00F20E3B"/>
    <w:rsid w:val="01EF73D4"/>
    <w:rsid w:val="04711C95"/>
    <w:rsid w:val="05A66DDC"/>
    <w:rsid w:val="084D7FD0"/>
    <w:rsid w:val="08980DDD"/>
    <w:rsid w:val="0F9829B0"/>
    <w:rsid w:val="103B6619"/>
    <w:rsid w:val="12704669"/>
    <w:rsid w:val="147315E3"/>
    <w:rsid w:val="19C06CAA"/>
    <w:rsid w:val="1A044015"/>
    <w:rsid w:val="1A490E15"/>
    <w:rsid w:val="1BF704FB"/>
    <w:rsid w:val="269144E3"/>
    <w:rsid w:val="280B2CB1"/>
    <w:rsid w:val="29302D0B"/>
    <w:rsid w:val="337A34C4"/>
    <w:rsid w:val="35D452A8"/>
    <w:rsid w:val="39C21FDF"/>
    <w:rsid w:val="39D553D5"/>
    <w:rsid w:val="3D4F21FC"/>
    <w:rsid w:val="3DAB34E6"/>
    <w:rsid w:val="41837C0C"/>
    <w:rsid w:val="418A0213"/>
    <w:rsid w:val="42721788"/>
    <w:rsid w:val="433A2227"/>
    <w:rsid w:val="436037BB"/>
    <w:rsid w:val="49417B10"/>
    <w:rsid w:val="49FC30D0"/>
    <w:rsid w:val="4B3612A5"/>
    <w:rsid w:val="51422BA3"/>
    <w:rsid w:val="5B9E0A78"/>
    <w:rsid w:val="5C1C68C8"/>
    <w:rsid w:val="616B05CB"/>
    <w:rsid w:val="67F72090"/>
    <w:rsid w:val="68C361A9"/>
    <w:rsid w:val="6BFC2A9E"/>
    <w:rsid w:val="71D738DC"/>
    <w:rsid w:val="73664309"/>
    <w:rsid w:val="7775678A"/>
    <w:rsid w:val="77997B11"/>
    <w:rsid w:val="7BE9576D"/>
    <w:rsid w:val="7D232256"/>
    <w:rsid w:val="7D382AD7"/>
    <w:rsid w:val="7E242EFD"/>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line="360" w:lineRule="auto"/>
      <w:ind w:left="431" w:hanging="431"/>
      <w:outlineLvl w:val="0"/>
    </w:pPr>
    <w:rPr>
      <w:rFonts w:ascii="Times New Roman" w:hAnsi="Times New Roman"/>
      <w:b/>
      <w:bCs/>
      <w:color w:val="000000"/>
      <w:kern w:val="44"/>
      <w:sz w:val="30"/>
      <w:szCs w:val="30"/>
    </w:rPr>
  </w:style>
  <w:style w:type="paragraph" w:styleId="4">
    <w:name w:val="heading 2"/>
    <w:basedOn w:val="1"/>
    <w:next w:val="1"/>
    <w:semiHidden/>
    <w:unhideWhenUsed/>
    <w:qFormat/>
    <w:uiPriority w:val="0"/>
    <w:pPr>
      <w:keepNext/>
      <w:keepLines/>
      <w:spacing w:line="360" w:lineRule="auto"/>
      <w:outlineLvl w:val="1"/>
    </w:pPr>
    <w:rPr>
      <w:rFonts w:ascii="Arial" w:hAnsi="Arial"/>
      <w:b/>
      <w:sz w:val="28"/>
    </w:rPr>
  </w:style>
  <w:style w:type="paragraph" w:styleId="2">
    <w:name w:val="heading 3"/>
    <w:basedOn w:val="1"/>
    <w:next w:val="1"/>
    <w:semiHidden/>
    <w:unhideWhenUsed/>
    <w:qFormat/>
    <w:uiPriority w:val="0"/>
    <w:pPr>
      <w:keepNext/>
      <w:spacing w:line="360" w:lineRule="auto"/>
      <w:outlineLvl w:val="2"/>
    </w:pPr>
    <w:rPr>
      <w:rFonts w:ascii="Times New Roman" w:hAnsi="Times New Roman"/>
      <w:b/>
      <w:sz w:val="24"/>
    </w:rPr>
  </w:style>
  <w:style w:type="paragraph" w:styleId="5">
    <w:name w:val="heading 5"/>
    <w:basedOn w:val="1"/>
    <w:next w:val="1"/>
    <w:link w:val="17"/>
    <w:semiHidden/>
    <w:unhideWhenUsed/>
    <w:qFormat/>
    <w:uiPriority w:val="0"/>
    <w:pPr>
      <w:keepNext/>
      <w:keepLines/>
      <w:numPr>
        <w:ilvl w:val="4"/>
        <w:numId w:val="1"/>
      </w:numPr>
      <w:spacing w:line="377" w:lineRule="auto"/>
      <w:outlineLvl w:val="4"/>
    </w:pPr>
    <w:rPr>
      <w:b/>
      <w:bCs/>
      <w:sz w:val="24"/>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23"/>
    <w:qFormat/>
    <w:uiPriority w:val="0"/>
    <w:pPr>
      <w:jc w:val="left"/>
    </w:pPr>
  </w:style>
  <w:style w:type="paragraph" w:styleId="8">
    <w:name w:val="Body Text"/>
    <w:basedOn w:val="1"/>
    <w:next w:val="1"/>
    <w:qFormat/>
    <w:uiPriority w:val="0"/>
    <w:pPr>
      <w:widowControl/>
      <w:snapToGrid w:val="0"/>
      <w:spacing w:line="360" w:lineRule="auto"/>
      <w:ind w:right="113"/>
    </w:pPr>
    <w:rPr>
      <w:rFonts w:asciiTheme="minorHAnsi" w:hAnsiTheme="minorHAnsi" w:eastAsiaTheme="minorEastAsia"/>
      <w:kern w:val="0"/>
      <w:sz w:val="24"/>
      <w:szCs w:val="20"/>
    </w:rPr>
  </w:style>
  <w:style w:type="paragraph" w:styleId="9">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0">
    <w:name w:val="Balloon Text"/>
    <w:basedOn w:val="1"/>
    <w:link w:val="25"/>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annotation subject"/>
    <w:basedOn w:val="7"/>
    <w:next w:val="7"/>
    <w:link w:val="24"/>
    <w:qFormat/>
    <w:uiPriority w:val="0"/>
    <w:rPr>
      <w:b/>
      <w:bCs/>
    </w:rPr>
  </w:style>
  <w:style w:type="character" w:styleId="16">
    <w:name w:val="annotation reference"/>
    <w:basedOn w:val="15"/>
    <w:qFormat/>
    <w:uiPriority w:val="0"/>
    <w:rPr>
      <w:sz w:val="21"/>
      <w:szCs w:val="21"/>
    </w:rPr>
  </w:style>
  <w:style w:type="character" w:customStyle="1" w:styleId="17">
    <w:name w:val="标题 5 Char"/>
    <w:link w:val="5"/>
    <w:qFormat/>
    <w:uiPriority w:val="0"/>
    <w:rPr>
      <w:rFonts w:ascii="Calibri" w:hAnsi="Calibri" w:eastAsia="宋体"/>
      <w:b/>
      <w:bCs/>
      <w:kern w:val="2"/>
      <w:sz w:val="24"/>
      <w:szCs w:val="28"/>
    </w:rPr>
  </w:style>
  <w:style w:type="paragraph" w:customStyle="1" w:styleId="18">
    <w:name w:val="表格文字"/>
    <w:basedOn w:val="8"/>
    <w:next w:val="1"/>
    <w:qFormat/>
    <w:uiPriority w:val="0"/>
    <w:pPr>
      <w:spacing w:line="240" w:lineRule="auto"/>
      <w:ind w:right="0"/>
      <w:jc w:val="center"/>
    </w:pPr>
    <w:rPr>
      <w:rFonts w:ascii="Times New Roman" w:hAnsi="Times New Roman" w:eastAsia="宋体"/>
      <w:sz w:val="21"/>
      <w:szCs w:val="28"/>
    </w:rPr>
  </w:style>
  <w:style w:type="paragraph" w:customStyle="1" w:styleId="19">
    <w:name w:val="表格标题"/>
    <w:basedOn w:val="6"/>
    <w:next w:val="1"/>
    <w:link w:val="20"/>
    <w:qFormat/>
    <w:uiPriority w:val="0"/>
    <w:pPr>
      <w:keepNext/>
      <w:keepLines/>
      <w:adjustRightInd w:val="0"/>
      <w:snapToGrid w:val="0"/>
      <w:jc w:val="center"/>
    </w:pPr>
    <w:rPr>
      <w:rFonts w:ascii="Arial Narrow" w:hAnsi="Arial Narrow" w:eastAsia="宋体"/>
      <w:b/>
      <w:bCs/>
      <w:sz w:val="21"/>
    </w:rPr>
  </w:style>
  <w:style w:type="character" w:customStyle="1" w:styleId="20">
    <w:name w:val="表格标题 Char"/>
    <w:link w:val="19"/>
    <w:qFormat/>
    <w:uiPriority w:val="0"/>
    <w:rPr>
      <w:rFonts w:ascii="Arial Narrow" w:hAnsi="Arial Narrow" w:eastAsia="宋体" w:cs="Times New Roman"/>
      <w:b/>
      <w:kern w:val="2"/>
      <w:sz w:val="21"/>
      <w:szCs w:val="20"/>
    </w:rPr>
  </w:style>
  <w:style w:type="paragraph" w:customStyle="1" w:styleId="21">
    <w:name w:val="图表标题"/>
    <w:qFormat/>
    <w:uiPriority w:val="0"/>
    <w:pPr>
      <w:autoSpaceDE w:val="0"/>
      <w:autoSpaceDN w:val="0"/>
      <w:adjustRightInd w:val="0"/>
      <w:snapToGrid w:val="0"/>
      <w:jc w:val="center"/>
    </w:pPr>
    <w:rPr>
      <w:rFonts w:ascii="Times New Roman" w:hAnsi="Times New Roman" w:eastAsia="宋体" w:cs="Times New Roman"/>
      <w:snapToGrid w:val="0"/>
      <w:color w:val="000000" w:themeColor="text1"/>
      <w:sz w:val="21"/>
      <w:lang w:val="en-US" w:eastAsia="zh-CN" w:bidi="ar-SA"/>
      <w14:textOutline w14:w="4356" w14:cap="flat" w14:cmpd="sng" w14:algn="ctr">
        <w14:solidFill>
          <w14:srgbClr w14:val="000000"/>
        </w14:solidFill>
        <w14:prstDash w14:val="solid"/>
        <w14:miter w14:val="0"/>
      </w14:textOutline>
      <w14:textFill>
        <w14:solidFill>
          <w14:schemeClr w14:val="tx1"/>
        </w14:solidFill>
      </w14:textFill>
    </w:rPr>
  </w:style>
  <w:style w:type="character" w:customStyle="1" w:styleId="22">
    <w:name w:val="页脚 Char"/>
    <w:basedOn w:val="15"/>
    <w:link w:val="11"/>
    <w:qFormat/>
    <w:uiPriority w:val="0"/>
    <w:rPr>
      <w:rFonts w:ascii="Calibri" w:hAnsi="Calibri" w:eastAsia="宋体" w:cs="Times New Roman"/>
      <w:kern w:val="2"/>
      <w:sz w:val="18"/>
      <w:szCs w:val="18"/>
    </w:rPr>
  </w:style>
  <w:style w:type="character" w:customStyle="1" w:styleId="23">
    <w:name w:val="批注文字 Char"/>
    <w:basedOn w:val="15"/>
    <w:link w:val="7"/>
    <w:qFormat/>
    <w:uiPriority w:val="0"/>
    <w:rPr>
      <w:rFonts w:ascii="Calibri" w:hAnsi="Calibri" w:eastAsia="宋体" w:cs="Times New Roman"/>
      <w:kern w:val="2"/>
      <w:sz w:val="21"/>
      <w:szCs w:val="24"/>
    </w:rPr>
  </w:style>
  <w:style w:type="character" w:customStyle="1" w:styleId="24">
    <w:name w:val="批注主题 Char"/>
    <w:basedOn w:val="23"/>
    <w:link w:val="13"/>
    <w:qFormat/>
    <w:uiPriority w:val="0"/>
    <w:rPr>
      <w:rFonts w:ascii="Calibri" w:hAnsi="Calibri" w:eastAsia="宋体" w:cs="Times New Roman"/>
      <w:b/>
      <w:bCs/>
      <w:kern w:val="2"/>
      <w:sz w:val="21"/>
      <w:szCs w:val="24"/>
    </w:rPr>
  </w:style>
  <w:style w:type="character" w:customStyle="1" w:styleId="25">
    <w:name w:val="批注框文本 Char"/>
    <w:basedOn w:val="15"/>
    <w:link w:val="10"/>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1405</Words>
  <Characters>1529</Characters>
  <Lines>11</Lines>
  <Paragraphs>3</Paragraphs>
  <TotalTime>14</TotalTime>
  <ScaleCrop>false</ScaleCrop>
  <LinksUpToDate>false</LinksUpToDate>
  <CharactersWithSpaces>1604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2020-11-25T02:51:00Z</dcterms:created>
  <dc:creator>Administrator</dc:creator>
  <cp:lastModifiedBy>Administrator</cp:lastModifiedBy>
  <cp:lastPrinted>2023-09-22T01:05:14Z</cp:lastPrinted>
  <dcterms:modified xsi:type="dcterms:W3CDTF">2023-09-22T01:08:13Z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860B4CAB9F574C0FB5E2CE5F77236B03</vt:lpwstr>
  </property>
</Properties>
</file>