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542" w:firstLineChars="2300"/>
        <w:jc w:val="left"/>
        <w:rPr>
          <w:rFonts w:hint="default" w:ascii="Times New Roman" w:hAnsi="Times New Roman" w:cs="Times New Roman"/>
          <w:b/>
          <w:bCs/>
          <w:sz w:val="24"/>
          <w:szCs w:val="24"/>
          <w:lang w:eastAsia="zh-CN"/>
        </w:rPr>
      </w:pPr>
      <w:bookmarkStart w:id="0" w:name="_GoBack"/>
      <w:bookmarkEnd w:id="0"/>
    </w:p>
    <w:p>
      <w:pPr>
        <w:ind w:firstLine="5542" w:firstLineChars="2300"/>
        <w:jc w:val="left"/>
        <w:rPr>
          <w:rFonts w:hint="default" w:ascii="Times New Roman" w:hAnsi="Times New Roman" w:cs="Times New Roman"/>
          <w:b/>
          <w:bCs/>
          <w:sz w:val="24"/>
          <w:szCs w:val="24"/>
          <w:lang w:eastAsia="zh-CN"/>
        </w:rPr>
      </w:pPr>
    </w:p>
    <w:p>
      <w:pPr>
        <w:ind w:firstLine="5542" w:firstLineChars="2300"/>
        <w:jc w:val="left"/>
        <w:rPr>
          <w:rFonts w:hint="default" w:ascii="Times New Roman" w:hAnsi="Times New Roman" w:cs="Times New Roman"/>
          <w:b/>
          <w:bCs/>
          <w:sz w:val="24"/>
          <w:szCs w:val="24"/>
          <w:lang w:eastAsia="zh-CN"/>
        </w:rPr>
      </w:pPr>
    </w:p>
    <w:p>
      <w:pPr>
        <w:ind w:firstLine="5542" w:firstLineChars="2300"/>
        <w:jc w:val="left"/>
        <w:rPr>
          <w:rFonts w:hint="default" w:ascii="Times New Roman" w:hAnsi="Times New Roman" w:cs="Times New Roman"/>
          <w:b/>
          <w:bCs/>
          <w:sz w:val="24"/>
          <w:szCs w:val="24"/>
          <w:lang w:eastAsia="zh-CN"/>
        </w:rPr>
      </w:pPr>
    </w:p>
    <w:p>
      <w:pPr>
        <w:ind w:firstLine="5542" w:firstLineChars="2300"/>
        <w:jc w:val="left"/>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eastAsia="zh-CN"/>
        </w:rPr>
        <w:t>邵</w:t>
      </w:r>
      <w:r>
        <w:rPr>
          <w:rFonts w:hint="eastAsia" w:ascii="Times New Roman" w:hAnsi="Times New Roman" w:cs="Times New Roman"/>
          <w:b/>
          <w:bCs/>
          <w:sz w:val="24"/>
          <w:szCs w:val="24"/>
          <w:lang w:eastAsia="zh-CN"/>
        </w:rPr>
        <w:t>市</w:t>
      </w:r>
      <w:r>
        <w:rPr>
          <w:rFonts w:hint="default" w:ascii="Times New Roman" w:hAnsi="Times New Roman" w:cs="Times New Roman"/>
          <w:b/>
          <w:bCs/>
          <w:sz w:val="24"/>
          <w:szCs w:val="24"/>
          <w:lang w:eastAsia="zh-CN"/>
        </w:rPr>
        <w:t>环评</w:t>
      </w:r>
      <w:r>
        <w:rPr>
          <w:rFonts w:hint="eastAsia" w:ascii="Times New Roman" w:hAnsi="Times New Roman" w:cs="Times New Roman"/>
          <w:b/>
          <w:bCs/>
          <w:sz w:val="24"/>
          <w:szCs w:val="24"/>
          <w:lang w:eastAsia="zh-CN"/>
        </w:rPr>
        <w:t>（</w:t>
      </w:r>
      <w:r>
        <w:rPr>
          <w:rFonts w:hint="eastAsia" w:ascii="Times New Roman" w:hAnsi="Times New Roman" w:cs="Times New Roman"/>
          <w:b/>
          <w:bCs/>
          <w:sz w:val="24"/>
          <w:szCs w:val="24"/>
          <w:lang w:val="en-US" w:eastAsia="zh-CN"/>
        </w:rPr>
        <w:t>1）</w:t>
      </w:r>
      <w:r>
        <w:rPr>
          <w:rFonts w:hint="default" w:ascii="Times New Roman" w:hAnsi="Times New Roman" w:cs="Times New Roman"/>
          <w:b/>
          <w:bCs/>
          <w:sz w:val="24"/>
          <w:szCs w:val="24"/>
          <w:lang w:val="en-US" w:eastAsia="zh-CN"/>
        </w:rPr>
        <w:t>[20</w:t>
      </w:r>
      <w:r>
        <w:rPr>
          <w:rFonts w:hint="eastAsia" w:ascii="Times New Roman" w:hAnsi="Times New Roman" w:cs="Times New Roman"/>
          <w:b/>
          <w:bCs/>
          <w:sz w:val="24"/>
          <w:szCs w:val="24"/>
          <w:lang w:val="en-US" w:eastAsia="zh-CN"/>
        </w:rPr>
        <w:t>22</w:t>
      </w:r>
      <w:r>
        <w:rPr>
          <w:rFonts w:hint="default" w:ascii="Times New Roman" w:hAnsi="Times New Roman" w:cs="Times New Roman"/>
          <w:b/>
          <w:bCs/>
          <w:sz w:val="24"/>
          <w:szCs w:val="24"/>
          <w:lang w:val="en-US" w:eastAsia="zh-CN"/>
        </w:rPr>
        <w:t>]</w:t>
      </w:r>
      <w:r>
        <w:rPr>
          <w:rFonts w:hint="eastAsia" w:ascii="Times New Roman" w:hAnsi="Times New Roman" w:cs="Times New Roman"/>
          <w:b/>
          <w:bCs/>
          <w:sz w:val="24"/>
          <w:szCs w:val="24"/>
          <w:lang w:val="en-US" w:eastAsia="zh-CN"/>
        </w:rPr>
        <w:t>56号</w:t>
      </w:r>
      <w:r>
        <w:rPr>
          <w:rFonts w:hint="default" w:ascii="Times New Roman" w:hAnsi="Times New Roman" w:cs="Times New Roman"/>
          <w:b/>
          <w:bCs/>
          <w:sz w:val="24"/>
          <w:szCs w:val="24"/>
          <w:lang w:val="en-US" w:eastAsia="zh-CN"/>
        </w:rPr>
        <w:t xml:space="preserve"> </w:t>
      </w:r>
    </w:p>
    <w:p>
      <w:pPr>
        <w:rPr>
          <w:rFonts w:hint="default" w:ascii="Times New Roman" w:hAnsi="Times New Roman" w:cs="Times New Roman"/>
          <w:b/>
          <w:bCs/>
          <w:lang w:val="en-US" w:eastAsia="zh-CN"/>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关于邵东福禧家俱厂年产200套木质品家具建设项目环境影响报告表的批复</w:t>
      </w:r>
    </w:p>
    <w:p>
      <w:pPr>
        <w:jc w:val="both"/>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邵东福禧家俱厂</w:t>
      </w:r>
      <w:r>
        <w:rPr>
          <w:rFonts w:hint="default" w:ascii="Times New Roman" w:hAnsi="Times New Roman" w:eastAsia="宋体"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你单位报送的《</w:t>
      </w:r>
      <w:r>
        <w:rPr>
          <w:rFonts w:hint="eastAsia" w:ascii="Times New Roman" w:hAnsi="Times New Roman" w:eastAsia="宋体" w:cs="Times New Roman"/>
          <w:b w:val="0"/>
          <w:bCs w:val="0"/>
          <w:sz w:val="24"/>
          <w:szCs w:val="24"/>
          <w:lang w:val="en-US" w:eastAsia="zh-CN"/>
        </w:rPr>
        <w:t>邵东福禧家俱厂年产200套木质品家具建设项目环境影响报告表</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以及项目申请批复的报告</w:t>
      </w:r>
      <w:r>
        <w:rPr>
          <w:rFonts w:hint="default" w:ascii="Times New Roman" w:hAnsi="Times New Roman" w:eastAsia="宋体" w:cs="Times New Roman"/>
          <w:b w:val="0"/>
          <w:bCs w:val="0"/>
          <w:sz w:val="24"/>
          <w:szCs w:val="24"/>
          <w:lang w:val="en-US" w:eastAsia="zh-CN"/>
        </w:rPr>
        <w:t>已收悉。经研究，现批复如下：</w:t>
      </w:r>
    </w:p>
    <w:p>
      <w:pPr>
        <w:keepNext w:val="0"/>
        <w:keepLines w:val="0"/>
        <w:pageBreakBefore w:val="0"/>
        <w:widowControl w:val="0"/>
        <w:kinsoku/>
        <w:wordWrap/>
        <w:overflowPunct/>
        <w:topLinePunct w:val="0"/>
        <w:autoSpaceDE/>
        <w:autoSpaceDN/>
        <w:bidi w:val="0"/>
        <w:adjustRightInd/>
        <w:snapToGrid/>
        <w:spacing w:line="480" w:lineRule="exact"/>
        <w:ind w:firstLine="480"/>
        <w:jc w:val="both"/>
        <w:textAlignment w:val="auto"/>
        <w:outlineLvl w:val="9"/>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一、</w:t>
      </w:r>
      <w:r>
        <w:rPr>
          <w:rFonts w:hint="default" w:ascii="Times New Roman" w:hAnsi="Times New Roman" w:eastAsia="宋体" w:cs="Times New Roman"/>
          <w:b w:val="0"/>
          <w:bCs w:val="0"/>
          <w:sz w:val="24"/>
          <w:szCs w:val="24"/>
          <w:lang w:val="en-US" w:eastAsia="zh-CN"/>
        </w:rPr>
        <w:t>你单位投资</w:t>
      </w:r>
      <w:r>
        <w:rPr>
          <w:rFonts w:hint="eastAsia" w:ascii="Times New Roman" w:hAnsi="Times New Roman" w:eastAsia="宋体" w:cs="Times New Roman"/>
          <w:b w:val="0"/>
          <w:bCs w:val="0"/>
          <w:sz w:val="24"/>
          <w:szCs w:val="24"/>
          <w:lang w:val="en-US" w:eastAsia="zh-CN"/>
        </w:rPr>
        <w:t>200</w:t>
      </w:r>
      <w:r>
        <w:rPr>
          <w:rFonts w:hint="default" w:ascii="Times New Roman" w:hAnsi="Times New Roman" w:eastAsia="宋体" w:cs="Times New Roman"/>
          <w:b w:val="0"/>
          <w:bCs w:val="0"/>
          <w:sz w:val="24"/>
          <w:szCs w:val="24"/>
          <w:lang w:val="en-US" w:eastAsia="zh-CN"/>
        </w:rPr>
        <w:t>万元</w:t>
      </w:r>
      <w:r>
        <w:rPr>
          <w:rFonts w:hint="eastAsia" w:ascii="Times New Roman" w:hAnsi="Times New Roman" w:eastAsia="宋体" w:cs="Times New Roman"/>
          <w:b w:val="0"/>
          <w:bCs w:val="0"/>
          <w:sz w:val="24"/>
          <w:szCs w:val="24"/>
          <w:lang w:val="en-US" w:eastAsia="zh-CN"/>
        </w:rPr>
        <w:t>租赁湖南惠康电器有限公司已有厂房第三层（东经</w:t>
      </w:r>
      <w:r>
        <w:rPr>
          <w:rFonts w:hint="default" w:ascii="Times New Roman" w:hAnsi="Times New Roman" w:eastAsia="宋体" w:cs="Times New Roman"/>
          <w:b w:val="0"/>
          <w:bCs w:val="0"/>
          <w:sz w:val="24"/>
          <w:szCs w:val="24"/>
          <w:lang w:val="en-US" w:eastAsia="zh-CN"/>
        </w:rPr>
        <w:t>111°46′3.8764164″</w:t>
      </w:r>
      <w:r>
        <w:rPr>
          <w:rFonts w:hint="eastAsia" w:ascii="Times New Roman" w:hAnsi="Times New Roman" w:eastAsia="宋体" w:cs="Times New Roman"/>
          <w:b w:val="0"/>
          <w:bCs w:val="0"/>
          <w:sz w:val="24"/>
          <w:szCs w:val="24"/>
          <w:lang w:val="en-US" w:eastAsia="zh-CN"/>
        </w:rPr>
        <w:t>，北纬</w:t>
      </w:r>
      <w:r>
        <w:rPr>
          <w:rFonts w:hint="default" w:ascii="Times New Roman" w:hAnsi="Times New Roman" w:eastAsia="宋体" w:cs="Times New Roman"/>
          <w:b w:val="0"/>
          <w:bCs w:val="0"/>
          <w:sz w:val="24"/>
          <w:szCs w:val="24"/>
          <w:lang w:val="en-US" w:eastAsia="zh-CN"/>
        </w:rPr>
        <w:t>27°18′37.67742″</w:t>
      </w:r>
      <w:r>
        <w:rPr>
          <w:rFonts w:hint="eastAsia"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lang w:val="en-US" w:eastAsia="zh-CN"/>
        </w:rPr>
        <w:t>建设</w:t>
      </w:r>
      <w:r>
        <w:rPr>
          <w:rFonts w:hint="eastAsia" w:ascii="Times New Roman" w:hAnsi="Times New Roman" w:eastAsia="宋体" w:cs="Times New Roman"/>
          <w:b w:val="0"/>
          <w:bCs w:val="0"/>
          <w:sz w:val="24"/>
          <w:szCs w:val="24"/>
          <w:lang w:val="en-US" w:eastAsia="zh-CN"/>
        </w:rPr>
        <w:t>年产200套木质品家具项目，主要建设内容包括机加工区、木磨区、擦色区、油漆房、原料区、成品区、办公区等主体工程，同时配套建设</w:t>
      </w:r>
      <w:r>
        <w:rPr>
          <w:rFonts w:hint="default" w:ascii="Times New Roman" w:hAnsi="Times New Roman" w:eastAsia="宋体" w:cs="Times New Roman"/>
          <w:b w:val="0"/>
          <w:bCs w:val="0"/>
          <w:sz w:val="24"/>
          <w:szCs w:val="24"/>
          <w:lang w:val="en-US" w:eastAsia="zh-CN"/>
        </w:rPr>
        <w:t>活性炭</w:t>
      </w:r>
      <w:r>
        <w:rPr>
          <w:rFonts w:hint="eastAsia" w:ascii="Times New Roman" w:hAnsi="Times New Roman" w:eastAsia="宋体" w:cs="Times New Roman"/>
          <w:b w:val="0"/>
          <w:bCs w:val="0"/>
          <w:sz w:val="24"/>
          <w:szCs w:val="24"/>
          <w:lang w:val="en-US" w:eastAsia="zh-CN"/>
        </w:rPr>
        <w:t>光氧一体机、危废暂存间等环保设施。根据国家发展改革委第29号令《产业结构调整指导目录（2019年本）》，该项目符合国家产业政策要求。根据湖南景晟环保科技有限责任公司编制的建设项目环境影响报告表的分析结论，在你单位认真落实环评报告表提出的环保措施，确保外排污染物达标的前提下，从环境保护的角度，同意你单位按照报告表确定的地点、规模、工艺、污染防治措施实施该项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二、在项目的实施过程中，重点做好以下几项工作：</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baseline"/>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1、控制废水污染物排放。生活污水经公共</w:t>
      </w:r>
      <w:r>
        <w:rPr>
          <w:rFonts w:hint="default" w:ascii="Times New Roman" w:hAnsi="Times New Roman" w:eastAsia="宋体" w:cs="Times New Roman"/>
          <w:color w:val="auto"/>
          <w:sz w:val="24"/>
          <w:szCs w:val="24"/>
          <w:highlight w:val="none"/>
          <w:lang w:val="en-US" w:eastAsia="zh-CN"/>
        </w:rPr>
        <w:t>化粪池处理后</w:t>
      </w:r>
      <w:r>
        <w:rPr>
          <w:rFonts w:hint="eastAsia" w:ascii="宋体" w:hAnsi="宋体" w:eastAsia="宋体" w:cs="宋体"/>
          <w:color w:val="auto"/>
          <w:sz w:val="24"/>
          <w:szCs w:val="24"/>
          <w:lang w:val="en-US" w:eastAsia="zh-CN"/>
        </w:rPr>
        <w:t>须达到《污水综合排放标准》（GB8978-1996）且需满足污水处理厂的进水水质要求后</w:t>
      </w:r>
      <w:r>
        <w:rPr>
          <w:rFonts w:hint="default" w:ascii="Times New Roman" w:hAnsi="Times New Roman" w:eastAsia="宋体" w:cs="Times New Roman"/>
          <w:color w:val="auto"/>
          <w:sz w:val="24"/>
          <w:szCs w:val="24"/>
          <w:highlight w:val="none"/>
          <w:lang w:val="en-US" w:eastAsia="zh-CN"/>
        </w:rPr>
        <w:t>排入城市污水管网</w:t>
      </w:r>
      <w:r>
        <w:rPr>
          <w:rFonts w:hint="eastAsia" w:ascii="Times New Roman" w:hAnsi="Times New Roman" w:eastAsia="宋体" w:cs="Times New Roman"/>
          <w:color w:val="auto"/>
          <w:sz w:val="24"/>
          <w:szCs w:val="24"/>
          <w:highlight w:val="none"/>
          <w:lang w:val="en-US" w:eastAsia="zh-CN"/>
        </w:rPr>
        <w:t>；喷淋废水</w:t>
      </w:r>
      <w:r>
        <w:rPr>
          <w:rFonts w:hint="default" w:ascii="Times New Roman" w:hAnsi="Times New Roman" w:eastAsia="宋体" w:cs="Times New Roman"/>
          <w:color w:val="auto"/>
          <w:sz w:val="24"/>
          <w:szCs w:val="24"/>
          <w:highlight w:val="none"/>
          <w:lang w:val="en-US" w:eastAsia="zh-CN"/>
        </w:rPr>
        <w:t>循环使用不外排</w:t>
      </w:r>
      <w:r>
        <w:rPr>
          <w:rFonts w:hint="eastAsia" w:ascii="Times New Roman" w:hAnsi="Times New Roman" w:eastAsia="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0"/>
        <w:jc w:val="left"/>
        <w:rPr>
          <w:rFonts w:hint="eastAsia" w:eastAsiaTheme="minorEastAsia"/>
          <w:color w:val="0000FF"/>
          <w:sz w:val="24"/>
          <w:lang w:eastAsia="zh-CN"/>
        </w:rPr>
      </w:pPr>
      <w:r>
        <w:rPr>
          <w:rFonts w:hint="eastAsia" w:ascii="Times New Roman" w:hAnsi="Times New Roman" w:eastAsia="宋体" w:cs="Times New Roman"/>
          <w:color w:val="auto"/>
          <w:sz w:val="24"/>
          <w:szCs w:val="24"/>
          <w:highlight w:val="none"/>
          <w:lang w:val="en-US" w:eastAsia="zh-CN"/>
        </w:rPr>
        <w:t>2、强化废气污染防治。</w:t>
      </w:r>
      <w:r>
        <w:rPr>
          <w:rFonts w:hint="eastAsia"/>
          <w:sz w:val="24"/>
        </w:rPr>
        <w:t>喷漆</w:t>
      </w:r>
      <w:r>
        <w:rPr>
          <w:rFonts w:hint="eastAsia"/>
          <w:sz w:val="24"/>
          <w:lang w:eastAsia="zh-CN"/>
        </w:rPr>
        <w:t>工序</w:t>
      </w:r>
      <w:r>
        <w:rPr>
          <w:rFonts w:hint="eastAsia" w:ascii="Times New Roman" w:hAnsi="Times New Roman" w:eastAsia="宋体" w:cs="Times New Roman"/>
          <w:b w:val="0"/>
          <w:bCs w:val="0"/>
          <w:sz w:val="24"/>
          <w:szCs w:val="24"/>
          <w:lang w:val="en-US" w:eastAsia="zh-CN"/>
        </w:rPr>
        <w:t>在全封闭车间内进行，产生的有机废气经“水喷淋+ 活性炭光氧一体机”处理后通过15米高的排气筒排放，外排</w:t>
      </w:r>
      <w:r>
        <w:rPr>
          <w:rFonts w:hint="eastAsia" w:ascii="Times New Roman" w:hAnsi="Times New Roman" w:cs="Times New Roman"/>
          <w:color w:val="000000" w:themeColor="text1"/>
          <w:sz w:val="24"/>
          <w:szCs w:val="24"/>
          <w:lang w:eastAsia="zh-CN"/>
          <w14:textFill>
            <w14:solidFill>
              <w14:schemeClr w14:val="tx1"/>
            </w14:solidFill>
          </w14:textFill>
        </w:rPr>
        <w:t>颗粒物</w:t>
      </w:r>
      <w:r>
        <w:rPr>
          <w:rFonts w:hint="eastAsia"/>
          <w:sz w:val="24"/>
          <w:u w:val="none"/>
          <w:lang w:val="en-US" w:eastAsia="zh-CN"/>
        </w:rPr>
        <w:t>须达到</w:t>
      </w:r>
      <w:r>
        <w:rPr>
          <w:rFonts w:hint="default" w:ascii="Times New Roman" w:hAnsi="Times New Roman" w:cs="Times New Roman"/>
          <w:color w:val="000000" w:themeColor="text1"/>
          <w:sz w:val="24"/>
          <w:szCs w:val="24"/>
          <w:lang w:eastAsia="zh-CN"/>
          <w14:textFill>
            <w14:solidFill>
              <w14:schemeClr w14:val="tx1"/>
            </w14:solidFill>
          </w14:textFill>
        </w:rPr>
        <w:t>《大气污染物综合排放标准》（GB16297-1996）</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b w:val="0"/>
          <w:bCs w:val="0"/>
          <w:sz w:val="24"/>
          <w:szCs w:val="24"/>
          <w:lang w:val="en-US" w:eastAsia="zh-CN"/>
        </w:rPr>
        <w:t>外排</w:t>
      </w:r>
      <w:r>
        <w:rPr>
          <w:rFonts w:hint="eastAsia" w:ascii="Times New Roman" w:hAnsi="Times New Roman" w:cs="Times New Roman"/>
          <w:color w:val="000000" w:themeColor="text1"/>
          <w:sz w:val="24"/>
          <w:szCs w:val="24"/>
          <w:lang w:eastAsia="zh-CN"/>
          <w14:textFill>
            <w14:solidFill>
              <w14:schemeClr w14:val="tx1"/>
            </w14:solidFill>
          </w14:textFill>
        </w:rPr>
        <w:t>苯系物、</w:t>
      </w:r>
      <w:r>
        <w:rPr>
          <w:rFonts w:hint="eastAsia" w:ascii="Times New Roman" w:hAnsi="Times New Roman" w:cs="Times New Roman"/>
          <w:color w:val="000000" w:themeColor="text1"/>
          <w:sz w:val="24"/>
          <w:szCs w:val="24"/>
          <w:lang w:val="en-US" w:eastAsia="zh-CN"/>
          <w14:textFill>
            <w14:solidFill>
              <w14:schemeClr w14:val="tx1"/>
            </w14:solidFill>
          </w14:textFill>
        </w:rPr>
        <w:t>VOC</w:t>
      </w:r>
      <w:r>
        <w:rPr>
          <w:rFonts w:hint="eastAsia" w:ascii="Times New Roman" w:hAnsi="Times New Roman" w:cs="Times New Roman"/>
          <w:color w:val="000000" w:themeColor="text1"/>
          <w:sz w:val="24"/>
          <w:szCs w:val="24"/>
          <w:vertAlign w:val="subscript"/>
          <w:lang w:val="en-US" w:eastAsia="zh-CN"/>
          <w14:textFill>
            <w14:solidFill>
              <w14:schemeClr w14:val="tx1"/>
            </w14:solidFill>
          </w14:textFill>
        </w:rPr>
        <w:t>S</w:t>
      </w:r>
      <w:r>
        <w:rPr>
          <w:rFonts w:hint="eastAsia" w:ascii="Times New Roman" w:hAnsi="Times New Roman" w:cs="Times New Roman"/>
          <w:color w:val="000000" w:themeColor="text1"/>
          <w:sz w:val="24"/>
          <w:szCs w:val="24"/>
          <w:vertAlign w:val="baseline"/>
          <w:lang w:val="en-US" w:eastAsia="zh-CN"/>
          <w14:textFill>
            <w14:solidFill>
              <w14:schemeClr w14:val="tx1"/>
            </w14:solidFill>
          </w14:textFill>
        </w:rPr>
        <w:t>须满足</w:t>
      </w:r>
      <w:r>
        <w:rPr>
          <w:rFonts w:hint="default" w:ascii="Times New Roman" w:hAnsi="Times New Roman" w:cs="Times New Roman"/>
          <w:color w:val="000000" w:themeColor="text1"/>
          <w:sz w:val="24"/>
          <w:szCs w:val="24"/>
          <w:lang w:eastAsia="zh-CN"/>
          <w14:textFill>
            <w14:solidFill>
              <w14:schemeClr w14:val="tx1"/>
            </w14:solidFill>
          </w14:textFill>
        </w:rPr>
        <w:t>《家具制造行业挥发性有机物排放标准》（DB43/1355-2017）</w:t>
      </w:r>
      <w:r>
        <w:rPr>
          <w:rFonts w:hint="eastAsia"/>
          <w:sz w:val="24"/>
          <w:u w:val="none"/>
          <w:lang w:eastAsia="zh-CN"/>
        </w:rPr>
        <w:t>；</w:t>
      </w:r>
      <w:r>
        <w:rPr>
          <w:rFonts w:hint="default" w:ascii="Times New Roman" w:hAnsi="Times New Roman" w:eastAsia="宋体" w:cs="Times New Roman"/>
          <w:bCs/>
          <w:color w:val="auto"/>
          <w:spacing w:val="-10"/>
          <w:sz w:val="24"/>
          <w:szCs w:val="24"/>
          <w:lang w:val="en-US" w:eastAsia="zh-CN"/>
        </w:rPr>
        <w:t>锯板开料</w:t>
      </w:r>
      <w:r>
        <w:rPr>
          <w:rFonts w:hint="eastAsia" w:ascii="Times New Roman" w:hAnsi="Times New Roman" w:eastAsia="宋体" w:cs="Times New Roman"/>
          <w:bCs/>
          <w:color w:val="auto"/>
          <w:spacing w:val="-10"/>
          <w:sz w:val="24"/>
          <w:szCs w:val="24"/>
          <w:lang w:val="en-US" w:eastAsia="zh-CN"/>
        </w:rPr>
        <w:t>工序、打磨工序、粘胶工序、擦色工序</w:t>
      </w:r>
      <w:r>
        <w:rPr>
          <w:rFonts w:hint="eastAsia" w:ascii="宋体" w:hAnsi="宋体" w:eastAsia="宋体" w:cs="宋体"/>
          <w:sz w:val="24"/>
          <w:szCs w:val="24"/>
          <w:lang w:val="en-US" w:eastAsia="zh-CN"/>
        </w:rPr>
        <w:t>采取加强车间通风的措施，</w:t>
      </w:r>
      <w:r>
        <w:rPr>
          <w:rFonts w:hint="eastAsia"/>
          <w:sz w:val="24"/>
          <w:u w:val="none"/>
          <w:lang w:val="en-US" w:eastAsia="zh-CN"/>
        </w:rPr>
        <w:t>外排</w:t>
      </w:r>
      <w:r>
        <w:rPr>
          <w:rFonts w:hint="eastAsia" w:ascii="Times New Roman" w:hAnsi="Times New Roman" w:cs="Times New Roman"/>
          <w:color w:val="000000" w:themeColor="text1"/>
          <w:sz w:val="24"/>
          <w:szCs w:val="24"/>
          <w:lang w:eastAsia="zh-CN"/>
          <w14:textFill>
            <w14:solidFill>
              <w14:schemeClr w14:val="tx1"/>
            </w14:solidFill>
          </w14:textFill>
        </w:rPr>
        <w:t>颗粒物、甲醛</w:t>
      </w:r>
      <w:r>
        <w:rPr>
          <w:rFonts w:hint="eastAsia"/>
          <w:sz w:val="24"/>
          <w:u w:val="none"/>
          <w:lang w:val="en-US" w:eastAsia="zh-CN"/>
        </w:rPr>
        <w:t>须达到</w:t>
      </w:r>
      <w:r>
        <w:rPr>
          <w:rFonts w:hint="default" w:ascii="Times New Roman" w:hAnsi="Times New Roman" w:cs="Times New Roman"/>
          <w:color w:val="000000" w:themeColor="text1"/>
          <w:sz w:val="24"/>
          <w:szCs w:val="24"/>
          <w:lang w:eastAsia="zh-CN"/>
          <w14:textFill>
            <w14:solidFill>
              <w14:schemeClr w14:val="tx1"/>
            </w14:solidFill>
          </w14:textFill>
        </w:rPr>
        <w:t>《大气污染物综合排放标准》（GB16297-1996）</w:t>
      </w:r>
      <w:r>
        <w:rPr>
          <w:rFonts w:hint="eastAsia" w:ascii="宋体" w:hAnsi="宋体" w:eastAsia="宋体" w:cs="宋体"/>
          <w:sz w:val="24"/>
          <w:szCs w:val="24"/>
          <w:lang w:val="en-US" w:eastAsia="zh-CN"/>
        </w:rPr>
        <w:t>无组织排放监控浓度限值</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b w:val="0"/>
          <w:bCs w:val="0"/>
          <w:sz w:val="24"/>
          <w:szCs w:val="24"/>
          <w:lang w:val="en-US" w:eastAsia="zh-CN"/>
        </w:rPr>
        <w:t>外排</w:t>
      </w:r>
      <w:r>
        <w:rPr>
          <w:rFonts w:hint="eastAsia" w:ascii="Times New Roman" w:hAnsi="Times New Roman" w:cs="Times New Roman"/>
          <w:color w:val="000000" w:themeColor="text1"/>
          <w:sz w:val="24"/>
          <w:szCs w:val="24"/>
          <w:lang w:val="en-US" w:eastAsia="zh-CN"/>
          <w14:textFill>
            <w14:solidFill>
              <w14:schemeClr w14:val="tx1"/>
            </w14:solidFill>
          </w14:textFill>
        </w:rPr>
        <w:t>VOC</w:t>
      </w:r>
      <w:r>
        <w:rPr>
          <w:rFonts w:hint="eastAsia" w:ascii="Times New Roman" w:hAnsi="Times New Roman" w:cs="Times New Roman"/>
          <w:color w:val="000000" w:themeColor="text1"/>
          <w:sz w:val="24"/>
          <w:szCs w:val="24"/>
          <w:vertAlign w:val="subscript"/>
          <w:lang w:val="en-US" w:eastAsia="zh-CN"/>
          <w14:textFill>
            <w14:solidFill>
              <w14:schemeClr w14:val="tx1"/>
            </w14:solidFill>
          </w14:textFill>
        </w:rPr>
        <w:t>S</w:t>
      </w:r>
      <w:r>
        <w:rPr>
          <w:rFonts w:hint="eastAsia" w:ascii="Times New Roman" w:hAnsi="Times New Roman" w:cs="Times New Roman"/>
          <w:color w:val="000000" w:themeColor="text1"/>
          <w:sz w:val="24"/>
          <w:szCs w:val="24"/>
          <w:vertAlign w:val="baseline"/>
          <w:lang w:val="en-US" w:eastAsia="zh-CN"/>
          <w14:textFill>
            <w14:solidFill>
              <w14:schemeClr w14:val="tx1"/>
            </w14:solidFill>
          </w14:textFill>
        </w:rPr>
        <w:t>须满足</w:t>
      </w:r>
      <w:r>
        <w:rPr>
          <w:rFonts w:hint="default" w:ascii="Times New Roman" w:hAnsi="Times New Roman" w:cs="Times New Roman"/>
          <w:color w:val="000000" w:themeColor="text1"/>
          <w:sz w:val="24"/>
          <w:szCs w:val="24"/>
          <w:lang w:eastAsia="zh-CN"/>
          <w14:textFill>
            <w14:solidFill>
              <w14:schemeClr w14:val="tx1"/>
            </w14:solidFill>
          </w14:textFill>
        </w:rPr>
        <w:t>《家具制造行业挥发性有机物排放标准》（DB43/1355-2017）</w:t>
      </w:r>
      <w:r>
        <w:rPr>
          <w:rFonts w:hint="eastAsia" w:ascii="宋体" w:hAnsi="宋体" w:eastAsia="宋体" w:cs="宋体"/>
          <w:sz w:val="24"/>
          <w:szCs w:val="24"/>
          <w:lang w:val="en-US" w:eastAsia="zh-CN"/>
        </w:rPr>
        <w:t>无组织排放监控浓度限值</w:t>
      </w:r>
      <w:r>
        <w:rPr>
          <w:rFonts w:hint="eastAsia" w:ascii="Times New Roman" w:hAnsi="Times New Roman" w:cs="Times New Roman"/>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0" w:firstLineChars="0"/>
        <w:jc w:val="both"/>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3、加强噪声控制管理。选用先进的低噪声设备，对高噪声设备采取减振、消音、隔声等措施，确保厂界噪声达到《工业企业厂界环境噪声排放标准》（GB12348-2008）3类标准。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jc w:val="both"/>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4、妥善处置固体废物。按照“减量化、资源化、无害化”原则妥善处置固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outlineLvl w:val="9"/>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体废物。木材边角料、收集的木料粉尘、</w:t>
      </w:r>
      <w:r>
        <w:rPr>
          <w:rFonts w:hint="default" w:ascii="Times New Roman" w:hAnsi="Times New Roman" w:eastAsia="宋体" w:cs="Times New Roman"/>
          <w:color w:val="000000"/>
          <w:sz w:val="24"/>
          <w:szCs w:val="24"/>
          <w:lang w:val="en-US" w:eastAsia="zh-CN"/>
        </w:rPr>
        <w:t>废包装材料</w:t>
      </w:r>
      <w:r>
        <w:rPr>
          <w:rFonts w:hint="eastAsia" w:ascii="Times New Roman" w:hAnsi="Times New Roman" w:eastAsia="宋体" w:cs="Times New Roman"/>
          <w:color w:val="000000"/>
          <w:sz w:val="24"/>
          <w:szCs w:val="24"/>
          <w:lang w:val="en-US" w:eastAsia="zh-CN"/>
        </w:rPr>
        <w:t>、</w:t>
      </w:r>
      <w:r>
        <w:rPr>
          <w:rFonts w:hint="default" w:ascii="Times New Roman" w:hAnsi="Times New Roman" w:eastAsia="宋体" w:cs="Times New Roman"/>
          <w:color w:val="000000"/>
          <w:sz w:val="24"/>
          <w:szCs w:val="24"/>
          <w:lang w:val="en-US" w:eastAsia="zh-CN"/>
        </w:rPr>
        <w:t>废砂纸</w:t>
      </w:r>
      <w:r>
        <w:rPr>
          <w:rFonts w:hint="eastAsia" w:ascii="Times New Roman" w:hAnsi="Times New Roman" w:eastAsia="宋体" w:cs="Times New Roman"/>
          <w:color w:val="000000"/>
          <w:sz w:val="24"/>
          <w:szCs w:val="24"/>
          <w:lang w:val="en-US" w:eastAsia="zh-CN"/>
        </w:rPr>
        <w:t>统一收集在</w:t>
      </w:r>
      <w:r>
        <w:rPr>
          <w:rFonts w:hint="default" w:ascii="Times New Roman" w:hAnsi="Times New Roman" w:eastAsia="宋体" w:cs="Times New Roman"/>
          <w:color w:val="000000"/>
          <w:sz w:val="24"/>
          <w:szCs w:val="24"/>
          <w:lang w:val="en-US" w:eastAsia="zh-CN"/>
        </w:rPr>
        <w:t>一般固废暂存间</w:t>
      </w:r>
      <w:r>
        <w:rPr>
          <w:rFonts w:hint="eastAsia" w:ascii="Times New Roman" w:hAnsi="Times New Roman" w:eastAsia="宋体" w:cs="Times New Roman"/>
          <w:color w:val="000000"/>
          <w:sz w:val="24"/>
          <w:szCs w:val="24"/>
          <w:lang w:val="en-US" w:eastAsia="zh-CN"/>
        </w:rPr>
        <w:t>定期外售；废油漆桶、漆渣、废活性炭、废UV灯管分类收集于危废暂存间，定期交有资质的单位处理，危废暂存间须满足《危险废物贮存污染控制标准》（GB18597-2001）及其修改单要求；生活垃圾集中收集后交由环卫部门统一清运。</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80" w:firstLineChars="200"/>
        <w:jc w:val="left"/>
        <w:textAlignment w:val="auto"/>
        <w:rPr>
          <w:rFonts w:hint="eastAsia" w:ascii="Times New Roman" w:hAnsi="Times New Roman" w:cs="Times New Roman"/>
          <w:sz w:val="24"/>
          <w:szCs w:val="24"/>
          <w:lang w:val="en-US" w:eastAsia="zh-CN"/>
        </w:rPr>
      </w:pPr>
      <w:r>
        <w:rPr>
          <w:rFonts w:hint="eastAsia" w:ascii="Times New Roman" w:hAnsi="Times New Roman" w:eastAsia="宋体" w:cs="Times New Roman"/>
          <w:color w:val="000000"/>
          <w:sz w:val="24"/>
          <w:szCs w:val="24"/>
          <w:lang w:val="en-US" w:eastAsia="zh-CN"/>
        </w:rPr>
        <w:t>加强</w:t>
      </w:r>
      <w:r>
        <w:rPr>
          <w:rFonts w:hint="eastAsia" w:ascii="Times New Roman" w:hAnsi="Times New Roman" w:cs="Times New Roman"/>
          <w:sz w:val="24"/>
          <w:szCs w:val="24"/>
          <w:lang w:val="en-US" w:eastAsia="zh-CN"/>
        </w:rPr>
        <w:t>企业环境管理</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按环评要求合理布局生产设施和建设污染防治设施，建立健全生产与环境保护管理制度，实行清洁生产，全过程控制污染，保持良好的厂容厂貌。</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480" w:firstLineChars="200"/>
        <w:jc w:val="left"/>
        <w:textAlignment w:val="auto"/>
        <w:rPr>
          <w:rFonts w:hint="eastAsia" w:ascii="Times New Roman" w:hAnsi="Times New Roman" w:eastAsia="宋体" w:cs="Times New Roman"/>
          <w:b w:val="0"/>
          <w:bCs w:val="0"/>
          <w:sz w:val="24"/>
          <w:szCs w:val="24"/>
          <w:lang w:val="en-US" w:eastAsia="zh-CN"/>
        </w:rPr>
      </w:pPr>
      <w:r>
        <w:rPr>
          <w:rFonts w:hint="eastAsia"/>
          <w:sz w:val="24"/>
          <w:szCs w:val="24"/>
        </w:rPr>
        <w:t>项目污染物排放总量控制指标：</w:t>
      </w:r>
      <w:r>
        <w:rPr>
          <w:sz w:val="24"/>
        </w:rPr>
        <w:t>VOCs</w:t>
      </w:r>
      <w:r>
        <w:rPr>
          <w:rFonts w:hint="eastAsia" w:ascii="Times New Roman" w:hAnsi="Times New Roman" w:eastAsia="宋体" w:cs="Times New Roman"/>
          <w:b w:val="0"/>
          <w:bCs w:val="0"/>
          <w:sz w:val="24"/>
          <w:szCs w:val="24"/>
          <w:lang w:val="en-US" w:eastAsia="zh-CN"/>
        </w:rPr>
        <w:t>：0.80t/a</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480" w:firstLineChars="200"/>
        <w:jc w:val="left"/>
        <w:textAlignment w:val="auto"/>
        <w:rPr>
          <w:rFonts w:hint="eastAsia"/>
          <w:sz w:val="24"/>
          <w:szCs w:val="24"/>
        </w:rPr>
      </w:pPr>
      <w:r>
        <w:rPr>
          <w:rFonts w:hint="eastAsia"/>
          <w:sz w:val="24"/>
          <w:szCs w:val="24"/>
          <w:lang w:eastAsia="zh-CN"/>
        </w:rPr>
        <w:t>项目建成后，在启动生产设施或实际排污之前须完成排污许可信息登记。</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五、按规定办理项目竣工环境保护验收手续，经验收合格后方可投入运营。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jc w:val="both"/>
        <w:textAlignment w:val="auto"/>
        <w:outlineLvl w:val="9"/>
        <w:rPr>
          <w:rFonts w:hint="eastAsia"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6000" w:firstLineChars="2500"/>
        <w:jc w:val="both"/>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 xml:space="preserve"> 邵阳市生态环境局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20</w:t>
      </w:r>
      <w:r>
        <w:rPr>
          <w:rFonts w:hint="eastAsia" w:ascii="Times New Roman" w:hAnsi="Times New Roman" w:eastAsia="宋体" w:cs="Times New Roman"/>
          <w:b w:val="0"/>
          <w:bCs w:val="0"/>
          <w:sz w:val="24"/>
          <w:szCs w:val="24"/>
          <w:lang w:val="en-US" w:eastAsia="zh-CN"/>
        </w:rPr>
        <w:t>22</w:t>
      </w:r>
      <w:r>
        <w:rPr>
          <w:rFonts w:hint="default" w:ascii="Times New Roman" w:hAnsi="Times New Roman" w:eastAsia="宋体" w:cs="Times New Roman"/>
          <w:b w:val="0"/>
          <w:bCs w:val="0"/>
          <w:sz w:val="24"/>
          <w:szCs w:val="24"/>
          <w:lang w:val="en-US" w:eastAsia="zh-CN"/>
        </w:rPr>
        <w:t>年</w:t>
      </w:r>
      <w:r>
        <w:rPr>
          <w:rFonts w:hint="eastAsia" w:ascii="Times New Roman" w:hAnsi="Times New Roman" w:eastAsia="宋体" w:cs="Times New Roman"/>
          <w:b w:val="0"/>
          <w:bCs w:val="0"/>
          <w:sz w:val="24"/>
          <w:szCs w:val="24"/>
          <w:lang w:val="en-US" w:eastAsia="zh-CN"/>
        </w:rPr>
        <w:t xml:space="preserve"> 11</w:t>
      </w:r>
      <w:r>
        <w:rPr>
          <w:rFonts w:hint="default" w:ascii="Times New Roman" w:hAnsi="Times New Roman" w:eastAsia="宋体" w:cs="Times New Roman"/>
          <w:b w:val="0"/>
          <w:bCs w:val="0"/>
          <w:sz w:val="24"/>
          <w:szCs w:val="24"/>
          <w:lang w:val="en-US" w:eastAsia="zh-CN"/>
        </w:rPr>
        <w:t>月</w:t>
      </w:r>
      <w:r>
        <w:rPr>
          <w:rFonts w:hint="eastAsia" w:ascii="Times New Roman" w:hAnsi="Times New Roman" w:eastAsia="宋体" w:cs="Times New Roman"/>
          <w:b w:val="0"/>
          <w:bCs w:val="0"/>
          <w:sz w:val="24"/>
          <w:szCs w:val="24"/>
          <w:lang w:val="en-US" w:eastAsia="zh-CN"/>
        </w:rPr>
        <w:t xml:space="preserve"> 09</w:t>
      </w:r>
      <w:r>
        <w:rPr>
          <w:rFonts w:hint="default" w:ascii="Times New Roman" w:hAnsi="Times New Roman" w:eastAsia="宋体" w:cs="Times New Roman"/>
          <w:b w:val="0"/>
          <w:bCs w:val="0"/>
          <w:sz w:val="24"/>
          <w:szCs w:val="24"/>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pPr>
      <w:r>
        <w:rPr>
          <w:rFonts w:hint="eastAsia" w:ascii="Times New Roman" w:hAnsi="Times New Roman" w:eastAsia="宋体" w:cs="Times New Roman"/>
          <w:color w:val="000000"/>
          <w:sz w:val="24"/>
          <w:szCs w:val="24"/>
          <w:lang w:val="en-US" w:eastAsia="zh-CN"/>
        </w:rPr>
        <w:t>抄送：黑田铺镇</w:t>
      </w:r>
      <w:r>
        <w:rPr>
          <w:rFonts w:hint="eastAsia" w:ascii="Times New Roman" w:hAnsi="Times New Roman" w:eastAsia="宋体" w:cs="Times New Roman"/>
          <w:b w:val="0"/>
          <w:bCs w:val="0"/>
          <w:sz w:val="24"/>
          <w:szCs w:val="24"/>
          <w:lang w:val="en-US" w:eastAsia="zh-CN"/>
        </w:rPr>
        <w:t xml:space="preserve">人民政府  </w:t>
      </w:r>
      <w:r>
        <w:rPr>
          <w:rFonts w:hint="eastAsia" w:asciiTheme="minorEastAsia" w:hAnsiTheme="minorEastAsia" w:cstheme="minorEastAsia"/>
          <w:sz w:val="24"/>
        </w:rPr>
        <w:t>湖南景晟环保科技有限责任公司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51824"/>
    <w:multiLevelType w:val="singleLevel"/>
    <w:tmpl w:val="89B51824"/>
    <w:lvl w:ilvl="0" w:tentative="0">
      <w:start w:val="5"/>
      <w:numFmt w:val="decimal"/>
      <w:suff w:val="nothing"/>
      <w:lvlText w:val="%1、"/>
      <w:lvlJc w:val="left"/>
    </w:lvl>
  </w:abstractNum>
  <w:abstractNum w:abstractNumId="1">
    <w:nsid w:val="21BC3EE8"/>
    <w:multiLevelType w:val="singleLevel"/>
    <w:tmpl w:val="21BC3EE8"/>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5NmEzMjUwY2I0MmVmNzFkNDJkMmY5MGRjNzdlMzIifQ=="/>
  </w:docVars>
  <w:rsids>
    <w:rsidRoot w:val="6BFD16D6"/>
    <w:rsid w:val="244911FF"/>
    <w:rsid w:val="698021B8"/>
    <w:rsid w:val="6BFD16D6"/>
    <w:rsid w:val="76721B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1158</Words>
  <Characters>1309</Characters>
  <Lines>0</Lines>
  <Paragraphs>0</Paragraphs>
  <TotalTime>78</TotalTime>
  <ScaleCrop>false</ScaleCrop>
  <LinksUpToDate>false</LinksUpToDate>
  <CharactersWithSpaces>1411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2022-10-11T06:37:00Z</dcterms:created>
  <dc:creator>演示人</dc:creator>
  <cp:lastModifiedBy>WPS_1614568755</cp:lastModifiedBy>
  <cp:lastPrinted>2022-11-09T03:13:00Z</cp:lastPrinted>
  <dcterms:modified xsi:type="dcterms:W3CDTF">2022-11-09T05:56:50Z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799ED0FB50D6413E9175C1A6315619FB</vt:lpwstr>
  </property>
</Properties>
</file>