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301" w:firstLineChars="2200"/>
        <w:jc w:val="center"/>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47号</w:t>
      </w:r>
    </w:p>
    <w:p>
      <w:pPr>
        <w:adjustRightInd w:val="0"/>
        <w:snapToGrid w:val="0"/>
        <w:spacing w:line="288" w:lineRule="auto"/>
        <w:ind w:firstLine="220"/>
        <w:jc w:val="center"/>
        <w:rPr>
          <w:rFonts w:hint="eastAsia"/>
          <w:sz w:val="24"/>
        </w:rPr>
      </w:pPr>
      <w:r>
        <w:rPr>
          <w:rFonts w:hint="eastAsia" w:ascii="宋体" w:hAnsi="宋体" w:eastAsia="宋体" w:cs="宋体"/>
          <w:b/>
          <w:bCs/>
          <w:sz w:val="36"/>
          <w:szCs w:val="36"/>
          <w:lang w:val="en-US" w:eastAsia="zh-CN"/>
        </w:rPr>
        <w:t>关于邵东市邵仙五金工具有限公司改建项目环境影响报告表的批复</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邵东市邵仙五金工具有限公司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邵东市邵仙五金工具有限公司改建项目环境影响报告表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1200</w:t>
      </w:r>
      <w:r>
        <w:rPr>
          <w:rFonts w:hint="default" w:ascii="Times New Roman" w:hAnsi="Times New Roman" w:eastAsia="宋体" w:cs="Times New Roman"/>
          <w:b w:val="0"/>
          <w:bCs w:val="0"/>
          <w:sz w:val="24"/>
          <w:szCs w:val="24"/>
          <w:lang w:val="en-US" w:eastAsia="zh-CN"/>
        </w:rPr>
        <w:t>万</w:t>
      </w:r>
      <w:r>
        <w:rPr>
          <w:rFonts w:hint="default"/>
          <w:color w:val="auto"/>
          <w:sz w:val="24"/>
          <w:lang w:val="en-US" w:eastAsia="zh-CN"/>
        </w:rPr>
        <w:t>元</w:t>
      </w:r>
      <w:r>
        <w:rPr>
          <w:rFonts w:hint="eastAsia"/>
          <w:color w:val="auto"/>
          <w:sz w:val="24"/>
          <w:lang w:val="en-US" w:eastAsia="zh-CN"/>
        </w:rPr>
        <w:t>在</w:t>
      </w:r>
      <w:r>
        <w:rPr>
          <w:rFonts w:hint="default"/>
          <w:color w:val="auto"/>
          <w:sz w:val="24"/>
          <w:lang w:val="en-US" w:eastAsia="zh-CN"/>
        </w:rPr>
        <w:t>湖南省</w:t>
      </w:r>
      <w:r>
        <w:rPr>
          <w:rFonts w:hint="eastAsia"/>
          <w:color w:val="auto"/>
          <w:sz w:val="24"/>
          <w:lang w:val="en-US" w:eastAsia="zh-CN"/>
        </w:rPr>
        <w:t>邵东</w:t>
      </w:r>
      <w:r>
        <w:rPr>
          <w:rFonts w:hint="default"/>
          <w:color w:val="auto"/>
          <w:sz w:val="24"/>
          <w:lang w:val="en-US" w:eastAsia="zh-CN"/>
        </w:rPr>
        <w:t>市</w:t>
      </w:r>
      <w:r>
        <w:rPr>
          <w:rFonts w:hint="eastAsia"/>
          <w:color w:val="auto"/>
          <w:sz w:val="24"/>
          <w:lang w:val="en-US" w:eastAsia="zh-CN"/>
        </w:rPr>
        <w:t>仙槎桥镇五金科技创新产业园（E111° 42′</w:t>
      </w:r>
      <w:r>
        <w:rPr>
          <w:rFonts w:hint="eastAsia" w:cs="Times New Roman"/>
          <w:color w:val="auto"/>
          <w:sz w:val="24"/>
          <w:szCs w:val="24"/>
          <w:u w:val="none"/>
          <w:shd w:val="clear" w:color="auto" w:fill="auto"/>
          <w:lang w:val="en-US" w:eastAsia="zh-CN"/>
        </w:rPr>
        <w:t>37.45</w:t>
      </w:r>
      <w:r>
        <w:rPr>
          <w:rFonts w:hint="eastAsia"/>
          <w:color w:val="auto"/>
          <w:sz w:val="24"/>
          <w:lang w:val="en-US" w:eastAsia="zh-CN"/>
        </w:rPr>
        <w:t>″， N27°10′</w:t>
      </w:r>
      <w:r>
        <w:rPr>
          <w:rFonts w:hint="eastAsia" w:cs="Times New Roman"/>
          <w:color w:val="auto"/>
          <w:sz w:val="24"/>
          <w:szCs w:val="24"/>
          <w:u w:val="none"/>
          <w:shd w:val="clear" w:color="auto" w:fill="auto"/>
          <w:lang w:val="en-US" w:eastAsia="zh-CN"/>
        </w:rPr>
        <w:t>17.45</w:t>
      </w:r>
      <w:r>
        <w:rPr>
          <w:rFonts w:hint="eastAsia"/>
          <w:color w:val="auto"/>
          <w:sz w:val="24"/>
          <w:lang w:val="en-US" w:eastAsia="zh-CN"/>
        </w:rPr>
        <w:t xml:space="preserve"> ″）建设</w:t>
      </w:r>
      <w:r>
        <w:rPr>
          <w:rFonts w:hint="eastAsia" w:ascii="Times New Roman" w:hAnsi="Times New Roman" w:eastAsia="宋体" w:cs="Times New Roman"/>
          <w:b w:val="0"/>
          <w:bCs w:val="0"/>
          <w:sz w:val="24"/>
          <w:szCs w:val="24"/>
          <w:lang w:val="en-US" w:eastAsia="zh-CN"/>
        </w:rPr>
        <w:t>技改项目</w:t>
      </w:r>
      <w:r>
        <w:rPr>
          <w:rFonts w:hint="eastAsia"/>
          <w:color w:val="auto"/>
          <w:sz w:val="24"/>
          <w:lang w:val="en-US" w:eastAsia="zh-CN"/>
        </w:rPr>
        <w:t>，</w:t>
      </w:r>
      <w:r>
        <w:rPr>
          <w:rFonts w:hint="eastAsia" w:ascii="Times New Roman" w:hAnsi="Times New Roman" w:eastAsia="宋体" w:cs="Times New Roman"/>
          <w:color w:val="auto"/>
          <w:sz w:val="24"/>
          <w:szCs w:val="24"/>
          <w:highlight w:val="none"/>
          <w:lang w:val="en-US" w:eastAsia="zh-CN"/>
        </w:rPr>
        <w:t>主要</w:t>
      </w:r>
      <w:r>
        <w:rPr>
          <w:rFonts w:hint="eastAsia" w:ascii="Times New Roman" w:hAnsi="Times New Roman" w:eastAsia="宋体" w:cs="Times New Roman"/>
          <w:b w:val="0"/>
          <w:bCs w:val="0"/>
          <w:sz w:val="24"/>
          <w:szCs w:val="24"/>
          <w:lang w:val="en-US" w:eastAsia="zh-CN"/>
        </w:rPr>
        <w:t>是拆除现有项目翻砂车间，在机加工车间的基础上进行升级改造</w:t>
      </w:r>
      <w:r>
        <w:rPr>
          <w:rFonts w:hint="eastAsia" w:ascii="Times New Roman" w:hAnsi="Times New Roman" w:eastAsia="宋体" w:cs="Times New Roman"/>
          <w:color w:val="auto"/>
          <w:sz w:val="24"/>
          <w:szCs w:val="24"/>
          <w:highlight w:val="none"/>
          <w:lang w:val="en-US" w:eastAsia="zh-CN"/>
        </w:rPr>
        <w:t>，优化生产工艺和流程，同时</w:t>
      </w:r>
      <w:r>
        <w:rPr>
          <w:rFonts w:hint="eastAsia" w:ascii="Times New Roman" w:hAnsi="Times New Roman" w:eastAsia="宋体" w:cs="Times New Roman"/>
          <w:b w:val="0"/>
          <w:bCs w:val="0"/>
          <w:sz w:val="24"/>
          <w:szCs w:val="24"/>
          <w:lang w:val="en-US" w:eastAsia="zh-CN"/>
        </w:rPr>
        <w:t>配套建设活性炭吸附装置等环保设施。根据国家发展改革委第29号令《产业结构调整指导目录（2019年本）》，该项目符合国家产业政策要求。根据湖南中昇环境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sz w:val="24"/>
          <w:szCs w:val="24"/>
          <w:lang w:eastAsia="zh-CN"/>
        </w:rPr>
        <w:t>。</w:t>
      </w:r>
      <w:r>
        <w:rPr>
          <w:sz w:val="24"/>
        </w:rPr>
        <w:t>生活污水</w:t>
      </w:r>
      <w:r>
        <w:rPr>
          <w:rFonts w:hint="eastAsia"/>
          <w:sz w:val="24"/>
          <w:lang w:eastAsia="zh-CN"/>
        </w:rPr>
        <w:t>经隔油池、</w:t>
      </w:r>
      <w:r>
        <w:rPr>
          <w:rFonts w:hint="eastAsia"/>
          <w:sz w:val="24"/>
        </w:rPr>
        <w:t>化粪池</w:t>
      </w:r>
      <w:r>
        <w:rPr>
          <w:rFonts w:hint="eastAsia"/>
          <w:sz w:val="24"/>
          <w:lang w:eastAsia="zh-CN"/>
        </w:rPr>
        <w:t>预</w:t>
      </w:r>
      <w:r>
        <w:rPr>
          <w:rFonts w:hint="eastAsia" w:hAnsi="宋体"/>
          <w:sz w:val="24"/>
        </w:rPr>
        <w:t>处理</w:t>
      </w:r>
      <w:r>
        <w:rPr>
          <w:rFonts w:hint="eastAsia" w:hAnsi="宋体"/>
          <w:sz w:val="24"/>
          <w:lang w:eastAsia="zh-CN"/>
        </w:rPr>
        <w:t>后</w:t>
      </w:r>
      <w:r>
        <w:rPr>
          <w:rFonts w:hint="eastAsia" w:ascii="宋体" w:hAnsi="宋体" w:eastAsia="宋体" w:cs="宋体"/>
          <w:color w:val="auto"/>
          <w:sz w:val="24"/>
          <w:szCs w:val="24"/>
          <w:lang w:val="en-US" w:eastAsia="zh-CN"/>
        </w:rPr>
        <w:t>排入园区管网，入网污水须达到《污水综合排放标准》（GB8978-1996）及《污水排入城镇下水</w:t>
      </w:r>
      <w:r>
        <w:rPr>
          <w:rFonts w:hint="eastAsia" w:ascii="Times New Roman" w:hAnsi="Times New Roman" w:eastAsia="宋体" w:cs="Times New Roman"/>
          <w:color w:val="auto"/>
          <w:sz w:val="24"/>
          <w:szCs w:val="24"/>
          <w:highlight w:val="none"/>
          <w:lang w:val="en-US" w:eastAsia="zh-CN"/>
        </w:rPr>
        <w:t>道水质标准》（GB/T31962-2015）；打磨废水、喷淋降尘废水循环使用，不外排。</w:t>
      </w:r>
    </w:p>
    <w:p>
      <w:pPr>
        <w:keepNext w:val="0"/>
        <w:keepLines w:val="0"/>
        <w:pageBreakBefore w:val="0"/>
        <w:widowControl w:val="0"/>
        <w:kinsoku/>
        <w:wordWrap/>
        <w:overflowPunct/>
        <w:topLinePunct w:val="0"/>
        <w:bidi w:val="0"/>
        <w:adjustRightInd w:val="0"/>
        <w:snapToGrid w:val="0"/>
        <w:spacing w:line="500" w:lineRule="exact"/>
        <w:ind w:firstLine="42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强化废气污染防治。浸塑、烘干工序有机废气经“集气罩+活性炭吸附装置”处理后通过20米高的排气筒排放，外排非甲烷总烃、HCl须达到《大气污染物综合排放标准》（GB16297-1996）表2二级标准，臭气浓度须满足《恶臭污染物排放标准》（GB14554-93）表2排放限值，未经收集的废气采取加强车间通风换气的措施，厂区内非甲烷总烃须达到《挥发性有机物无组织排放控制标准》（GB37822-2019）表A.1无组织排放限值，企业周界非甲烷总烃、HCl须达到《大气污染物综合排放标准》（GB16297-1996）表2浓度限，企业周界臭气浓度须满足《恶臭污染物排放标准》（GB14554-93）表1浓度限值；抛光工序粉尘经“集气罩+水喷淋+自然沉降”处理后无组织排放，外排颗粒物须达到《大气污染物综合排放标准》（GB16297-1996）；</w:t>
      </w:r>
      <w:r>
        <w:rPr>
          <w:rFonts w:hint="eastAsia"/>
          <w:sz w:val="24"/>
          <w:szCs w:val="24"/>
        </w:rPr>
        <w:t>食堂油烟经油烟净化机处理后，通过</w:t>
      </w:r>
      <w:r>
        <w:rPr>
          <w:rFonts w:hint="eastAsia"/>
          <w:sz w:val="24"/>
          <w:szCs w:val="24"/>
          <w:lang w:eastAsia="zh-CN"/>
        </w:rPr>
        <w:t>专管于屋顶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r>
        <w:rPr>
          <w:rFonts w:hint="eastAsia"/>
          <w:sz w:val="24"/>
          <w:lang w:val="en-US" w:eastAsia="zh-CN"/>
        </w:rPr>
        <w:t>。</w:t>
      </w:r>
    </w:p>
    <w:p>
      <w:pPr>
        <w:keepNext w:val="0"/>
        <w:keepLines w:val="0"/>
        <w:pageBreakBefore w:val="0"/>
        <w:widowControl w:val="0"/>
        <w:numPr>
          <w:ilvl w:val="0"/>
          <w:numId w:val="0"/>
        </w:numPr>
        <w:kinsoku/>
        <w:wordWrap/>
        <w:overflowPunct/>
        <w:topLinePunct w:val="0"/>
        <w:bidi w:val="0"/>
        <w:snapToGrid/>
        <w:spacing w:line="480" w:lineRule="exact"/>
        <w:ind w:firstLine="420" w:firstLineChars="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3、加强噪声控制管理。选用先进的低噪声设备，对高噪声设备采取减振、消音、隔声等措施，确保厂界噪声达到《工业企业厂界环境噪声排放标准》（GB12348-2008）3类标准。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不合格产品、加工金属废料、金属打磨废渣、收集金属粉尘、沉淀池金属沉渣、砂轮房废砂带、PVC废塑料统一收集后分类暂存于一般固废间，定期外售；生活垃圾集中收集后交由环卫部门统一清运处理；废乳化油、废液压油、废防锈油、废润滑油、废矿物油、废浸塑液桶、废活性炭收集于危废暂存间，定期交由有资质的单位处理，危废暂存间须满足《危险废物贮存污染控制标准》（GB18597-2001）及其修改单要求。</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三、项目污染物排放总量控制指标：VOC</w:t>
      </w:r>
      <w:r>
        <w:rPr>
          <w:rFonts w:hint="eastAsia" w:ascii="Times New Roman" w:hAnsi="Times New Roman" w:eastAsia="宋体" w:cs="Times New Roman"/>
          <w:color w:val="000000"/>
          <w:sz w:val="24"/>
          <w:szCs w:val="24"/>
          <w:vertAlign w:val="subscript"/>
          <w:lang w:val="en-US" w:eastAsia="zh-CN"/>
        </w:rPr>
        <w:t>S</w:t>
      </w:r>
      <w:r>
        <w:rPr>
          <w:rFonts w:hint="eastAsia" w:ascii="Times New Roman" w:hAnsi="Times New Roman" w:eastAsia="宋体" w:cs="Times New Roman"/>
          <w:color w:val="000000"/>
          <w:sz w:val="24"/>
          <w:szCs w:val="24"/>
          <w:vertAlign w:val="baseline"/>
          <w:lang w:val="en-US" w:eastAsia="zh-CN"/>
        </w:rPr>
        <w:t>：0.008</w:t>
      </w:r>
      <w:r>
        <w:rPr>
          <w:rFonts w:hint="eastAsia"/>
          <w:bCs/>
          <w:sz w:val="24"/>
        </w:rPr>
        <w:t>t/a</w:t>
      </w:r>
    </w:p>
    <w:p>
      <w:pPr>
        <w:pStyle w:val="6"/>
        <w:keepNext w:val="0"/>
        <w:keepLines w:val="0"/>
        <w:pageBreakBefore w:val="0"/>
        <w:widowControl w:val="0"/>
        <w:kinsoku/>
        <w:wordWrap/>
        <w:overflowPunct/>
        <w:topLinePunct w:val="0"/>
        <w:bidi w:val="0"/>
        <w:snapToGrid/>
        <w:spacing w:line="480" w:lineRule="exact"/>
        <w:ind w:firstLine="420" w:firstLineChars="0"/>
        <w:textAlignment w:val="auto"/>
        <w:rPr>
          <w:rFonts w:hint="eastAsia"/>
          <w:sz w:val="24"/>
          <w:szCs w:val="24"/>
        </w:rPr>
      </w:pPr>
      <w:r>
        <w:rPr>
          <w:rFonts w:hint="eastAsia"/>
          <w:sz w:val="24"/>
          <w:szCs w:val="24"/>
          <w:lang w:eastAsia="zh-CN"/>
        </w:rPr>
        <w:t>四</w:t>
      </w:r>
      <w:r>
        <w:rPr>
          <w:rFonts w:hint="eastAsia"/>
          <w:sz w:val="24"/>
          <w:szCs w:val="24"/>
        </w:rPr>
        <w:t>、</w:t>
      </w:r>
      <w:r>
        <w:rPr>
          <w:rFonts w:hint="eastAsia"/>
          <w:sz w:val="24"/>
          <w:szCs w:val="24"/>
          <w:lang w:eastAsia="zh-CN"/>
        </w:rPr>
        <w:t>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五、按规定办理项目竣工环境保护验收手续，经验收合格后方可投入运营。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19</w:t>
      </w:r>
      <w:bookmarkStart w:id="0" w:name="_GoBack"/>
      <w:bookmarkEnd w:id="0"/>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w:t>
      </w:r>
      <w:r>
        <w:rPr>
          <w:rFonts w:hint="eastAsia"/>
          <w:color w:val="auto"/>
          <w:sz w:val="24"/>
          <w:lang w:val="en-US" w:eastAsia="zh-CN"/>
        </w:rPr>
        <w:t>仙槎桥</w:t>
      </w:r>
      <w:r>
        <w:rPr>
          <w:rFonts w:hint="eastAsia" w:ascii="Times New Roman" w:hAnsi="Times New Roman" w:eastAsia="宋体" w:cs="Times New Roman"/>
          <w:b w:val="0"/>
          <w:bCs w:val="0"/>
          <w:sz w:val="24"/>
          <w:szCs w:val="24"/>
          <w:lang w:val="en-US" w:eastAsia="zh-CN"/>
        </w:rPr>
        <w:t>镇人民政府  湖南中昇环境科技有限公司</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EzMjUwY2I0MmVmNzFkNDJkMmY5MGRjNzdlMzIifQ=="/>
  </w:docVars>
  <w:rsids>
    <w:rsidRoot w:val="7FA12CD8"/>
    <w:rsid w:val="092F1BB4"/>
    <w:rsid w:val="12BE7C8A"/>
    <w:rsid w:val="1D0072A7"/>
    <w:rsid w:val="5F3076CD"/>
    <w:rsid w:val="7A4B3607"/>
    <w:rsid w:val="7FA12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kern w:val="0"/>
      <w:szCs w:val="20"/>
    </w:rPr>
  </w:style>
  <w:style w:type="paragraph" w:styleId="3">
    <w:name w:val="header"/>
    <w:basedOn w:val="1"/>
    <w:next w:val="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4">
    <w:name w:val="样式5"/>
    <w:basedOn w:val="5"/>
    <w:qFormat/>
    <w:uiPriority w:val="0"/>
    <w:pPr>
      <w:spacing w:line="360" w:lineRule="auto"/>
      <w:ind w:firstLine="510"/>
    </w:pPr>
  </w:style>
  <w:style w:type="paragraph" w:customStyle="1" w:styleId="5">
    <w:name w:val="正文1"/>
    <w:basedOn w:val="1"/>
    <w:qFormat/>
    <w:uiPriority w:val="0"/>
    <w:pPr>
      <w:snapToGrid w:val="0"/>
      <w:spacing w:beforeLines="20" w:afterLines="20" w:line="312" w:lineRule="auto"/>
      <w:ind w:firstLine="475" w:firstLineChars="198"/>
    </w:pPr>
    <w:rPr>
      <w:rFonts w:ascii="宋体" w:hAnsi="宋体"/>
      <w:color w:val="000000"/>
      <w:szCs w:val="20"/>
    </w:rPr>
  </w:style>
  <w:style w:type="paragraph" w:styleId="6">
    <w:name w:val="Body Text First Indent 2"/>
    <w:basedOn w:val="2"/>
    <w:next w:val="1"/>
    <w:qFormat/>
    <w:uiPriority w:val="0"/>
    <w:pPr>
      <w:spacing w:line="480" w:lineRule="exact"/>
      <w:ind w:left="0" w:left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1340</Words>
  <Characters>1509</Characters>
  <Lines>0</Lines>
  <Paragraphs>0</Paragraphs>
  <TotalTime>2</TotalTime>
  <ScaleCrop>false</ScaleCrop>
  <LinksUpToDate>false</LinksUpToDate>
  <CharactersWithSpaces>1612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2022-09-02T05:34:00Z</dcterms:created>
  <dc:creator>演示人</dc:creator>
  <cp:lastModifiedBy>演示人</cp:lastModifiedBy>
  <cp:lastPrinted>2022-09-02T06:27:00Z</cp:lastPrinted>
  <dcterms:modified xsi:type="dcterms:W3CDTF">2022-09-19T05:48:40Z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75FB9AAB599744C3B88DCB59DDAACA77</vt:lpwstr>
  </property>
</Properties>
</file>