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22</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49号</w:t>
      </w:r>
      <w:r>
        <w:rPr>
          <w:rFonts w:hint="default" w:ascii="Times New Roman" w:hAnsi="Times New Roman" w:cs="Times New Roman"/>
          <w:b/>
          <w:bCs/>
          <w:sz w:val="24"/>
          <w:szCs w:val="24"/>
          <w:lang w:val="en-US" w:eastAsia="zh-CN"/>
        </w:rPr>
        <w:t xml:space="preserve"> </w:t>
      </w:r>
    </w:p>
    <w:p>
      <w:pPr>
        <w:rPr>
          <w:rFonts w:hint="default" w:ascii="Times New Roman" w:hAnsi="Times New Roman" w:cs="Times New Roman"/>
          <w:b/>
          <w:bCs/>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关于邵东县恒旺工具有限公司年产10000吨五金工具生产线技改项目环境影响报告表的批复</w:t>
      </w:r>
    </w:p>
    <w:p>
      <w:pPr>
        <w:jc w:val="both"/>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邵东县恒旺工具有限公司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邵东县恒旺工具有限公司年产10000吨五金工具生产线技改项目环境影响报告表</w:t>
      </w:r>
      <w:r>
        <w:rPr>
          <w:rFonts w:hint="default"/>
          <w:sz w:val="24"/>
          <w:lang w:val="en-US" w:eastAsia="zh-CN"/>
        </w:rPr>
        <w:t>》</w:t>
      </w:r>
      <w:r>
        <w:rPr>
          <w:rFonts w:hint="eastAsia"/>
          <w:sz w:val="24"/>
          <w:lang w:val="en-US" w:eastAsia="zh-CN"/>
        </w:rPr>
        <w:t>以及项目申请批</w:t>
      </w:r>
      <w:r>
        <w:rPr>
          <w:rFonts w:hint="eastAsia" w:ascii="Times New Roman" w:hAnsi="Times New Roman" w:eastAsia="宋体" w:cs="Times New Roman"/>
          <w:b w:val="0"/>
          <w:bCs w:val="0"/>
          <w:sz w:val="24"/>
          <w:szCs w:val="24"/>
          <w:lang w:val="en-US" w:eastAsia="zh-CN"/>
        </w:rPr>
        <w:t>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200</w:t>
      </w:r>
      <w:r>
        <w:rPr>
          <w:rFonts w:hint="default" w:ascii="Times New Roman" w:hAnsi="Times New Roman" w:eastAsia="宋体" w:cs="Times New Roman"/>
          <w:b w:val="0"/>
          <w:bCs w:val="0"/>
          <w:sz w:val="24"/>
          <w:szCs w:val="24"/>
          <w:lang w:val="en-US" w:eastAsia="zh-CN"/>
        </w:rPr>
        <w:t>万元</w:t>
      </w:r>
      <w:r>
        <w:rPr>
          <w:rFonts w:hint="eastAsia" w:ascii="Times New Roman" w:hAnsi="Times New Roman" w:eastAsia="宋体" w:cs="Times New Roman"/>
          <w:b w:val="0"/>
          <w:bCs w:val="0"/>
          <w:sz w:val="24"/>
          <w:szCs w:val="24"/>
          <w:lang w:val="en-US" w:eastAsia="zh-CN"/>
        </w:rPr>
        <w:t>在邵东市黑田铺镇双泉铺村（</w:t>
      </w:r>
      <w:r>
        <w:rPr>
          <w:rFonts w:hint="eastAsia"/>
          <w:color w:val="auto"/>
          <w:sz w:val="24"/>
          <w:lang w:val="en-US" w:eastAsia="zh-CN"/>
        </w:rPr>
        <w:t>E111° 42</w:t>
      </w:r>
      <w:r>
        <w:rPr>
          <w:rFonts w:hint="eastAsia" w:ascii="Times New Roman" w:hAnsi="Times New Roman" w:eastAsia="宋体" w:cs="Times New Roman"/>
          <w:b w:val="0"/>
          <w:bCs w:val="0"/>
          <w:sz w:val="24"/>
          <w:szCs w:val="24"/>
          <w:lang w:val="en-US" w:eastAsia="zh-CN"/>
        </w:rPr>
        <w:t>′37.220″，</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hint="eastAsia" w:ascii="Times New Roman" w:hAnsi="Times New Roman" w:eastAsia="宋体" w:cs="Times New Roman"/>
          <w:b w:val="0"/>
          <w:bCs w:val="0"/>
          <w:sz w:val="24"/>
          <w:szCs w:val="24"/>
          <w:lang w:val="en-US" w:eastAsia="zh-CN"/>
        </w:rPr>
      </w:pPr>
      <w:r>
        <w:rPr>
          <w:rFonts w:hint="eastAsia"/>
          <w:color w:val="auto"/>
          <w:sz w:val="24"/>
          <w:lang w:val="en-US" w:eastAsia="zh-CN"/>
        </w:rPr>
        <w:t xml:space="preserve"> </w:t>
      </w:r>
      <w:r>
        <w:rPr>
          <w:rFonts w:hint="eastAsia" w:ascii="Times New Roman" w:hAnsi="Times New Roman" w:eastAsia="宋体" w:cs="Times New Roman"/>
          <w:b w:val="0"/>
          <w:bCs w:val="0"/>
          <w:sz w:val="24"/>
          <w:szCs w:val="24"/>
          <w:lang w:val="en-US" w:eastAsia="zh-CN"/>
        </w:rPr>
        <w:t xml:space="preserve">N27°19 ′15.491 </w:t>
      </w:r>
      <w:r>
        <w:rPr>
          <w:rFonts w:hint="eastAsia"/>
          <w:color w:val="auto"/>
          <w:sz w:val="24"/>
          <w:lang w:val="en-US" w:eastAsia="zh-CN"/>
        </w:rPr>
        <w:t>″）</w:t>
      </w:r>
      <w:r>
        <w:rPr>
          <w:rFonts w:hint="eastAsia" w:ascii="Times New Roman" w:hAnsi="Times New Roman" w:eastAsia="宋体" w:cs="Times New Roman"/>
          <w:b w:val="0"/>
          <w:bCs w:val="0"/>
          <w:sz w:val="24"/>
          <w:szCs w:val="24"/>
          <w:lang w:val="en-US" w:eastAsia="zh-CN"/>
        </w:rPr>
        <w:t>建设年产10000吨五金工具生产线技改项目，主要是对现有生产线进行技术改造，停用现有5t/h的燃焦炭冲天炉，改为一台中频电炉；增加覆膜砂造型工艺，提高生产线自动化和产品品质</w:t>
      </w:r>
      <w:r>
        <w:rPr>
          <w:rFonts w:hint="eastAsia" w:ascii="Times New Roman" w:hAnsi="Times New Roman"/>
          <w:b w:val="0"/>
          <w:bCs/>
          <w:color w:val="000000"/>
          <w:sz w:val="21"/>
          <w:szCs w:val="21"/>
          <w:u w:val="none"/>
          <w:vertAlign w:val="baseline"/>
          <w:lang w:val="en-US" w:eastAsia="zh-CN"/>
        </w:rPr>
        <w:t>，</w:t>
      </w:r>
      <w:r>
        <w:rPr>
          <w:rFonts w:hint="eastAsia" w:ascii="Times New Roman" w:hAnsi="Times New Roman" w:eastAsia="宋体" w:cs="Times New Roman"/>
          <w:color w:val="auto"/>
          <w:sz w:val="24"/>
          <w:szCs w:val="24"/>
          <w:highlight w:val="none"/>
          <w:lang w:val="en-US" w:eastAsia="zh-CN"/>
        </w:rPr>
        <w:t>同时配套建设活性炭吸附装置、除尘器等</w:t>
      </w:r>
      <w:r>
        <w:rPr>
          <w:rFonts w:hint="eastAsia" w:ascii="Times New Roman" w:hAnsi="Times New Roman" w:eastAsia="宋体" w:cs="Times New Roman"/>
          <w:b w:val="0"/>
          <w:bCs w:val="0"/>
          <w:sz w:val="24"/>
          <w:szCs w:val="24"/>
          <w:lang w:val="en-US" w:eastAsia="zh-CN"/>
        </w:rPr>
        <w:t>环保设施。根据国家发展改革委第29号令《产业结构调整指导目录（2019年本）》，该项目符合国家产业政策要求。根据</w:t>
      </w:r>
      <w:r>
        <w:rPr>
          <w:rFonts w:hint="eastAsia"/>
          <w:sz w:val="24"/>
        </w:rPr>
        <w:t>湖南</w:t>
      </w:r>
      <w:r>
        <w:rPr>
          <w:rFonts w:hint="eastAsia"/>
          <w:sz w:val="24"/>
          <w:lang w:eastAsia="zh-CN"/>
        </w:rPr>
        <w:t>朗誉</w:t>
      </w:r>
      <w:r>
        <w:rPr>
          <w:rFonts w:hint="eastAsia"/>
          <w:sz w:val="24"/>
        </w:rPr>
        <w:t>环</w:t>
      </w:r>
      <w:r>
        <w:rPr>
          <w:rFonts w:hint="eastAsia"/>
          <w:sz w:val="24"/>
          <w:lang w:eastAsia="zh-CN"/>
        </w:rPr>
        <w:t>保</w:t>
      </w:r>
      <w:r>
        <w:rPr>
          <w:rFonts w:hint="eastAsia"/>
          <w:sz w:val="24"/>
        </w:rPr>
        <w:t>科技有限公司</w:t>
      </w:r>
      <w:r>
        <w:rPr>
          <w:rFonts w:hint="eastAsia" w:ascii="Times New Roman" w:hAnsi="Times New Roman" w:eastAsia="宋体" w:cs="Times New Roman"/>
          <w:b w:val="0"/>
          <w:bCs w:val="0"/>
          <w:sz w:val="24"/>
          <w:szCs w:val="24"/>
          <w:lang w:val="en-US" w:eastAsia="zh-CN"/>
        </w:rPr>
        <w:t>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widowControl w:val="0"/>
        <w:kinsoku/>
        <w:wordWrap/>
        <w:overflowPunct/>
        <w:topLinePunct w:val="0"/>
        <w:bidi w:val="0"/>
        <w:spacing w:line="500" w:lineRule="exact"/>
        <w:ind w:firstLine="480" w:firstLineChars="200"/>
        <w:textAlignment w:val="auto"/>
        <w:rPr>
          <w:sz w:val="24"/>
        </w:rPr>
      </w:pPr>
      <w:r>
        <w:rPr>
          <w:rFonts w:hint="eastAsia" w:ascii="Times New Roman" w:hAnsi="Times New Roman" w:eastAsia="宋体" w:cs="Times New Roman"/>
          <w:color w:val="auto"/>
          <w:sz w:val="24"/>
          <w:szCs w:val="24"/>
          <w:highlight w:val="none"/>
          <w:lang w:val="en-US" w:eastAsia="zh-CN"/>
        </w:rPr>
        <w:t>1、控制废水污染物排放。</w:t>
      </w:r>
      <w:r>
        <w:rPr>
          <w:sz w:val="24"/>
        </w:rPr>
        <w:t>生活污水</w:t>
      </w:r>
      <w:r>
        <w:rPr>
          <w:rFonts w:hint="eastAsia"/>
          <w:sz w:val="24"/>
        </w:rPr>
        <w:t>经化粪池</w:t>
      </w:r>
      <w:r>
        <w:rPr>
          <w:rFonts w:hint="eastAsia" w:hAnsi="宋体"/>
          <w:sz w:val="24"/>
        </w:rPr>
        <w:t>处理</w:t>
      </w:r>
      <w:r>
        <w:rPr>
          <w:rFonts w:hint="eastAsia" w:hAnsi="宋体"/>
          <w:sz w:val="24"/>
          <w:lang w:eastAsia="zh-CN"/>
        </w:rPr>
        <w:t>后</w:t>
      </w:r>
      <w:r>
        <w:rPr>
          <w:rFonts w:hint="eastAsia" w:hAnsi="宋体"/>
          <w:color w:val="000000" w:themeColor="text1"/>
          <w:sz w:val="24"/>
          <w14:textFill>
            <w14:solidFill>
              <w14:schemeClr w14:val="tx1"/>
            </w14:solidFill>
          </w14:textFill>
        </w:rPr>
        <w:t>定期清掏</w:t>
      </w:r>
      <w:r>
        <w:rPr>
          <w:sz w:val="24"/>
        </w:rPr>
        <w:t>用作农肥</w:t>
      </w:r>
      <w:r>
        <w:rPr>
          <w:rFonts w:hint="eastAsia"/>
          <w:sz w:val="24"/>
          <w:lang w:eastAsia="zh-CN"/>
        </w:rPr>
        <w:t>；制备软化水的含盐废水</w:t>
      </w:r>
      <w:r>
        <w:rPr>
          <w:rFonts w:hint="eastAsia"/>
          <w:sz w:val="24"/>
          <w:lang w:val="en-US" w:eastAsia="zh-CN"/>
        </w:rPr>
        <w:t>用于厂区洒水抑尘，不外排</w:t>
      </w:r>
      <w:r>
        <w:rPr>
          <w:sz w:val="24"/>
        </w:rPr>
        <w:t>。</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eastAsia="宋体" w:cs="Times New Roman"/>
          <w:color w:val="auto"/>
          <w:sz w:val="24"/>
          <w:szCs w:val="24"/>
          <w:highlight w:val="none"/>
          <w:lang w:val="en-US" w:eastAsia="zh-CN"/>
        </w:rPr>
        <w:t>2、强化废气污染防治。造型、</w:t>
      </w:r>
      <w:r>
        <w:rPr>
          <w:rFonts w:hint="eastAsia" w:ascii="Times New Roman" w:hAnsi="Times New Roman" w:cs="Times New Roman"/>
          <w:sz w:val="24"/>
          <w:szCs w:val="24"/>
          <w:lang w:eastAsia="zh-CN"/>
        </w:rPr>
        <w:t>熔化、浇铸</w:t>
      </w:r>
      <w:r>
        <w:rPr>
          <w:rFonts w:hint="eastAsia"/>
          <w:sz w:val="24"/>
          <w:lang w:eastAsia="zh-CN"/>
        </w:rPr>
        <w:t>工序</w:t>
      </w:r>
      <w:r>
        <w:rPr>
          <w:rFonts w:hint="eastAsia" w:ascii="Times New Roman" w:hAnsi="Times New Roman" w:cs="Times New Roman"/>
          <w:sz w:val="24"/>
          <w:szCs w:val="24"/>
          <w:lang w:eastAsia="zh-CN"/>
        </w:rPr>
        <w:t>废气经“集气</w:t>
      </w:r>
      <w:r>
        <w:rPr>
          <w:rFonts w:hint="eastAsia" w:ascii="Times New Roman" w:hAnsi="Times New Roman" w:cs="Times New Roman"/>
          <w:sz w:val="24"/>
          <w:szCs w:val="24"/>
          <w:lang w:val="en-US" w:eastAsia="zh-CN"/>
        </w:rPr>
        <w:t>罩</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水浴除尘</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活性炭吸附装置”</w:t>
      </w:r>
      <w:r>
        <w:rPr>
          <w:rFonts w:hint="eastAsia" w:ascii="Times New Roman" w:hAnsi="Times New Roman" w:cs="Times New Roman"/>
          <w:sz w:val="24"/>
          <w:szCs w:val="24"/>
          <w:lang w:eastAsia="zh-CN"/>
        </w:rPr>
        <w:t>处理后</w:t>
      </w:r>
      <w:r>
        <w:rPr>
          <w:rFonts w:hint="eastAsia" w:ascii="Times New Roman" w:hAnsi="Times New Roman" w:cs="Times New Roman"/>
          <w:sz w:val="24"/>
          <w:szCs w:val="24"/>
          <w:lang w:val="en-US" w:eastAsia="zh-CN"/>
        </w:rPr>
        <w:t>通过15米高的排气筒排放，外排非甲烷总烃须满足</w:t>
      </w:r>
      <w:r>
        <w:rPr>
          <w:rFonts w:hint="eastAsia" w:ascii="Times New Roman" w:hAnsi="Times New Roman" w:cs="Times New Roman"/>
          <w:sz w:val="24"/>
          <w:szCs w:val="24"/>
          <w:lang w:eastAsia="zh-CN"/>
        </w:rPr>
        <w:t>《大气污染物综合排放标准》（GB16297-1996）</w:t>
      </w:r>
      <w:r>
        <w:rPr>
          <w:rFonts w:hint="eastAsia" w:ascii="Times New Roman" w:hAnsi="Times New Roman" w:cs="Times New Roman"/>
          <w:sz w:val="24"/>
          <w:szCs w:val="24"/>
          <w:lang w:val="en-US" w:eastAsia="zh-CN"/>
        </w:rPr>
        <w:t>，外排颗粒物须达到</w:t>
      </w:r>
      <w:r>
        <w:rPr>
          <w:rFonts w:hint="eastAsia" w:ascii="Times New Roman" w:hAnsi="Times New Roman" w:cs="Times New Roman"/>
          <w:sz w:val="24"/>
          <w:szCs w:val="24"/>
          <w:lang w:eastAsia="zh-CN"/>
        </w:rPr>
        <w:t>《铸造工业大气污染物排放标准》（GB39726-2020）；抛光粉尘</w:t>
      </w:r>
      <w:r>
        <w:rPr>
          <w:rFonts w:hint="eastAsia" w:ascii="Times New Roman" w:hAnsi="Times New Roman" w:cs="Times New Roman"/>
          <w:sz w:val="24"/>
          <w:szCs w:val="24"/>
          <w:lang w:val="en-US" w:eastAsia="zh-CN"/>
        </w:rPr>
        <w:t>经自配除尘器处理后无组织排放</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外排颗粒物须达到</w:t>
      </w:r>
      <w:r>
        <w:rPr>
          <w:rFonts w:hint="eastAsia" w:ascii="Times New Roman" w:hAnsi="Times New Roman" w:cs="Times New Roman"/>
          <w:sz w:val="24"/>
          <w:szCs w:val="24"/>
          <w:lang w:eastAsia="zh-CN"/>
        </w:rPr>
        <w:t>《铸造工业大气污染物排放标准》（GB39726-2020）</w:t>
      </w:r>
      <w:r>
        <w:rPr>
          <w:rFonts w:hint="eastAsia" w:ascii="Times New Roman" w:hAnsi="Times New Roman" w:cs="Times New Roman"/>
          <w:sz w:val="24"/>
          <w:szCs w:val="24"/>
          <w:lang w:val="en-US" w:eastAsia="zh-CN"/>
        </w:rPr>
        <w:t>规定的排放限值。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3、加强噪声控制管理。选用先进的低噪声设备，对高噪声设备采取减振、消音、隔声等措施，确保厂界噪声达到《工业企业厂界环境噪声排放标准》（GB12348-2008）2类标准。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体废物。废覆膜砂、废铸造砂收集后定期交由厂家回收；废浇冒头、残次品统一收集回用于生产；生活垃圾集中收集后交由环卫部门统一清运。</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三、</w:t>
      </w:r>
      <w:r>
        <w:rPr>
          <w:rFonts w:hint="eastAsia" w:ascii="Times New Roman" w:hAnsi="Times New Roman" w:eastAsia="宋体" w:cs="Times New Roman"/>
          <w:color w:val="000000"/>
          <w:sz w:val="24"/>
          <w:szCs w:val="24"/>
          <w:lang w:val="en-US" w:eastAsia="zh-CN"/>
        </w:rPr>
        <w:t>项目污染物排放总量控制指标：VOC</w:t>
      </w:r>
      <w:r>
        <w:rPr>
          <w:rFonts w:hint="eastAsia" w:ascii="Times New Roman" w:hAnsi="Times New Roman" w:eastAsia="宋体" w:cs="Times New Roman"/>
          <w:color w:val="000000"/>
          <w:sz w:val="24"/>
          <w:szCs w:val="24"/>
          <w:vertAlign w:val="subscript"/>
          <w:lang w:val="en-US" w:eastAsia="zh-CN"/>
        </w:rPr>
        <w:t>S</w:t>
      </w:r>
      <w:r>
        <w:rPr>
          <w:rFonts w:hint="eastAsia" w:ascii="Times New Roman" w:hAnsi="Times New Roman" w:eastAsia="宋体" w:cs="Times New Roman"/>
          <w:color w:val="000000"/>
          <w:sz w:val="24"/>
          <w:szCs w:val="24"/>
          <w:vertAlign w:val="baseline"/>
          <w:lang w:val="en-US" w:eastAsia="zh-CN"/>
        </w:rPr>
        <w:t>：0.36</w:t>
      </w:r>
      <w:r>
        <w:rPr>
          <w:rFonts w:hint="eastAsia"/>
          <w:bCs/>
          <w:sz w:val="24"/>
        </w:rPr>
        <w:t>t/a</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sz w:val="24"/>
          <w:szCs w:val="24"/>
        </w:rPr>
      </w:pPr>
      <w:r>
        <w:rPr>
          <w:rFonts w:hint="eastAsia"/>
          <w:sz w:val="24"/>
          <w:szCs w:val="24"/>
          <w:lang w:eastAsia="zh-CN"/>
        </w:rPr>
        <w:t>四、项目建成后，在启动生产设施或实际排污之前须申请排污许可证或完成排污许可信息登记。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五、按规定办理项目竣工环境保护验收手续，经验收合格后方可投入运营。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9</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 xml:space="preserve"> 19</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r>
        <w:rPr>
          <w:rFonts w:hint="eastAsia" w:ascii="Times New Roman" w:hAnsi="Times New Roman" w:eastAsia="宋体" w:cs="Times New Roman"/>
          <w:color w:val="000000"/>
          <w:sz w:val="24"/>
          <w:szCs w:val="24"/>
          <w:lang w:val="en-US" w:eastAsia="zh-CN"/>
        </w:rPr>
        <w:t>抄送：</w:t>
      </w:r>
      <w:r>
        <w:rPr>
          <w:rFonts w:hint="eastAsia" w:ascii="Times New Roman" w:hAnsi="Times New Roman" w:eastAsia="宋体" w:cs="Times New Roman"/>
          <w:b w:val="0"/>
          <w:bCs w:val="0"/>
          <w:sz w:val="24"/>
          <w:szCs w:val="24"/>
          <w:lang w:val="en-US" w:eastAsia="zh-CN"/>
        </w:rPr>
        <w:t>黑田铺</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sz w:val="24"/>
        </w:rPr>
        <w:t>湖南</w:t>
      </w:r>
      <w:r>
        <w:rPr>
          <w:rFonts w:hint="eastAsia"/>
          <w:sz w:val="24"/>
          <w:lang w:eastAsia="zh-CN"/>
        </w:rPr>
        <w:t>朗誉</w:t>
      </w:r>
      <w:r>
        <w:rPr>
          <w:rFonts w:hint="eastAsia"/>
          <w:sz w:val="24"/>
        </w:rPr>
        <w:t>环</w:t>
      </w:r>
      <w:r>
        <w:rPr>
          <w:rFonts w:hint="eastAsia"/>
          <w:sz w:val="24"/>
          <w:lang w:eastAsia="zh-CN"/>
        </w:rPr>
        <w:t>保</w:t>
      </w:r>
      <w:r>
        <w:rPr>
          <w:rFonts w:hint="eastAsia"/>
          <w:sz w:val="24"/>
        </w:rPr>
        <w:t>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1824"/>
    <w:multiLevelType w:val="singleLevel"/>
    <w:tmpl w:val="89B51824"/>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NmEzMjUwY2I0MmVmNzFkNDJkMmY5MGRjNzdlMzIifQ=="/>
  </w:docVars>
  <w:rsids>
    <w:rsidRoot w:val="59D54859"/>
    <w:rsid w:val="06A314F1"/>
    <w:rsid w:val="1AE7638C"/>
    <w:rsid w:val="284A3A79"/>
    <w:rsid w:val="3C3B5CBF"/>
    <w:rsid w:val="45815BA1"/>
    <w:rsid w:val="59D54859"/>
    <w:rsid w:val="65FE3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spacing w:line="500" w:lineRule="exact"/>
      <w:jc w:val="center"/>
      <w:outlineLvl w:val="3"/>
    </w:pPr>
    <w:rPr>
      <w:rFonts w:ascii="Times New Roman" w:hAnsi="Times New Roman" w:eastAsia="宋体" w:cs="Times New Roman"/>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1141</Characters>
  <Lines>0</Lines>
  <Paragraphs>0</Paragraphs>
  <TotalTime>33</TotalTime>
  <ScaleCrop>false</ScaleCrop>
  <LinksUpToDate>false</LinksUpToDate>
  <CharactersWithSpaces>1246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2022-09-08T04:46:00Z</dcterms:created>
  <dc:creator>演示人</dc:creator>
  <cp:lastModifiedBy>演示人</cp:lastModifiedBy>
  <cp:lastPrinted>2022-09-20T01:46:50Z</cp:lastPrinted>
  <dcterms:modified xsi:type="dcterms:W3CDTF">2022-09-20T01:58:52Z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7AE8EBB94F7F4AA8BC62582AFE85E326</vt:lpwstr>
  </property>
</Properties>
</file>