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市环</w:t>
      </w:r>
      <w:r>
        <w:rPr>
          <w:rFonts w:hint="default" w:ascii="Times New Roman" w:hAnsi="Times New Roman" w:cs="Times New Roman"/>
          <w:b/>
          <w:bCs/>
          <w:sz w:val="24"/>
          <w:szCs w:val="24"/>
          <w:lang w:eastAsia="zh-CN"/>
        </w:rPr>
        <w:t>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21号</w:t>
      </w:r>
      <w:r>
        <w:rPr>
          <w:rFonts w:hint="default" w:ascii="Times New Roman" w:hAnsi="Times New Roman" w:cs="Times New Roman"/>
          <w:b/>
          <w:bCs/>
          <w:sz w:val="24"/>
          <w:szCs w:val="24"/>
          <w:lang w:val="en-US" w:eastAsia="zh-CN"/>
        </w:rPr>
        <w:t xml:space="preserve"> </w:t>
      </w:r>
    </w:p>
    <w:p>
      <w:pPr>
        <w:spacing w:before="156" w:beforeLines="50" w:line="48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关于邵东市浪尖体育用品有限公司年产</w:t>
      </w:r>
      <w:r>
        <w:rPr>
          <w:rFonts w:hint="default" w:ascii="宋体" w:hAnsi="宋体" w:eastAsia="宋体" w:cs="宋体"/>
          <w:b/>
          <w:bCs/>
          <w:sz w:val="36"/>
          <w:szCs w:val="36"/>
          <w:lang w:val="en-US" w:eastAsia="zh-CN"/>
        </w:rPr>
        <w:t>60</w:t>
      </w:r>
      <w:r>
        <w:rPr>
          <w:rFonts w:hint="eastAsia" w:ascii="宋体" w:hAnsi="宋体" w:eastAsia="宋体" w:cs="宋体"/>
          <w:b/>
          <w:bCs/>
          <w:sz w:val="36"/>
          <w:szCs w:val="36"/>
          <w:lang w:val="en-US" w:eastAsia="zh-CN"/>
        </w:rPr>
        <w:t>万支羽毛球拍建设项目环境影响报告表的批复</w:t>
      </w:r>
    </w:p>
    <w:p>
      <w:pPr>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邵东市浪尖体育用品有限公司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邵东市浪尖体育用品有限公司年产</w:t>
      </w:r>
      <w:r>
        <w:rPr>
          <w:rFonts w:hint="default" w:ascii="Times New Roman" w:hAnsi="Times New Roman" w:eastAsia="宋体" w:cs="Times New Roman"/>
          <w:b w:val="0"/>
          <w:bCs w:val="0"/>
          <w:sz w:val="24"/>
          <w:szCs w:val="24"/>
          <w:lang w:val="en-US" w:eastAsia="zh-CN"/>
        </w:rPr>
        <w:t>60</w:t>
      </w:r>
      <w:r>
        <w:rPr>
          <w:rFonts w:hint="eastAsia" w:ascii="Times New Roman" w:hAnsi="Times New Roman" w:eastAsia="宋体" w:cs="Times New Roman"/>
          <w:b w:val="0"/>
          <w:bCs w:val="0"/>
          <w:sz w:val="24"/>
          <w:szCs w:val="24"/>
          <w:lang w:val="en-US" w:eastAsia="zh-CN"/>
        </w:rPr>
        <w:t>万支羽毛球拍建设项目环境影响报告表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300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在湖南省邵阳市邵东市火厂坪镇官兴村</w:t>
      </w:r>
      <w:r>
        <w:rPr>
          <w:rFonts w:hint="default" w:ascii="Times New Roman" w:hAnsi="Times New Roman" w:eastAsia="宋体" w:cs="Times New Roman"/>
          <w:b w:val="0"/>
          <w:bCs w:val="0"/>
          <w:sz w:val="24"/>
          <w:szCs w:val="24"/>
          <w:lang w:val="en-US" w:eastAsia="zh-CN"/>
        </w:rPr>
        <w:t>315</w:t>
      </w:r>
      <w:r>
        <w:rPr>
          <w:rFonts w:hint="eastAsia" w:ascii="Times New Roman" w:hAnsi="Times New Roman" w:eastAsia="宋体" w:cs="Times New Roman"/>
          <w:b w:val="0"/>
          <w:bCs w:val="0"/>
          <w:sz w:val="24"/>
          <w:szCs w:val="24"/>
          <w:lang w:val="en-US" w:eastAsia="zh-CN"/>
        </w:rPr>
        <w:t>省道旁火厂坪镇工业集中</w:t>
      </w:r>
      <w:r>
        <w:rPr>
          <w:rFonts w:hint="default"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号</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E111°</w:t>
      </w:r>
      <w:r>
        <w:rPr>
          <w:rFonts w:hint="default" w:ascii="Times New Roman" w:hAnsi="Times New Roman" w:eastAsia="宋体" w:cs="Times New Roman"/>
          <w:b w:val="0"/>
          <w:bCs w:val="0"/>
          <w:sz w:val="24"/>
          <w:szCs w:val="24"/>
          <w:lang w:val="en-US" w:eastAsia="zh-CN"/>
        </w:rPr>
        <w:t>53</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22</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462</w:t>
      </w:r>
      <w:r>
        <w:rPr>
          <w:rFonts w:hint="eastAsia" w:ascii="Times New Roman" w:hAnsi="Times New Roman" w:eastAsia="宋体" w:cs="Times New Roman"/>
          <w:b w:val="0"/>
          <w:bCs w:val="0"/>
          <w:sz w:val="24"/>
          <w:szCs w:val="24"/>
          <w:lang w:val="en-US" w:eastAsia="zh-CN"/>
        </w:rPr>
        <w:t>″， N27°11′</w:t>
      </w:r>
      <w:r>
        <w:rPr>
          <w:rFonts w:hint="default" w:ascii="Times New Roman" w:hAnsi="Times New Roman" w:eastAsia="宋体" w:cs="Times New Roman"/>
          <w:b w:val="0"/>
          <w:bCs w:val="0"/>
          <w:sz w:val="24"/>
          <w:szCs w:val="24"/>
          <w:lang w:val="en-US" w:eastAsia="zh-CN"/>
        </w:rPr>
        <w:t>31</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839</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租赁湖南健泰鞋业制造有限公司新建标准厂房的一半建设年产</w:t>
      </w:r>
      <w:r>
        <w:rPr>
          <w:rFonts w:hint="default" w:ascii="Times New Roman" w:hAnsi="Times New Roman" w:eastAsia="宋体" w:cs="Times New Roman"/>
          <w:b w:val="0"/>
          <w:bCs w:val="0"/>
          <w:sz w:val="24"/>
          <w:szCs w:val="24"/>
          <w:lang w:val="en-US" w:eastAsia="zh-CN"/>
        </w:rPr>
        <w:t>60</w:t>
      </w:r>
      <w:r>
        <w:rPr>
          <w:rFonts w:hint="eastAsia" w:ascii="Times New Roman" w:hAnsi="Times New Roman" w:eastAsia="宋体" w:cs="Times New Roman"/>
          <w:b w:val="0"/>
          <w:bCs w:val="0"/>
          <w:sz w:val="24"/>
          <w:szCs w:val="24"/>
          <w:lang w:val="en-US" w:eastAsia="zh-CN"/>
        </w:rPr>
        <w:t>万支羽毛球拍项目，主要建设内容有生产区、原料仓库、成品仓库、办公区等主体工程，同时配套建设活性炭吸附装置、化粪池等环保设施。根据国家发展改革委第29号令《产业结构调整指导目录（2019年本）》 ,该项目符合国家产业政策要求。你单位在没有报批环评文</w:t>
      </w:r>
      <w:bookmarkStart w:id="0" w:name="_GoBack"/>
      <w:bookmarkEnd w:id="0"/>
      <w:r>
        <w:rPr>
          <w:rFonts w:hint="eastAsia" w:ascii="Times New Roman" w:hAnsi="Times New Roman" w:eastAsia="宋体" w:cs="Times New Roman"/>
          <w:b w:val="0"/>
          <w:bCs w:val="0"/>
          <w:sz w:val="24"/>
          <w:szCs w:val="24"/>
          <w:lang w:val="en-US" w:eastAsia="zh-CN"/>
        </w:rPr>
        <w:t>件的情况下擅自动工建设并投入生产，我局已对此予以了查处。根据河北鑫世合环保咨询有限公司编制的建设项目环境影响报告表的分析结论和邵东市人民政府常务会议纪要（</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2020</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第20次）精神，在你单位认真落实环评报告表提出的环保措施，确保外排污染物达标的前提下，从环境保护的角度，同意你单位按照报告表确定的地点、规模、工艺、污染防治措施实施该项目。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color w:val="auto"/>
          <w:sz w:val="24"/>
          <w:szCs w:val="24"/>
          <w:lang w:val="en-US" w:eastAsia="zh-CN"/>
        </w:rPr>
        <w:t>生活污水经隔油池、</w:t>
      </w:r>
      <w:r>
        <w:rPr>
          <w:sz w:val="24"/>
        </w:rPr>
        <w:t>化粪池处理</w:t>
      </w:r>
      <w:r>
        <w:rPr>
          <w:rFonts w:hint="eastAsia"/>
          <w:sz w:val="24"/>
          <w:lang w:eastAsia="zh-CN"/>
        </w:rPr>
        <w:t>后用作农肥；处理漆雾的水帘柜用水循环使用，定期更换，更换出的水帘柜废水委托有资质的单位处理，不外排。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sz w:val="24"/>
          <w:lang w:val="en-US" w:eastAsia="zh-CN"/>
        </w:rPr>
      </w:pPr>
      <w:r>
        <w:rPr>
          <w:rFonts w:hint="eastAsia" w:ascii="Times New Roman" w:hAnsi="Times New Roman" w:eastAsia="宋体" w:cs="Times New Roman"/>
          <w:color w:val="auto"/>
          <w:sz w:val="24"/>
          <w:szCs w:val="24"/>
          <w:highlight w:val="none"/>
          <w:lang w:val="en-US" w:eastAsia="zh-CN"/>
        </w:rPr>
        <w:t>2、强化废气污染防治。</w:t>
      </w:r>
      <w:r>
        <w:rPr>
          <w:rFonts w:hint="eastAsia"/>
          <w:sz w:val="24"/>
          <w:lang w:val="en-US" w:eastAsia="zh-CN"/>
        </w:rPr>
        <w:t>补土区、打灰底房、喷漆房、静止区、烤箱房进行封闭，补土工序、打灰底工序、喷漆工序、静止工序、烘烤工序有机废气经“负压收集+水帘柜+UV光解+活性炭吸附装置”处理后通过20米高的排气筒排放，外排非甲烷总烃须满足</w:t>
      </w:r>
      <w:r>
        <w:rPr>
          <w:rFonts w:hint="eastAsia"/>
          <w:sz w:val="24"/>
          <w:lang w:eastAsia="zh-CN"/>
        </w:rPr>
        <w:t>《</w:t>
      </w:r>
      <w:r>
        <w:rPr>
          <w:rFonts w:hint="eastAsia"/>
          <w:sz w:val="24"/>
          <w:lang w:val="en-US" w:eastAsia="zh-CN"/>
        </w:rPr>
        <w:t>表面涂装（汽车制造及维修）挥发性有机物、镍排放标准</w:t>
      </w:r>
      <w:r>
        <w:rPr>
          <w:rFonts w:hint="eastAsia"/>
          <w:sz w:val="24"/>
          <w:lang w:eastAsia="zh-CN"/>
        </w:rPr>
        <w:t>》（</w:t>
      </w:r>
      <w:r>
        <w:rPr>
          <w:rFonts w:hint="eastAsia"/>
          <w:sz w:val="24"/>
          <w:lang w:val="en-US" w:eastAsia="zh-CN"/>
        </w:rPr>
        <w:t>DB43/1356-2017</w:t>
      </w:r>
      <w:r>
        <w:rPr>
          <w:rFonts w:hint="eastAsia"/>
          <w:sz w:val="24"/>
          <w:lang w:eastAsia="zh-CN"/>
        </w:rPr>
        <w:t>）</w:t>
      </w:r>
      <w:r>
        <w:rPr>
          <w:rFonts w:hint="eastAsia"/>
          <w:sz w:val="24"/>
          <w:lang w:val="en-US" w:eastAsia="zh-CN"/>
        </w:rPr>
        <w:t>表1 标准限值</w:t>
      </w:r>
      <w:r>
        <w:rPr>
          <w:rFonts w:hint="eastAsia"/>
          <w:sz w:val="24"/>
          <w:lang w:eastAsia="zh-CN"/>
        </w:rPr>
        <w:t>，</w:t>
      </w:r>
      <w:r>
        <w:rPr>
          <w:rFonts w:hint="eastAsia"/>
          <w:sz w:val="24"/>
          <w:lang w:val="en-US" w:eastAsia="zh-CN"/>
        </w:rPr>
        <w:t>未经收集的非甲烷总烃须满足</w:t>
      </w:r>
      <w:r>
        <w:rPr>
          <w:rFonts w:hint="eastAsia"/>
          <w:sz w:val="24"/>
          <w:lang w:eastAsia="zh-CN"/>
        </w:rPr>
        <w:t>《</w:t>
      </w:r>
      <w:r>
        <w:rPr>
          <w:rFonts w:hint="eastAsia"/>
          <w:sz w:val="24"/>
          <w:lang w:val="en-US" w:eastAsia="zh-CN"/>
        </w:rPr>
        <w:t>表面涂装（汽车制造及维修）挥发性有机物、镍排放标准</w:t>
      </w:r>
      <w:r>
        <w:rPr>
          <w:rFonts w:hint="eastAsia"/>
          <w:sz w:val="24"/>
          <w:lang w:eastAsia="zh-CN"/>
        </w:rPr>
        <w:t>》（</w:t>
      </w:r>
      <w:r>
        <w:rPr>
          <w:rFonts w:hint="eastAsia"/>
          <w:sz w:val="24"/>
          <w:lang w:val="en-US" w:eastAsia="zh-CN"/>
        </w:rPr>
        <w:t>DB43/1356-2017</w:t>
      </w:r>
      <w:r>
        <w:rPr>
          <w:rFonts w:hint="eastAsia"/>
          <w:sz w:val="24"/>
          <w:lang w:eastAsia="zh-CN"/>
        </w:rPr>
        <w:t>）</w:t>
      </w:r>
      <w:r>
        <w:rPr>
          <w:rFonts w:hint="eastAsia"/>
          <w:sz w:val="24"/>
          <w:lang w:val="en-US" w:eastAsia="zh-CN"/>
        </w:rPr>
        <w:t>表3浓度限值，有组织排放及无组织排放的颗粒物须满足</w:t>
      </w:r>
      <w:r>
        <w:rPr>
          <w:rFonts w:hint="eastAsia"/>
          <w:sz w:val="24"/>
          <w:lang w:eastAsia="zh-CN"/>
        </w:rPr>
        <w:t>《大气污染物综合排放标准》（</w:t>
      </w:r>
      <w:r>
        <w:rPr>
          <w:rFonts w:hint="default"/>
          <w:sz w:val="24"/>
          <w:lang w:eastAsia="zh-CN"/>
        </w:rPr>
        <w:t>GB16297</w:t>
      </w:r>
      <w:r>
        <w:rPr>
          <w:rFonts w:hint="eastAsia"/>
          <w:sz w:val="24"/>
          <w:lang w:eastAsia="zh-CN"/>
        </w:rPr>
        <w:t>-</w:t>
      </w:r>
      <w:r>
        <w:rPr>
          <w:rFonts w:hint="default"/>
          <w:sz w:val="24"/>
          <w:lang w:eastAsia="zh-CN"/>
        </w:rPr>
        <w:t>1996</w:t>
      </w:r>
      <w:r>
        <w:rPr>
          <w:rFonts w:hint="eastAsia"/>
          <w:sz w:val="24"/>
          <w:lang w:eastAsia="zh-CN"/>
        </w:rPr>
        <w:t>）表</w:t>
      </w:r>
      <w:r>
        <w:rPr>
          <w:rFonts w:hint="default"/>
          <w:sz w:val="24"/>
          <w:lang w:val="en-US" w:eastAsia="zh-CN"/>
        </w:rPr>
        <w:t>2</w:t>
      </w:r>
      <w:r>
        <w:rPr>
          <w:rFonts w:hint="eastAsia"/>
          <w:sz w:val="24"/>
          <w:lang w:val="en-US" w:eastAsia="zh-CN"/>
        </w:rPr>
        <w:t>标准限值；</w:t>
      </w:r>
      <w:r>
        <w:rPr>
          <w:rFonts w:hint="eastAsia"/>
          <w:sz w:val="24"/>
          <w:lang w:eastAsia="zh-CN"/>
        </w:rPr>
        <w:t>食堂油烟经油烟净化机处理后，通过专管于屋顶排放，外排油烟须符合《饮食业油烟排放标准（试行）》（GB18483-2001）中的小型规模标准。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sz w:val="24"/>
          <w:lang w:val="en-US" w:eastAsia="zh-CN"/>
        </w:rPr>
      </w:pPr>
      <w:r>
        <w:rPr>
          <w:rFonts w:hint="eastAsia" w:ascii="Times New Roman" w:hAnsi="Times New Roman" w:eastAsia="宋体" w:cs="Times New Roman"/>
          <w:color w:val="000000"/>
          <w:sz w:val="24"/>
          <w:szCs w:val="24"/>
          <w:lang w:val="en-US" w:eastAsia="zh-CN"/>
        </w:rPr>
        <w:t>4、妥善处置固体废物。</w:t>
      </w:r>
      <w:r>
        <w:rPr>
          <w:rFonts w:hint="eastAsia"/>
          <w:sz w:val="24"/>
          <w:lang w:val="en-US" w:eastAsia="zh-CN"/>
        </w:rPr>
        <w:t>金属下脚料、废球拍线、废布料、废塑料套、废包装统一收集于一般固废暂存间定期外售；废包装桶、漆渣、废活性炭、废</w:t>
      </w:r>
      <w:r>
        <w:rPr>
          <w:rFonts w:hint="default"/>
          <w:sz w:val="24"/>
          <w:lang w:val="en-US" w:eastAsia="zh-CN"/>
        </w:rPr>
        <w:t>UV</w:t>
      </w:r>
      <w:r>
        <w:rPr>
          <w:rFonts w:hint="eastAsia"/>
          <w:sz w:val="24"/>
          <w:lang w:val="en-US" w:eastAsia="zh-CN"/>
        </w:rPr>
        <w:t>灯管、废机油、喷漆水帘柜废水分类收集于危废暂存间，定期交有资质的单位处理，危废暂存间须满足《危险废物贮存污染控制标准》（GB18597-2001）及其修改单要求；生活垃圾统一收集后交由环卫部门统一清运。</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06</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09</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抄送：火厂坪</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河北鑫世合环保咨询有限公司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76701B7E"/>
    <w:rsid w:val="08003E35"/>
    <w:rsid w:val="3CB8627D"/>
    <w:rsid w:val="41EF7416"/>
    <w:rsid w:val="4EEA5014"/>
    <w:rsid w:val="61527C72"/>
    <w:rsid w:val="65FF06E2"/>
    <w:rsid w:val="76701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1298</Words>
  <Characters>1417</Characters>
  <Lines>0</Lines>
  <Paragraphs>0</Paragraphs>
  <TotalTime>10</TotalTime>
  <ScaleCrop>false</ScaleCrop>
  <LinksUpToDate>false</LinksUpToDate>
  <CharactersWithSpaces>1516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2022-05-31T03:23:00Z</dcterms:created>
  <dc:creator>演示人</dc:creator>
  <cp:lastModifiedBy>liu：min&amp;</cp:lastModifiedBy>
  <dcterms:modified xsi:type="dcterms:W3CDTF">2022-06-10T05:29:49Z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F8EC0F2231684A0BB9AA07DCCAE45857</vt:lpwstr>
  </property>
</Properties>
</file>