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color w:val="auto"/>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22125"/>
      <w:r>
        <w:rPr>
          <w:rFonts w:hint="default" w:ascii="Times New Roman" w:hAnsi="Times New Roman" w:eastAsia="方正小标宋_GBK" w:cs="Times New Roman"/>
          <w:bCs/>
          <w:color w:val="auto"/>
          <w:sz w:val="72"/>
          <w:szCs w:val="72"/>
        </w:rPr>
        <w:t>建设项目环境影响报告表</w:t>
      </w:r>
      <w:bookmarkEnd w:id="0"/>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adjustRightInd w:val="0"/>
        <w:snapToGrid w:val="0"/>
        <w:spacing w:line="288" w:lineRule="auto"/>
        <w:ind w:firstLine="360" w:firstLineChars="100"/>
        <w:jc w:val="left"/>
        <w:rPr>
          <w:rFonts w:hint="default" w:ascii="Times New Roman" w:hAnsi="Times New Roman" w:eastAsia="仿宋_GB2312" w:cs="Times New Roman"/>
          <w:color w:val="auto"/>
          <w:sz w:val="36"/>
          <w:szCs w:val="36"/>
          <w:u w:val="single"/>
          <w:lang w:val="en-US"/>
        </w:rPr>
      </w:pPr>
      <w:r>
        <w:rPr>
          <w:rFonts w:hint="default" w:ascii="Times New Roman" w:hAnsi="Times New Roman" w:eastAsia="仿宋_GB2312" w:cs="Times New Roman"/>
          <w:color w:val="auto"/>
          <w:sz w:val="36"/>
          <w:szCs w:val="36"/>
        </w:rPr>
        <w:t>项目名称：</w:t>
      </w:r>
      <w:r>
        <w:rPr>
          <w:rFonts w:hint="eastAsia" w:ascii="Times New Roman" w:hAnsi="Times New Roman" w:eastAsia="仿宋_GB2312" w:cs="Times New Roman"/>
          <w:color w:val="auto"/>
          <w:sz w:val="36"/>
          <w:szCs w:val="36"/>
          <w:u w:val="single"/>
          <w:lang w:val="en-US" w:eastAsia="zh-CN"/>
        </w:rPr>
        <w:t xml:space="preserve">     </w:t>
      </w:r>
      <w:r>
        <w:rPr>
          <w:rFonts w:hint="eastAsia" w:ascii="Times New Roman" w:hAnsi="Times New Roman" w:eastAsia="仿宋_GB2312" w:cs="Times New Roman"/>
          <w:color w:val="auto"/>
          <w:sz w:val="36"/>
          <w:szCs w:val="36"/>
          <w:u w:val="single"/>
          <w:lang w:eastAsia="zh-CN"/>
        </w:rPr>
        <w:t>年产500吨塑料包装材料项目</w:t>
      </w:r>
      <w:r>
        <w:rPr>
          <w:rFonts w:hint="eastAsia" w:ascii="Times New Roman" w:hAnsi="Times New Roman" w:eastAsia="仿宋_GB2312" w:cs="Times New Roman"/>
          <w:color w:val="auto"/>
          <w:sz w:val="36"/>
          <w:szCs w:val="36"/>
          <w:u w:val="single"/>
          <w:lang w:val="en-US" w:eastAsia="zh-CN"/>
        </w:rPr>
        <w:t xml:space="preserve">   </w:t>
      </w:r>
    </w:p>
    <w:p>
      <w:pPr>
        <w:adjustRightInd w:val="0"/>
        <w:snapToGrid w:val="0"/>
        <w:spacing w:line="288" w:lineRule="auto"/>
        <w:ind w:firstLine="360" w:firstLineChars="100"/>
        <w:jc w:val="left"/>
        <w:rPr>
          <w:rFonts w:hint="default" w:ascii="Times New Roman" w:hAnsi="Times New Roman" w:eastAsia="仿宋_GB2312" w:cs="Times New Roman"/>
          <w:color w:val="auto"/>
          <w:sz w:val="36"/>
          <w:szCs w:val="36"/>
          <w:u w:val="single"/>
          <w:lang w:val="en-US"/>
        </w:rPr>
      </w:pPr>
      <w:r>
        <w:rPr>
          <w:rFonts w:hint="default" w:ascii="Times New Roman" w:hAnsi="Times New Roman" w:eastAsia="仿宋_GB2312" w:cs="Times New Roman"/>
          <w:color w:val="auto"/>
          <w:sz w:val="36"/>
          <w:szCs w:val="36"/>
        </w:rPr>
        <w:t>建设单位（盖章）：</w:t>
      </w:r>
      <w:r>
        <w:rPr>
          <w:rFonts w:hint="eastAsia" w:ascii="Times New Roman" w:hAnsi="Times New Roman" w:eastAsia="仿宋_GB2312" w:cs="Times New Roman"/>
          <w:color w:val="auto"/>
          <w:sz w:val="36"/>
          <w:szCs w:val="36"/>
          <w:u w:val="single"/>
          <w:lang w:val="en-US" w:eastAsia="zh-CN"/>
        </w:rPr>
        <w:t xml:space="preserve"> </w:t>
      </w:r>
      <w:r>
        <w:rPr>
          <w:rFonts w:hint="eastAsia" w:ascii="Times New Roman" w:hAnsi="Times New Roman" w:eastAsia="仿宋_GB2312" w:cs="Times New Roman"/>
          <w:color w:val="auto"/>
          <w:sz w:val="36"/>
          <w:szCs w:val="36"/>
          <w:u w:val="single"/>
          <w:lang w:eastAsia="zh-CN"/>
        </w:rPr>
        <w:t>邵东市思逸包装有限公司</w:t>
      </w:r>
      <w:r>
        <w:rPr>
          <w:rFonts w:hint="eastAsia" w:ascii="Times New Roman" w:hAnsi="Times New Roman" w:eastAsia="仿宋_GB2312" w:cs="Times New Roman"/>
          <w:color w:val="auto"/>
          <w:sz w:val="36"/>
          <w:szCs w:val="36"/>
          <w:u w:val="single"/>
          <w:lang w:val="en-US" w:eastAsia="zh-CN"/>
        </w:rPr>
        <w:t xml:space="preserve">  </w:t>
      </w:r>
    </w:p>
    <w:p>
      <w:pPr>
        <w:adjustRightInd w:val="0"/>
        <w:snapToGrid w:val="0"/>
        <w:spacing w:line="288" w:lineRule="auto"/>
        <w:ind w:firstLine="360" w:firstLineChars="100"/>
        <w:jc w:val="left"/>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编制日期：</w:t>
      </w:r>
      <w:r>
        <w:rPr>
          <w:rFonts w:hint="eastAsia"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val="en-US" w:eastAsia="zh-CN"/>
        </w:rPr>
        <w:t>202</w:t>
      </w:r>
      <w:r>
        <w:rPr>
          <w:rFonts w:hint="eastAsia" w:ascii="Times New Roman" w:hAnsi="Times New Roman" w:eastAsia="仿宋_GB2312" w:cs="Times New Roman"/>
          <w:color w:val="auto"/>
          <w:sz w:val="36"/>
          <w:szCs w:val="36"/>
          <w:u w:val="single"/>
          <w:lang w:val="en-US" w:eastAsia="zh-CN"/>
        </w:rPr>
        <w:t>2</w:t>
      </w:r>
      <w:r>
        <w:rPr>
          <w:rFonts w:hint="default" w:ascii="Times New Roman" w:hAnsi="Times New Roman" w:eastAsia="仿宋_GB2312" w:cs="Times New Roman"/>
          <w:color w:val="auto"/>
          <w:sz w:val="36"/>
          <w:szCs w:val="36"/>
          <w:u w:val="single"/>
          <w:lang w:val="en-US" w:eastAsia="zh-CN"/>
        </w:rPr>
        <w:t>年4月</w:t>
      </w:r>
      <w:r>
        <w:rPr>
          <w:rFonts w:hint="eastAsia" w:ascii="Times New Roman" w:hAnsi="Times New Roman" w:eastAsia="仿宋_GB2312" w:cs="Times New Roman"/>
          <w:color w:val="auto"/>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1"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1"/>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rPr>
          <w:rFonts w:hint="default" w:ascii="Times New Roman" w:hAnsi="Times New Roman" w:eastAsia="楷体_GB2312" w:cs="Times New Roman"/>
          <w:color w:val="auto"/>
          <w:sz w:val="36"/>
          <w:szCs w:val="36"/>
        </w:rPr>
      </w:pPr>
    </w:p>
    <w:p>
      <w:pPr>
        <w:adjustRightInd w:val="0"/>
        <w:snapToGrid w:val="0"/>
        <w:spacing w:line="288" w:lineRule="auto"/>
        <w:rPr>
          <w:rFonts w:hint="default" w:ascii="Times New Roman" w:hAnsi="Times New Roman" w:eastAsia="楷体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jc w:val="center"/>
        <w:rPr>
          <w:rFonts w:hint="default" w:ascii="Times New Roman" w:hAnsi="Times New Roman" w:eastAsia="黑体" w:cs="Times New Roman"/>
          <w:b/>
          <w:bCs/>
          <w:color w:val="auto"/>
          <w:kern w:val="44"/>
          <w:sz w:val="30"/>
          <w:szCs w:val="30"/>
        </w:rPr>
      </w:pPr>
      <w:bookmarkStart w:id="2" w:name="_Toc12843"/>
      <w:r>
        <w:rPr>
          <w:rFonts w:hint="default" w:ascii="Times New Roman" w:hAnsi="Times New Roman" w:eastAsia="黑体" w:cs="Times New Roman"/>
          <w:b/>
          <w:bCs/>
          <w:color w:val="auto"/>
          <w:kern w:val="44"/>
          <w:sz w:val="30"/>
          <w:szCs w:val="30"/>
        </w:rPr>
        <w:t>修改说明</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3509"/>
        <w:gridCol w:w="3226"/>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pStyle w:val="8"/>
              <w:pageBreakBefore w:val="0"/>
              <w:widowControl w:val="0"/>
              <w:kinsoku/>
              <w:wordWrap/>
              <w:overflowPunct/>
              <w:topLinePunct w:val="0"/>
              <w:autoSpaceDE/>
              <w:autoSpaceDN/>
              <w:bidi w:val="0"/>
              <w:adjustRightInd/>
              <w:snapToGrid/>
              <w:spacing w:before="0" w:after="0" w:line="240" w:lineRule="auto"/>
              <w:ind w:left="0"/>
              <w:jc w:val="center"/>
              <w:textAlignment w:val="auto"/>
              <w:outlineLvl w:val="3"/>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序号</w:t>
            </w:r>
          </w:p>
        </w:tc>
        <w:tc>
          <w:tcPr>
            <w:tcW w:w="3509"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修改意见</w:t>
            </w:r>
          </w:p>
        </w:tc>
        <w:tc>
          <w:tcPr>
            <w:tcW w:w="3226"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修改内容</w:t>
            </w:r>
          </w:p>
        </w:tc>
        <w:tc>
          <w:tcPr>
            <w:tcW w:w="1233"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c>
          <w:tcPr>
            <w:tcW w:w="3509"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1</w:t>
            </w:r>
            <w:r>
              <w:rPr>
                <w:rFonts w:hint="eastAsia"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val="en-US" w:eastAsia="zh-CN"/>
              </w:rPr>
              <w:t>完善项目与</w:t>
            </w:r>
            <w:r>
              <w:rPr>
                <w:rFonts w:hint="eastAsia" w:ascii="Times New Roman" w:hAnsi="Times New Roman" w:cs="Times New Roman"/>
                <w:color w:val="auto"/>
                <w:kern w:val="0"/>
                <w:sz w:val="21"/>
                <w:szCs w:val="21"/>
              </w:rPr>
              <w:t>湘政办函[2018]15号和湘环发[2020]27号文件</w:t>
            </w:r>
            <w:r>
              <w:rPr>
                <w:rFonts w:hint="eastAsia" w:ascii="Times New Roman" w:hAnsi="Times New Roman" w:cs="Times New Roman"/>
                <w:color w:val="auto"/>
                <w:kern w:val="0"/>
                <w:sz w:val="21"/>
                <w:szCs w:val="21"/>
                <w:lang w:val="en-US" w:eastAsia="zh-CN"/>
              </w:rPr>
              <w:t>符合性分析。完善选址合理性分析。结合《邵阳市人民政府关于实施“三线一单”生态环境分区管控的意见》，完善项目“三线一单”符合性分析。完善项目产业政策相符性分析。核实项目与《关于进一步加强塑料污染治理的意见》（发改环资〔2020〕80号）相关规定的符合性分析。</w:t>
            </w:r>
          </w:p>
        </w:tc>
        <w:tc>
          <w:tcPr>
            <w:tcW w:w="3226" w:type="dxa"/>
            <w:noWrap w:val="0"/>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完善了项目与</w:t>
            </w:r>
            <w:r>
              <w:rPr>
                <w:rFonts w:hint="eastAsia" w:ascii="Times New Roman" w:hAnsi="Times New Roman" w:cs="Times New Roman"/>
                <w:color w:val="auto"/>
                <w:kern w:val="0"/>
                <w:sz w:val="21"/>
                <w:szCs w:val="21"/>
              </w:rPr>
              <w:t>湘政办函[2018]15号和湘环发[2020]27号文件</w:t>
            </w:r>
            <w:r>
              <w:rPr>
                <w:rFonts w:hint="eastAsia" w:ascii="Times New Roman" w:hAnsi="Times New Roman" w:cs="Times New Roman"/>
                <w:color w:val="auto"/>
                <w:kern w:val="0"/>
                <w:sz w:val="21"/>
                <w:szCs w:val="21"/>
                <w:lang w:val="en-US" w:eastAsia="zh-CN"/>
              </w:rPr>
              <w:t>符合性分析。完善了选址合理性分析。结合《邵阳市人民政府关于实施“三线一单”生态环境分区管控的意见》，完善了项目“三线一单”符合性分析。完善</w:t>
            </w:r>
            <w:r>
              <w:rPr>
                <w:rFonts w:hint="eastAsia" w:cs="Times New Roman"/>
                <w:color w:val="auto"/>
                <w:kern w:val="0"/>
                <w:sz w:val="21"/>
                <w:szCs w:val="21"/>
                <w:lang w:val="en-US" w:eastAsia="zh-CN"/>
              </w:rPr>
              <w:t>了</w:t>
            </w:r>
            <w:r>
              <w:rPr>
                <w:rFonts w:hint="eastAsia" w:ascii="Times New Roman" w:hAnsi="Times New Roman" w:cs="Times New Roman"/>
                <w:color w:val="auto"/>
                <w:kern w:val="0"/>
                <w:sz w:val="21"/>
                <w:szCs w:val="21"/>
                <w:lang w:val="en-US" w:eastAsia="zh-CN"/>
              </w:rPr>
              <w:t>项目产业政策相符性分析。核实项目与《关于进一步加强塑料污染治理的意见》（发改环资〔2020〕80号）相关规定的符合性分析。</w:t>
            </w:r>
          </w:p>
        </w:tc>
        <w:tc>
          <w:tcPr>
            <w:tcW w:w="1233"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详见：</w:t>
            </w:r>
            <w:r>
              <w:rPr>
                <w:rFonts w:hint="eastAsia" w:cs="Times New Roman"/>
                <w:color w:val="auto"/>
                <w:kern w:val="0"/>
                <w:sz w:val="21"/>
                <w:szCs w:val="21"/>
                <w:lang w:val="en-US" w:eastAsia="zh-CN"/>
              </w:rPr>
              <w:t>P2-5、P7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c>
          <w:tcPr>
            <w:tcW w:w="3509"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2、核实建设内容、说明项目与租赁场地依托关系，完善项目组成一览表，完善平面布置及合理性分析。核实产品方案、设备清单、原辅材料、环保投资。完善湖南壹佰年科技发展有限公司基本情况、环保设施建设、存在的环境问题等情况介绍。</w:t>
            </w:r>
          </w:p>
        </w:tc>
        <w:tc>
          <w:tcPr>
            <w:tcW w:w="3226" w:type="dxa"/>
            <w:noWrap w:val="0"/>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2、核实了建设内容、说明了项目与租赁场地依托关系，完善了项目组成一览表，完善了平面布置及合理性分析。核实了产品方案、设备清单、原辅材料、环保投资。完善湖南壹佰年科技发展有限公司基本情况、环保设施建设、存在的环境问题等情况介绍。</w:t>
            </w:r>
          </w:p>
        </w:tc>
        <w:tc>
          <w:tcPr>
            <w:tcW w:w="1233"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详见：</w:t>
            </w:r>
            <w:r>
              <w:rPr>
                <w:rFonts w:hint="eastAsia" w:cs="Times New Roman"/>
                <w:color w:val="auto"/>
                <w:kern w:val="0"/>
                <w:sz w:val="21"/>
                <w:szCs w:val="21"/>
                <w:lang w:val="en-US" w:eastAsia="zh-CN"/>
              </w:rPr>
              <w:t>P9、P10-13、P15-18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w:t>
            </w:r>
          </w:p>
        </w:tc>
        <w:tc>
          <w:tcPr>
            <w:tcW w:w="3509"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3</w:t>
            </w:r>
            <w:r>
              <w:rPr>
                <w:rFonts w:hint="eastAsia" w:ascii="Times New Roman" w:hAnsi="Times New Roman" w:cs="Times New Roman"/>
                <w:color w:val="auto"/>
                <w:kern w:val="0"/>
                <w:sz w:val="21"/>
                <w:szCs w:val="21"/>
              </w:rPr>
              <w:t>、完善周边环境</w:t>
            </w:r>
            <w:r>
              <w:rPr>
                <w:rFonts w:hint="eastAsia" w:ascii="Times New Roman" w:hAnsi="Times New Roman" w:cs="Times New Roman"/>
                <w:color w:val="auto"/>
                <w:kern w:val="0"/>
                <w:sz w:val="21"/>
                <w:szCs w:val="21"/>
                <w:lang w:val="en-US" w:eastAsia="zh-CN"/>
              </w:rPr>
              <w:t>及区域污染源调查，</w:t>
            </w:r>
            <w:r>
              <w:rPr>
                <w:rFonts w:hint="eastAsia" w:ascii="Times New Roman" w:hAnsi="Times New Roman" w:cs="Times New Roman"/>
                <w:color w:val="auto"/>
                <w:kern w:val="0"/>
                <w:sz w:val="21"/>
                <w:szCs w:val="21"/>
              </w:rPr>
              <w:t>核实环境保护目标</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排放标准</w:t>
            </w:r>
            <w:r>
              <w:rPr>
                <w:rFonts w:hint="eastAsia"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eastAsia="zh-CN"/>
              </w:rPr>
              <w:t>核实环境质量现状监测数据的代表性、有效性、准确性</w:t>
            </w:r>
            <w:r>
              <w:rPr>
                <w:rFonts w:hint="eastAsia" w:ascii="Times New Roman" w:hAnsi="Times New Roman" w:cs="Times New Roman"/>
                <w:color w:val="auto"/>
                <w:kern w:val="0"/>
                <w:sz w:val="21"/>
                <w:szCs w:val="21"/>
              </w:rPr>
              <w:t>。</w:t>
            </w:r>
          </w:p>
        </w:tc>
        <w:tc>
          <w:tcPr>
            <w:tcW w:w="3226" w:type="dxa"/>
            <w:noWrap w:val="0"/>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3</w:t>
            </w:r>
            <w:r>
              <w:rPr>
                <w:rFonts w:hint="eastAsia" w:ascii="Times New Roman" w:hAnsi="Times New Roman" w:cs="Times New Roman"/>
                <w:color w:val="auto"/>
                <w:kern w:val="0"/>
                <w:sz w:val="21"/>
                <w:szCs w:val="21"/>
              </w:rPr>
              <w:t>、完善</w:t>
            </w:r>
            <w:r>
              <w:rPr>
                <w:rFonts w:hint="eastAsia" w:ascii="Times New Roman" w:hAnsi="Times New Roman" w:cs="Times New Roman"/>
                <w:color w:val="auto"/>
                <w:kern w:val="0"/>
                <w:sz w:val="21"/>
                <w:szCs w:val="21"/>
                <w:lang w:val="en-US" w:eastAsia="zh-CN"/>
              </w:rPr>
              <w:t>了</w:t>
            </w:r>
            <w:r>
              <w:rPr>
                <w:rFonts w:hint="eastAsia" w:ascii="Times New Roman" w:hAnsi="Times New Roman" w:cs="Times New Roman"/>
                <w:color w:val="auto"/>
                <w:kern w:val="0"/>
                <w:sz w:val="21"/>
                <w:szCs w:val="21"/>
              </w:rPr>
              <w:t>周边环境</w:t>
            </w:r>
            <w:r>
              <w:rPr>
                <w:rFonts w:hint="eastAsia" w:ascii="Times New Roman" w:hAnsi="Times New Roman" w:cs="Times New Roman"/>
                <w:color w:val="auto"/>
                <w:kern w:val="0"/>
                <w:sz w:val="21"/>
                <w:szCs w:val="21"/>
                <w:lang w:val="en-US" w:eastAsia="zh-CN"/>
              </w:rPr>
              <w:t>及区域污染源调查，</w:t>
            </w:r>
            <w:r>
              <w:rPr>
                <w:rFonts w:hint="eastAsia" w:ascii="Times New Roman" w:hAnsi="Times New Roman" w:cs="Times New Roman"/>
                <w:color w:val="auto"/>
                <w:kern w:val="0"/>
                <w:sz w:val="21"/>
                <w:szCs w:val="21"/>
              </w:rPr>
              <w:t>核实</w:t>
            </w:r>
            <w:r>
              <w:rPr>
                <w:rFonts w:hint="eastAsia" w:ascii="Times New Roman" w:hAnsi="Times New Roman" w:cs="Times New Roman"/>
                <w:color w:val="auto"/>
                <w:kern w:val="0"/>
                <w:sz w:val="21"/>
                <w:szCs w:val="21"/>
                <w:lang w:val="en-US" w:eastAsia="zh-CN"/>
              </w:rPr>
              <w:t>了</w:t>
            </w:r>
            <w:r>
              <w:rPr>
                <w:rFonts w:hint="eastAsia" w:ascii="Times New Roman" w:hAnsi="Times New Roman" w:cs="Times New Roman"/>
                <w:color w:val="auto"/>
                <w:kern w:val="0"/>
                <w:sz w:val="21"/>
                <w:szCs w:val="21"/>
              </w:rPr>
              <w:t>环境保护目标</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排放标准</w:t>
            </w:r>
            <w:r>
              <w:rPr>
                <w:rFonts w:hint="eastAsia"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eastAsia="zh-CN"/>
              </w:rPr>
              <w:t>核实</w:t>
            </w:r>
            <w:r>
              <w:rPr>
                <w:rFonts w:hint="eastAsia" w:ascii="Times New Roman" w:hAnsi="Times New Roman" w:cs="Times New Roman"/>
                <w:color w:val="auto"/>
                <w:kern w:val="0"/>
                <w:sz w:val="21"/>
                <w:szCs w:val="21"/>
                <w:lang w:val="en-US" w:eastAsia="zh-CN"/>
              </w:rPr>
              <w:t>了</w:t>
            </w:r>
            <w:r>
              <w:rPr>
                <w:rFonts w:hint="eastAsia" w:ascii="Times New Roman" w:hAnsi="Times New Roman" w:cs="Times New Roman"/>
                <w:color w:val="auto"/>
                <w:kern w:val="0"/>
                <w:sz w:val="21"/>
                <w:szCs w:val="21"/>
                <w:lang w:eastAsia="zh-CN"/>
              </w:rPr>
              <w:t>环境质量现状监测数据的代表性、有效性、准确性</w:t>
            </w:r>
            <w:r>
              <w:rPr>
                <w:rFonts w:hint="eastAsia" w:ascii="Times New Roman" w:hAnsi="Times New Roman" w:cs="Times New Roman"/>
                <w:color w:val="auto"/>
                <w:kern w:val="0"/>
                <w:sz w:val="21"/>
                <w:szCs w:val="21"/>
              </w:rPr>
              <w:t>。</w:t>
            </w:r>
          </w:p>
        </w:tc>
        <w:tc>
          <w:tcPr>
            <w:tcW w:w="1233"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详见：</w:t>
            </w:r>
            <w:r>
              <w:rPr>
                <w:rFonts w:hint="eastAsia" w:cs="Times New Roman"/>
                <w:color w:val="auto"/>
                <w:kern w:val="0"/>
                <w:sz w:val="21"/>
                <w:szCs w:val="21"/>
                <w:lang w:val="en-US" w:eastAsia="zh-CN"/>
              </w:rPr>
              <w:t>P21-22、P24-25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4"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w:t>
            </w:r>
          </w:p>
        </w:tc>
        <w:tc>
          <w:tcPr>
            <w:tcW w:w="3509"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4</w:t>
            </w:r>
            <w:r>
              <w:rPr>
                <w:rFonts w:hint="eastAsia"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eastAsia="zh-CN"/>
              </w:rPr>
              <w:t>完善工艺流程及简介、核实产污节点：</w:t>
            </w:r>
            <w:r>
              <w:rPr>
                <w:rFonts w:hint="eastAsia" w:ascii="Times New Roman" w:hAnsi="Times New Roman" w:cs="Times New Roman"/>
                <w:color w:val="auto"/>
                <w:kern w:val="0"/>
                <w:sz w:val="21"/>
                <w:szCs w:val="21"/>
                <w:lang w:val="en-US" w:eastAsia="zh-CN"/>
              </w:rPr>
              <w:t>核实是否进行商标印刷及其污染物产排情况，核实造粒工序工艺原理，核实挤出后是否需要冷却成型、切粒。核实废薄膜、边角料以及不合格品处置措施。</w:t>
            </w:r>
          </w:p>
        </w:tc>
        <w:tc>
          <w:tcPr>
            <w:tcW w:w="3226" w:type="dxa"/>
            <w:noWrap w:val="0"/>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w:t>
            </w:r>
            <w:r>
              <w:rPr>
                <w:rFonts w:hint="eastAsia"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eastAsia="zh-CN"/>
              </w:rPr>
              <w:t>完善</w:t>
            </w:r>
            <w:r>
              <w:rPr>
                <w:rFonts w:hint="eastAsia" w:ascii="Times New Roman" w:hAnsi="Times New Roman" w:cs="Times New Roman"/>
                <w:color w:val="auto"/>
                <w:kern w:val="0"/>
                <w:sz w:val="21"/>
                <w:szCs w:val="21"/>
                <w:lang w:val="en-US" w:eastAsia="zh-CN"/>
              </w:rPr>
              <w:t>了</w:t>
            </w:r>
            <w:r>
              <w:rPr>
                <w:rFonts w:hint="eastAsia" w:ascii="Times New Roman" w:hAnsi="Times New Roman" w:cs="Times New Roman"/>
                <w:color w:val="auto"/>
                <w:kern w:val="0"/>
                <w:sz w:val="21"/>
                <w:szCs w:val="21"/>
                <w:lang w:eastAsia="zh-CN"/>
              </w:rPr>
              <w:t>工艺流程及简介、核实产污节点：</w:t>
            </w:r>
            <w:r>
              <w:rPr>
                <w:rFonts w:hint="eastAsia" w:ascii="Times New Roman" w:hAnsi="Times New Roman" w:cs="Times New Roman"/>
                <w:color w:val="auto"/>
                <w:kern w:val="0"/>
                <w:sz w:val="21"/>
                <w:szCs w:val="21"/>
                <w:lang w:val="en-US" w:eastAsia="zh-CN"/>
              </w:rPr>
              <w:t>核实是否进行商标印刷及其污染物产排情况，核实了造粒工序工艺原理。核实了废薄膜、边角料以及不合格品处置措施。</w:t>
            </w:r>
          </w:p>
        </w:tc>
        <w:tc>
          <w:tcPr>
            <w:tcW w:w="1233"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详见：</w:t>
            </w:r>
            <w:r>
              <w:rPr>
                <w:rFonts w:hint="eastAsia" w:cs="Times New Roman"/>
                <w:color w:val="auto"/>
                <w:kern w:val="0"/>
                <w:sz w:val="21"/>
                <w:szCs w:val="21"/>
                <w:lang w:val="en-US" w:eastAsia="zh-CN"/>
              </w:rPr>
              <w:t>P15-18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p>
        </w:tc>
        <w:tc>
          <w:tcPr>
            <w:tcW w:w="3509"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5、核实项目吹膜、造粒等工序有机废气产污系数、产生量、处理工艺、处理效率、废气量，据此核实有组织、无组织VOCs排放情况。核实粉尘产生节点、产排情况、收集、处理措施及效率。据此完善废气环境影响分析。</w:t>
            </w:r>
          </w:p>
        </w:tc>
        <w:tc>
          <w:tcPr>
            <w:tcW w:w="3226" w:type="dxa"/>
            <w:noWrap w:val="0"/>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5、核实了项目吹膜、造粒等工序有机废气产污系数、产生量、处理工艺、处理效率、废气量，据此核实有组织、无组织VOCs排放情况。核实了粉尘产生节点、产排情况、收集、处理措施及效率。据此完善废气环境影响分析。</w:t>
            </w:r>
          </w:p>
        </w:tc>
        <w:tc>
          <w:tcPr>
            <w:tcW w:w="1233"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详见：</w:t>
            </w:r>
            <w:r>
              <w:rPr>
                <w:rFonts w:hint="eastAsia" w:cs="Times New Roman"/>
                <w:color w:val="auto"/>
                <w:kern w:val="0"/>
                <w:sz w:val="21"/>
                <w:szCs w:val="21"/>
                <w:lang w:val="en-US" w:eastAsia="zh-CN"/>
              </w:rPr>
              <w:t>P26-28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w:t>
            </w:r>
          </w:p>
        </w:tc>
        <w:tc>
          <w:tcPr>
            <w:tcW w:w="3509"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6、核实新鲜水消耗情况、水平衡。说明项目冷却水产生节点、产生量、处理措施，说明廉桥镇污水处理厂建设地点、服务范围、处理规模、建设进度、运行情况，核实生活污水处理措施，完善项目生活污水处理措施可行性分析。</w:t>
            </w:r>
            <w:r>
              <w:rPr>
                <w:rFonts w:hint="eastAsia" w:ascii="Times New Roman" w:hAnsi="Times New Roman" w:cs="Times New Roman"/>
                <w:color w:val="auto"/>
                <w:kern w:val="0"/>
                <w:sz w:val="21"/>
                <w:szCs w:val="21"/>
                <w:lang w:eastAsia="zh-CN"/>
              </w:rPr>
              <w:t>核实固废</w:t>
            </w:r>
            <w:r>
              <w:rPr>
                <w:rFonts w:hint="eastAsia" w:ascii="Times New Roman" w:hAnsi="Times New Roman" w:cs="Times New Roman"/>
                <w:color w:val="auto"/>
                <w:kern w:val="0"/>
                <w:sz w:val="21"/>
                <w:szCs w:val="21"/>
                <w:lang w:val="en-US" w:eastAsia="zh-CN"/>
              </w:rPr>
              <w:t>种类、</w:t>
            </w:r>
            <w:r>
              <w:rPr>
                <w:rFonts w:hint="eastAsia" w:ascii="Times New Roman" w:hAnsi="Times New Roman" w:cs="Times New Roman"/>
                <w:color w:val="auto"/>
                <w:kern w:val="0"/>
                <w:sz w:val="21"/>
                <w:szCs w:val="21"/>
                <w:lang w:eastAsia="zh-CN"/>
              </w:rPr>
              <w:t>属性、产生量、暂存处置措施及</w:t>
            </w:r>
            <w:r>
              <w:rPr>
                <w:rFonts w:hint="eastAsia" w:ascii="Times New Roman" w:hAnsi="Times New Roman" w:cs="Times New Roman"/>
                <w:color w:val="auto"/>
                <w:kern w:val="0"/>
                <w:sz w:val="21"/>
                <w:szCs w:val="21"/>
                <w:lang w:val="en-US" w:eastAsia="zh-CN"/>
              </w:rPr>
              <w:t>去向</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核实噪声设备分布情况及</w:t>
            </w:r>
            <w:r>
              <w:rPr>
                <w:rFonts w:hint="eastAsia" w:ascii="Times New Roman" w:hAnsi="Times New Roman" w:cs="Times New Roman"/>
                <w:color w:val="auto"/>
                <w:kern w:val="0"/>
                <w:sz w:val="21"/>
                <w:szCs w:val="21"/>
                <w:lang w:eastAsia="zh-CN"/>
              </w:rPr>
              <w:t>噪声预测</w:t>
            </w:r>
            <w:r>
              <w:rPr>
                <w:rFonts w:hint="eastAsia" w:ascii="Times New Roman" w:hAnsi="Times New Roman" w:cs="Times New Roman"/>
                <w:color w:val="auto"/>
                <w:kern w:val="0"/>
                <w:sz w:val="21"/>
                <w:szCs w:val="21"/>
                <w:lang w:val="en-US" w:eastAsia="zh-CN"/>
              </w:rPr>
              <w:t>结果</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完善声环境影响分析。核实项目风险物质，说明风险物质分布情况、影响环境途径、风险防范措施，完善风险分析。</w:t>
            </w:r>
          </w:p>
        </w:tc>
        <w:tc>
          <w:tcPr>
            <w:tcW w:w="3226" w:type="dxa"/>
            <w:noWrap w:val="0"/>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6、核实了新鲜水消耗情况、水平衡。说明了项目冷却水产生节点、产生量、处理措施，说明了廉桥镇污水处理厂建设地点、服务范围、处理规模、建设进度、运行情况，核实了生活污水处理措施，完善了项目生活污水处理措施可行性分析。</w:t>
            </w:r>
            <w:r>
              <w:rPr>
                <w:rFonts w:hint="eastAsia" w:ascii="Times New Roman" w:hAnsi="Times New Roman" w:cs="Times New Roman"/>
                <w:color w:val="auto"/>
                <w:kern w:val="0"/>
                <w:sz w:val="21"/>
                <w:szCs w:val="21"/>
                <w:lang w:eastAsia="zh-CN"/>
              </w:rPr>
              <w:t>核实</w:t>
            </w:r>
            <w:r>
              <w:rPr>
                <w:rFonts w:hint="eastAsia" w:ascii="Times New Roman" w:hAnsi="Times New Roman" w:cs="Times New Roman"/>
                <w:color w:val="auto"/>
                <w:kern w:val="0"/>
                <w:sz w:val="21"/>
                <w:szCs w:val="21"/>
                <w:lang w:val="en-US" w:eastAsia="zh-CN"/>
              </w:rPr>
              <w:t>了</w:t>
            </w:r>
            <w:r>
              <w:rPr>
                <w:rFonts w:hint="eastAsia" w:ascii="Times New Roman" w:hAnsi="Times New Roman" w:cs="Times New Roman"/>
                <w:color w:val="auto"/>
                <w:kern w:val="0"/>
                <w:sz w:val="21"/>
                <w:szCs w:val="21"/>
                <w:lang w:eastAsia="zh-CN"/>
              </w:rPr>
              <w:t>固废</w:t>
            </w:r>
            <w:r>
              <w:rPr>
                <w:rFonts w:hint="eastAsia" w:ascii="Times New Roman" w:hAnsi="Times New Roman" w:cs="Times New Roman"/>
                <w:color w:val="auto"/>
                <w:kern w:val="0"/>
                <w:sz w:val="21"/>
                <w:szCs w:val="21"/>
                <w:lang w:val="en-US" w:eastAsia="zh-CN"/>
              </w:rPr>
              <w:t>种类、</w:t>
            </w:r>
            <w:r>
              <w:rPr>
                <w:rFonts w:hint="eastAsia" w:ascii="Times New Roman" w:hAnsi="Times New Roman" w:cs="Times New Roman"/>
                <w:color w:val="auto"/>
                <w:kern w:val="0"/>
                <w:sz w:val="21"/>
                <w:szCs w:val="21"/>
                <w:lang w:eastAsia="zh-CN"/>
              </w:rPr>
              <w:t>属性、产生量、暂存处置措施及</w:t>
            </w:r>
            <w:r>
              <w:rPr>
                <w:rFonts w:hint="eastAsia" w:ascii="Times New Roman" w:hAnsi="Times New Roman" w:cs="Times New Roman"/>
                <w:color w:val="auto"/>
                <w:kern w:val="0"/>
                <w:sz w:val="21"/>
                <w:szCs w:val="21"/>
                <w:lang w:val="en-US" w:eastAsia="zh-CN"/>
              </w:rPr>
              <w:t>去向</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核实了噪声设备分布情况及</w:t>
            </w:r>
            <w:r>
              <w:rPr>
                <w:rFonts w:hint="eastAsia" w:ascii="Times New Roman" w:hAnsi="Times New Roman" w:cs="Times New Roman"/>
                <w:color w:val="auto"/>
                <w:kern w:val="0"/>
                <w:sz w:val="21"/>
                <w:szCs w:val="21"/>
                <w:lang w:eastAsia="zh-CN"/>
              </w:rPr>
              <w:t>噪声预测</w:t>
            </w:r>
            <w:r>
              <w:rPr>
                <w:rFonts w:hint="eastAsia" w:ascii="Times New Roman" w:hAnsi="Times New Roman" w:cs="Times New Roman"/>
                <w:color w:val="auto"/>
                <w:kern w:val="0"/>
                <w:sz w:val="21"/>
                <w:szCs w:val="21"/>
                <w:lang w:val="en-US" w:eastAsia="zh-CN"/>
              </w:rPr>
              <w:t>结果</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完善了声环境影响分析。核实了项目风险物质，说明风险物质分布情况、影响环境途径、风险防范措施，完善风险分析。</w:t>
            </w:r>
          </w:p>
        </w:tc>
        <w:tc>
          <w:tcPr>
            <w:tcW w:w="1233"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lang w:val="en-US" w:eastAsia="zh-CN"/>
              </w:rPr>
            </w:pPr>
            <w:r>
              <w:rPr>
                <w:rFonts w:hint="eastAsia"/>
                <w:color w:val="auto"/>
                <w:lang w:val="en-US" w:eastAsia="zh-CN"/>
              </w:rPr>
              <w:t>详见：P10、P12-13、P31-33、</w:t>
            </w:r>
          </w:p>
          <w:p>
            <w:pPr>
              <w:pStyle w:val="2"/>
              <w:rPr>
                <w:rFonts w:hint="default"/>
                <w:color w:val="auto"/>
                <w:lang w:val="en-US"/>
              </w:rPr>
            </w:pPr>
            <w:r>
              <w:rPr>
                <w:rFonts w:hint="eastAsia" w:cs="Times New Roman"/>
                <w:color w:val="auto"/>
                <w:kern w:val="0"/>
                <w:sz w:val="21"/>
                <w:szCs w:val="21"/>
                <w:lang w:val="en-US" w:eastAsia="zh-CN"/>
              </w:rPr>
              <w:t>P35-37、P39-40、P42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7</w:t>
            </w:r>
          </w:p>
        </w:tc>
        <w:tc>
          <w:tcPr>
            <w:tcW w:w="3509"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7</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完善环境保护措施监督检查清单、</w:t>
            </w:r>
            <w:r>
              <w:rPr>
                <w:rFonts w:hint="eastAsia" w:ascii="Times New Roman" w:hAnsi="Times New Roman" w:cs="Times New Roman"/>
                <w:color w:val="auto"/>
                <w:kern w:val="0"/>
                <w:sz w:val="21"/>
                <w:szCs w:val="21"/>
                <w:lang w:val="zh-CN" w:eastAsia="zh-CN"/>
              </w:rPr>
              <w:t>营运期环境监测计划</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附图附件。</w:t>
            </w:r>
          </w:p>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p>
        </w:tc>
        <w:tc>
          <w:tcPr>
            <w:tcW w:w="3226"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7</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完善了环境保护措施监督检查清单、</w:t>
            </w:r>
            <w:r>
              <w:rPr>
                <w:rFonts w:hint="eastAsia" w:ascii="Times New Roman" w:hAnsi="Times New Roman" w:cs="Times New Roman"/>
                <w:color w:val="auto"/>
                <w:kern w:val="0"/>
                <w:sz w:val="21"/>
                <w:szCs w:val="21"/>
                <w:lang w:val="zh-CN" w:eastAsia="zh-CN"/>
              </w:rPr>
              <w:t>营运期环境监测计划</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附图附件。</w:t>
            </w:r>
          </w:p>
        </w:tc>
        <w:tc>
          <w:tcPr>
            <w:tcW w:w="1233" w:type="dxa"/>
            <w:noWrap w:val="0"/>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详见：</w:t>
            </w:r>
            <w:r>
              <w:rPr>
                <w:rFonts w:hint="eastAsia" w:cs="Times New Roman"/>
                <w:color w:val="auto"/>
                <w:kern w:val="0"/>
                <w:sz w:val="21"/>
                <w:szCs w:val="21"/>
                <w:lang w:val="en-US" w:eastAsia="zh-CN"/>
              </w:rPr>
              <w:t>P44、</w:t>
            </w:r>
            <w:r>
              <w:rPr>
                <w:rFonts w:hint="eastAsia" w:ascii="Times New Roman" w:hAnsi="Times New Roman" w:cs="Times New Roman"/>
                <w:color w:val="auto"/>
                <w:kern w:val="0"/>
                <w:sz w:val="21"/>
                <w:szCs w:val="21"/>
                <w:lang w:val="en-US" w:eastAsia="zh-CN"/>
              </w:rPr>
              <w:t>附件</w:t>
            </w:r>
            <w:r>
              <w:rPr>
                <w:rFonts w:hint="eastAsia" w:cs="Times New Roman"/>
                <w:color w:val="auto"/>
                <w:kern w:val="0"/>
                <w:sz w:val="21"/>
                <w:szCs w:val="21"/>
                <w:lang w:val="en-US" w:eastAsia="zh-CN"/>
              </w:rPr>
              <w:t>6、附图5</w:t>
            </w:r>
          </w:p>
        </w:tc>
      </w:tr>
    </w:tbl>
    <w:p>
      <w:pPr>
        <w:rPr>
          <w:color w:val="auto"/>
        </w:rPr>
      </w:pPr>
    </w:p>
    <w:p>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pStyle w:val="2"/>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pStyle w:val="2"/>
        <w:rPr>
          <w:rFonts w:hint="default"/>
          <w:color w:val="auto"/>
        </w:rPr>
        <w:sectPr>
          <w:footerReference r:id="rId5" w:type="default"/>
          <w:pgSz w:w="11906" w:h="16838"/>
          <w:pgMar w:top="1588" w:right="1588" w:bottom="1588" w:left="1588"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rPr>
          <w:rFonts w:hint="default"/>
          <w:color w:val="auto"/>
        </w:rPr>
      </w:pPr>
    </w:p>
    <w:p>
      <w:pPr>
        <w:keepNext w:val="0"/>
        <w:keepLines w:val="0"/>
        <w:pageBreakBefore w:val="0"/>
        <w:kinsoku/>
        <w:wordWrap/>
        <w:overflowPunct/>
        <w:topLinePunct w:val="0"/>
        <w:autoSpaceDE/>
        <w:autoSpaceDN/>
        <w:bidi w:val="0"/>
        <w:spacing w:before="0" w:line="360" w:lineRule="auto"/>
        <w:ind w:left="0" w:leftChars="0" w:right="0" w:rightChars="0" w:firstLine="0" w:firstLineChars="0"/>
        <w:jc w:val="center"/>
        <w:textAlignment w:val="auto"/>
        <w:rPr>
          <w:b/>
          <w:bCs/>
          <w:color w:val="auto"/>
          <w:sz w:val="32"/>
          <w:szCs w:val="32"/>
        </w:rPr>
      </w:pPr>
      <w:r>
        <w:rPr>
          <w:rFonts w:ascii="宋体" w:hAnsi="宋体" w:eastAsia="宋体"/>
          <w:b/>
          <w:bCs/>
          <w:color w:val="auto"/>
          <w:sz w:val="32"/>
          <w:szCs w:val="32"/>
        </w:rPr>
        <w:t>目录</w:t>
      </w:r>
    </w:p>
    <w:p>
      <w:pPr>
        <w:pStyle w:val="25"/>
        <w:keepNext w:val="0"/>
        <w:keepLines w:val="0"/>
        <w:pageBreakBefore w:val="0"/>
        <w:tabs>
          <w:tab w:val="right" w:leader="dot" w:pos="8844"/>
        </w:tabs>
        <w:kinsoku/>
        <w:wordWrap/>
        <w:overflowPunct/>
        <w:topLinePunct w:val="0"/>
        <w:autoSpaceDE/>
        <w:autoSpaceDN/>
        <w:bidi w:val="0"/>
        <w:spacing w:line="360" w:lineRule="auto"/>
        <w:textAlignment w:val="auto"/>
        <w:rPr>
          <w:b w:val="0"/>
          <w:bCs w:val="0"/>
          <w:color w:val="auto"/>
          <w:sz w:val="32"/>
          <w:szCs w:val="32"/>
        </w:rPr>
      </w:pPr>
      <w:r>
        <w:rPr>
          <w:b w:val="0"/>
          <w:bCs w:val="0"/>
          <w:color w:val="auto"/>
          <w:sz w:val="32"/>
          <w:szCs w:val="32"/>
        </w:rPr>
        <w:fldChar w:fldCharType="begin"/>
      </w:r>
      <w:r>
        <w:rPr>
          <w:b w:val="0"/>
          <w:bCs w:val="0"/>
          <w:color w:val="auto"/>
          <w:sz w:val="32"/>
          <w:szCs w:val="32"/>
        </w:rPr>
        <w:instrText xml:space="preserve">TOC \o "1-3" \h \u </w:instrText>
      </w:r>
      <w:r>
        <w:rPr>
          <w:b w:val="0"/>
          <w:bCs w:val="0"/>
          <w:color w:val="auto"/>
          <w:sz w:val="32"/>
          <w:szCs w:val="32"/>
        </w:rPr>
        <w:fldChar w:fldCharType="separate"/>
      </w:r>
      <w:r>
        <w:rPr>
          <w:b w:val="0"/>
          <w:bCs w:val="0"/>
          <w:color w:val="auto"/>
          <w:sz w:val="32"/>
          <w:szCs w:val="32"/>
        </w:rPr>
        <w:fldChar w:fldCharType="begin"/>
      </w:r>
      <w:r>
        <w:rPr>
          <w:b w:val="0"/>
          <w:bCs w:val="0"/>
          <w:color w:val="auto"/>
          <w:sz w:val="32"/>
          <w:szCs w:val="32"/>
        </w:rPr>
        <w:instrText xml:space="preserve"> HYPERLINK \l _Toc12843 </w:instrText>
      </w:r>
      <w:r>
        <w:rPr>
          <w:b w:val="0"/>
          <w:bCs w:val="0"/>
          <w:color w:val="auto"/>
          <w:sz w:val="32"/>
          <w:szCs w:val="32"/>
        </w:rPr>
        <w:fldChar w:fldCharType="separate"/>
      </w:r>
      <w:r>
        <w:rPr>
          <w:rFonts w:hint="default" w:ascii="Times New Roman" w:hAnsi="Times New Roman" w:eastAsia="黑体" w:cs="Times New Roman"/>
          <w:b w:val="0"/>
          <w:bCs w:val="0"/>
          <w:snapToGrid w:val="0"/>
          <w:color w:val="auto"/>
          <w:sz w:val="32"/>
          <w:szCs w:val="32"/>
        </w:rPr>
        <w:t>一、建设项目基本情况</w:t>
      </w:r>
      <w:r>
        <w:rPr>
          <w:b w:val="0"/>
          <w:bCs w:val="0"/>
          <w:color w:val="auto"/>
          <w:sz w:val="32"/>
          <w:szCs w:val="32"/>
        </w:rPr>
        <w:tab/>
      </w:r>
      <w:r>
        <w:rPr>
          <w:rFonts w:hint="eastAsia"/>
          <w:b w:val="0"/>
          <w:bCs w:val="0"/>
          <w:color w:val="auto"/>
          <w:sz w:val="32"/>
          <w:szCs w:val="32"/>
          <w:lang w:val="en-US" w:eastAsia="zh-CN"/>
        </w:rPr>
        <w:t>2</w:t>
      </w:r>
      <w:r>
        <w:rPr>
          <w:b w:val="0"/>
          <w:bCs w:val="0"/>
          <w:color w:val="auto"/>
          <w:sz w:val="32"/>
          <w:szCs w:val="32"/>
        </w:rPr>
        <w:fldChar w:fldCharType="end"/>
      </w:r>
    </w:p>
    <w:p>
      <w:pPr>
        <w:pStyle w:val="25"/>
        <w:keepNext w:val="0"/>
        <w:keepLines w:val="0"/>
        <w:pageBreakBefore w:val="0"/>
        <w:tabs>
          <w:tab w:val="right" w:leader="dot" w:pos="8844"/>
        </w:tabs>
        <w:kinsoku/>
        <w:wordWrap/>
        <w:overflowPunct/>
        <w:topLinePunct w:val="0"/>
        <w:autoSpaceDE/>
        <w:autoSpaceDN/>
        <w:bidi w:val="0"/>
        <w:spacing w:line="360" w:lineRule="auto"/>
        <w:textAlignment w:val="auto"/>
        <w:rPr>
          <w:b w:val="0"/>
          <w:bCs w:val="0"/>
          <w:color w:val="auto"/>
          <w:sz w:val="32"/>
          <w:szCs w:val="32"/>
        </w:rPr>
      </w:pPr>
      <w:r>
        <w:rPr>
          <w:b w:val="0"/>
          <w:bCs w:val="0"/>
          <w:color w:val="auto"/>
          <w:sz w:val="32"/>
          <w:szCs w:val="32"/>
        </w:rPr>
        <w:fldChar w:fldCharType="begin"/>
      </w:r>
      <w:r>
        <w:rPr>
          <w:b w:val="0"/>
          <w:bCs w:val="0"/>
          <w:color w:val="auto"/>
          <w:sz w:val="32"/>
          <w:szCs w:val="32"/>
        </w:rPr>
        <w:instrText xml:space="preserve"> HYPERLINK \l _Toc7566 </w:instrText>
      </w:r>
      <w:r>
        <w:rPr>
          <w:b w:val="0"/>
          <w:bCs w:val="0"/>
          <w:color w:val="auto"/>
          <w:sz w:val="32"/>
          <w:szCs w:val="32"/>
        </w:rPr>
        <w:fldChar w:fldCharType="separate"/>
      </w:r>
      <w:r>
        <w:rPr>
          <w:rFonts w:hint="default" w:ascii="Times New Roman" w:hAnsi="Times New Roman" w:eastAsia="黑体" w:cs="Times New Roman"/>
          <w:b w:val="0"/>
          <w:bCs w:val="0"/>
          <w:snapToGrid w:val="0"/>
          <w:color w:val="auto"/>
          <w:sz w:val="32"/>
          <w:szCs w:val="32"/>
        </w:rPr>
        <w:t>二、建设项目工程分析</w:t>
      </w:r>
      <w:r>
        <w:rPr>
          <w:b w:val="0"/>
          <w:bCs w:val="0"/>
          <w:color w:val="auto"/>
          <w:sz w:val="32"/>
          <w:szCs w:val="32"/>
        </w:rPr>
        <w:tab/>
      </w:r>
      <w:r>
        <w:rPr>
          <w:b w:val="0"/>
          <w:bCs w:val="0"/>
          <w:color w:val="auto"/>
          <w:sz w:val="32"/>
          <w:szCs w:val="32"/>
        </w:rPr>
        <w:fldChar w:fldCharType="begin"/>
      </w:r>
      <w:r>
        <w:rPr>
          <w:b w:val="0"/>
          <w:bCs w:val="0"/>
          <w:color w:val="auto"/>
          <w:sz w:val="32"/>
          <w:szCs w:val="32"/>
        </w:rPr>
        <w:instrText xml:space="preserve"> PAGEREF _Toc7566 \h </w:instrText>
      </w:r>
      <w:r>
        <w:rPr>
          <w:b w:val="0"/>
          <w:bCs w:val="0"/>
          <w:color w:val="auto"/>
          <w:sz w:val="32"/>
          <w:szCs w:val="32"/>
        </w:rPr>
        <w:fldChar w:fldCharType="separate"/>
      </w:r>
      <w:r>
        <w:rPr>
          <w:b w:val="0"/>
          <w:bCs w:val="0"/>
          <w:color w:val="auto"/>
          <w:sz w:val="32"/>
          <w:szCs w:val="32"/>
        </w:rPr>
        <w:t>9</w:t>
      </w:r>
      <w:r>
        <w:rPr>
          <w:b w:val="0"/>
          <w:bCs w:val="0"/>
          <w:color w:val="auto"/>
          <w:sz w:val="32"/>
          <w:szCs w:val="32"/>
        </w:rPr>
        <w:fldChar w:fldCharType="end"/>
      </w:r>
      <w:r>
        <w:rPr>
          <w:b w:val="0"/>
          <w:bCs w:val="0"/>
          <w:color w:val="auto"/>
          <w:sz w:val="32"/>
          <w:szCs w:val="32"/>
        </w:rPr>
        <w:fldChar w:fldCharType="end"/>
      </w:r>
    </w:p>
    <w:p>
      <w:pPr>
        <w:pStyle w:val="25"/>
        <w:keepNext w:val="0"/>
        <w:keepLines w:val="0"/>
        <w:pageBreakBefore w:val="0"/>
        <w:tabs>
          <w:tab w:val="right" w:leader="dot" w:pos="8844"/>
        </w:tabs>
        <w:kinsoku/>
        <w:wordWrap/>
        <w:overflowPunct/>
        <w:topLinePunct w:val="0"/>
        <w:autoSpaceDE/>
        <w:autoSpaceDN/>
        <w:bidi w:val="0"/>
        <w:spacing w:line="360" w:lineRule="auto"/>
        <w:textAlignment w:val="auto"/>
        <w:rPr>
          <w:b w:val="0"/>
          <w:bCs w:val="0"/>
          <w:color w:val="auto"/>
          <w:sz w:val="32"/>
          <w:szCs w:val="32"/>
        </w:rPr>
      </w:pPr>
      <w:r>
        <w:rPr>
          <w:b w:val="0"/>
          <w:bCs w:val="0"/>
          <w:color w:val="auto"/>
          <w:sz w:val="32"/>
          <w:szCs w:val="32"/>
        </w:rPr>
        <w:fldChar w:fldCharType="begin"/>
      </w:r>
      <w:r>
        <w:rPr>
          <w:b w:val="0"/>
          <w:bCs w:val="0"/>
          <w:color w:val="auto"/>
          <w:sz w:val="32"/>
          <w:szCs w:val="32"/>
        </w:rPr>
        <w:instrText xml:space="preserve"> HYPERLINK \l _Toc10134 </w:instrText>
      </w:r>
      <w:r>
        <w:rPr>
          <w:b w:val="0"/>
          <w:bCs w:val="0"/>
          <w:color w:val="auto"/>
          <w:sz w:val="32"/>
          <w:szCs w:val="32"/>
        </w:rPr>
        <w:fldChar w:fldCharType="separate"/>
      </w:r>
      <w:r>
        <w:rPr>
          <w:rFonts w:hint="default" w:ascii="Times New Roman" w:hAnsi="Times New Roman" w:eastAsia="黑体" w:cs="Times New Roman"/>
          <w:b w:val="0"/>
          <w:bCs w:val="0"/>
          <w:snapToGrid w:val="0"/>
          <w:color w:val="auto"/>
          <w:sz w:val="32"/>
          <w:szCs w:val="32"/>
        </w:rPr>
        <w:t>三、区域环境质量现状、环境保护目标及评价标准</w:t>
      </w:r>
      <w:r>
        <w:rPr>
          <w:b w:val="0"/>
          <w:bCs w:val="0"/>
          <w:color w:val="auto"/>
          <w:sz w:val="32"/>
          <w:szCs w:val="32"/>
        </w:rPr>
        <w:tab/>
      </w:r>
      <w:r>
        <w:rPr>
          <w:b w:val="0"/>
          <w:bCs w:val="0"/>
          <w:color w:val="auto"/>
          <w:sz w:val="32"/>
          <w:szCs w:val="32"/>
        </w:rPr>
        <w:fldChar w:fldCharType="begin"/>
      </w:r>
      <w:r>
        <w:rPr>
          <w:b w:val="0"/>
          <w:bCs w:val="0"/>
          <w:color w:val="auto"/>
          <w:sz w:val="32"/>
          <w:szCs w:val="32"/>
        </w:rPr>
        <w:instrText xml:space="preserve"> PAGEREF _Toc10134 \h </w:instrText>
      </w:r>
      <w:r>
        <w:rPr>
          <w:b w:val="0"/>
          <w:bCs w:val="0"/>
          <w:color w:val="auto"/>
          <w:sz w:val="32"/>
          <w:szCs w:val="32"/>
        </w:rPr>
        <w:fldChar w:fldCharType="separate"/>
      </w:r>
      <w:r>
        <w:rPr>
          <w:b w:val="0"/>
          <w:bCs w:val="0"/>
          <w:color w:val="auto"/>
          <w:sz w:val="32"/>
          <w:szCs w:val="32"/>
        </w:rPr>
        <w:t>21</w:t>
      </w:r>
      <w:r>
        <w:rPr>
          <w:b w:val="0"/>
          <w:bCs w:val="0"/>
          <w:color w:val="auto"/>
          <w:sz w:val="32"/>
          <w:szCs w:val="32"/>
        </w:rPr>
        <w:fldChar w:fldCharType="end"/>
      </w:r>
      <w:r>
        <w:rPr>
          <w:b w:val="0"/>
          <w:bCs w:val="0"/>
          <w:color w:val="auto"/>
          <w:sz w:val="32"/>
          <w:szCs w:val="32"/>
        </w:rPr>
        <w:fldChar w:fldCharType="end"/>
      </w:r>
    </w:p>
    <w:p>
      <w:pPr>
        <w:pStyle w:val="25"/>
        <w:keepNext w:val="0"/>
        <w:keepLines w:val="0"/>
        <w:pageBreakBefore w:val="0"/>
        <w:tabs>
          <w:tab w:val="right" w:leader="dot" w:pos="8844"/>
        </w:tabs>
        <w:kinsoku/>
        <w:wordWrap/>
        <w:overflowPunct/>
        <w:topLinePunct w:val="0"/>
        <w:autoSpaceDE/>
        <w:autoSpaceDN/>
        <w:bidi w:val="0"/>
        <w:spacing w:line="360" w:lineRule="auto"/>
        <w:textAlignment w:val="auto"/>
        <w:rPr>
          <w:b w:val="0"/>
          <w:bCs w:val="0"/>
          <w:color w:val="auto"/>
          <w:sz w:val="32"/>
          <w:szCs w:val="32"/>
        </w:rPr>
      </w:pPr>
      <w:r>
        <w:rPr>
          <w:b w:val="0"/>
          <w:bCs w:val="0"/>
          <w:color w:val="auto"/>
          <w:sz w:val="32"/>
          <w:szCs w:val="32"/>
        </w:rPr>
        <w:fldChar w:fldCharType="begin"/>
      </w:r>
      <w:r>
        <w:rPr>
          <w:b w:val="0"/>
          <w:bCs w:val="0"/>
          <w:color w:val="auto"/>
          <w:sz w:val="32"/>
          <w:szCs w:val="32"/>
        </w:rPr>
        <w:instrText xml:space="preserve"> HYPERLINK \l _Toc2377 </w:instrText>
      </w:r>
      <w:r>
        <w:rPr>
          <w:b w:val="0"/>
          <w:bCs w:val="0"/>
          <w:color w:val="auto"/>
          <w:sz w:val="32"/>
          <w:szCs w:val="32"/>
        </w:rPr>
        <w:fldChar w:fldCharType="separate"/>
      </w:r>
      <w:r>
        <w:rPr>
          <w:rFonts w:hint="default" w:ascii="Times New Roman" w:hAnsi="Times New Roman" w:eastAsia="黑体" w:cs="Times New Roman"/>
          <w:b w:val="0"/>
          <w:bCs w:val="0"/>
          <w:snapToGrid w:val="0"/>
          <w:color w:val="auto"/>
          <w:sz w:val="32"/>
          <w:szCs w:val="32"/>
        </w:rPr>
        <w:t>四、主要环境影响和保护措施</w:t>
      </w:r>
      <w:r>
        <w:rPr>
          <w:b w:val="0"/>
          <w:bCs w:val="0"/>
          <w:color w:val="auto"/>
          <w:sz w:val="32"/>
          <w:szCs w:val="32"/>
        </w:rPr>
        <w:tab/>
      </w:r>
      <w:r>
        <w:rPr>
          <w:b w:val="0"/>
          <w:bCs w:val="0"/>
          <w:color w:val="auto"/>
          <w:sz w:val="32"/>
          <w:szCs w:val="32"/>
        </w:rPr>
        <w:fldChar w:fldCharType="begin"/>
      </w:r>
      <w:r>
        <w:rPr>
          <w:b w:val="0"/>
          <w:bCs w:val="0"/>
          <w:color w:val="auto"/>
          <w:sz w:val="32"/>
          <w:szCs w:val="32"/>
        </w:rPr>
        <w:instrText xml:space="preserve"> PAGEREF _Toc2377 \h </w:instrText>
      </w:r>
      <w:r>
        <w:rPr>
          <w:b w:val="0"/>
          <w:bCs w:val="0"/>
          <w:color w:val="auto"/>
          <w:sz w:val="32"/>
          <w:szCs w:val="32"/>
        </w:rPr>
        <w:fldChar w:fldCharType="separate"/>
      </w:r>
      <w:r>
        <w:rPr>
          <w:b w:val="0"/>
          <w:bCs w:val="0"/>
          <w:color w:val="auto"/>
          <w:sz w:val="32"/>
          <w:szCs w:val="32"/>
        </w:rPr>
        <w:t>27</w:t>
      </w:r>
      <w:r>
        <w:rPr>
          <w:b w:val="0"/>
          <w:bCs w:val="0"/>
          <w:color w:val="auto"/>
          <w:sz w:val="32"/>
          <w:szCs w:val="32"/>
        </w:rPr>
        <w:fldChar w:fldCharType="end"/>
      </w:r>
      <w:r>
        <w:rPr>
          <w:b w:val="0"/>
          <w:bCs w:val="0"/>
          <w:color w:val="auto"/>
          <w:sz w:val="32"/>
          <w:szCs w:val="32"/>
        </w:rPr>
        <w:fldChar w:fldCharType="end"/>
      </w:r>
    </w:p>
    <w:p>
      <w:pPr>
        <w:pStyle w:val="25"/>
        <w:keepNext w:val="0"/>
        <w:keepLines w:val="0"/>
        <w:pageBreakBefore w:val="0"/>
        <w:tabs>
          <w:tab w:val="right" w:leader="dot" w:pos="8844"/>
        </w:tabs>
        <w:kinsoku/>
        <w:wordWrap/>
        <w:overflowPunct/>
        <w:topLinePunct w:val="0"/>
        <w:autoSpaceDE/>
        <w:autoSpaceDN/>
        <w:bidi w:val="0"/>
        <w:spacing w:line="360" w:lineRule="auto"/>
        <w:textAlignment w:val="auto"/>
        <w:rPr>
          <w:b w:val="0"/>
          <w:bCs w:val="0"/>
          <w:color w:val="auto"/>
          <w:sz w:val="32"/>
          <w:szCs w:val="32"/>
        </w:rPr>
      </w:pPr>
      <w:r>
        <w:rPr>
          <w:b w:val="0"/>
          <w:bCs w:val="0"/>
          <w:color w:val="auto"/>
          <w:sz w:val="32"/>
          <w:szCs w:val="32"/>
        </w:rPr>
        <w:fldChar w:fldCharType="begin"/>
      </w:r>
      <w:r>
        <w:rPr>
          <w:b w:val="0"/>
          <w:bCs w:val="0"/>
          <w:color w:val="auto"/>
          <w:sz w:val="32"/>
          <w:szCs w:val="32"/>
        </w:rPr>
        <w:instrText xml:space="preserve"> HYPERLINK \l _Toc23803 </w:instrText>
      </w:r>
      <w:r>
        <w:rPr>
          <w:b w:val="0"/>
          <w:bCs w:val="0"/>
          <w:color w:val="auto"/>
          <w:sz w:val="32"/>
          <w:szCs w:val="32"/>
        </w:rPr>
        <w:fldChar w:fldCharType="separate"/>
      </w:r>
      <w:r>
        <w:rPr>
          <w:rFonts w:hint="default" w:ascii="Times New Roman" w:hAnsi="Times New Roman" w:eastAsia="黑体" w:cs="Times New Roman"/>
          <w:b w:val="0"/>
          <w:bCs w:val="0"/>
          <w:snapToGrid w:val="0"/>
          <w:color w:val="auto"/>
          <w:sz w:val="32"/>
          <w:szCs w:val="32"/>
        </w:rPr>
        <w:t>五、环境保护措施监督检查清单</w:t>
      </w:r>
      <w:r>
        <w:rPr>
          <w:b w:val="0"/>
          <w:bCs w:val="0"/>
          <w:color w:val="auto"/>
          <w:sz w:val="32"/>
          <w:szCs w:val="32"/>
        </w:rPr>
        <w:tab/>
      </w:r>
      <w:r>
        <w:rPr>
          <w:b w:val="0"/>
          <w:bCs w:val="0"/>
          <w:color w:val="auto"/>
          <w:sz w:val="32"/>
          <w:szCs w:val="32"/>
        </w:rPr>
        <w:fldChar w:fldCharType="begin"/>
      </w:r>
      <w:r>
        <w:rPr>
          <w:b w:val="0"/>
          <w:bCs w:val="0"/>
          <w:color w:val="auto"/>
          <w:sz w:val="32"/>
          <w:szCs w:val="32"/>
        </w:rPr>
        <w:instrText xml:space="preserve"> PAGEREF _Toc23803 \h </w:instrText>
      </w:r>
      <w:r>
        <w:rPr>
          <w:b w:val="0"/>
          <w:bCs w:val="0"/>
          <w:color w:val="auto"/>
          <w:sz w:val="32"/>
          <w:szCs w:val="32"/>
        </w:rPr>
        <w:fldChar w:fldCharType="separate"/>
      </w:r>
      <w:r>
        <w:rPr>
          <w:b w:val="0"/>
          <w:bCs w:val="0"/>
          <w:color w:val="auto"/>
          <w:sz w:val="32"/>
          <w:szCs w:val="32"/>
        </w:rPr>
        <w:t>41</w:t>
      </w:r>
      <w:r>
        <w:rPr>
          <w:b w:val="0"/>
          <w:bCs w:val="0"/>
          <w:color w:val="auto"/>
          <w:sz w:val="32"/>
          <w:szCs w:val="32"/>
        </w:rPr>
        <w:fldChar w:fldCharType="end"/>
      </w:r>
      <w:r>
        <w:rPr>
          <w:b w:val="0"/>
          <w:bCs w:val="0"/>
          <w:color w:val="auto"/>
          <w:sz w:val="32"/>
          <w:szCs w:val="32"/>
        </w:rPr>
        <w:fldChar w:fldCharType="end"/>
      </w:r>
    </w:p>
    <w:p>
      <w:pPr>
        <w:pStyle w:val="25"/>
        <w:keepNext w:val="0"/>
        <w:keepLines w:val="0"/>
        <w:pageBreakBefore w:val="0"/>
        <w:tabs>
          <w:tab w:val="right" w:leader="dot" w:pos="8844"/>
        </w:tabs>
        <w:kinsoku/>
        <w:wordWrap/>
        <w:overflowPunct/>
        <w:topLinePunct w:val="0"/>
        <w:autoSpaceDE/>
        <w:autoSpaceDN/>
        <w:bidi w:val="0"/>
        <w:spacing w:line="360" w:lineRule="auto"/>
        <w:textAlignment w:val="auto"/>
        <w:rPr>
          <w:b w:val="0"/>
          <w:bCs w:val="0"/>
          <w:color w:val="auto"/>
          <w:sz w:val="32"/>
          <w:szCs w:val="32"/>
        </w:rPr>
      </w:pPr>
      <w:r>
        <w:rPr>
          <w:b w:val="0"/>
          <w:bCs w:val="0"/>
          <w:color w:val="auto"/>
          <w:sz w:val="32"/>
          <w:szCs w:val="32"/>
        </w:rPr>
        <w:fldChar w:fldCharType="begin"/>
      </w:r>
      <w:r>
        <w:rPr>
          <w:b w:val="0"/>
          <w:bCs w:val="0"/>
          <w:color w:val="auto"/>
          <w:sz w:val="32"/>
          <w:szCs w:val="32"/>
        </w:rPr>
        <w:instrText xml:space="preserve"> HYPERLINK \l _Toc24014 </w:instrText>
      </w:r>
      <w:r>
        <w:rPr>
          <w:b w:val="0"/>
          <w:bCs w:val="0"/>
          <w:color w:val="auto"/>
          <w:sz w:val="32"/>
          <w:szCs w:val="32"/>
        </w:rPr>
        <w:fldChar w:fldCharType="separate"/>
      </w:r>
      <w:r>
        <w:rPr>
          <w:rFonts w:hint="default" w:ascii="Times New Roman" w:hAnsi="Times New Roman" w:eastAsia="黑体" w:cs="Times New Roman"/>
          <w:b w:val="0"/>
          <w:bCs w:val="0"/>
          <w:snapToGrid w:val="0"/>
          <w:color w:val="auto"/>
          <w:sz w:val="32"/>
          <w:szCs w:val="32"/>
        </w:rPr>
        <w:t>六、结论</w:t>
      </w:r>
      <w:r>
        <w:rPr>
          <w:b w:val="0"/>
          <w:bCs w:val="0"/>
          <w:color w:val="auto"/>
          <w:sz w:val="32"/>
          <w:szCs w:val="32"/>
        </w:rPr>
        <w:tab/>
      </w:r>
      <w:r>
        <w:rPr>
          <w:b w:val="0"/>
          <w:bCs w:val="0"/>
          <w:color w:val="auto"/>
          <w:sz w:val="32"/>
          <w:szCs w:val="32"/>
        </w:rPr>
        <w:fldChar w:fldCharType="begin"/>
      </w:r>
      <w:r>
        <w:rPr>
          <w:b w:val="0"/>
          <w:bCs w:val="0"/>
          <w:color w:val="auto"/>
          <w:sz w:val="32"/>
          <w:szCs w:val="32"/>
        </w:rPr>
        <w:instrText xml:space="preserve"> PAGEREF _Toc24014 \h </w:instrText>
      </w:r>
      <w:r>
        <w:rPr>
          <w:b w:val="0"/>
          <w:bCs w:val="0"/>
          <w:color w:val="auto"/>
          <w:sz w:val="32"/>
          <w:szCs w:val="32"/>
        </w:rPr>
        <w:fldChar w:fldCharType="separate"/>
      </w:r>
      <w:r>
        <w:rPr>
          <w:b w:val="0"/>
          <w:bCs w:val="0"/>
          <w:color w:val="auto"/>
          <w:sz w:val="32"/>
          <w:szCs w:val="32"/>
        </w:rPr>
        <w:t>43</w:t>
      </w:r>
      <w:r>
        <w:rPr>
          <w:b w:val="0"/>
          <w:bCs w:val="0"/>
          <w:color w:val="auto"/>
          <w:sz w:val="32"/>
          <w:szCs w:val="32"/>
        </w:rPr>
        <w:fldChar w:fldCharType="end"/>
      </w:r>
      <w:r>
        <w:rPr>
          <w:b w:val="0"/>
          <w:bCs w:val="0"/>
          <w:color w:val="auto"/>
          <w:sz w:val="32"/>
          <w:szCs w:val="32"/>
        </w:rPr>
        <w:fldChar w:fldCharType="end"/>
      </w:r>
    </w:p>
    <w:p>
      <w:pPr>
        <w:pStyle w:val="25"/>
        <w:keepNext w:val="0"/>
        <w:keepLines w:val="0"/>
        <w:pageBreakBefore w:val="0"/>
        <w:tabs>
          <w:tab w:val="right" w:leader="dot" w:pos="8844"/>
        </w:tabs>
        <w:kinsoku/>
        <w:wordWrap/>
        <w:overflowPunct/>
        <w:topLinePunct w:val="0"/>
        <w:autoSpaceDE/>
        <w:autoSpaceDN/>
        <w:bidi w:val="0"/>
        <w:spacing w:line="360" w:lineRule="auto"/>
        <w:textAlignment w:val="auto"/>
        <w:rPr>
          <w:b w:val="0"/>
          <w:bCs w:val="0"/>
          <w:color w:val="auto"/>
          <w:sz w:val="32"/>
          <w:szCs w:val="32"/>
        </w:rPr>
      </w:pPr>
      <w:r>
        <w:rPr>
          <w:b w:val="0"/>
          <w:bCs w:val="0"/>
          <w:color w:val="auto"/>
          <w:sz w:val="32"/>
          <w:szCs w:val="32"/>
        </w:rPr>
        <w:fldChar w:fldCharType="begin"/>
      </w:r>
      <w:r>
        <w:rPr>
          <w:b w:val="0"/>
          <w:bCs w:val="0"/>
          <w:color w:val="auto"/>
          <w:sz w:val="32"/>
          <w:szCs w:val="32"/>
        </w:rPr>
        <w:instrText xml:space="preserve"> HYPERLINK \l _Toc20684 </w:instrText>
      </w:r>
      <w:r>
        <w:rPr>
          <w:b w:val="0"/>
          <w:bCs w:val="0"/>
          <w:color w:val="auto"/>
          <w:sz w:val="32"/>
          <w:szCs w:val="32"/>
        </w:rPr>
        <w:fldChar w:fldCharType="separate"/>
      </w:r>
      <w:r>
        <w:rPr>
          <w:rFonts w:hint="default" w:ascii="Times New Roman" w:hAnsi="Times New Roman" w:eastAsia="黑体" w:cs="Times New Roman"/>
          <w:b w:val="0"/>
          <w:bCs w:val="0"/>
          <w:snapToGrid w:val="0"/>
          <w:color w:val="auto"/>
          <w:sz w:val="32"/>
          <w:szCs w:val="32"/>
        </w:rPr>
        <w:t>附表</w:t>
      </w:r>
      <w:r>
        <w:rPr>
          <w:b w:val="0"/>
          <w:bCs w:val="0"/>
          <w:color w:val="auto"/>
          <w:sz w:val="32"/>
          <w:szCs w:val="32"/>
        </w:rPr>
        <w:tab/>
      </w:r>
      <w:r>
        <w:rPr>
          <w:b w:val="0"/>
          <w:bCs w:val="0"/>
          <w:color w:val="auto"/>
          <w:sz w:val="32"/>
          <w:szCs w:val="32"/>
        </w:rPr>
        <w:fldChar w:fldCharType="begin"/>
      </w:r>
      <w:r>
        <w:rPr>
          <w:b w:val="0"/>
          <w:bCs w:val="0"/>
          <w:color w:val="auto"/>
          <w:sz w:val="32"/>
          <w:szCs w:val="32"/>
        </w:rPr>
        <w:instrText xml:space="preserve"> PAGEREF _Toc20684 \h </w:instrText>
      </w:r>
      <w:r>
        <w:rPr>
          <w:b w:val="0"/>
          <w:bCs w:val="0"/>
          <w:color w:val="auto"/>
          <w:sz w:val="32"/>
          <w:szCs w:val="32"/>
        </w:rPr>
        <w:fldChar w:fldCharType="separate"/>
      </w:r>
      <w:r>
        <w:rPr>
          <w:b w:val="0"/>
          <w:bCs w:val="0"/>
          <w:color w:val="auto"/>
          <w:sz w:val="32"/>
          <w:szCs w:val="32"/>
        </w:rPr>
        <w:t>44</w:t>
      </w:r>
      <w:r>
        <w:rPr>
          <w:b w:val="0"/>
          <w:bCs w:val="0"/>
          <w:color w:val="auto"/>
          <w:sz w:val="32"/>
          <w:szCs w:val="32"/>
        </w:rPr>
        <w:fldChar w:fldCharType="end"/>
      </w:r>
      <w:r>
        <w:rPr>
          <w:b w:val="0"/>
          <w:bCs w:val="0"/>
          <w:color w:val="auto"/>
          <w:sz w:val="32"/>
          <w:szCs w:val="32"/>
        </w:rPr>
        <w:fldChar w:fldCharType="end"/>
      </w:r>
    </w:p>
    <w:p>
      <w:pPr>
        <w:pStyle w:val="25"/>
        <w:keepNext w:val="0"/>
        <w:keepLines w:val="0"/>
        <w:pageBreakBefore w:val="0"/>
        <w:tabs>
          <w:tab w:val="right" w:leader="dot" w:pos="8844"/>
        </w:tabs>
        <w:kinsoku/>
        <w:wordWrap/>
        <w:overflowPunct/>
        <w:topLinePunct w:val="0"/>
        <w:autoSpaceDE/>
        <w:autoSpaceDN/>
        <w:bidi w:val="0"/>
        <w:spacing w:line="360" w:lineRule="auto"/>
        <w:textAlignment w:val="auto"/>
        <w:rPr>
          <w:b w:val="0"/>
          <w:bCs w:val="0"/>
          <w:color w:val="auto"/>
          <w:sz w:val="32"/>
          <w:szCs w:val="32"/>
        </w:rPr>
      </w:pPr>
      <w:r>
        <w:rPr>
          <w:b w:val="0"/>
          <w:bCs w:val="0"/>
          <w:color w:val="auto"/>
          <w:sz w:val="32"/>
          <w:szCs w:val="32"/>
        </w:rPr>
        <w:fldChar w:fldCharType="begin"/>
      </w:r>
      <w:r>
        <w:rPr>
          <w:b w:val="0"/>
          <w:bCs w:val="0"/>
          <w:color w:val="auto"/>
          <w:sz w:val="32"/>
          <w:szCs w:val="32"/>
        </w:rPr>
        <w:instrText xml:space="preserve"> HYPERLINK \l _Toc7135 </w:instrText>
      </w:r>
      <w:r>
        <w:rPr>
          <w:b w:val="0"/>
          <w:bCs w:val="0"/>
          <w:color w:val="auto"/>
          <w:sz w:val="32"/>
          <w:szCs w:val="32"/>
        </w:rPr>
        <w:fldChar w:fldCharType="separate"/>
      </w:r>
      <w:r>
        <w:rPr>
          <w:rFonts w:hint="default" w:ascii="Times New Roman" w:hAnsi="Times New Roman" w:eastAsia="黑体" w:cs="Times New Roman"/>
          <w:b w:val="0"/>
          <w:bCs w:val="0"/>
          <w:snapToGrid w:val="0"/>
          <w:color w:val="auto"/>
          <w:sz w:val="32"/>
          <w:szCs w:val="32"/>
        </w:rPr>
        <w:t>建设项目污染物排放量汇总表</w:t>
      </w:r>
      <w:r>
        <w:rPr>
          <w:b w:val="0"/>
          <w:bCs w:val="0"/>
          <w:color w:val="auto"/>
          <w:sz w:val="32"/>
          <w:szCs w:val="32"/>
        </w:rPr>
        <w:tab/>
      </w:r>
      <w:r>
        <w:rPr>
          <w:b w:val="0"/>
          <w:bCs w:val="0"/>
          <w:color w:val="auto"/>
          <w:sz w:val="32"/>
          <w:szCs w:val="32"/>
        </w:rPr>
        <w:fldChar w:fldCharType="begin"/>
      </w:r>
      <w:r>
        <w:rPr>
          <w:b w:val="0"/>
          <w:bCs w:val="0"/>
          <w:color w:val="auto"/>
          <w:sz w:val="32"/>
          <w:szCs w:val="32"/>
        </w:rPr>
        <w:instrText xml:space="preserve"> PAGEREF _Toc7135 \h </w:instrText>
      </w:r>
      <w:r>
        <w:rPr>
          <w:b w:val="0"/>
          <w:bCs w:val="0"/>
          <w:color w:val="auto"/>
          <w:sz w:val="32"/>
          <w:szCs w:val="32"/>
        </w:rPr>
        <w:fldChar w:fldCharType="separate"/>
      </w:r>
      <w:r>
        <w:rPr>
          <w:b w:val="0"/>
          <w:bCs w:val="0"/>
          <w:color w:val="auto"/>
          <w:sz w:val="32"/>
          <w:szCs w:val="32"/>
        </w:rPr>
        <w:t>44</w:t>
      </w:r>
      <w:r>
        <w:rPr>
          <w:b w:val="0"/>
          <w:bCs w:val="0"/>
          <w:color w:val="auto"/>
          <w:sz w:val="32"/>
          <w:szCs w:val="32"/>
        </w:rPr>
        <w:fldChar w:fldCharType="end"/>
      </w:r>
      <w:r>
        <w:rPr>
          <w:b w:val="0"/>
          <w:bCs w:val="0"/>
          <w:color w:val="auto"/>
          <w:sz w:val="32"/>
          <w:szCs w:val="32"/>
        </w:rPr>
        <w:fldChar w:fldCharType="end"/>
      </w:r>
    </w:p>
    <w:p>
      <w:pPr>
        <w:pStyle w:val="28"/>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color w:val="auto"/>
        </w:rPr>
      </w:pPr>
      <w:r>
        <w:rPr>
          <w:b w:val="0"/>
          <w:bCs w:val="0"/>
          <w:color w:val="auto"/>
          <w:sz w:val="32"/>
          <w:szCs w:val="32"/>
        </w:rPr>
        <w:fldChar w:fldCharType="end"/>
      </w: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8"/>
        <w:adjustRightInd w:val="0"/>
        <w:snapToGrid w:val="0"/>
        <w:spacing w:before="0" w:beforeAutospacing="0" w:after="120" w:afterLines="50" w:afterAutospacing="0"/>
        <w:jc w:val="center"/>
        <w:outlineLvl w:val="0"/>
        <w:rPr>
          <w:color w:val="auto"/>
        </w:rPr>
      </w:pPr>
    </w:p>
    <w:p>
      <w:pPr>
        <w:pStyle w:val="26"/>
        <w:bidi w:val="0"/>
        <w:rPr>
          <w:color w:val="auto"/>
        </w:rPr>
      </w:pPr>
    </w:p>
    <w:p>
      <w:pPr>
        <w:pStyle w:val="28"/>
        <w:adjustRightInd w:val="0"/>
        <w:snapToGrid w:val="0"/>
        <w:spacing w:before="0" w:beforeAutospacing="0" w:after="120" w:afterLines="5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bookmarkEnd w:id="2"/>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98"/>
        <w:gridCol w:w="2021"/>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建设项目名称</w:t>
            </w:r>
          </w:p>
        </w:tc>
        <w:tc>
          <w:tcPr>
            <w:tcW w:w="6872" w:type="dxa"/>
            <w:gridSpan w:val="3"/>
            <w:noWrap w:val="0"/>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年产500吨塑料包装材料项目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项目代码</w:t>
            </w:r>
          </w:p>
        </w:tc>
        <w:tc>
          <w:tcPr>
            <w:tcW w:w="6872" w:type="dxa"/>
            <w:gridSpan w:val="3"/>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建设单位联系人</w:t>
            </w:r>
          </w:p>
        </w:tc>
        <w:tc>
          <w:tcPr>
            <w:tcW w:w="2021"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李明</w:t>
            </w:r>
          </w:p>
        </w:tc>
        <w:tc>
          <w:tcPr>
            <w:tcW w:w="2212" w:type="dxa"/>
            <w:noWrap w:val="0"/>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联系方式</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13786935293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建设地点</w:t>
            </w:r>
          </w:p>
        </w:tc>
        <w:tc>
          <w:tcPr>
            <w:tcW w:w="6872" w:type="dxa"/>
            <w:gridSpan w:val="3"/>
            <w:noWrap w:val="0"/>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u w:val="none"/>
                <w:lang w:eastAsia="zh-CN"/>
              </w:rPr>
              <w:t>湖南省邵东市廉桥镇兔子坪村5组2号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地理坐标</w:t>
            </w:r>
          </w:p>
        </w:tc>
        <w:tc>
          <w:tcPr>
            <w:tcW w:w="6872" w:type="dxa"/>
            <w:gridSpan w:val="3"/>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u w:val="single"/>
                <w:lang w:val="en-US" w:eastAsia="zh-CN"/>
              </w:rPr>
              <w:t>111°48′1.9″</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u w:val="single"/>
                <w:lang w:val="en-US" w:eastAsia="zh-CN"/>
              </w:rPr>
              <w:t>27°18′50.6″</w:t>
            </w:r>
            <w:r>
              <w:rPr>
                <w:rFonts w:hint="default"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61"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国民经济</w:t>
            </w:r>
          </w:p>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行业类别</w:t>
            </w:r>
          </w:p>
        </w:tc>
        <w:tc>
          <w:tcPr>
            <w:tcW w:w="202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C292</w:t>
            </w:r>
            <w:r>
              <w:rPr>
                <w:rFonts w:hint="eastAsia" w:ascii="Times New Roman" w:hAnsi="Times New Roman" w:eastAsia="宋体" w:cs="Times New Roman"/>
                <w:color w:val="auto"/>
                <w:szCs w:val="21"/>
                <w:lang w:val="en-US" w:eastAsia="zh-CN"/>
              </w:rPr>
              <w:t>3塑料丝、绳及编织品制造</w:t>
            </w:r>
          </w:p>
        </w:tc>
        <w:tc>
          <w:tcPr>
            <w:tcW w:w="2212" w:type="dxa"/>
            <w:noWrap w:val="0"/>
            <w:vAlign w:val="center"/>
          </w:tcPr>
          <w:p>
            <w:pPr>
              <w:adjustRightInd w:val="0"/>
              <w:snapToGrid w:val="0"/>
              <w:jc w:val="center"/>
              <w:rPr>
                <w:rFonts w:hint="default" w:ascii="Times New Roman" w:hAnsi="Times New Roman" w:eastAsia="宋体" w:cs="Times New Roman"/>
                <w:b/>
                <w:bCs/>
                <w:color w:val="auto"/>
                <w:sz w:val="24"/>
              </w:rPr>
            </w:pPr>
            <w:bookmarkStart w:id="3" w:name="_Hlk49843745"/>
            <w:r>
              <w:rPr>
                <w:rFonts w:hint="default" w:ascii="Times New Roman" w:hAnsi="Times New Roman" w:eastAsia="宋体" w:cs="Times New Roman"/>
                <w:b/>
                <w:bCs/>
                <w:color w:val="auto"/>
                <w:sz w:val="24"/>
              </w:rPr>
              <w:t>建设项目</w:t>
            </w:r>
          </w:p>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行业类别</w:t>
            </w:r>
            <w:bookmarkEnd w:id="3"/>
          </w:p>
        </w:tc>
        <w:tc>
          <w:tcPr>
            <w:tcW w:w="2639" w:type="dxa"/>
            <w:noWrap w:val="0"/>
            <w:vAlign w:val="center"/>
          </w:tcPr>
          <w:p>
            <w:pPr>
              <w:adjustRightInd w:val="0"/>
              <w:snapToGrid w:val="0"/>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eastAsia="zh-CN"/>
              </w:rPr>
              <w:t>二十六、橡胶和塑料制品业 29中的</w:t>
            </w:r>
            <w:r>
              <w:rPr>
                <w:rFonts w:hint="default" w:ascii="Times New Roman" w:hAnsi="Times New Roman" w:eastAsia="宋体" w:cs="Times New Roman"/>
                <w:color w:val="auto"/>
                <w:szCs w:val="21"/>
                <w:lang w:val="en-US" w:eastAsia="zh-CN"/>
              </w:rPr>
              <w:t>53 塑料制品业 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219"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建设性质</w:t>
            </w:r>
          </w:p>
        </w:tc>
        <w:tc>
          <w:tcPr>
            <w:tcW w:w="2021" w:type="dxa"/>
            <w:noWrap w:val="0"/>
            <w:vAlign w:val="center"/>
          </w:tcPr>
          <w:p>
            <w:pPr>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新建（迁建）</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□改建</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□扩建</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□技术改造</w:t>
            </w:r>
          </w:p>
        </w:tc>
        <w:tc>
          <w:tcPr>
            <w:tcW w:w="2212" w:type="dxa"/>
            <w:noWrap w:val="0"/>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建设项目</w:t>
            </w:r>
          </w:p>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申报情形</w:t>
            </w:r>
          </w:p>
        </w:tc>
        <w:tc>
          <w:tcPr>
            <w:tcW w:w="2639" w:type="dxa"/>
            <w:noWrap w:val="0"/>
            <w:vAlign w:val="center"/>
          </w:tcPr>
          <w:p>
            <w:pPr>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 xml:space="preserve">首次申报项目             </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rPr>
              <w:t>不予批准后再次申报项目</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rPr>
              <w:t xml:space="preserve">超五年重新审核项目     </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51"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项目审批（核准/</w:t>
            </w:r>
          </w:p>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备案）部门</w:t>
            </w:r>
          </w:p>
        </w:tc>
        <w:tc>
          <w:tcPr>
            <w:tcW w:w="202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p>
        </w:tc>
        <w:tc>
          <w:tcPr>
            <w:tcW w:w="2212" w:type="dxa"/>
            <w:noWrap w:val="0"/>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项目审批（核准/</w:t>
            </w:r>
          </w:p>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备案）文号</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总投资（万元）</w:t>
            </w:r>
          </w:p>
        </w:tc>
        <w:tc>
          <w:tcPr>
            <w:tcW w:w="202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环保投资（万元）</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环保投资占比（%）</w:t>
            </w:r>
          </w:p>
        </w:tc>
        <w:tc>
          <w:tcPr>
            <w:tcW w:w="202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施工工期</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97" w:hRule="atLeast"/>
          <w:jc w:val="center"/>
        </w:trPr>
        <w:tc>
          <w:tcPr>
            <w:tcW w:w="199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是否开工建设</w:t>
            </w:r>
          </w:p>
        </w:tc>
        <w:tc>
          <w:tcPr>
            <w:tcW w:w="2021" w:type="dxa"/>
            <w:noWrap w:val="0"/>
            <w:vAlign w:val="center"/>
          </w:tcPr>
          <w:p>
            <w:pPr>
              <w:adjustRightInd w:val="0"/>
              <w:snapToGrid w:val="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否</w:t>
            </w:r>
          </w:p>
          <w:p>
            <w:pPr>
              <w:adjustRightInd w:val="0"/>
              <w:snapToGrid w:val="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是：</w:t>
            </w:r>
            <w:r>
              <w:rPr>
                <w:rFonts w:hint="default" w:ascii="Times New Roman" w:hAnsi="Times New Roman" w:eastAsia="宋体" w:cs="Times New Roman"/>
                <w:color w:val="auto"/>
                <w:szCs w:val="21"/>
                <w:u w:val="single"/>
              </w:rPr>
              <w:t xml:space="preserve"> </w:t>
            </w:r>
            <w:r>
              <w:rPr>
                <w:rFonts w:hint="eastAsia" w:ascii="Times New Roman" w:hAnsi="Times New Roman" w:eastAsia="宋体" w:cs="Times New Roman"/>
                <w:color w:val="auto"/>
                <w:szCs w:val="21"/>
                <w:u w:val="single"/>
                <w:lang w:val="en-US" w:eastAsia="zh-CN"/>
              </w:rPr>
              <w:t>2020年5月</w:t>
            </w:r>
            <w:r>
              <w:rPr>
                <w:rFonts w:hint="default" w:ascii="Times New Roman" w:hAnsi="Times New Roman" w:eastAsia="宋体" w:cs="Times New Roman"/>
                <w:color w:val="auto"/>
                <w:szCs w:val="21"/>
                <w:u w:val="single"/>
              </w:rPr>
              <w:t xml:space="preserve"> </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pacing w:val="-6"/>
                <w:sz w:val="24"/>
              </w:rPr>
            </w:pPr>
            <w:r>
              <w:rPr>
                <w:rFonts w:hint="default" w:ascii="Times New Roman" w:hAnsi="Times New Roman" w:eastAsia="宋体" w:cs="Times New Roman"/>
                <w:b/>
                <w:bCs/>
                <w:color w:val="auto"/>
                <w:spacing w:val="-6"/>
                <w:sz w:val="24"/>
              </w:rPr>
              <w:t>用地</w:t>
            </w:r>
          </w:p>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pacing w:val="-6"/>
                <w:sz w:val="24"/>
              </w:rPr>
              <w:t>面积（m</w:t>
            </w:r>
            <w:r>
              <w:rPr>
                <w:rFonts w:hint="default" w:ascii="Times New Roman" w:hAnsi="Times New Roman" w:eastAsia="宋体" w:cs="Times New Roman"/>
                <w:b/>
                <w:bCs/>
                <w:color w:val="auto"/>
                <w:spacing w:val="-6"/>
                <w:sz w:val="24"/>
                <w:vertAlign w:val="superscript"/>
              </w:rPr>
              <w:t>2</w:t>
            </w:r>
            <w:r>
              <w:rPr>
                <w:rFonts w:hint="default" w:ascii="Times New Roman" w:hAnsi="Times New Roman" w:eastAsia="宋体" w:cs="Times New Roman"/>
                <w:b/>
                <w:bCs/>
                <w:color w:val="auto"/>
                <w:spacing w:val="-6"/>
                <w:sz w:val="24"/>
              </w:rPr>
              <w:t>）</w:t>
            </w:r>
          </w:p>
        </w:tc>
        <w:tc>
          <w:tcPr>
            <w:tcW w:w="2639"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4000（租赁）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8" w:hRule="atLeast"/>
          <w:jc w:val="center"/>
        </w:trPr>
        <w:tc>
          <w:tcPr>
            <w:tcW w:w="1998"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专项评价</w:t>
            </w:r>
          </w:p>
          <w:p>
            <w:pPr>
              <w:autoSpaceDE w:val="0"/>
              <w:autoSpaceDN w:val="0"/>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设置情况</w:t>
            </w:r>
          </w:p>
        </w:tc>
        <w:tc>
          <w:tcPr>
            <w:tcW w:w="6872"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21" w:hRule="atLeast"/>
          <w:jc w:val="center"/>
        </w:trPr>
        <w:tc>
          <w:tcPr>
            <w:tcW w:w="1998"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sz w:val="24"/>
              </w:rPr>
              <w:t>规划情况</w:t>
            </w:r>
          </w:p>
        </w:tc>
        <w:tc>
          <w:tcPr>
            <w:tcW w:w="6872" w:type="dxa"/>
            <w:gridSpan w:val="3"/>
            <w:noWrap w:val="0"/>
            <w:vAlign w:val="center"/>
          </w:tcPr>
          <w:p>
            <w:pPr>
              <w:keepNext w:val="0"/>
              <w:keepLines w:val="0"/>
              <w:widowControl/>
              <w:suppressLineNumbers w:val="0"/>
              <w:spacing w:line="360" w:lineRule="auto"/>
              <w:ind w:left="0" w:leftChars="0" w:firstLine="0" w:firstLineChars="0"/>
              <w:jc w:val="center"/>
              <w:rPr>
                <w:rFonts w:hint="eastAsia" w:ascii="Times New Roman" w:hAnsi="Times New Roman" w:eastAsia="宋体" w:cs="Times New Roman"/>
                <w:color w:val="auto"/>
                <w:kern w:val="0"/>
                <w:sz w:val="24"/>
                <w:szCs w:val="24"/>
                <w:lang w:val="en-US" w:eastAsia="zh-CN" w:bidi="ar"/>
              </w:rPr>
            </w:pPr>
            <w:r>
              <w:rPr>
                <w:rFonts w:hint="eastAsia" w:eastAsia="宋体"/>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jc w:val="center"/>
        </w:trPr>
        <w:tc>
          <w:tcPr>
            <w:tcW w:w="1998" w:type="dxa"/>
            <w:noWrap w:val="0"/>
            <w:vAlign w:val="center"/>
          </w:tcPr>
          <w:p>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规划环境影响</w:t>
            </w:r>
          </w:p>
          <w:p>
            <w:pPr>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sz w:val="24"/>
              </w:rPr>
              <w:t>评价情况</w:t>
            </w:r>
          </w:p>
        </w:tc>
        <w:tc>
          <w:tcPr>
            <w:tcW w:w="6872" w:type="dxa"/>
            <w:gridSpan w:val="3"/>
            <w:noWrap w:val="0"/>
            <w:vAlign w:val="center"/>
          </w:tcPr>
          <w:p>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color w:val="auto"/>
                <w:kern w:val="0"/>
                <w:sz w:val="24"/>
                <w:szCs w:val="24"/>
                <w:lang w:val="en-US" w:eastAsia="zh-CN" w:bidi="ar"/>
              </w:rPr>
            </w:pPr>
            <w:r>
              <w:rPr>
                <w:rFonts w:hint="eastAsia" w:eastAsia="宋体"/>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21" w:hRule="atLeast"/>
          <w:jc w:val="center"/>
        </w:trPr>
        <w:tc>
          <w:tcPr>
            <w:tcW w:w="1998"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规划及规划环境</w:t>
            </w:r>
          </w:p>
          <w:p>
            <w:pPr>
              <w:autoSpaceDE w:val="0"/>
              <w:autoSpaceDN w:val="0"/>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影响评价符合性分析</w:t>
            </w:r>
          </w:p>
        </w:tc>
        <w:tc>
          <w:tcPr>
            <w:tcW w:w="6872" w:type="dxa"/>
            <w:gridSpan w:val="3"/>
            <w:noWrap w:val="0"/>
            <w:vAlign w:val="center"/>
          </w:tcPr>
          <w:p>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color w:val="auto"/>
                <w:kern w:val="0"/>
                <w:szCs w:val="21"/>
              </w:rPr>
            </w:pPr>
            <w:r>
              <w:rPr>
                <w:rFonts w:hint="eastAsia" w:eastAsia="宋体"/>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21" w:hRule="atLeast"/>
          <w:jc w:val="center"/>
        </w:trPr>
        <w:tc>
          <w:tcPr>
            <w:tcW w:w="1998"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其他符合性分析</w:t>
            </w:r>
          </w:p>
        </w:tc>
        <w:tc>
          <w:tcPr>
            <w:tcW w:w="6872" w:type="dxa"/>
            <w:gridSpan w:val="3"/>
            <w:noWrap w:val="0"/>
            <w:vAlign w:val="center"/>
          </w:tcPr>
          <w:p>
            <w:pPr>
              <w:pStyle w:val="83"/>
              <w:ind w:firstLine="482"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1.产业政策符合性</w:t>
            </w:r>
          </w:p>
          <w:p>
            <w:pPr>
              <w:pStyle w:val="83"/>
              <w:ind w:firstLine="480" w:firstLineChars="20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对照《产业结构调整指导目录（2019年本）》</w:t>
            </w:r>
            <w:r>
              <w:rPr>
                <w:rFonts w:hint="eastAsia" w:ascii="Times New Roman" w:hAnsi="Times New Roman" w:eastAsia="宋体" w:cs="Times New Roman"/>
                <w:b w:val="0"/>
                <w:color w:val="auto"/>
                <w:kern w:val="0"/>
                <w:sz w:val="24"/>
                <w:szCs w:val="24"/>
                <w:lang w:val="en-US" w:eastAsia="zh-CN" w:bidi="ar"/>
              </w:rPr>
              <w:t>（2021修</w:t>
            </w:r>
            <w:r>
              <w:rPr>
                <w:rFonts w:hint="eastAsia"/>
                <w:color w:val="auto"/>
                <w:lang w:val="en-US" w:eastAsia="zh-CN"/>
              </w:rPr>
              <w:t>改</w:t>
            </w:r>
            <w:r>
              <w:rPr>
                <w:rFonts w:hint="eastAsia" w:ascii="Times New Roman" w:hAnsi="Times New Roman" w:eastAsia="宋体" w:cs="Times New Roman"/>
                <w:b w:val="0"/>
                <w:color w:val="auto"/>
                <w:kern w:val="0"/>
                <w:sz w:val="24"/>
                <w:szCs w:val="24"/>
                <w:lang w:val="en-US" w:eastAsia="zh-CN" w:bidi="ar"/>
              </w:rPr>
              <w:t>）</w:t>
            </w:r>
            <w:r>
              <w:rPr>
                <w:rFonts w:hint="default" w:ascii="Times New Roman" w:hAnsi="Times New Roman" w:eastAsia="宋体" w:cs="Times New Roman"/>
                <w:b w:val="0"/>
                <w:color w:val="auto"/>
                <w:kern w:val="0"/>
                <w:sz w:val="24"/>
                <w:szCs w:val="24"/>
                <w:lang w:val="en-US" w:eastAsia="zh-CN" w:bidi="ar"/>
              </w:rPr>
              <w:t>本项目不属于禁止类</w:t>
            </w:r>
            <w:r>
              <w:rPr>
                <w:rFonts w:hint="eastAsia" w:ascii="Times New Roman" w:hAnsi="Times New Roman" w:eastAsia="宋体" w:cs="Times New Roman"/>
                <w:b w:val="0"/>
                <w:color w:val="auto"/>
                <w:kern w:val="0"/>
                <w:sz w:val="24"/>
                <w:szCs w:val="24"/>
                <w:lang w:val="en-US" w:eastAsia="zh-CN" w:bidi="ar"/>
              </w:rPr>
              <w:t>、限制类</w:t>
            </w:r>
            <w:r>
              <w:rPr>
                <w:rFonts w:hint="default" w:ascii="Times New Roman" w:hAnsi="Times New Roman" w:eastAsia="宋体" w:cs="Times New Roman"/>
                <w:b w:val="0"/>
                <w:color w:val="auto"/>
                <w:kern w:val="0"/>
                <w:sz w:val="24"/>
                <w:szCs w:val="24"/>
                <w:lang w:val="en-US" w:eastAsia="zh-CN" w:bidi="ar"/>
              </w:rPr>
              <w:t>和鼓励类项目，属于允许类项目。项目生产设备、工艺、产品等也均未列入《产业结构调整指导目录（2019年本）》（2021修改）</w:t>
            </w:r>
            <w:r>
              <w:rPr>
                <w:rFonts w:hint="eastAsia" w:ascii="Times New Roman" w:hAnsi="Times New Roman" w:eastAsia="宋体" w:cs="Times New Roman"/>
                <w:b w:val="0"/>
                <w:color w:val="auto"/>
                <w:kern w:val="0"/>
                <w:sz w:val="24"/>
                <w:szCs w:val="24"/>
                <w:lang w:val="en-US" w:eastAsia="zh-CN" w:bidi="ar"/>
              </w:rPr>
              <w:t>和</w:t>
            </w:r>
            <w:r>
              <w:rPr>
                <w:rFonts w:hint="default" w:ascii="Times New Roman" w:hAnsi="Times New Roman" w:eastAsia="宋体" w:cs="Times New Roman"/>
                <w:b w:val="0"/>
                <w:color w:val="auto"/>
                <w:kern w:val="0"/>
                <w:sz w:val="24"/>
                <w:szCs w:val="24"/>
                <w:lang w:val="en-US" w:eastAsia="zh-CN" w:bidi="ar"/>
              </w:rPr>
              <w:t>中华人民共和国工业和信息化部制定的《部分工业行业淘汰落后生产工艺装备和产品指导目录（2010年本）》。因此本项目符合国家和当地的相关产业政策。</w:t>
            </w:r>
          </w:p>
          <w:p>
            <w:pPr>
              <w:spacing w:line="360" w:lineRule="auto"/>
              <w:ind w:firstLine="482" w:firstLineChars="200"/>
              <w:rPr>
                <w:b/>
                <w:color w:val="auto"/>
                <w:sz w:val="24"/>
                <w:szCs w:val="24"/>
              </w:rPr>
            </w:pPr>
            <w:r>
              <w:rPr>
                <w:b/>
                <w:color w:val="auto"/>
                <w:sz w:val="24"/>
                <w:szCs w:val="24"/>
              </w:rPr>
              <w:t>1.</w:t>
            </w:r>
            <w:r>
              <w:rPr>
                <w:rFonts w:hint="eastAsia"/>
                <w:b/>
                <w:color w:val="auto"/>
                <w:sz w:val="24"/>
                <w:szCs w:val="24"/>
                <w:lang w:val="en-US" w:eastAsia="zh-CN"/>
              </w:rPr>
              <w:t>2</w:t>
            </w:r>
            <w:r>
              <w:rPr>
                <w:b/>
                <w:color w:val="auto"/>
                <w:sz w:val="24"/>
                <w:szCs w:val="24"/>
              </w:rPr>
              <w:t>、“三线一单”符合性分析</w:t>
            </w:r>
          </w:p>
          <w:p>
            <w:pPr>
              <w:pStyle w:val="7"/>
              <w:ind w:firstLine="420"/>
              <w:rPr>
                <w:b w:val="0"/>
                <w:color w:val="auto"/>
                <w:sz w:val="24"/>
                <w:szCs w:val="24"/>
              </w:rPr>
            </w:pPr>
            <w:r>
              <w:rPr>
                <w:b w:val="0"/>
                <w:color w:val="auto"/>
                <w:sz w:val="24"/>
                <w:szCs w:val="24"/>
              </w:rPr>
              <w:t>根据《邵阳市人民政府关于实施“三线一单”生态环境分区管控的意见》（邵市政发[2020]10号），项目所在地为重点管控单元，环境管控单元编码为ZH</w:t>
            </w:r>
            <w:r>
              <w:rPr>
                <w:rFonts w:hint="eastAsia"/>
                <w:b w:val="0"/>
                <w:color w:val="auto"/>
                <w:sz w:val="24"/>
                <w:szCs w:val="24"/>
              </w:rPr>
              <w:t>43052130002</w:t>
            </w:r>
            <w:r>
              <w:rPr>
                <w:b w:val="0"/>
                <w:color w:val="auto"/>
                <w:sz w:val="24"/>
                <w:szCs w:val="24"/>
              </w:rPr>
              <w:t>，项目与环境管控单元管控要求相符性如下表所示：</w:t>
            </w:r>
          </w:p>
          <w:p>
            <w:pPr>
              <w:jc w:val="center"/>
              <w:rPr>
                <w:b/>
                <w:color w:val="auto"/>
              </w:rPr>
            </w:pPr>
            <w:r>
              <w:rPr>
                <w:b/>
                <w:color w:val="auto"/>
              </w:rPr>
              <w:t>表1-</w:t>
            </w:r>
            <w:r>
              <w:rPr>
                <w:rFonts w:hint="eastAsia"/>
                <w:b/>
                <w:color w:val="auto"/>
                <w:lang w:val="en-US" w:eastAsia="zh-CN"/>
              </w:rPr>
              <w:t>2</w:t>
            </w:r>
            <w:r>
              <w:rPr>
                <w:b/>
                <w:color w:val="auto"/>
              </w:rPr>
              <w:t xml:space="preserve"> 与环境管控单元相符性</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530"/>
              <w:gridCol w:w="1779"/>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2" w:type="pct"/>
                  <w:gridSpan w:val="2"/>
                  <w:noWrap w:val="0"/>
                  <w:vAlign w:val="center"/>
                </w:tcPr>
                <w:p>
                  <w:pPr>
                    <w:pStyle w:val="73"/>
                    <w:rPr>
                      <w:color w:val="auto"/>
                      <w:sz w:val="21"/>
                      <w:szCs w:val="21"/>
                      <w:lang w:val="en-US" w:eastAsia="zh-CN"/>
                    </w:rPr>
                  </w:pPr>
                  <w:r>
                    <w:rPr>
                      <w:color w:val="auto"/>
                      <w:sz w:val="21"/>
                      <w:szCs w:val="21"/>
                      <w:lang w:val="en-US" w:eastAsia="zh-CN"/>
                    </w:rPr>
                    <w:t>与项目有关的管控要求</w:t>
                  </w:r>
                </w:p>
              </w:tc>
              <w:tc>
                <w:tcPr>
                  <w:tcW w:w="1338" w:type="pct"/>
                  <w:noWrap w:val="0"/>
                  <w:vAlign w:val="center"/>
                </w:tcPr>
                <w:p>
                  <w:pPr>
                    <w:pStyle w:val="73"/>
                    <w:ind w:left="0" w:leftChars="0" w:right="-86" w:rightChars="0" w:firstLine="210" w:firstLineChars="100"/>
                    <w:jc w:val="center"/>
                    <w:rPr>
                      <w:rFonts w:cs="Times New Roman"/>
                      <w:color w:val="auto"/>
                      <w:sz w:val="21"/>
                      <w:szCs w:val="21"/>
                      <w:lang w:val="en-US" w:eastAsia="zh-CN"/>
                    </w:rPr>
                  </w:pPr>
                  <w:r>
                    <w:rPr>
                      <w:rFonts w:cs="Times New Roman"/>
                      <w:color w:val="auto"/>
                      <w:sz w:val="21"/>
                      <w:szCs w:val="21"/>
                      <w:lang w:val="en-US" w:eastAsia="zh-CN"/>
                    </w:rPr>
                    <w:t>本项目概况</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noWrap w:val="0"/>
                  <w:vAlign w:val="center"/>
                </w:tcPr>
                <w:p>
                  <w:pPr>
                    <w:pStyle w:val="73"/>
                    <w:rPr>
                      <w:color w:val="auto"/>
                      <w:sz w:val="21"/>
                      <w:szCs w:val="21"/>
                      <w:lang w:val="en-US" w:eastAsia="zh-CN"/>
                    </w:rPr>
                  </w:pPr>
                  <w:r>
                    <w:rPr>
                      <w:color w:val="auto"/>
                      <w:sz w:val="21"/>
                      <w:szCs w:val="21"/>
                      <w:lang w:val="en-US" w:eastAsia="zh-CN"/>
                    </w:rPr>
                    <w:t>空间布局约束</w:t>
                  </w: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color w:val="auto"/>
                      <w:sz w:val="21"/>
                      <w:szCs w:val="21"/>
                      <w:lang w:val="en-US" w:eastAsia="zh-CN"/>
                    </w:rPr>
                    <w:t>（1.1）城区内10蒸吨/小时以下的工业锅炉、高污染燃料禁燃区内的工业锅炉必须要求使用清洁能源。当城市燃气供应不能满足需求时，可以过渡使用</w:t>
                  </w:r>
                  <w:r>
                    <w:rPr>
                      <w:rFonts w:hint="eastAsia"/>
                      <w:color w:val="auto"/>
                      <w:sz w:val="21"/>
                      <w:szCs w:val="21"/>
                      <w:lang w:val="en-US" w:eastAsia="zh-CN"/>
                    </w:rPr>
                    <w:t>生物质成型颗粒</w:t>
                  </w:r>
                  <w:r>
                    <w:rPr>
                      <w:color w:val="auto"/>
                      <w:sz w:val="21"/>
                      <w:szCs w:val="21"/>
                      <w:lang w:val="en-US" w:eastAsia="zh-CN"/>
                    </w:rPr>
                    <w:t>、柴油等非高污染物燃料</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cs="Times New Roman"/>
                      <w:color w:val="auto"/>
                      <w:sz w:val="21"/>
                      <w:szCs w:val="21"/>
                      <w:lang w:val="en-US" w:eastAsia="zh-CN"/>
                    </w:rPr>
                  </w:pPr>
                  <w:r>
                    <w:rPr>
                      <w:rFonts w:cs="Times New Roman"/>
                      <w:color w:val="auto"/>
                      <w:sz w:val="21"/>
                      <w:szCs w:val="21"/>
                      <w:lang w:val="en-US" w:eastAsia="zh-CN"/>
                    </w:rPr>
                    <w:t>本项目不设置锅炉</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center"/>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（1.2）经风险评估对人体健康有严重影响的被污染场地，未经治理修复或者治理修复不符合相关标准的，不得用于居民住宅、学校、幼儿园、医院、养老场所等项目开发；</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cs="Times New Roman"/>
                      <w:color w:val="auto"/>
                      <w:sz w:val="21"/>
                      <w:szCs w:val="21"/>
                      <w:lang w:val="en-US" w:eastAsia="zh-CN"/>
                    </w:rPr>
                  </w:pPr>
                  <w:r>
                    <w:rPr>
                      <w:rFonts w:cs="Times New Roman"/>
                      <w:color w:val="auto"/>
                      <w:sz w:val="21"/>
                      <w:szCs w:val="21"/>
                      <w:lang w:val="en-US" w:eastAsia="zh-CN"/>
                    </w:rPr>
                    <w:t>本项目</w:t>
                  </w:r>
                  <w:r>
                    <w:rPr>
                      <w:rFonts w:hint="eastAsia" w:cs="Times New Roman"/>
                      <w:color w:val="auto"/>
                      <w:sz w:val="21"/>
                      <w:szCs w:val="21"/>
                      <w:lang w:val="en-US" w:eastAsia="zh-CN"/>
                    </w:rPr>
                    <w:t>不使用</w:t>
                  </w:r>
                  <w:r>
                    <w:rPr>
                      <w:rFonts w:hint="eastAsia"/>
                      <w:color w:val="auto"/>
                      <w:sz w:val="21"/>
                      <w:szCs w:val="21"/>
                      <w:lang w:val="en-US" w:eastAsia="zh-CN"/>
                    </w:rPr>
                    <w:t>经风险评估对人体健康有严重影响的被污染场地</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center"/>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（1.3）在生态保护红线区域、饮用水源保护区等保护区以外的区域，在满足区域环境质量要求、污染物实现达标排放以及不超总量的前提下，可开发符合国家产业政策的项目。</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cs="Times New Roman"/>
                      <w:color w:val="auto"/>
                      <w:sz w:val="21"/>
                      <w:szCs w:val="21"/>
                      <w:lang w:val="en-US" w:eastAsia="zh-CN"/>
                    </w:rPr>
                    <w:t>本项目</w:t>
                  </w:r>
                  <w:r>
                    <w:rPr>
                      <w:rFonts w:hint="eastAsia" w:cs="Times New Roman"/>
                      <w:color w:val="auto"/>
                      <w:sz w:val="21"/>
                      <w:szCs w:val="21"/>
                      <w:lang w:val="en-US" w:eastAsia="zh-CN"/>
                    </w:rPr>
                    <w:t>不涉及生态保护红线区域、饮用水源保护区等保护区</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center"/>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（1.4）执行市级空间布局约束相关要求，重点关注红线/大气环境受体敏感重点管控区。</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cs="Times New Roman"/>
                      <w:color w:val="auto"/>
                      <w:sz w:val="21"/>
                      <w:szCs w:val="21"/>
                      <w:lang w:val="en-US" w:eastAsia="zh-CN"/>
                    </w:rPr>
                    <w:t>本项目</w:t>
                  </w:r>
                  <w:r>
                    <w:rPr>
                      <w:rFonts w:hint="eastAsia" w:cs="Times New Roman"/>
                      <w:color w:val="auto"/>
                      <w:sz w:val="21"/>
                      <w:szCs w:val="21"/>
                      <w:lang w:val="en-US" w:eastAsia="zh-CN"/>
                    </w:rPr>
                    <w:t>位于农村地区，不属于红线/大气环境受体敏感重点管控区</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top"/>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color w:val="auto"/>
                      <w:sz w:val="21"/>
                      <w:szCs w:val="21"/>
                      <w:lang w:val="en-US" w:eastAsia="zh-CN"/>
                    </w:rPr>
                    <w:t>（1.5）严禁渣土车带泥上路和抛撒漏，划定渣土车禁行路线，设立禁行标志，加强对环境敏感目标保护，严禁建成区以外工地渣土车进入城内道路。严禁民用车辆（非渣土公司车辆）装运渣土。渣土车离开工地前必须将轮胎、车身冲洗干净，渣土必须密封或覆盖运输</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cs="Times New Roman"/>
                      <w:color w:val="auto"/>
                      <w:sz w:val="21"/>
                      <w:szCs w:val="21"/>
                      <w:lang w:val="en-US" w:eastAsia="zh-CN"/>
                    </w:rPr>
                  </w:pPr>
                  <w:r>
                    <w:rPr>
                      <w:rFonts w:cs="Times New Roman"/>
                      <w:color w:val="auto"/>
                      <w:sz w:val="21"/>
                      <w:szCs w:val="21"/>
                      <w:lang w:val="en-US" w:eastAsia="zh-CN"/>
                    </w:rPr>
                    <w:t>本项目在现有车间内进行设备安装、调试，不涉及土建工程，无需外运渣土</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top"/>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color w:val="auto"/>
                      <w:sz w:val="21"/>
                      <w:szCs w:val="21"/>
                      <w:lang w:val="en-US" w:eastAsia="zh-CN"/>
                    </w:rPr>
                    <w:t>（1.6）禁止在城市规划区域内新改扩建燃煤型锅炉、砖瓦窑炉等设施，城市周边区域严格控制审批新的涉气污染企业</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cs="Times New Roman"/>
                      <w:color w:val="auto"/>
                      <w:sz w:val="21"/>
                      <w:szCs w:val="21"/>
                      <w:lang w:val="en-US" w:eastAsia="zh-CN"/>
                    </w:rPr>
                  </w:pPr>
                  <w:r>
                    <w:rPr>
                      <w:rFonts w:cs="Times New Roman"/>
                      <w:color w:val="auto"/>
                      <w:sz w:val="21"/>
                      <w:szCs w:val="21"/>
                      <w:lang w:val="en-US" w:eastAsia="zh-CN"/>
                    </w:rPr>
                    <w:t>本项目位于</w:t>
                  </w:r>
                  <w:r>
                    <w:rPr>
                      <w:rFonts w:hint="eastAsia" w:cs="Times New Roman"/>
                      <w:color w:val="auto"/>
                      <w:sz w:val="21"/>
                      <w:szCs w:val="21"/>
                      <w:lang w:val="en-US" w:eastAsia="zh-CN"/>
                    </w:rPr>
                    <w:t>廉桥镇兔子坪村</w:t>
                  </w:r>
                  <w:r>
                    <w:rPr>
                      <w:rFonts w:cs="Times New Roman"/>
                      <w:color w:val="auto"/>
                      <w:sz w:val="21"/>
                      <w:szCs w:val="21"/>
                      <w:lang w:val="en-US" w:eastAsia="zh-CN"/>
                    </w:rPr>
                    <w:t>，非城市规划区域，项目不设锅炉、窑炉等设备</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noWrap w:val="0"/>
                  <w:vAlign w:val="center"/>
                </w:tcPr>
                <w:p>
                  <w:pPr>
                    <w:pStyle w:val="73"/>
                    <w:rPr>
                      <w:color w:val="auto"/>
                      <w:sz w:val="21"/>
                      <w:szCs w:val="21"/>
                      <w:lang w:val="en-US" w:eastAsia="zh-CN"/>
                    </w:rPr>
                  </w:pPr>
                  <w:r>
                    <w:rPr>
                      <w:color w:val="auto"/>
                      <w:sz w:val="21"/>
                      <w:szCs w:val="21"/>
                      <w:lang w:val="en-US" w:eastAsia="zh-CN"/>
                    </w:rPr>
                    <w:t>污染物排放管控</w:t>
                  </w: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color w:val="auto"/>
                      <w:sz w:val="21"/>
                      <w:szCs w:val="21"/>
                      <w:lang w:val="en-US" w:eastAsia="zh-CN"/>
                    </w:rPr>
                    <w:t>（2.1）加强企业监管，确保污染物达标排放</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cs="Times New Roman"/>
                      <w:color w:val="auto"/>
                      <w:sz w:val="21"/>
                      <w:szCs w:val="21"/>
                      <w:lang w:val="en-US" w:eastAsia="zh-CN"/>
                    </w:rPr>
                  </w:pPr>
                  <w:r>
                    <w:rPr>
                      <w:rFonts w:cs="Times New Roman"/>
                      <w:color w:val="auto"/>
                      <w:sz w:val="21"/>
                      <w:szCs w:val="21"/>
                      <w:lang w:val="en-US" w:eastAsia="zh-CN"/>
                    </w:rPr>
                    <w:t>本项目各污染物经处理达到相应排放标准后排放</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center"/>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（2.2）推进农村综合环境整治，改善人居环境。</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本项目污染物达标排放，对周边环境影响较小。</w:t>
                  </w:r>
                </w:p>
              </w:tc>
              <w:tc>
                <w:tcPr>
                  <w:tcW w:w="579" w:type="pct"/>
                  <w:noWrap w:val="0"/>
                  <w:vAlign w:val="center"/>
                </w:tcPr>
                <w:p>
                  <w:pPr>
                    <w:ind w:left="0" w:leftChars="0" w:right="-86" w:rightChars="0" w:firstLine="0" w:firstLineChars="0"/>
                    <w:jc w:val="center"/>
                    <w:rPr>
                      <w:rFonts w:ascii="仿宋_GB2312" w:hAnsi="Arial Black" w:eastAsia="仿宋_GB2312" w:cs="Times New Roman"/>
                      <w:color w:val="auto"/>
                      <w:kern w:val="44"/>
                      <w:sz w:val="21"/>
                      <w:szCs w:val="21"/>
                      <w:lang w:val="en-US" w:eastAsia="zh-CN" w:bidi="ar-SA"/>
                    </w:rPr>
                  </w:pPr>
                  <w:r>
                    <w:rPr>
                      <w:rFonts w:ascii="仿宋_GB2312" w:hAnsi="Arial Black" w:eastAsia="仿宋_GB2312" w:cs="Times New Roman"/>
                      <w:color w:val="auto"/>
                      <w:kern w:val="44"/>
                      <w:sz w:val="21"/>
                      <w:szCs w:val="21"/>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center"/>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（2.3）加快推进养殖业粪污综合利用。</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579" w:type="pct"/>
                  <w:noWrap w:val="0"/>
                  <w:vAlign w:val="center"/>
                </w:tcPr>
                <w:p>
                  <w:pPr>
                    <w:ind w:left="0" w:leftChars="0" w:right="-86" w:rightChars="0" w:firstLine="0" w:firstLineChars="0"/>
                    <w:jc w:val="center"/>
                    <w:rPr>
                      <w:rFonts w:ascii="仿宋_GB2312" w:hAnsi="Arial Black" w:eastAsia="仿宋_GB2312" w:cs="Times New Roman"/>
                      <w:color w:val="auto"/>
                      <w:kern w:val="44"/>
                      <w:sz w:val="21"/>
                      <w:szCs w:val="21"/>
                      <w:lang w:val="en-US" w:eastAsia="zh-CN" w:bidi="ar-SA"/>
                    </w:rPr>
                  </w:pPr>
                  <w:r>
                    <w:rPr>
                      <w:rFonts w:ascii="仿宋_GB2312" w:hAnsi="Arial Black" w:eastAsia="仿宋_GB2312" w:cs="Times New Roman"/>
                      <w:color w:val="auto"/>
                      <w:kern w:val="44"/>
                      <w:sz w:val="21"/>
                      <w:szCs w:val="21"/>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center"/>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（2.4）提高城镇生活废水、垃圾的收集、处置效率。</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579" w:type="pct"/>
                  <w:noWrap w:val="0"/>
                  <w:vAlign w:val="center"/>
                </w:tcPr>
                <w:p>
                  <w:pPr>
                    <w:ind w:left="0" w:leftChars="0" w:right="-86" w:rightChars="0" w:firstLine="0" w:firstLineChars="0"/>
                    <w:jc w:val="center"/>
                    <w:rPr>
                      <w:rFonts w:ascii="仿宋_GB2312" w:hAnsi="Arial Black" w:eastAsia="仿宋_GB2312" w:cs="Times New Roman"/>
                      <w:color w:val="auto"/>
                      <w:kern w:val="44"/>
                      <w:sz w:val="21"/>
                      <w:szCs w:val="21"/>
                      <w:lang w:val="en-US" w:eastAsia="zh-CN" w:bidi="ar-SA"/>
                    </w:rPr>
                  </w:pPr>
                  <w:r>
                    <w:rPr>
                      <w:rFonts w:ascii="仿宋_GB2312" w:hAnsi="Arial Black" w:eastAsia="仿宋_GB2312" w:cs="Times New Roman"/>
                      <w:color w:val="auto"/>
                      <w:kern w:val="44"/>
                      <w:sz w:val="21"/>
                      <w:szCs w:val="21"/>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center"/>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（2.5）执行市级污染物排放管控相关要求，重点关注大气环境高排放重点管控区。</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cs="Times New Roman"/>
                      <w:color w:val="auto"/>
                      <w:sz w:val="21"/>
                      <w:szCs w:val="21"/>
                      <w:lang w:val="en-US" w:eastAsia="zh-CN"/>
                    </w:rPr>
                    <w:t>本项目</w:t>
                  </w:r>
                  <w:r>
                    <w:rPr>
                      <w:rFonts w:hint="eastAsia" w:cs="Times New Roman"/>
                      <w:color w:val="auto"/>
                      <w:sz w:val="21"/>
                      <w:szCs w:val="21"/>
                      <w:lang w:val="en-US" w:eastAsia="zh-CN"/>
                    </w:rPr>
                    <w:t>位于农村地区，不属于</w:t>
                  </w:r>
                  <w:r>
                    <w:rPr>
                      <w:rFonts w:hint="eastAsia"/>
                      <w:color w:val="auto"/>
                      <w:sz w:val="21"/>
                      <w:szCs w:val="21"/>
                      <w:lang w:val="en-US" w:eastAsia="zh-CN"/>
                    </w:rPr>
                    <w:t>大气环境高排放重点管控区</w:t>
                  </w:r>
                </w:p>
              </w:tc>
              <w:tc>
                <w:tcPr>
                  <w:tcW w:w="579" w:type="pct"/>
                  <w:noWrap w:val="0"/>
                  <w:vAlign w:val="center"/>
                </w:tcPr>
                <w:p>
                  <w:pPr>
                    <w:ind w:left="0" w:leftChars="0" w:right="-86" w:rightChars="0" w:firstLine="0" w:firstLineChars="0"/>
                    <w:jc w:val="center"/>
                    <w:rPr>
                      <w:rFonts w:ascii="仿宋_GB2312" w:hAnsi="Arial Black" w:eastAsia="仿宋_GB2312" w:cs="Times New Roman"/>
                      <w:color w:val="auto"/>
                      <w:kern w:val="44"/>
                      <w:sz w:val="21"/>
                      <w:szCs w:val="21"/>
                      <w:lang w:val="en-US" w:eastAsia="zh-CN" w:bidi="ar-SA"/>
                    </w:rPr>
                  </w:pPr>
                  <w:r>
                    <w:rPr>
                      <w:rFonts w:ascii="仿宋_GB2312" w:hAnsi="Arial Black" w:eastAsia="仿宋_GB2312" w:cs="Times New Roman"/>
                      <w:color w:val="auto"/>
                      <w:kern w:val="44"/>
                      <w:sz w:val="21"/>
                      <w:szCs w:val="21"/>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top"/>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color w:val="auto"/>
                      <w:sz w:val="21"/>
                      <w:szCs w:val="21"/>
                      <w:lang w:val="en-US" w:eastAsia="zh-CN"/>
                    </w:rPr>
                    <w:t>（2.6）城区20蒸吨以上燃煤锅炉要限期实施除尘、低氮改造，并安装在线监测设备。未安装烟气在线监测设备或未达到相关排放要求的一律依法停产整治。对城区工业企业锅炉、窑炉烟气不能达标排放和具备煤改气条件而不进行煤改气的企业一律限期整改，逾期未完成整改的停产；对已改用生物质锅炉但仍然偷偷使用燃煤和非成型生物质燃料的从严处罚</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cs="Times New Roman"/>
                      <w:color w:val="auto"/>
                      <w:sz w:val="21"/>
                      <w:szCs w:val="21"/>
                      <w:lang w:val="en-US" w:eastAsia="zh-CN"/>
                    </w:rPr>
                    <w:t>本项目不配套锅炉设备</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top"/>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rFonts w:hint="eastAsia"/>
                      <w:color w:val="auto"/>
                      <w:sz w:val="21"/>
                      <w:szCs w:val="21"/>
                      <w:lang w:val="en-US" w:eastAsia="zh-CN"/>
                    </w:rPr>
                  </w:pPr>
                  <w:r>
                    <w:rPr>
                      <w:rFonts w:hint="eastAsia"/>
                      <w:color w:val="auto"/>
                      <w:sz w:val="21"/>
                      <w:szCs w:val="21"/>
                      <w:lang w:val="en-US" w:eastAsia="zh-CN"/>
                    </w:rPr>
                    <w:t>（2.7）根据全县大气环境质量状况，统筹安排区域内水泥行业等涉气企业错峰生产。水泥、砖瓦窑、岩棉、石膏板等建材行业特护期停产50天以上；冶炼、化工等重点企业采取错峰生产、限产措施减少污染物排放20%以上，鼓励企业在此期间进行停产检修。同时建立巡查制度，确保错峰生产落实到位。</w:t>
                  </w:r>
                </w:p>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cs="Times New Roman"/>
                      <w:color w:val="auto"/>
                      <w:sz w:val="21"/>
                      <w:szCs w:val="21"/>
                      <w:lang w:val="en-US" w:eastAsia="zh-CN"/>
                    </w:rPr>
                  </w:pPr>
                  <w:r>
                    <w:rPr>
                      <w:rFonts w:hint="eastAsia"/>
                      <w:color w:val="auto"/>
                      <w:sz w:val="21"/>
                      <w:szCs w:val="21"/>
                      <w:lang w:val="en-US" w:eastAsia="zh-CN"/>
                    </w:rPr>
                    <w:t>本项目根据全县大气环境质量状况，根据蓝天指挥部的要求统筹安排企业错峰生产</w:t>
                  </w:r>
                </w:p>
              </w:tc>
              <w:tc>
                <w:tcPr>
                  <w:tcW w:w="579" w:type="pct"/>
                  <w:noWrap w:val="0"/>
                  <w:vAlign w:val="center"/>
                </w:tcPr>
                <w:p>
                  <w:pPr>
                    <w:ind w:left="0" w:leftChars="0" w:right="-86" w:rightChars="0" w:firstLine="0" w:firstLineChars="0"/>
                    <w:jc w:val="center"/>
                    <w:rPr>
                      <w:rFonts w:cs="Times New Roman"/>
                      <w:color w:val="auto"/>
                      <w:sz w:val="21"/>
                      <w:szCs w:val="21"/>
                      <w:lang w:val="en-US" w:eastAsia="zh-CN"/>
                    </w:rPr>
                  </w:pPr>
                  <w:r>
                    <w:rPr>
                      <w:rFonts w:ascii="仿宋_GB2312" w:hAnsi="Arial Black" w:eastAsia="仿宋_GB2312" w:cs="Times New Roman"/>
                      <w:color w:val="auto"/>
                      <w:kern w:val="44"/>
                      <w:sz w:val="21"/>
                      <w:szCs w:val="21"/>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top"/>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2.8）加大对砖瓦和其他严重污染大气的企业环境监管力度，严格执行大气污染物排放总量控制，未取得排污指标和排污许可证的砖瓦企业一律不准生产。凡污染治理设施不完善和虽有处理设施但烟气不能达标排放的，一律停产整治并处罚；对擅自停运烟气治理设施及偷排行为顶格处罚；所有砖瓦窑企业必须限期安装烟气在线监测设备，逾期未安装在线监测设备和不能达标排放的一律不准生产。</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hint="eastAsia"/>
                      <w:color w:val="auto"/>
                      <w:sz w:val="21"/>
                      <w:szCs w:val="21"/>
                      <w:lang w:val="en-US" w:eastAsia="zh-CN"/>
                    </w:rPr>
                    <w:t>本项目不属于砖瓦行业</w:t>
                  </w:r>
                </w:p>
              </w:tc>
              <w:tc>
                <w:tcPr>
                  <w:tcW w:w="579" w:type="pct"/>
                  <w:noWrap w:val="0"/>
                  <w:vAlign w:val="center"/>
                </w:tcPr>
                <w:p>
                  <w:pPr>
                    <w:ind w:left="0" w:leftChars="0" w:right="-86" w:rightChars="0" w:firstLine="0" w:firstLineChars="0"/>
                    <w:jc w:val="center"/>
                    <w:rPr>
                      <w:rFonts w:cs="Times New Roman"/>
                      <w:color w:val="auto"/>
                      <w:sz w:val="21"/>
                      <w:szCs w:val="21"/>
                      <w:lang w:val="en-US" w:eastAsia="zh-CN"/>
                    </w:rPr>
                  </w:pPr>
                  <w:r>
                    <w:rPr>
                      <w:rFonts w:ascii="仿宋_GB2312" w:hAnsi="Arial Black" w:eastAsia="仿宋_GB2312" w:cs="Times New Roman"/>
                      <w:color w:val="auto"/>
                      <w:kern w:val="44"/>
                      <w:sz w:val="21"/>
                      <w:szCs w:val="21"/>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noWrap w:val="0"/>
                  <w:vAlign w:val="center"/>
                </w:tcPr>
                <w:p>
                  <w:pPr>
                    <w:pStyle w:val="73"/>
                    <w:rPr>
                      <w:color w:val="auto"/>
                      <w:sz w:val="21"/>
                      <w:szCs w:val="21"/>
                      <w:lang w:val="en-US" w:eastAsia="zh-CN"/>
                    </w:rPr>
                  </w:pPr>
                  <w:r>
                    <w:rPr>
                      <w:color w:val="auto"/>
                      <w:sz w:val="21"/>
                      <w:szCs w:val="21"/>
                      <w:lang w:val="en-US" w:eastAsia="zh-CN"/>
                    </w:rPr>
                    <w:t>环境风险防控</w:t>
                  </w: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color w:val="auto"/>
                      <w:sz w:val="21"/>
                      <w:szCs w:val="21"/>
                      <w:lang w:val="en-US" w:eastAsia="zh-CN"/>
                    </w:rPr>
                    <w:t>（3.1）加强企业危险废物监管</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cs="Times New Roman"/>
                      <w:color w:val="auto"/>
                      <w:sz w:val="21"/>
                      <w:szCs w:val="21"/>
                      <w:lang w:val="en-US" w:eastAsia="zh-CN"/>
                    </w:rPr>
                  </w:pPr>
                  <w:r>
                    <w:rPr>
                      <w:rFonts w:cs="Times New Roman"/>
                      <w:color w:val="auto"/>
                      <w:sz w:val="21"/>
                      <w:szCs w:val="21"/>
                      <w:lang w:val="en-US" w:eastAsia="zh-CN"/>
                    </w:rPr>
                    <w:t>本项目危险废物存储、运输、处理等过程均按相关规定执行</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center"/>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（3.2）加快推进历史遗留煤矿综合治理、工业污染地块整治。</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579" w:type="pct"/>
                  <w:noWrap w:val="0"/>
                  <w:vAlign w:val="center"/>
                </w:tcPr>
                <w:p>
                  <w:pPr>
                    <w:ind w:left="0" w:leftChars="0" w:right="-86" w:rightChars="0" w:firstLine="0" w:firstLineChars="0"/>
                    <w:jc w:val="center"/>
                    <w:rPr>
                      <w:rFonts w:cs="Times New Roman"/>
                      <w:color w:val="auto"/>
                      <w:sz w:val="21"/>
                      <w:szCs w:val="21"/>
                      <w:lang w:val="en-US" w:eastAsia="zh-CN"/>
                    </w:rPr>
                  </w:pPr>
                  <w:r>
                    <w:rPr>
                      <w:rFonts w:ascii="仿宋_GB2312" w:hAnsi="Arial Black" w:eastAsia="仿宋_GB2312" w:cs="Times New Roman"/>
                      <w:color w:val="auto"/>
                      <w:kern w:val="44"/>
                      <w:sz w:val="21"/>
                      <w:szCs w:val="21"/>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center"/>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（3.3）执行市级环境风险防控相关要求，重点关注农用地污染风险重点管控区/农用地优先保护区/土壤污染风险一般管控区。</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cs="Times New Roman"/>
                      <w:color w:val="auto"/>
                      <w:sz w:val="21"/>
                      <w:szCs w:val="21"/>
                      <w:lang w:val="en-US" w:eastAsia="zh-CN"/>
                    </w:rPr>
                    <w:t>本项目位于</w:t>
                  </w:r>
                  <w:r>
                    <w:rPr>
                      <w:rFonts w:hint="eastAsia" w:cs="Times New Roman"/>
                      <w:color w:val="auto"/>
                      <w:sz w:val="21"/>
                      <w:szCs w:val="21"/>
                      <w:lang w:val="en-US" w:eastAsia="zh-CN"/>
                    </w:rPr>
                    <w:t>廉桥镇兔子坪村</w:t>
                  </w:r>
                  <w:r>
                    <w:rPr>
                      <w:rFonts w:cs="Times New Roman"/>
                      <w:color w:val="auto"/>
                      <w:sz w:val="21"/>
                      <w:szCs w:val="21"/>
                      <w:lang w:val="en-US" w:eastAsia="zh-CN"/>
                    </w:rPr>
                    <w:t>内，所在地为非农用地、非土壤重点管控区，本项目厂区已硬底化，运营过程中主要大气污染物为有机废气、一般工业固体废物、危险废物，有机废气经收集处理后达标排放，一般工业固体废物交有关单位处理，危险废物交资质单位处理，不会对土壤造成不良影响</w:t>
                  </w:r>
                </w:p>
              </w:tc>
              <w:tc>
                <w:tcPr>
                  <w:tcW w:w="579" w:type="pct"/>
                  <w:noWrap w:val="0"/>
                  <w:vAlign w:val="center"/>
                </w:tcPr>
                <w:p>
                  <w:pPr>
                    <w:ind w:left="0" w:leftChars="0" w:right="-86" w:rightChars="0" w:firstLine="0" w:firstLineChars="0"/>
                    <w:jc w:val="center"/>
                    <w:rPr>
                      <w:rFonts w:cs="Times New Roman"/>
                      <w:color w:val="auto"/>
                      <w:sz w:val="21"/>
                      <w:szCs w:val="21"/>
                      <w:lang w:val="en-US" w:eastAsia="zh-CN"/>
                    </w:rPr>
                  </w:pPr>
                  <w:r>
                    <w:rPr>
                      <w:rFonts w:ascii="仿宋_GB2312" w:hAnsi="Arial Black" w:eastAsia="仿宋_GB2312" w:cs="Times New Roman"/>
                      <w:color w:val="auto"/>
                      <w:kern w:val="44"/>
                      <w:sz w:val="21"/>
                      <w:szCs w:val="21"/>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top"/>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（3.4）县城城区在禁炮区范围内，任何单位和个人不得经营、储存、运输和燃放烟花爆竹。</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cs="Times New Roman"/>
                      <w:color w:val="auto"/>
                      <w:sz w:val="21"/>
                      <w:szCs w:val="21"/>
                      <w:lang w:val="en-US" w:eastAsia="zh-CN"/>
                    </w:rPr>
                  </w:pPr>
                  <w:r>
                    <w:rPr>
                      <w:rFonts w:hint="eastAsia" w:cs="Times New Roman"/>
                      <w:color w:val="auto"/>
                      <w:sz w:val="21"/>
                      <w:szCs w:val="21"/>
                      <w:lang w:val="en-US" w:eastAsia="zh-CN"/>
                    </w:rPr>
                    <w:t>/</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noWrap w:val="0"/>
                  <w:vAlign w:val="top"/>
                </w:tcPr>
                <w:p>
                  <w:pPr>
                    <w:pStyle w:val="73"/>
                    <w:rPr>
                      <w:color w:val="auto"/>
                      <w:sz w:val="21"/>
                      <w:szCs w:val="21"/>
                      <w:lang w:val="en-US" w:eastAsia="zh-CN"/>
                    </w:rPr>
                  </w:pPr>
                  <w:r>
                    <w:rPr>
                      <w:color w:val="auto"/>
                      <w:sz w:val="21"/>
                      <w:szCs w:val="21"/>
                      <w:lang w:val="en-US" w:eastAsia="zh-CN"/>
                    </w:rPr>
                    <w:t>资源开发效率要求</w:t>
                  </w: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color w:val="auto"/>
                      <w:sz w:val="21"/>
                      <w:szCs w:val="21"/>
                      <w:lang w:val="en-US" w:eastAsia="zh-CN"/>
                    </w:rPr>
                    <w:t>（4.1）鼓励企业提供废水、余热利用效率</w:t>
                  </w:r>
                  <w:r>
                    <w:rPr>
                      <w:rFonts w:hint="eastAsia"/>
                      <w:color w:val="auto"/>
                      <w:sz w:val="21"/>
                      <w:szCs w:val="21"/>
                      <w:lang w:val="en-US" w:eastAsia="zh-CN"/>
                    </w:rPr>
                    <w:t>。</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cs="Times New Roman"/>
                      <w:color w:val="auto"/>
                      <w:sz w:val="21"/>
                      <w:szCs w:val="21"/>
                      <w:lang w:val="en-US" w:eastAsia="zh-CN"/>
                    </w:rPr>
                    <w:t>本项目运营过程中生活污水经预处理后</w:t>
                  </w:r>
                  <w:r>
                    <w:rPr>
                      <w:rFonts w:hint="eastAsia" w:cs="Times New Roman"/>
                      <w:color w:val="auto"/>
                      <w:sz w:val="21"/>
                      <w:szCs w:val="21"/>
                      <w:lang w:val="en-US" w:eastAsia="zh-CN"/>
                    </w:rPr>
                    <w:t>用作农肥，冷却废水循环使用，不外排</w:t>
                  </w:r>
                </w:p>
              </w:tc>
              <w:tc>
                <w:tcPr>
                  <w:tcW w:w="579" w:type="pct"/>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top"/>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（4.2）推动污染地块的整治及合理开发。</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本项目不属于污染地块</w:t>
                  </w:r>
                </w:p>
              </w:tc>
              <w:tc>
                <w:tcPr>
                  <w:tcW w:w="770" w:type="dxa"/>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noWrap w:val="0"/>
                  <w:vAlign w:val="top"/>
                </w:tcPr>
                <w:p>
                  <w:pPr>
                    <w:pStyle w:val="73"/>
                    <w:rPr>
                      <w:color w:val="auto"/>
                      <w:sz w:val="21"/>
                      <w:szCs w:val="21"/>
                      <w:lang w:val="en-US" w:eastAsia="zh-CN"/>
                    </w:rPr>
                  </w:pPr>
                </w:p>
              </w:tc>
              <w:tc>
                <w:tcPr>
                  <w:tcW w:w="2655"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firstLine="0" w:firstLineChars="0"/>
                    <w:jc w:val="both"/>
                    <w:textAlignment w:val="auto"/>
                    <w:rPr>
                      <w:color w:val="auto"/>
                      <w:sz w:val="21"/>
                      <w:szCs w:val="21"/>
                      <w:lang w:val="en-US" w:eastAsia="zh-CN"/>
                    </w:rPr>
                  </w:pPr>
                  <w:r>
                    <w:rPr>
                      <w:rFonts w:hint="eastAsia"/>
                      <w:color w:val="auto"/>
                      <w:sz w:val="21"/>
                      <w:szCs w:val="21"/>
                      <w:lang w:val="en-US" w:eastAsia="zh-CN"/>
                    </w:rPr>
                    <w:t>（4.3）执行市级资源开发效率相关要求。</w:t>
                  </w:r>
                </w:p>
              </w:tc>
              <w:tc>
                <w:tcPr>
                  <w:tcW w:w="1338" w:type="pct"/>
                  <w:noWrap w:val="0"/>
                  <w:vAlign w:val="center"/>
                </w:tcPr>
                <w:p>
                  <w:pPr>
                    <w:pStyle w:val="73"/>
                    <w:keepNext w:val="0"/>
                    <w:keepLines w:val="0"/>
                    <w:pageBreakBefore w:val="0"/>
                    <w:widowControl/>
                    <w:kinsoku/>
                    <w:wordWrap/>
                    <w:overflowPunct/>
                    <w:topLinePunct w:val="0"/>
                    <w:autoSpaceDE/>
                    <w:autoSpaceDN/>
                    <w:bidi w:val="0"/>
                    <w:adjustRightInd w:val="0"/>
                    <w:snapToGrid w:val="0"/>
                    <w:spacing w:before="0" w:beforeLines="0" w:after="0" w:line="240" w:lineRule="auto"/>
                    <w:ind w:left="0" w:leftChars="0" w:right="-86" w:rightChars="0" w:firstLine="0" w:firstLineChars="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本项目不属于纺织印染、造纸、石化化工、制革等高耗水企业，生产用水循环使用。</w:t>
                  </w:r>
                </w:p>
              </w:tc>
              <w:tc>
                <w:tcPr>
                  <w:tcW w:w="770" w:type="dxa"/>
                  <w:noWrap w:val="0"/>
                  <w:vAlign w:val="center"/>
                </w:tcPr>
                <w:p>
                  <w:pPr>
                    <w:pStyle w:val="73"/>
                    <w:ind w:left="0" w:leftChars="0" w:right="-86" w:rightChars="0" w:firstLine="0" w:firstLineChars="0"/>
                    <w:jc w:val="center"/>
                    <w:rPr>
                      <w:rFonts w:cs="Times New Roman"/>
                      <w:color w:val="auto"/>
                      <w:sz w:val="21"/>
                      <w:szCs w:val="21"/>
                      <w:lang w:val="en-US" w:eastAsia="zh-CN"/>
                    </w:rPr>
                  </w:pPr>
                  <w:r>
                    <w:rPr>
                      <w:rFonts w:cs="Times New Roman"/>
                      <w:color w:val="auto"/>
                      <w:sz w:val="21"/>
                      <w:szCs w:val="21"/>
                      <w:lang w:val="en-US" w:eastAsia="zh-CN"/>
                    </w:rPr>
                    <w:t>相符</w:t>
                  </w:r>
                </w:p>
              </w:tc>
            </w:tr>
          </w:tbl>
          <w:p>
            <w:pPr>
              <w:pStyle w:val="73"/>
              <w:spacing w:line="360" w:lineRule="auto"/>
              <w:ind w:firstLine="480" w:firstLineChars="200"/>
              <w:jc w:val="both"/>
              <w:rPr>
                <w:color w:val="auto"/>
                <w:sz w:val="24"/>
                <w:szCs w:val="24"/>
                <w:lang w:val="en-US" w:eastAsia="zh-CN"/>
              </w:rPr>
            </w:pPr>
            <w:r>
              <w:rPr>
                <w:color w:val="auto"/>
                <w:sz w:val="24"/>
                <w:szCs w:val="24"/>
                <w:lang w:val="en-US" w:eastAsia="zh-CN"/>
              </w:rPr>
              <w:t>综上，本项目与《邵阳市人民政府关于实施“三线一单”生态环境分区管控的意见》（邵市政发[2020]10号）相关管控要求相符。</w:t>
            </w:r>
          </w:p>
          <w:p>
            <w:pPr>
              <w:spacing w:line="360" w:lineRule="auto"/>
              <w:ind w:firstLine="570"/>
              <w:rPr>
                <w:rFonts w:hint="default" w:ascii="Times New Roman" w:hAnsi="Times New Roman" w:cs="Times New Roman"/>
                <w:b w:val="0"/>
                <w:bCs/>
                <w:color w:val="auto"/>
                <w:sz w:val="24"/>
                <w:szCs w:val="24"/>
              </w:rPr>
            </w:pPr>
            <w:r>
              <w:rPr>
                <w:b/>
                <w:color w:val="auto"/>
                <w:sz w:val="24"/>
                <w:szCs w:val="24"/>
              </w:rPr>
              <w:t>1.</w:t>
            </w:r>
            <w:r>
              <w:rPr>
                <w:rFonts w:hint="eastAsia"/>
                <w:b/>
                <w:color w:val="auto"/>
                <w:sz w:val="24"/>
                <w:szCs w:val="24"/>
                <w:lang w:val="en-US" w:eastAsia="zh-CN"/>
              </w:rPr>
              <w:t>3</w:t>
            </w:r>
            <w:r>
              <w:rPr>
                <w:b/>
                <w:color w:val="auto"/>
                <w:sz w:val="24"/>
                <w:szCs w:val="24"/>
              </w:rPr>
              <w:t>、</w:t>
            </w:r>
            <w:r>
              <w:rPr>
                <w:rFonts w:hint="default" w:ascii="Times New Roman" w:hAnsi="Times New Roman" w:eastAsia="宋体" w:cs="Times New Roman"/>
                <w:b/>
                <w:color w:val="auto"/>
                <w:sz w:val="24"/>
                <w:szCs w:val="24"/>
              </w:rPr>
              <w:t>项目与《湖南省人民政府办公厅关于加快推进产业园区改革和创新发展的实施意见》（湘政办函[2018]15号）的符合性分析</w:t>
            </w:r>
          </w:p>
          <w:p>
            <w:pPr>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邵东市思逸包装有限公司</w:t>
            </w:r>
            <w:r>
              <w:rPr>
                <w:rFonts w:hint="default" w:ascii="Times New Roman" w:hAnsi="Times New Roman" w:cs="Times New Roman"/>
                <w:color w:val="auto"/>
                <w:sz w:val="24"/>
                <w:szCs w:val="24"/>
              </w:rPr>
              <w:t>厂址位于湖南省邵东市廉桥镇兔子坪村，</w:t>
            </w:r>
            <w:r>
              <w:rPr>
                <w:rFonts w:hint="eastAsia" w:ascii="Times New Roman" w:hAnsi="Times New Roman" w:cs="Times New Roman"/>
                <w:color w:val="auto"/>
                <w:sz w:val="24"/>
                <w:szCs w:val="24"/>
                <w:lang w:eastAsia="zh-CN"/>
              </w:rPr>
              <w:t>租赁湖南壹佰年科技发展有限公司现有厂房，</w:t>
            </w:r>
            <w:r>
              <w:rPr>
                <w:rFonts w:hint="eastAsia" w:ascii="Times New Roman" w:hAnsi="Times New Roman" w:cs="Times New Roman"/>
                <w:color w:val="auto"/>
                <w:sz w:val="24"/>
                <w:szCs w:val="24"/>
                <w:lang w:val="en-US" w:eastAsia="zh-CN"/>
              </w:rPr>
              <w:t>从事塑料包装袋</w:t>
            </w:r>
            <w:r>
              <w:rPr>
                <w:rFonts w:hint="default" w:ascii="Times New Roman" w:hAnsi="Times New Roman" w:cs="Times New Roman"/>
                <w:color w:val="auto"/>
                <w:sz w:val="24"/>
                <w:szCs w:val="24"/>
              </w:rPr>
              <w:t>的生产。20</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年5月</w:t>
            </w:r>
            <w:r>
              <w:rPr>
                <w:rFonts w:hint="eastAsia" w:ascii="Times New Roman" w:hAnsi="Times New Roman" w:cs="Times New Roman"/>
                <w:color w:val="auto"/>
                <w:sz w:val="24"/>
                <w:szCs w:val="24"/>
                <w:lang w:val="en-US" w:eastAsia="zh-CN"/>
              </w:rPr>
              <w:t>开始建设，2020年8月</w:t>
            </w:r>
            <w:r>
              <w:rPr>
                <w:rFonts w:hint="default" w:ascii="Times New Roman" w:hAnsi="Times New Roman" w:cs="Times New Roman"/>
                <w:color w:val="auto"/>
                <w:sz w:val="24"/>
                <w:szCs w:val="24"/>
              </w:rPr>
              <w:t>投产，但没有办理相关的环评审批手续，因此本项目属于未批先建项目，2021年12月邵阳市生态环境局邵东分局对本项目现场进行检查，发现本项目存在违法行为，违反《中华人民共和国环境影响评价法》（2018年修正本）第十六条第二款，第二十二条第一款、第二十五条的规定，并对其进行行政处罚，责令建设单位改正环境违法行为，办理相关环评审批手续。</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按照湘政办函[2018]15号和湘环发[2020]27号文件规定，新建工业项目须进入省级及以上园区，</w:t>
            </w:r>
            <w:r>
              <w:rPr>
                <w:rFonts w:hint="default" w:ascii="Times New Roman" w:hAnsi="Times New Roman" w:cs="Times New Roman"/>
                <w:color w:val="auto"/>
                <w:sz w:val="24"/>
                <w:szCs w:val="24"/>
                <w:lang w:eastAsia="zh-CN"/>
              </w:rPr>
              <w:t>本项目属于</w:t>
            </w:r>
            <w:r>
              <w:rPr>
                <w:rFonts w:hint="eastAsia" w:ascii="Times New Roman" w:hAnsi="Times New Roman" w:cs="Times New Roman"/>
                <w:color w:val="auto"/>
                <w:sz w:val="24"/>
                <w:szCs w:val="24"/>
                <w:lang w:val="en-US" w:eastAsia="zh-CN"/>
              </w:rPr>
              <w:t>老项目补办环评手续</w:t>
            </w:r>
            <w:r>
              <w:rPr>
                <w:rFonts w:hint="default" w:ascii="Times New Roman" w:hAnsi="Times New Roman" w:cs="Times New Roman"/>
                <w:color w:val="auto"/>
                <w:sz w:val="24"/>
                <w:szCs w:val="24"/>
                <w:lang w:eastAsia="zh-CN"/>
              </w:rPr>
              <w:t>，</w:t>
            </w:r>
            <w:r>
              <w:rPr>
                <w:rFonts w:hint="eastAsia" w:ascii="Times New Roman" w:hAnsi="Times New Roman" w:eastAsia="宋体" w:cs="Times New Roman"/>
                <w:color w:val="auto"/>
                <w:sz w:val="24"/>
                <w:szCs w:val="24"/>
              </w:rPr>
              <w:t>且根据《邵东市人民政府常务会议纪要》（[2020]第20次），“已开工建成项目按照过渡期暂不入园要求，予以办理环评审批手续”，本项目已建设完成，现阶段办理环评审批手续，因此项目的建设不违背湘政办函[2018]15号文件和湘环发[2020]27号文件的要求，属于《邵东市人民政府常务会议纪要》（[2020]第20次）文件中可办理环评审批手续的项目。</w:t>
            </w:r>
          </w:p>
          <w:p>
            <w:pPr>
              <w:spacing w:line="360" w:lineRule="auto"/>
              <w:rPr>
                <w:b/>
                <w:color w:val="auto"/>
                <w:sz w:val="24"/>
                <w:szCs w:val="24"/>
              </w:rPr>
            </w:pPr>
            <w:r>
              <w:rPr>
                <w:b/>
                <w:color w:val="auto"/>
                <w:sz w:val="24"/>
                <w:szCs w:val="24"/>
              </w:rPr>
              <w:t>1.</w:t>
            </w:r>
            <w:r>
              <w:rPr>
                <w:rFonts w:hint="eastAsia"/>
                <w:b/>
                <w:color w:val="auto"/>
                <w:sz w:val="24"/>
                <w:szCs w:val="24"/>
                <w:lang w:val="en-US" w:eastAsia="zh-CN"/>
              </w:rPr>
              <w:t>4</w:t>
            </w:r>
            <w:r>
              <w:rPr>
                <w:b/>
                <w:color w:val="auto"/>
                <w:sz w:val="24"/>
                <w:szCs w:val="24"/>
              </w:rPr>
              <w:t>与《关于进一步加强塑料污染治理的意见》</w:t>
            </w:r>
            <w:r>
              <w:rPr>
                <w:rFonts w:hint="eastAsia"/>
                <w:b/>
                <w:color w:val="auto"/>
                <w:sz w:val="24"/>
                <w:szCs w:val="24"/>
              </w:rPr>
              <w:t>符合性</w:t>
            </w:r>
            <w:r>
              <w:rPr>
                <w:b/>
                <w:color w:val="auto"/>
                <w:sz w:val="24"/>
                <w:szCs w:val="24"/>
              </w:rPr>
              <w:t>分析</w:t>
            </w:r>
          </w:p>
          <w:p>
            <w:pPr>
              <w:spacing w:line="360" w:lineRule="auto"/>
              <w:ind w:firstLine="480" w:firstLineChars="200"/>
              <w:rPr>
                <w:rFonts w:hint="eastAsia"/>
                <w:color w:val="auto"/>
                <w:sz w:val="24"/>
                <w:szCs w:val="24"/>
              </w:rPr>
            </w:pPr>
            <w:r>
              <w:rPr>
                <w:rFonts w:hint="eastAsia"/>
                <w:color w:val="auto"/>
                <w:sz w:val="24"/>
                <w:szCs w:val="24"/>
              </w:rPr>
              <w:t>根据</w:t>
            </w:r>
            <w:r>
              <w:rPr>
                <w:color w:val="auto"/>
                <w:sz w:val="24"/>
                <w:szCs w:val="24"/>
              </w:rPr>
              <w:t>《关于进一步加强塑料污染治理的意见》（发改环资〔2020〕80号）相关规定</w:t>
            </w:r>
            <w:r>
              <w:rPr>
                <w:rFonts w:hint="eastAsia"/>
                <w:color w:val="auto"/>
                <w:sz w:val="24"/>
                <w:szCs w:val="24"/>
              </w:rPr>
              <w:t>，（四）禁止生产、销售的塑料制品。禁止生产和销售厚度小于0.025毫米的超薄塑料购物袋、厚度小于0.01毫米的聚乙烯农用地膜。禁止以医疗废物为原料制造塑料制品。全面禁止废塑料进口。到2020年底，禁止生产和销售一次性发泡塑料餐具、一次性塑料棉签；禁止生产含塑料微珠的日化产品。到2022年底，禁止销售含塑料微珠的日化产品。（五）禁止、限制使用的塑料制品。1.不可降解塑料袋。2.一次性塑料餐具。3.宾馆、酒店一次性塑料用品。4.快递塑料包装</w:t>
            </w:r>
            <w:r>
              <w:rPr>
                <w:rFonts w:hint="eastAsia"/>
                <w:color w:val="auto"/>
                <w:sz w:val="24"/>
                <w:szCs w:val="24"/>
                <w:lang w:eastAsia="zh-CN"/>
              </w:rPr>
              <w:t>。</w:t>
            </w:r>
            <w:r>
              <w:rPr>
                <w:rFonts w:hint="eastAsia"/>
                <w:color w:val="auto"/>
                <w:sz w:val="24"/>
                <w:szCs w:val="24"/>
              </w:rPr>
              <w:t>到2022年底，北京、上海、江苏、浙江、福建、广东等省市的邮政快递网点，先行禁止使用不可降解的塑料包装袋、一次性塑料编织袋等，降低不可降解的塑料胶带使用量。到2025年底，全国范围邮政快递网点禁止使用不可降解的塑料包装袋、塑料胶带、一次性塑料编织袋等。</w:t>
            </w:r>
          </w:p>
          <w:p>
            <w:pPr>
              <w:spacing w:line="360" w:lineRule="auto"/>
              <w:ind w:firstLine="480" w:firstLineChars="200"/>
              <w:rPr>
                <w:color w:val="auto"/>
                <w:sz w:val="24"/>
                <w:szCs w:val="24"/>
              </w:rPr>
            </w:pPr>
            <w:r>
              <w:rPr>
                <w:rFonts w:hint="eastAsia"/>
                <w:color w:val="auto"/>
                <w:sz w:val="24"/>
                <w:szCs w:val="24"/>
              </w:rPr>
              <w:t>本项目产品为快递塑料包装，</w:t>
            </w:r>
            <w:r>
              <w:rPr>
                <w:rFonts w:hint="eastAsia"/>
                <w:color w:val="auto"/>
                <w:sz w:val="24"/>
                <w:szCs w:val="24"/>
                <w:lang w:val="en-US" w:eastAsia="zh-CN"/>
              </w:rPr>
              <w:t>在2025年底之前快递塑料包装在湖南省境内不属于禁止生产销售产品，到2025年底，采用可降解的塑料作为原料进行生产。</w:t>
            </w:r>
            <w:r>
              <w:rPr>
                <w:rFonts w:hint="eastAsia"/>
                <w:color w:val="auto"/>
                <w:sz w:val="24"/>
                <w:szCs w:val="24"/>
              </w:rPr>
              <w:t>因此符合</w:t>
            </w:r>
            <w:r>
              <w:rPr>
                <w:color w:val="auto"/>
                <w:sz w:val="24"/>
                <w:szCs w:val="24"/>
              </w:rPr>
              <w:t>《关于进一步加强塑料污染治理的意见》</w:t>
            </w:r>
            <w:r>
              <w:rPr>
                <w:rFonts w:hint="eastAsia"/>
                <w:color w:val="auto"/>
                <w:sz w:val="24"/>
                <w:szCs w:val="24"/>
              </w:rPr>
              <w:t>的要求</w:t>
            </w:r>
            <w:r>
              <w:rPr>
                <w:color w:val="auto"/>
                <w:sz w:val="24"/>
                <w:szCs w:val="24"/>
              </w:rPr>
              <w:t>。</w:t>
            </w:r>
          </w:p>
          <w:p>
            <w:pPr>
              <w:spacing w:line="360" w:lineRule="auto"/>
              <w:rPr>
                <w:b/>
                <w:color w:val="auto"/>
                <w:sz w:val="24"/>
                <w:szCs w:val="24"/>
              </w:rPr>
            </w:pPr>
            <w:r>
              <w:rPr>
                <w:b/>
                <w:color w:val="auto"/>
                <w:sz w:val="24"/>
                <w:szCs w:val="24"/>
              </w:rPr>
              <w:t>1.</w:t>
            </w:r>
            <w:r>
              <w:rPr>
                <w:rFonts w:hint="eastAsia"/>
                <w:b/>
                <w:color w:val="auto"/>
                <w:sz w:val="24"/>
                <w:szCs w:val="24"/>
                <w:lang w:val="en-US" w:eastAsia="zh-CN"/>
              </w:rPr>
              <w:t>5</w:t>
            </w:r>
            <w:r>
              <w:rPr>
                <w:b/>
                <w:color w:val="auto"/>
                <w:sz w:val="24"/>
                <w:szCs w:val="24"/>
              </w:rPr>
              <w:t>与《</w:t>
            </w:r>
            <w:r>
              <w:rPr>
                <w:rFonts w:hint="eastAsia"/>
                <w:b/>
                <w:color w:val="auto"/>
                <w:sz w:val="24"/>
                <w:szCs w:val="24"/>
              </w:rPr>
              <w:t>2020年挥发性有机物治理攻坚方案</w:t>
            </w:r>
            <w:r>
              <w:rPr>
                <w:b/>
                <w:color w:val="auto"/>
                <w:sz w:val="24"/>
                <w:szCs w:val="24"/>
              </w:rPr>
              <w:t>》</w:t>
            </w:r>
            <w:r>
              <w:rPr>
                <w:rFonts w:hint="eastAsia"/>
                <w:b/>
                <w:color w:val="auto"/>
                <w:sz w:val="24"/>
                <w:szCs w:val="24"/>
              </w:rPr>
              <w:t>符合性</w:t>
            </w:r>
            <w:r>
              <w:rPr>
                <w:b/>
                <w:color w:val="auto"/>
                <w:sz w:val="24"/>
                <w:szCs w:val="24"/>
              </w:rPr>
              <w:t>分析</w:t>
            </w:r>
          </w:p>
          <w:p>
            <w:pPr>
              <w:spacing w:line="360" w:lineRule="auto"/>
              <w:ind w:firstLine="480" w:firstLineChars="200"/>
              <w:rPr>
                <w:color w:val="auto"/>
                <w:sz w:val="24"/>
                <w:szCs w:val="24"/>
              </w:rPr>
            </w:pPr>
            <w:r>
              <w:rPr>
                <w:rFonts w:hint="eastAsia"/>
                <w:color w:val="auto"/>
                <w:sz w:val="24"/>
                <w:szCs w:val="24"/>
                <w:lang w:eastAsia="zh-CN"/>
              </w:rPr>
              <w:t>根据《2020年挥发性有机物治理攻坚方案》，全面落实标准要求，强化无组织排放控制：本项目加强含VOCs物料全方位、全链条、全环节密闭管理。储存环节采用密闭容器，装卸、转移和输送环节应采用密闭容器。聚焦治污设施“三率”，提升综合治理效率：按照“应收尽收”的原则提升废气收集率，本项目现有生产线产生的挥发性有机物未进行收集，</w:t>
            </w:r>
            <w:r>
              <w:rPr>
                <w:rFonts w:hint="eastAsia"/>
                <w:color w:val="auto"/>
                <w:sz w:val="24"/>
                <w:szCs w:val="24"/>
                <w:lang w:val="en-US" w:eastAsia="zh-CN"/>
              </w:rPr>
              <w:t>环评要求</w:t>
            </w:r>
            <w:r>
              <w:rPr>
                <w:rFonts w:hint="eastAsia"/>
                <w:color w:val="auto"/>
                <w:sz w:val="24"/>
                <w:szCs w:val="24"/>
                <w:lang w:eastAsia="zh-CN"/>
              </w:rPr>
              <w:t>对现有的挥发性有机物废气进行收集处理；除恶臭异味治理外，一般不采用低温等离子、光催化、光氧化等技术，本项目采用</w:t>
            </w:r>
            <w:r>
              <w:rPr>
                <w:rFonts w:hint="eastAsia"/>
                <w:color w:val="auto"/>
                <w:sz w:val="24"/>
                <w:szCs w:val="24"/>
                <w:lang w:val="en-US" w:eastAsia="zh-CN"/>
              </w:rPr>
              <w:t>活性炭吸附装置，提高处理效率；本项目加强生产车间密闭管理，在符合安全生产、职业卫生相关规定前提下，采用卷帘门、密闭性好的塑钢门窗等，在非必要时保持关闭。因此符合《2020年挥发性有机物治理攻坚方案》的要求。</w:t>
            </w:r>
          </w:p>
          <w:p>
            <w:pPr>
              <w:spacing w:line="360" w:lineRule="auto"/>
              <w:rPr>
                <w:b/>
                <w:color w:val="auto"/>
                <w:sz w:val="24"/>
                <w:szCs w:val="24"/>
              </w:rPr>
            </w:pPr>
            <w:r>
              <w:rPr>
                <w:b/>
                <w:color w:val="auto"/>
                <w:sz w:val="24"/>
                <w:szCs w:val="24"/>
              </w:rPr>
              <w:t>1.</w:t>
            </w:r>
            <w:r>
              <w:rPr>
                <w:rFonts w:hint="eastAsia"/>
                <w:b/>
                <w:color w:val="auto"/>
                <w:sz w:val="24"/>
                <w:szCs w:val="24"/>
                <w:lang w:val="en-US" w:eastAsia="zh-CN"/>
              </w:rPr>
              <w:t>6</w:t>
            </w:r>
            <w:r>
              <w:rPr>
                <w:b/>
                <w:color w:val="auto"/>
                <w:sz w:val="24"/>
                <w:szCs w:val="24"/>
              </w:rPr>
              <w:t>与《</w:t>
            </w:r>
            <w:r>
              <w:rPr>
                <w:rFonts w:hint="eastAsia"/>
                <w:b/>
                <w:color w:val="auto"/>
                <w:sz w:val="24"/>
                <w:szCs w:val="24"/>
              </w:rPr>
              <w:t>重点行业挥发性有机物综合治理方案》符合性</w:t>
            </w:r>
            <w:r>
              <w:rPr>
                <w:b/>
                <w:color w:val="auto"/>
                <w:sz w:val="24"/>
                <w:szCs w:val="24"/>
              </w:rPr>
              <w:t>分析</w:t>
            </w:r>
          </w:p>
          <w:p>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eastAsia="zh-CN"/>
              </w:rPr>
              <w:t>根据《重点行业挥发性有机物综合治理方案》石化、化工、工业涂装、包装印刷、油品储运销等行业为重点行业</w:t>
            </w:r>
            <w:r>
              <w:rPr>
                <w:color w:val="auto"/>
                <w:sz w:val="24"/>
                <w:szCs w:val="24"/>
              </w:rPr>
              <w:t>。</w:t>
            </w:r>
            <w:r>
              <w:rPr>
                <w:rFonts w:hint="eastAsia"/>
                <w:color w:val="auto"/>
                <w:sz w:val="24"/>
                <w:szCs w:val="24"/>
                <w:lang w:val="en-US" w:eastAsia="zh-CN"/>
              </w:rPr>
              <w:t>本项目不属于重点行业。</w:t>
            </w:r>
          </w:p>
          <w:p>
            <w:pPr>
              <w:spacing w:line="360" w:lineRule="auto"/>
              <w:rPr>
                <w:rFonts w:hint="default" w:ascii="Times New Roman" w:hAnsi="Times New Roman" w:eastAsia="宋体" w:cs="Times New Roman"/>
                <w:b/>
                <w:bCs/>
                <w:color w:val="auto"/>
                <w:sz w:val="24"/>
              </w:rPr>
            </w:pPr>
            <w:r>
              <w:rPr>
                <w:rFonts w:hint="eastAsia" w:eastAsia="宋体"/>
                <w:b/>
                <w:bCs/>
                <w:color w:val="auto"/>
                <w:sz w:val="24"/>
                <w:lang w:val="en-US" w:eastAsia="zh-CN"/>
              </w:rPr>
              <w:t>1.7</w:t>
            </w:r>
            <w:r>
              <w:rPr>
                <w:b/>
                <w:color w:val="auto"/>
                <w:sz w:val="24"/>
                <w:szCs w:val="24"/>
              </w:rPr>
              <w:t>选址合理性分析</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4"/>
                <w:szCs w:val="24"/>
                <w:u w:val="none"/>
                <w:lang w:val="en-US" w:eastAsia="zh-CN"/>
              </w:rPr>
              <w:t>本项目为塑料制品业项目，位于湖南省邵阳市</w:t>
            </w:r>
            <w:r>
              <w:rPr>
                <w:rFonts w:hint="default" w:ascii="Times New Roman" w:hAnsi="Times New Roman" w:cs="Times New Roman"/>
                <w:color w:val="auto"/>
                <w:sz w:val="24"/>
                <w:szCs w:val="24"/>
              </w:rPr>
              <w:t>邵东市廉桥镇兔子坪村</w:t>
            </w:r>
            <w:r>
              <w:rPr>
                <w:rFonts w:hint="eastAsia" w:ascii="Times New Roman" w:hAnsi="Times New Roman" w:eastAsia="宋体" w:cs="Times New Roman"/>
                <w:color w:val="auto"/>
                <w:sz w:val="24"/>
                <w:szCs w:val="24"/>
                <w:u w:val="none"/>
                <w:lang w:val="en-US" w:eastAsia="zh-CN"/>
              </w:rPr>
              <w:t>，但不属于</w:t>
            </w:r>
            <w:r>
              <w:rPr>
                <w:rFonts w:hint="default" w:ascii="Times New Roman" w:hAnsi="Times New Roman" w:cs="Times New Roman"/>
                <w:color w:val="auto"/>
                <w:sz w:val="24"/>
                <w:szCs w:val="24"/>
              </w:rPr>
              <w:t>邵东市廉桥镇</w:t>
            </w:r>
            <w:r>
              <w:rPr>
                <w:rFonts w:hint="eastAsia" w:ascii="Times New Roman" w:hAnsi="Times New Roman" w:cs="Times New Roman"/>
                <w:color w:val="auto"/>
                <w:sz w:val="24"/>
                <w:szCs w:val="24"/>
                <w:lang w:eastAsia="zh-CN"/>
              </w:rPr>
              <w:t>镇区规划范围。</w:t>
            </w:r>
            <w:r>
              <w:rPr>
                <w:rFonts w:hint="eastAsia" w:ascii="Times New Roman" w:hAnsi="Times New Roman" w:eastAsia="宋体" w:cs="Times New Roman"/>
                <w:color w:val="auto"/>
                <w:sz w:val="24"/>
                <w:szCs w:val="24"/>
                <w:u w:val="none"/>
                <w:lang w:val="en-US" w:eastAsia="zh-CN"/>
              </w:rPr>
              <w:t>该地块为现有工业厂房，故符合区域的用地规划。项目建设地与外界相通，交通方便，地理位置好。项目在采取有效的污染防治措施的前提下，项目产生的废气、废水、固废和噪声均能达标排放，对周围环境和周边居民影响较小，项目选址合理</w:t>
            </w:r>
            <w:r>
              <w:rPr>
                <w:rFonts w:hint="default" w:ascii="Times New Roman" w:hAnsi="Times New Roman" w:eastAsia="宋体" w:cs="Times New Roman"/>
                <w:color w:val="auto"/>
                <w:kern w:val="2"/>
                <w:sz w:val="24"/>
                <w:szCs w:val="24"/>
              </w:rPr>
              <w:t>。</w:t>
            </w:r>
          </w:p>
        </w:tc>
      </w:tr>
    </w:tbl>
    <w:p>
      <w:pPr>
        <w:spacing w:line="360" w:lineRule="auto"/>
        <w:outlineLvl w:val="0"/>
        <w:rPr>
          <w:rFonts w:hint="default" w:ascii="Times New Roman" w:hAnsi="Times New Roman" w:cs="Times New Roman"/>
          <w:color w:val="auto"/>
          <w:sz w:val="30"/>
        </w:rPr>
        <w:sectPr>
          <w:footerReference r:id="rId6" w:type="default"/>
          <w:pgSz w:w="11906" w:h="16838"/>
          <w:pgMar w:top="1588" w:right="1588" w:bottom="1588" w:left="1588"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8"/>
        <w:adjustRightInd w:val="0"/>
        <w:snapToGrid w:val="0"/>
        <w:spacing w:before="0" w:beforeAutospacing="0" w:after="120" w:afterLines="50" w:afterAutospacing="0"/>
        <w:jc w:val="center"/>
        <w:outlineLvl w:val="0"/>
        <w:rPr>
          <w:rFonts w:hint="default" w:ascii="Times New Roman" w:hAnsi="Times New Roman" w:eastAsia="黑体" w:cs="Times New Roman"/>
          <w:snapToGrid w:val="0"/>
          <w:color w:val="auto"/>
          <w:sz w:val="30"/>
          <w:szCs w:val="30"/>
        </w:rPr>
      </w:pPr>
      <w:bookmarkStart w:id="4" w:name="_Toc7566"/>
      <w:r>
        <w:rPr>
          <w:rFonts w:hint="default" w:ascii="Times New Roman" w:hAnsi="Times New Roman" w:eastAsia="黑体" w:cs="Times New Roman"/>
          <w:snapToGrid w:val="0"/>
          <w:color w:val="auto"/>
          <w:sz w:val="30"/>
          <w:szCs w:val="30"/>
        </w:rPr>
        <w:t>二、建设项目工程分析</w:t>
      </w:r>
      <w:bookmarkEnd w:id="4"/>
    </w:p>
    <w:tbl>
      <w:tblPr>
        <w:tblStyle w:val="33"/>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823" w:type="dxa"/>
            <w:noWrap w:val="0"/>
            <w:vAlign w:val="center"/>
          </w:tcPr>
          <w:p>
            <w:pPr>
              <w:pStyle w:val="28"/>
              <w:adjustRightInd w:val="0"/>
              <w:snapToGrid w:val="0"/>
              <w:spacing w:before="0" w:beforeAutospacing="0" w:after="0" w:afterAutospacing="0"/>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建设内容</w:t>
            </w:r>
          </w:p>
        </w:tc>
        <w:tc>
          <w:tcPr>
            <w:tcW w:w="8161" w:type="dxa"/>
            <w:noWrap w:val="0"/>
            <w:vAlign w:val="top"/>
          </w:tcPr>
          <w:p>
            <w:pPr>
              <w:pStyle w:val="83"/>
              <w:tabs>
                <w:tab w:val="left" w:pos="5040"/>
              </w:tabs>
              <w:ind w:firstLine="482" w:firstLineChars="200"/>
              <w:rPr>
                <w:rFonts w:hint="default" w:ascii="Times New Roman" w:hAnsi="Times New Roman" w:cs="Times New Roman"/>
                <w:bCs/>
                <w:color w:val="auto"/>
              </w:rPr>
            </w:pPr>
            <w:r>
              <w:rPr>
                <w:rFonts w:hint="default" w:ascii="Times New Roman" w:hAnsi="Times New Roman" w:cs="Times New Roman"/>
                <w:bCs/>
                <w:color w:val="auto"/>
              </w:rPr>
              <w:t>（一）项目由来</w:t>
            </w:r>
          </w:p>
          <w:p>
            <w:pPr>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eastAsia="宋体" w:cs="Times New Roman"/>
                <w:b w:val="0"/>
                <w:color w:val="auto"/>
                <w:kern w:val="2"/>
                <w:sz w:val="24"/>
                <w:szCs w:val="21"/>
                <w:lang w:val="en-US" w:eastAsia="zh-CN" w:bidi="ar-SA"/>
              </w:rPr>
              <w:t>邵东市思逸包装有限公司成立于2019年04月23日，注册地位于湖南省邵东市廉桥镇兔子坪村5组2号一厂房，法定代表人为李明</w:t>
            </w:r>
            <w:r>
              <w:rPr>
                <w:rFonts w:hint="default" w:ascii="Times New Roman" w:hAnsi="Times New Roman" w:eastAsia="宋体" w:cs="Times New Roman"/>
                <w:b w:val="0"/>
                <w:color w:val="auto"/>
                <w:kern w:val="2"/>
                <w:sz w:val="24"/>
                <w:szCs w:val="21"/>
                <w:lang w:val="en-US" w:eastAsia="zh-CN" w:bidi="ar-SA"/>
              </w:rPr>
              <w:t>。</w:t>
            </w:r>
            <w:r>
              <w:rPr>
                <w:rFonts w:hint="eastAsia" w:ascii="Times New Roman" w:hAnsi="Times New Roman" w:eastAsia="宋体" w:cs="Times New Roman"/>
                <w:b w:val="0"/>
                <w:color w:val="auto"/>
                <w:kern w:val="2"/>
                <w:sz w:val="24"/>
                <w:szCs w:val="21"/>
                <w:lang w:val="en-US" w:eastAsia="zh-CN" w:bidi="ar-SA"/>
              </w:rPr>
              <w:t>2020年5月租赁湖南壹佰年科技发展有限公司的现有厂房</w:t>
            </w:r>
            <w:r>
              <w:rPr>
                <w:rFonts w:hint="eastAsia" w:ascii="Times New Roman" w:hAnsi="Times New Roman" w:cs="Times New Roman"/>
                <w:color w:val="auto"/>
                <w:sz w:val="24"/>
                <w:szCs w:val="24"/>
                <w:lang w:val="en-US" w:eastAsia="zh-CN"/>
              </w:rPr>
              <w:t>从事塑料包装袋</w:t>
            </w:r>
            <w:r>
              <w:rPr>
                <w:rFonts w:hint="default" w:ascii="Times New Roman" w:hAnsi="Times New Roman" w:cs="Times New Roman"/>
                <w:color w:val="auto"/>
                <w:sz w:val="24"/>
                <w:szCs w:val="24"/>
              </w:rPr>
              <w:t>的生产。20</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年5月</w:t>
            </w:r>
            <w:r>
              <w:rPr>
                <w:rFonts w:hint="eastAsia" w:ascii="Times New Roman" w:hAnsi="Times New Roman" w:cs="Times New Roman"/>
                <w:color w:val="auto"/>
                <w:sz w:val="24"/>
                <w:szCs w:val="24"/>
                <w:lang w:val="en-US" w:eastAsia="zh-CN"/>
              </w:rPr>
              <w:t>开始建设，2020年8月</w:t>
            </w:r>
            <w:r>
              <w:rPr>
                <w:rFonts w:hint="default" w:ascii="Times New Roman" w:hAnsi="Times New Roman" w:cs="Times New Roman"/>
                <w:color w:val="auto"/>
                <w:sz w:val="24"/>
                <w:szCs w:val="24"/>
              </w:rPr>
              <w:t>投产，但没有办理相关的环评审批手续，因此本项目属于未批先建项目，2021年12月邵阳市生态环境局邵东分局对本项目现场进行检查，发现本项目存在违法行为，违反《中华人民共和国环境影响评价法》（2018年修正本）第十六条第二款，第二十二条第一款、第二十五条的规定，并对其进行行政处罚，责令建设单位改正环境违法行为，办理相关环评审批手续。</w:t>
            </w:r>
          </w:p>
          <w:p>
            <w:pPr>
              <w:pStyle w:val="83"/>
              <w:ind w:firstLine="480" w:firstLineChars="200"/>
              <w:rPr>
                <w:rFonts w:hint="default" w:ascii="Times New Roman" w:hAnsi="Times New Roman" w:cs="Times New Roman"/>
                <w:color w:val="auto"/>
              </w:rPr>
            </w:pPr>
            <w:r>
              <w:rPr>
                <w:rFonts w:hint="default" w:ascii="Times New Roman" w:hAnsi="Times New Roman" w:eastAsia="宋体" w:cs="Times New Roman"/>
                <w:b w:val="0"/>
                <w:color w:val="auto"/>
                <w:kern w:val="2"/>
                <w:sz w:val="24"/>
                <w:szCs w:val="21"/>
                <w:lang w:val="en-US" w:eastAsia="zh-CN" w:bidi="ar-SA"/>
              </w:rPr>
              <w:t>根据《中华人民共和国环境保护法》、《中华人民共和国环境影响评价法》和《建设项目环境保护管理条例》（国令第682号，2017年7月修订）</w:t>
            </w:r>
            <w:r>
              <w:rPr>
                <w:rFonts w:hint="eastAsia" w:ascii="Times New Roman" w:hAnsi="Times New Roman" w:eastAsia="宋体" w:cs="Times New Roman"/>
                <w:b w:val="0"/>
                <w:color w:val="auto"/>
                <w:kern w:val="2"/>
                <w:sz w:val="24"/>
                <w:szCs w:val="21"/>
                <w:lang w:val="en-US" w:eastAsia="zh-CN" w:bidi="ar-SA"/>
              </w:rPr>
              <w:t>、《建设项目环境影响评价分类管理名录》（2021版）</w:t>
            </w:r>
            <w:r>
              <w:rPr>
                <w:rFonts w:hint="default" w:ascii="Times New Roman" w:hAnsi="Times New Roman" w:eastAsia="宋体" w:cs="Times New Roman"/>
                <w:b w:val="0"/>
                <w:color w:val="auto"/>
                <w:kern w:val="2"/>
                <w:sz w:val="24"/>
                <w:szCs w:val="21"/>
                <w:lang w:val="en-US" w:eastAsia="zh-CN" w:bidi="ar-SA"/>
              </w:rPr>
              <w:t>中的有关规定，本项目属于</w:t>
            </w:r>
            <w:r>
              <w:rPr>
                <w:rFonts w:hint="eastAsia" w:ascii="Times New Roman" w:hAnsi="Times New Roman" w:eastAsia="宋体" w:cs="Times New Roman"/>
                <w:b w:val="0"/>
                <w:color w:val="auto"/>
                <w:kern w:val="2"/>
                <w:sz w:val="24"/>
                <w:szCs w:val="21"/>
                <w:lang w:val="en-US" w:eastAsia="zh-CN" w:bidi="ar-SA"/>
              </w:rPr>
              <w:t>“</w:t>
            </w:r>
            <w:r>
              <w:rPr>
                <w:rFonts w:hint="default" w:ascii="Times New Roman" w:hAnsi="Times New Roman" w:eastAsia="宋体" w:cs="Times New Roman"/>
                <w:b w:val="0"/>
                <w:color w:val="auto"/>
                <w:kern w:val="2"/>
                <w:sz w:val="24"/>
                <w:szCs w:val="21"/>
                <w:lang w:val="en-US" w:eastAsia="zh-CN" w:bidi="ar-SA"/>
              </w:rPr>
              <w:t>二十六、橡胶和塑料制品业29中的53塑料制品业292</w:t>
            </w:r>
            <w:r>
              <w:rPr>
                <w:rFonts w:hint="eastAsia" w:ascii="Times New Roman" w:hAnsi="Times New Roman" w:eastAsia="宋体" w:cs="Times New Roman"/>
                <w:b w:val="0"/>
                <w:color w:val="auto"/>
                <w:kern w:val="2"/>
                <w:sz w:val="24"/>
                <w:szCs w:val="21"/>
                <w:lang w:val="en-US" w:eastAsia="zh-CN" w:bidi="ar-SA"/>
              </w:rPr>
              <w:t>”</w:t>
            </w:r>
            <w:r>
              <w:rPr>
                <w:rFonts w:hint="default" w:ascii="Times New Roman" w:hAnsi="Times New Roman" w:eastAsia="宋体" w:cs="Times New Roman"/>
                <w:b w:val="0"/>
                <w:color w:val="auto"/>
                <w:kern w:val="2"/>
                <w:sz w:val="24"/>
                <w:szCs w:val="21"/>
                <w:lang w:val="en-US" w:eastAsia="zh-CN" w:bidi="ar-SA"/>
              </w:rPr>
              <w:t>中的</w:t>
            </w:r>
            <w:r>
              <w:rPr>
                <w:rFonts w:hint="eastAsia" w:ascii="Times New Roman" w:hAnsi="Times New Roman" w:eastAsia="宋体" w:cs="Times New Roman"/>
                <w:b w:val="0"/>
                <w:color w:val="auto"/>
                <w:kern w:val="2"/>
                <w:sz w:val="24"/>
                <w:szCs w:val="21"/>
                <w:lang w:val="en-US" w:eastAsia="zh-CN" w:bidi="ar-SA"/>
              </w:rPr>
              <w:t>“</w:t>
            </w:r>
            <w:r>
              <w:rPr>
                <w:rFonts w:hint="default" w:ascii="Times New Roman" w:hAnsi="Times New Roman" w:eastAsia="宋体" w:cs="Times New Roman"/>
                <w:b w:val="0"/>
                <w:color w:val="auto"/>
                <w:kern w:val="2"/>
                <w:sz w:val="24"/>
                <w:szCs w:val="21"/>
                <w:lang w:val="en-US" w:eastAsia="zh-CN" w:bidi="ar-SA"/>
              </w:rPr>
              <w:t>其他</w:t>
            </w:r>
            <w:r>
              <w:rPr>
                <w:rFonts w:hint="eastAsia" w:ascii="Times New Roman" w:hAnsi="Times New Roman" w:eastAsia="宋体" w:cs="Times New Roman"/>
                <w:b w:val="0"/>
                <w:color w:val="auto"/>
                <w:kern w:val="2"/>
                <w:sz w:val="24"/>
                <w:szCs w:val="21"/>
                <w:lang w:val="en-US" w:eastAsia="zh-CN" w:bidi="ar-SA"/>
              </w:rPr>
              <w:t>”</w:t>
            </w:r>
            <w:r>
              <w:rPr>
                <w:rFonts w:hint="default" w:ascii="Times New Roman" w:hAnsi="Times New Roman" w:eastAsia="宋体" w:cs="Times New Roman"/>
                <w:b w:val="0"/>
                <w:color w:val="auto"/>
                <w:kern w:val="2"/>
                <w:sz w:val="24"/>
                <w:szCs w:val="21"/>
                <w:lang w:val="en-US" w:eastAsia="zh-CN" w:bidi="ar-SA"/>
              </w:rPr>
              <w:t>，需编制环境影响报告表。本项目属于C2921</w:t>
            </w:r>
            <w:r>
              <w:rPr>
                <w:rFonts w:hint="eastAsia" w:ascii="Times New Roman" w:hAnsi="Times New Roman" w:eastAsia="宋体" w:cs="Times New Roman"/>
                <w:b w:val="0"/>
                <w:color w:val="auto"/>
                <w:kern w:val="2"/>
                <w:sz w:val="24"/>
                <w:szCs w:val="21"/>
                <w:lang w:val="en-US" w:eastAsia="zh-CN" w:bidi="ar-SA"/>
              </w:rPr>
              <w:t>塑料丝、绳及编织品制造</w:t>
            </w:r>
            <w:r>
              <w:rPr>
                <w:rFonts w:hint="default" w:ascii="Times New Roman" w:hAnsi="Times New Roman" w:eastAsia="宋体" w:cs="Times New Roman"/>
                <w:b w:val="0"/>
                <w:color w:val="auto"/>
                <w:kern w:val="2"/>
                <w:sz w:val="24"/>
                <w:szCs w:val="21"/>
                <w:lang w:val="en-US" w:eastAsia="zh-CN" w:bidi="ar-SA"/>
              </w:rPr>
              <w:t>，对照《固定污染源排污许可分类管理名录》（2019年版），本项目属于《名录》第二十四项</w:t>
            </w:r>
            <w:r>
              <w:rPr>
                <w:rFonts w:hint="eastAsia" w:ascii="Times New Roman" w:hAnsi="Times New Roman" w:eastAsia="宋体" w:cs="Times New Roman"/>
                <w:b w:val="0"/>
                <w:color w:val="auto"/>
                <w:kern w:val="2"/>
                <w:sz w:val="24"/>
                <w:szCs w:val="21"/>
                <w:lang w:val="en-US" w:eastAsia="zh-CN" w:bidi="ar-SA"/>
              </w:rPr>
              <w:t>“</w:t>
            </w:r>
            <w:r>
              <w:rPr>
                <w:rFonts w:hint="default" w:ascii="Times New Roman" w:hAnsi="Times New Roman" w:eastAsia="宋体" w:cs="Times New Roman"/>
                <w:b w:val="0"/>
                <w:color w:val="auto"/>
                <w:kern w:val="2"/>
                <w:sz w:val="24"/>
                <w:szCs w:val="21"/>
                <w:lang w:val="en-US" w:eastAsia="zh-CN" w:bidi="ar-SA"/>
              </w:rPr>
              <w:t>橡胶和塑料制品业29</w:t>
            </w:r>
            <w:r>
              <w:rPr>
                <w:rFonts w:hint="eastAsia" w:ascii="Times New Roman" w:hAnsi="Times New Roman" w:eastAsia="宋体" w:cs="Times New Roman"/>
                <w:b w:val="0"/>
                <w:color w:val="auto"/>
                <w:kern w:val="2"/>
                <w:sz w:val="24"/>
                <w:szCs w:val="21"/>
                <w:lang w:val="en-US" w:eastAsia="zh-CN" w:bidi="ar-SA"/>
              </w:rPr>
              <w:t>”</w:t>
            </w:r>
            <w:r>
              <w:rPr>
                <w:rFonts w:hint="default" w:ascii="Times New Roman" w:hAnsi="Times New Roman" w:eastAsia="宋体" w:cs="Times New Roman"/>
                <w:b w:val="0"/>
                <w:color w:val="auto"/>
                <w:kern w:val="2"/>
                <w:sz w:val="24"/>
                <w:szCs w:val="21"/>
                <w:lang w:val="en-US" w:eastAsia="zh-CN" w:bidi="ar-SA"/>
              </w:rPr>
              <w:t>中第62项</w:t>
            </w:r>
            <w:r>
              <w:rPr>
                <w:rFonts w:hint="eastAsia" w:ascii="Times New Roman" w:hAnsi="Times New Roman" w:eastAsia="宋体" w:cs="Times New Roman"/>
                <w:b w:val="0"/>
                <w:color w:val="auto"/>
                <w:kern w:val="2"/>
                <w:sz w:val="24"/>
                <w:szCs w:val="21"/>
                <w:lang w:val="en-US" w:eastAsia="zh-CN" w:bidi="ar-SA"/>
              </w:rPr>
              <w:t>“塑料制品业 292”</w:t>
            </w:r>
            <w:r>
              <w:rPr>
                <w:rFonts w:hint="default" w:ascii="Times New Roman" w:hAnsi="Times New Roman" w:eastAsia="宋体" w:cs="Times New Roman"/>
                <w:b w:val="0"/>
                <w:color w:val="auto"/>
                <w:kern w:val="2"/>
                <w:sz w:val="24"/>
                <w:szCs w:val="21"/>
                <w:lang w:val="en-US" w:eastAsia="zh-CN" w:bidi="ar-SA"/>
              </w:rPr>
              <w:t>，</w:t>
            </w:r>
            <w:r>
              <w:rPr>
                <w:rFonts w:hint="eastAsia" w:ascii="Times New Roman" w:hAnsi="Times New Roman" w:eastAsia="宋体" w:cs="Times New Roman"/>
                <w:b w:val="0"/>
                <w:color w:val="auto"/>
                <w:kern w:val="2"/>
                <w:sz w:val="24"/>
                <w:szCs w:val="21"/>
                <w:lang w:val="en-US" w:eastAsia="zh-CN" w:bidi="ar-SA"/>
              </w:rPr>
              <w:t>根据原材料使用量可知，本项目产量未达到1万吨，因此</w:t>
            </w:r>
            <w:r>
              <w:rPr>
                <w:rFonts w:hint="default" w:ascii="Times New Roman" w:hAnsi="Times New Roman" w:eastAsia="宋体" w:cs="Times New Roman"/>
                <w:b w:val="0"/>
                <w:color w:val="auto"/>
                <w:kern w:val="2"/>
                <w:sz w:val="24"/>
                <w:szCs w:val="21"/>
                <w:lang w:val="en-US" w:eastAsia="zh-CN" w:bidi="ar-SA"/>
              </w:rPr>
              <w:t>属于排污许可中</w:t>
            </w:r>
            <w:r>
              <w:rPr>
                <w:rFonts w:hint="eastAsia" w:ascii="Times New Roman" w:hAnsi="Times New Roman" w:eastAsia="宋体" w:cs="Times New Roman"/>
                <w:b w:val="0"/>
                <w:color w:val="auto"/>
                <w:kern w:val="2"/>
                <w:sz w:val="24"/>
                <w:szCs w:val="21"/>
                <w:lang w:val="en-US" w:eastAsia="zh-CN" w:bidi="ar-SA"/>
              </w:rPr>
              <w:t>“</w:t>
            </w:r>
            <w:r>
              <w:rPr>
                <w:rFonts w:hint="default" w:ascii="Times New Roman" w:hAnsi="Times New Roman" w:eastAsia="宋体" w:cs="Times New Roman"/>
                <w:b w:val="0"/>
                <w:color w:val="auto"/>
                <w:kern w:val="2"/>
                <w:sz w:val="24"/>
                <w:szCs w:val="21"/>
                <w:lang w:val="en-US" w:eastAsia="zh-CN" w:bidi="ar-SA"/>
              </w:rPr>
              <w:t>登记管理</w:t>
            </w:r>
            <w:r>
              <w:rPr>
                <w:rFonts w:hint="eastAsia" w:ascii="Times New Roman" w:hAnsi="Times New Roman" w:eastAsia="宋体" w:cs="Times New Roman"/>
                <w:b w:val="0"/>
                <w:color w:val="auto"/>
                <w:kern w:val="2"/>
                <w:sz w:val="24"/>
                <w:szCs w:val="21"/>
                <w:lang w:val="en-US" w:eastAsia="zh-CN" w:bidi="ar-SA"/>
              </w:rPr>
              <w:t>”</w:t>
            </w:r>
            <w:r>
              <w:rPr>
                <w:rFonts w:hint="default" w:ascii="Times New Roman" w:hAnsi="Times New Roman" w:eastAsia="宋体" w:cs="Times New Roman"/>
                <w:b w:val="0"/>
                <w:color w:val="auto"/>
                <w:kern w:val="2"/>
                <w:sz w:val="24"/>
                <w:szCs w:val="21"/>
                <w:lang w:val="en-US" w:eastAsia="zh-CN" w:bidi="ar-SA"/>
              </w:rPr>
              <w:t>。</w:t>
            </w:r>
          </w:p>
          <w:p>
            <w:pPr>
              <w:pStyle w:val="83"/>
              <w:tabs>
                <w:tab w:val="left" w:pos="5040"/>
              </w:tabs>
              <w:ind w:firstLine="482" w:firstLineChars="200"/>
              <w:rPr>
                <w:rFonts w:hint="default" w:ascii="Times New Roman" w:hAnsi="Times New Roman" w:cs="Times New Roman"/>
                <w:bCs/>
                <w:color w:val="auto"/>
              </w:rPr>
            </w:pPr>
            <w:r>
              <w:rPr>
                <w:rFonts w:hint="default" w:ascii="Times New Roman" w:hAnsi="Times New Roman" w:cs="Times New Roman"/>
                <w:bCs/>
                <w:color w:val="auto"/>
              </w:rPr>
              <w:t>（二）项目概况</w:t>
            </w:r>
          </w:p>
          <w:p>
            <w:pPr>
              <w:pStyle w:val="8"/>
              <w:adjustRightInd w:val="0"/>
              <w:snapToGrid w:val="0"/>
              <w:spacing w:before="0" w:after="0"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项目名称：</w:t>
            </w:r>
            <w:r>
              <w:rPr>
                <w:rFonts w:hint="eastAsia" w:ascii="Times New Roman" w:hAnsi="Times New Roman" w:eastAsia="宋体" w:cs="Times New Roman"/>
                <w:b w:val="0"/>
                <w:bCs w:val="0"/>
                <w:color w:val="auto"/>
                <w:kern w:val="2"/>
                <w:sz w:val="24"/>
                <w:szCs w:val="21"/>
                <w:lang w:val="en-US" w:eastAsia="zh-CN" w:bidi="ar-SA"/>
              </w:rPr>
              <w:t>年产500吨塑料包装材料项目</w:t>
            </w:r>
          </w:p>
          <w:p>
            <w:pPr>
              <w:pStyle w:val="8"/>
              <w:adjustRightInd w:val="0"/>
              <w:snapToGrid w:val="0"/>
              <w:spacing w:before="0" w:after="0"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建设单位：</w:t>
            </w:r>
            <w:r>
              <w:rPr>
                <w:rFonts w:hint="eastAsia" w:ascii="Times New Roman" w:hAnsi="Times New Roman" w:eastAsia="宋体" w:cs="Times New Roman"/>
                <w:b w:val="0"/>
                <w:bCs w:val="0"/>
                <w:color w:val="auto"/>
                <w:kern w:val="2"/>
                <w:sz w:val="24"/>
                <w:szCs w:val="21"/>
                <w:lang w:val="en-US" w:eastAsia="zh-CN" w:bidi="ar-SA"/>
              </w:rPr>
              <w:t>邵东市思逸包装有限公司</w:t>
            </w:r>
          </w:p>
          <w:p>
            <w:pPr>
              <w:pStyle w:val="8"/>
              <w:adjustRightInd w:val="0"/>
              <w:snapToGrid w:val="0"/>
              <w:spacing w:before="0" w:after="0"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建设性质：新建</w:t>
            </w:r>
            <w:r>
              <w:rPr>
                <w:rFonts w:hint="eastAsia" w:ascii="Times New Roman" w:hAnsi="Times New Roman" w:eastAsia="宋体" w:cs="Times New Roman"/>
                <w:b w:val="0"/>
                <w:bCs w:val="0"/>
                <w:color w:val="auto"/>
                <w:kern w:val="2"/>
                <w:sz w:val="24"/>
                <w:szCs w:val="21"/>
                <w:lang w:val="en-US" w:eastAsia="zh-CN" w:bidi="ar-SA"/>
              </w:rPr>
              <w:t>（补办环评）</w:t>
            </w:r>
          </w:p>
          <w:p>
            <w:pPr>
              <w:pStyle w:val="8"/>
              <w:adjustRightInd w:val="0"/>
              <w:snapToGrid w:val="0"/>
              <w:spacing w:before="0" w:after="0"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占地面积：</w:t>
            </w:r>
            <w:r>
              <w:rPr>
                <w:rFonts w:hint="eastAsia" w:ascii="Times New Roman" w:hAnsi="Times New Roman" w:eastAsia="宋体" w:cs="Times New Roman"/>
                <w:b w:val="0"/>
                <w:bCs w:val="0"/>
                <w:color w:val="auto"/>
                <w:kern w:val="2"/>
                <w:sz w:val="24"/>
                <w:szCs w:val="21"/>
                <w:lang w:val="en-US" w:eastAsia="zh-CN" w:bidi="ar-SA"/>
              </w:rPr>
              <w:t>4000</w:t>
            </w:r>
            <w:r>
              <w:rPr>
                <w:rFonts w:hint="default" w:ascii="Times New Roman" w:hAnsi="Times New Roman" w:eastAsia="宋体" w:cs="Times New Roman"/>
                <w:b w:val="0"/>
                <w:bCs w:val="0"/>
                <w:color w:val="auto"/>
                <w:kern w:val="2"/>
                <w:sz w:val="24"/>
                <w:szCs w:val="21"/>
                <w:lang w:val="en-US" w:eastAsia="zh-CN" w:bidi="ar-SA"/>
              </w:rPr>
              <w:t>㎡</w:t>
            </w:r>
          </w:p>
          <w:p>
            <w:pPr>
              <w:pStyle w:val="8"/>
              <w:adjustRightInd w:val="0"/>
              <w:snapToGrid w:val="0"/>
              <w:spacing w:before="0" w:after="0"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项目投资：</w:t>
            </w:r>
            <w:r>
              <w:rPr>
                <w:rFonts w:hint="eastAsia" w:ascii="Times New Roman" w:hAnsi="Times New Roman" w:eastAsia="宋体" w:cs="Times New Roman"/>
                <w:b w:val="0"/>
                <w:bCs w:val="0"/>
                <w:color w:val="auto"/>
                <w:kern w:val="2"/>
                <w:sz w:val="24"/>
                <w:szCs w:val="21"/>
                <w:lang w:val="en-US" w:eastAsia="zh-CN" w:bidi="ar-SA"/>
              </w:rPr>
              <w:t>300万</w:t>
            </w:r>
            <w:r>
              <w:rPr>
                <w:rFonts w:hint="default" w:ascii="Times New Roman" w:hAnsi="Times New Roman" w:eastAsia="宋体" w:cs="Times New Roman"/>
                <w:b w:val="0"/>
                <w:bCs w:val="0"/>
                <w:color w:val="auto"/>
                <w:kern w:val="2"/>
                <w:sz w:val="24"/>
                <w:szCs w:val="21"/>
                <w:lang w:val="en-US" w:eastAsia="zh-CN" w:bidi="ar-SA"/>
              </w:rPr>
              <w:t>元</w:t>
            </w:r>
          </w:p>
          <w:p>
            <w:pPr>
              <w:pStyle w:val="8"/>
              <w:adjustRightInd w:val="0"/>
              <w:snapToGrid w:val="0"/>
              <w:spacing w:before="0" w:after="0"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建设地点：</w:t>
            </w:r>
            <w:r>
              <w:rPr>
                <w:rFonts w:hint="eastAsia" w:ascii="Times New Roman" w:hAnsi="Times New Roman" w:eastAsia="宋体" w:cs="Times New Roman"/>
                <w:b w:val="0"/>
                <w:bCs w:val="0"/>
                <w:color w:val="auto"/>
                <w:kern w:val="2"/>
                <w:sz w:val="24"/>
                <w:szCs w:val="21"/>
                <w:lang w:val="en-US" w:eastAsia="zh-CN" w:bidi="ar-SA"/>
              </w:rPr>
              <w:t>湖南省邵阳市邵东市廉桥镇兔子坪村5组2号</w:t>
            </w:r>
          </w:p>
          <w:p>
            <w:pPr>
              <w:pStyle w:val="83"/>
              <w:tabs>
                <w:tab w:val="left" w:pos="5040"/>
              </w:tabs>
              <w:ind w:firstLine="482" w:firstLineChars="200"/>
              <w:rPr>
                <w:rFonts w:hint="default" w:ascii="Times New Roman" w:hAnsi="Times New Roman" w:cs="Times New Roman"/>
                <w:bCs/>
                <w:color w:val="auto"/>
              </w:rPr>
            </w:pPr>
            <w:r>
              <w:rPr>
                <w:rFonts w:hint="default" w:ascii="Times New Roman" w:hAnsi="Times New Roman" w:cs="Times New Roman"/>
                <w:bCs/>
                <w:color w:val="auto"/>
              </w:rPr>
              <w:t>（三）工程建设内容</w:t>
            </w:r>
          </w:p>
          <w:p>
            <w:pPr>
              <w:pStyle w:val="83"/>
              <w:tabs>
                <w:tab w:val="left" w:pos="5040"/>
              </w:tabs>
              <w:ind w:firstLine="482" w:firstLineChars="200"/>
              <w:rPr>
                <w:rFonts w:hint="default" w:ascii="Times New Roman" w:hAnsi="Times New Roman" w:cs="Times New Roman"/>
                <w:bCs/>
                <w:color w:val="auto"/>
              </w:rPr>
            </w:pPr>
            <w:r>
              <w:rPr>
                <w:rFonts w:hint="default" w:ascii="Times New Roman" w:hAnsi="Times New Roman" w:cs="Times New Roman"/>
                <w:bCs/>
                <w:color w:val="auto"/>
              </w:rPr>
              <w:t>1.产品方案</w:t>
            </w:r>
          </w:p>
          <w:p>
            <w:pPr>
              <w:pStyle w:val="83"/>
              <w:ind w:firstLine="480" w:firstLineChars="200"/>
              <w:rPr>
                <w:rFonts w:hint="default" w:ascii="Times New Roman" w:hAnsi="Times New Roman" w:eastAsia="宋体" w:cs="Times New Roman"/>
                <w:b w:val="0"/>
                <w:color w:val="auto"/>
                <w:kern w:val="2"/>
                <w:sz w:val="24"/>
                <w:szCs w:val="21"/>
                <w:lang w:val="en-US" w:eastAsia="zh-CN" w:bidi="ar-SA"/>
              </w:rPr>
            </w:pPr>
            <w:r>
              <w:rPr>
                <w:rFonts w:hint="default" w:ascii="Times New Roman" w:hAnsi="Times New Roman" w:eastAsia="宋体" w:cs="Times New Roman"/>
                <w:b w:val="0"/>
                <w:color w:val="auto"/>
                <w:kern w:val="2"/>
                <w:sz w:val="24"/>
                <w:szCs w:val="21"/>
                <w:lang w:val="en-US" w:eastAsia="zh-CN" w:bidi="ar-SA"/>
              </w:rPr>
              <w:t>本项目主体工程及产品方案见表2-1，产品质量标准表见表2-2。</w:t>
            </w:r>
          </w:p>
          <w:p>
            <w:pPr>
              <w:pStyle w:val="83"/>
              <w:jc w:val="center"/>
              <w:rPr>
                <w:rFonts w:hint="default" w:ascii="Times New Roman" w:hAnsi="Times New Roman" w:cs="Times New Roman"/>
                <w:color w:val="auto"/>
              </w:rPr>
            </w:pPr>
            <w:r>
              <w:rPr>
                <w:rFonts w:hint="default" w:ascii="Times New Roman" w:hAnsi="Times New Roman" w:cs="Times New Roman"/>
                <w:color w:val="auto"/>
              </w:rPr>
              <w:t>表2-1  建设项目主体工程及产品方案</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753"/>
              <w:gridCol w:w="2597"/>
              <w:gridCol w:w="1534"/>
              <w:gridCol w:w="1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1103"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产品名称</w:t>
                  </w:r>
                </w:p>
              </w:tc>
              <w:tc>
                <w:tcPr>
                  <w:tcW w:w="1634" w:type="pct"/>
                  <w:noWrap w:val="0"/>
                  <w:vAlign w:val="center"/>
                </w:tcPr>
                <w:p>
                  <w:pPr>
                    <w:adjustRightInd w:val="0"/>
                    <w:snapToGrid w:val="0"/>
                    <w:jc w:val="center"/>
                    <w:rPr>
                      <w:rFonts w:hint="eastAsia"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产品规格</w:t>
                  </w:r>
                </w:p>
              </w:tc>
              <w:tc>
                <w:tcPr>
                  <w:tcW w:w="965"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设计能力</w:t>
                  </w:r>
                </w:p>
              </w:tc>
              <w:tc>
                <w:tcPr>
                  <w:tcW w:w="833"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noWrap w:val="0"/>
                  <w:vAlign w:val="center"/>
                </w:tcPr>
                <w:p>
                  <w:pPr>
                    <w:pStyle w:val="83"/>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103" w:type="pct"/>
                  <w:noWrap w:val="0"/>
                  <w:vAlign w:val="center"/>
                </w:tcPr>
                <w:p>
                  <w:pPr>
                    <w:pStyle w:val="83"/>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color w:val="auto"/>
                      <w:sz w:val="21"/>
                      <w:szCs w:val="21"/>
                      <w:lang w:val="en-US" w:eastAsia="zh-CN"/>
                    </w:rPr>
                    <w:t>快递包装袋</w:t>
                  </w:r>
                </w:p>
              </w:tc>
              <w:tc>
                <w:tcPr>
                  <w:tcW w:w="1634" w:type="pct"/>
                  <w:noWrap w:val="0"/>
                  <w:vAlign w:val="center"/>
                </w:tcPr>
                <w:p>
                  <w:pPr>
                    <w:pStyle w:val="83"/>
                    <w:adjustRightInd w:val="0"/>
                    <w:snapToGri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0.0</w:t>
                  </w:r>
                  <w:r>
                    <w:rPr>
                      <w:rFonts w:hint="eastAsia" w:ascii="Times New Roman" w:hAnsi="Times New Roman" w:cs="Times New Roman"/>
                      <w:b w:val="0"/>
                      <w:bCs/>
                      <w:color w:val="auto"/>
                      <w:sz w:val="21"/>
                      <w:szCs w:val="21"/>
                      <w:lang w:val="en-US" w:eastAsia="zh-CN"/>
                    </w:rPr>
                    <w:t>3</w:t>
                  </w:r>
                  <w:r>
                    <w:rPr>
                      <w:rFonts w:hint="default" w:ascii="Times New Roman" w:hAnsi="Times New Roman" w:cs="Times New Roman"/>
                      <w:b w:val="0"/>
                      <w:bCs/>
                      <w:color w:val="auto"/>
                      <w:sz w:val="21"/>
                      <w:szCs w:val="21"/>
                      <w:lang w:val="en-US" w:eastAsia="zh-CN"/>
                    </w:rPr>
                    <w:t>mm-0.</w:t>
                  </w:r>
                  <w:r>
                    <w:rPr>
                      <w:rFonts w:hint="eastAsia" w:ascii="Times New Roman" w:hAnsi="Times New Roman" w:cs="Times New Roman"/>
                      <w:b w:val="0"/>
                      <w:bCs/>
                      <w:color w:val="auto"/>
                      <w:sz w:val="21"/>
                      <w:szCs w:val="21"/>
                      <w:lang w:val="en-US" w:eastAsia="zh-CN"/>
                    </w:rPr>
                    <w:t>1</w:t>
                  </w:r>
                  <w:r>
                    <w:rPr>
                      <w:rFonts w:hint="default" w:ascii="Times New Roman" w:hAnsi="Times New Roman" w:cs="Times New Roman"/>
                      <w:b w:val="0"/>
                      <w:bCs/>
                      <w:color w:val="auto"/>
                      <w:sz w:val="21"/>
                      <w:szCs w:val="21"/>
                      <w:lang w:val="en-US" w:eastAsia="zh-CN"/>
                    </w:rPr>
                    <w:t>mm（</w:t>
                  </w:r>
                  <w:r>
                    <w:rPr>
                      <w:rFonts w:hint="eastAsia" w:ascii="Times New Roman" w:hAnsi="Times New Roman" w:cs="Times New Roman"/>
                      <w:b w:val="0"/>
                      <w:bCs/>
                      <w:color w:val="auto"/>
                      <w:sz w:val="21"/>
                      <w:szCs w:val="21"/>
                      <w:lang w:val="en-US" w:eastAsia="zh-CN"/>
                    </w:rPr>
                    <w:t>3</w:t>
                  </w:r>
                  <w:r>
                    <w:rPr>
                      <w:rFonts w:hint="default" w:ascii="Times New Roman" w:hAnsi="Times New Roman" w:cs="Times New Roman"/>
                      <w:b w:val="0"/>
                      <w:bCs/>
                      <w:color w:val="auto"/>
                      <w:sz w:val="21"/>
                      <w:szCs w:val="21"/>
                      <w:lang w:val="en-US" w:eastAsia="zh-CN"/>
                    </w:rPr>
                    <w:t>S-</w:t>
                  </w:r>
                  <w:r>
                    <w:rPr>
                      <w:rFonts w:hint="eastAsia" w:ascii="Times New Roman" w:hAnsi="Times New Roman" w:cs="Times New Roman"/>
                      <w:b w:val="0"/>
                      <w:bCs/>
                      <w:color w:val="auto"/>
                      <w:sz w:val="21"/>
                      <w:szCs w:val="21"/>
                      <w:lang w:val="en-US" w:eastAsia="zh-CN"/>
                    </w:rPr>
                    <w:t>10</w:t>
                  </w:r>
                  <w:r>
                    <w:rPr>
                      <w:rFonts w:hint="default" w:ascii="Times New Roman" w:hAnsi="Times New Roman" w:cs="Times New Roman"/>
                      <w:b w:val="0"/>
                      <w:bCs/>
                      <w:color w:val="auto"/>
                      <w:sz w:val="21"/>
                      <w:szCs w:val="21"/>
                      <w:lang w:val="en-US" w:eastAsia="zh-CN"/>
                    </w:rPr>
                    <w:t>S）</w:t>
                  </w:r>
                </w:p>
              </w:tc>
              <w:tc>
                <w:tcPr>
                  <w:tcW w:w="965" w:type="pct"/>
                  <w:noWrap w:val="0"/>
                  <w:vAlign w:val="center"/>
                </w:tcPr>
                <w:p>
                  <w:pPr>
                    <w:pStyle w:val="83"/>
                    <w:adjustRightInd w:val="0"/>
                    <w:snapToGrid w:val="0"/>
                    <w:spacing w:line="240" w:lineRule="auto"/>
                    <w:jc w:val="center"/>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500t</w:t>
                  </w:r>
                  <w:r>
                    <w:rPr>
                      <w:rFonts w:hint="default" w:ascii="Times New Roman" w:hAnsi="Times New Roman" w:cs="Times New Roman"/>
                      <w:b w:val="0"/>
                      <w:bCs/>
                      <w:color w:val="auto"/>
                      <w:sz w:val="21"/>
                      <w:szCs w:val="21"/>
                    </w:rPr>
                    <w:t>/</w:t>
                  </w:r>
                  <w:r>
                    <w:rPr>
                      <w:rFonts w:hint="default" w:ascii="Times New Roman" w:hAnsi="Times New Roman" w:cs="Times New Roman"/>
                      <w:b w:val="0"/>
                      <w:bCs/>
                      <w:color w:val="auto"/>
                      <w:sz w:val="21"/>
                      <w:szCs w:val="21"/>
                      <w:lang w:val="en-US" w:eastAsia="zh-CN"/>
                    </w:rPr>
                    <w:t>a</w:t>
                  </w:r>
                </w:p>
              </w:tc>
              <w:tc>
                <w:tcPr>
                  <w:tcW w:w="833" w:type="pct"/>
                  <w:noWrap w:val="0"/>
                  <w:vAlign w:val="center"/>
                </w:tcPr>
                <w:p>
                  <w:pPr>
                    <w:pStyle w:val="83"/>
                    <w:adjustRightInd w:val="0"/>
                    <w:snapToGrid w:val="0"/>
                    <w:spacing w:line="240" w:lineRule="auto"/>
                    <w:jc w:val="center"/>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24</w:t>
                  </w:r>
                  <w:r>
                    <w:rPr>
                      <w:rFonts w:hint="default" w:ascii="Times New Roman" w:hAnsi="Times New Roman" w:cs="Times New Roman"/>
                      <w:b w:val="0"/>
                      <w:bCs/>
                      <w:color w:val="auto"/>
                      <w:sz w:val="21"/>
                      <w:szCs w:val="21"/>
                      <w:lang w:val="en-US" w:eastAsia="zh-CN"/>
                    </w:rPr>
                    <w:t>00h</w:t>
                  </w:r>
                </w:p>
              </w:tc>
            </w:tr>
          </w:tbl>
          <w:p>
            <w:pPr>
              <w:pStyle w:val="83"/>
              <w:jc w:val="center"/>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2</w:t>
            </w:r>
            <w:r>
              <w:rPr>
                <w:rFonts w:hint="default" w:ascii="Times New Roman" w:hAnsi="Times New Roman" w:cs="Times New Roman"/>
                <w:color w:val="auto"/>
              </w:rPr>
              <w:t xml:space="preserve">  产品质量标准</w:t>
            </w:r>
          </w:p>
          <w:p>
            <w:pPr>
              <w:pStyle w:val="83"/>
              <w:tabs>
                <w:tab w:val="left" w:pos="5040"/>
              </w:tabs>
              <w:spacing w:line="360" w:lineRule="auto"/>
              <w:ind w:left="0" w:leftChars="0" w:firstLine="0" w:firstLineChars="0"/>
              <w:jc w:val="center"/>
              <w:rPr>
                <w:rFonts w:hint="default" w:ascii="Times New Roman" w:hAnsi="Times New Roman" w:cs="Times New Roman"/>
                <w:bCs/>
                <w:color w:val="auto"/>
              </w:rPr>
            </w:pPr>
            <w:r>
              <w:rPr>
                <w:color w:val="auto"/>
              </w:rPr>
              <w:drawing>
                <wp:inline distT="0" distB="0" distL="114300" distR="114300">
                  <wp:extent cx="5038090" cy="2028825"/>
                  <wp:effectExtent l="0" t="0" r="10160" b="9525"/>
                  <wp:docPr id="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1"/>
                          <pic:cNvPicPr>
                            <a:picLocks noChangeAspect="1"/>
                          </pic:cNvPicPr>
                        </pic:nvPicPr>
                        <pic:blipFill>
                          <a:blip r:embed="rId14"/>
                          <a:stretch>
                            <a:fillRect/>
                          </a:stretch>
                        </pic:blipFill>
                        <pic:spPr>
                          <a:xfrm>
                            <a:off x="0" y="0"/>
                            <a:ext cx="5038090" cy="2028825"/>
                          </a:xfrm>
                          <a:prstGeom prst="rect">
                            <a:avLst/>
                          </a:prstGeom>
                          <a:noFill/>
                          <a:ln>
                            <a:noFill/>
                          </a:ln>
                        </pic:spPr>
                      </pic:pic>
                    </a:graphicData>
                  </a:graphic>
                </wp:inline>
              </w:drawing>
            </w:r>
          </w:p>
          <w:p>
            <w:pPr>
              <w:pStyle w:val="83"/>
              <w:tabs>
                <w:tab w:val="left" w:pos="5040"/>
              </w:tabs>
              <w:spacing w:line="360" w:lineRule="auto"/>
              <w:ind w:firstLine="482" w:firstLineChars="200"/>
              <w:rPr>
                <w:rFonts w:hint="default" w:ascii="Times New Roman" w:hAnsi="Times New Roman" w:cs="Times New Roman"/>
                <w:bCs/>
                <w:color w:val="auto"/>
              </w:rPr>
            </w:pPr>
            <w:r>
              <w:rPr>
                <w:rFonts w:hint="default" w:ascii="Times New Roman" w:hAnsi="Times New Roman" w:cs="Times New Roman"/>
                <w:bCs/>
                <w:color w:val="auto"/>
              </w:rPr>
              <w:t>2.工程内容及规模</w:t>
            </w:r>
          </w:p>
          <w:p>
            <w:pPr>
              <w:pStyle w:val="83"/>
              <w:ind w:firstLine="480" w:firstLineChars="200"/>
              <w:rPr>
                <w:rFonts w:hint="default" w:ascii="Times New Roman" w:hAnsi="Times New Roman" w:cs="Times New Roman"/>
                <w:color w:val="auto"/>
              </w:rPr>
            </w:pPr>
            <w:r>
              <w:rPr>
                <w:rFonts w:hint="default" w:ascii="Times New Roman" w:hAnsi="Times New Roman" w:eastAsia="宋体" w:cs="Times New Roman"/>
                <w:b w:val="0"/>
                <w:bCs w:val="0"/>
                <w:color w:val="auto"/>
                <w:kern w:val="2"/>
                <w:sz w:val="24"/>
                <w:szCs w:val="21"/>
                <w:lang w:val="en-US" w:eastAsia="zh-CN" w:bidi="ar-SA"/>
              </w:rPr>
              <w:t>本项目选址于</w:t>
            </w:r>
            <w:r>
              <w:rPr>
                <w:rFonts w:hint="eastAsia" w:ascii="Times New Roman" w:hAnsi="Times New Roman" w:eastAsia="宋体" w:cs="Times New Roman"/>
                <w:b w:val="0"/>
                <w:bCs w:val="0"/>
                <w:color w:val="auto"/>
                <w:kern w:val="2"/>
                <w:sz w:val="24"/>
                <w:szCs w:val="21"/>
                <w:lang w:val="en-US" w:eastAsia="zh-CN" w:bidi="ar-SA"/>
              </w:rPr>
              <w:t>湖南省邵阳市邵东市廉桥镇兔子坪村5组2号</w:t>
            </w:r>
            <w:r>
              <w:rPr>
                <w:rFonts w:hint="default" w:ascii="Times New Roman" w:hAnsi="Times New Roman" w:eastAsia="宋体" w:cs="Times New Roman"/>
                <w:b w:val="0"/>
                <w:bCs w:val="0"/>
                <w:color w:val="auto"/>
                <w:kern w:val="2"/>
                <w:sz w:val="24"/>
                <w:szCs w:val="21"/>
                <w:lang w:val="en-US" w:eastAsia="zh-CN" w:bidi="ar-SA"/>
              </w:rPr>
              <w:t>，租赁</w:t>
            </w:r>
            <w:r>
              <w:rPr>
                <w:rFonts w:hint="eastAsia" w:ascii="Times New Roman" w:hAnsi="Times New Roman" w:eastAsia="宋体" w:cs="Times New Roman"/>
                <w:b w:val="0"/>
                <w:bCs w:val="0"/>
                <w:color w:val="auto"/>
                <w:kern w:val="2"/>
                <w:sz w:val="24"/>
                <w:szCs w:val="21"/>
                <w:lang w:val="en-US" w:eastAsia="zh-CN" w:bidi="ar-SA"/>
              </w:rPr>
              <w:t>湖南壹佰年科技发展有限公司</w:t>
            </w:r>
            <w:r>
              <w:rPr>
                <w:rFonts w:hint="default" w:ascii="Times New Roman" w:hAnsi="Times New Roman" w:eastAsia="宋体" w:cs="Times New Roman"/>
                <w:b w:val="0"/>
                <w:bCs w:val="0"/>
                <w:color w:val="auto"/>
                <w:kern w:val="2"/>
                <w:sz w:val="24"/>
                <w:szCs w:val="21"/>
                <w:lang w:val="en-US" w:eastAsia="zh-CN" w:bidi="ar-SA"/>
              </w:rPr>
              <w:t>厂房，湖南壹佰年科技发展有限公司</w:t>
            </w:r>
            <w:r>
              <w:rPr>
                <w:rFonts w:hint="eastAsia" w:ascii="Times New Roman" w:hAnsi="Times New Roman" w:eastAsia="宋体" w:cs="Times New Roman"/>
                <w:b w:val="0"/>
                <w:bCs w:val="0"/>
                <w:color w:val="auto"/>
                <w:kern w:val="2"/>
                <w:sz w:val="24"/>
                <w:szCs w:val="21"/>
                <w:lang w:val="en-US" w:eastAsia="zh-CN" w:bidi="ar-SA"/>
              </w:rPr>
              <w:t>主要建设有厂房、仓库、办公区、宿舍等，地面采用水泥混凝土硬化，厂区通有自来水、三相电、厂区雨污分流、配套建设了化粪池。本项目</w:t>
            </w:r>
            <w:r>
              <w:rPr>
                <w:rFonts w:hint="default" w:ascii="Times New Roman" w:hAnsi="Times New Roman" w:eastAsia="宋体" w:cs="Times New Roman"/>
                <w:b w:val="0"/>
                <w:bCs w:val="0"/>
                <w:color w:val="auto"/>
                <w:kern w:val="2"/>
                <w:sz w:val="24"/>
                <w:szCs w:val="21"/>
                <w:lang w:val="en-US" w:eastAsia="zh-CN" w:bidi="ar-SA"/>
              </w:rPr>
              <w:t>租赁面积</w:t>
            </w:r>
            <w:r>
              <w:rPr>
                <w:rFonts w:hint="eastAsia" w:ascii="Times New Roman" w:hAnsi="Times New Roman" w:eastAsia="宋体" w:cs="Times New Roman"/>
                <w:b w:val="0"/>
                <w:bCs w:val="0"/>
                <w:color w:val="auto"/>
                <w:kern w:val="2"/>
                <w:sz w:val="24"/>
                <w:szCs w:val="21"/>
                <w:lang w:val="en-US" w:eastAsia="zh-CN" w:bidi="ar-SA"/>
              </w:rPr>
              <w:t>4000</w:t>
            </w:r>
            <w:r>
              <w:rPr>
                <w:rFonts w:hint="default" w:ascii="Times New Roman" w:hAnsi="Times New Roman" w:eastAsia="宋体" w:cs="Times New Roman"/>
                <w:b w:val="0"/>
                <w:bCs w:val="0"/>
                <w:color w:val="auto"/>
                <w:kern w:val="2"/>
                <w:sz w:val="24"/>
                <w:szCs w:val="21"/>
                <w:lang w:val="en-US" w:eastAsia="zh-CN" w:bidi="ar-SA"/>
              </w:rPr>
              <w:t>m</w:t>
            </w:r>
            <w:r>
              <w:rPr>
                <w:rFonts w:hint="default" w:ascii="Times New Roman" w:hAnsi="Times New Roman" w:eastAsia="宋体" w:cs="Times New Roman"/>
                <w:b w:val="0"/>
                <w:bCs w:val="0"/>
                <w:color w:val="auto"/>
                <w:kern w:val="2"/>
                <w:sz w:val="24"/>
                <w:szCs w:val="21"/>
                <w:vertAlign w:val="superscript"/>
                <w:lang w:val="en-US" w:eastAsia="zh-CN" w:bidi="ar-SA"/>
              </w:rPr>
              <w:t>2</w:t>
            </w:r>
            <w:r>
              <w:rPr>
                <w:rFonts w:hint="default" w:ascii="Times New Roman" w:hAnsi="Times New Roman" w:eastAsia="宋体" w:cs="Times New Roman"/>
                <w:b w:val="0"/>
                <w:bCs w:val="0"/>
                <w:color w:val="auto"/>
                <w:kern w:val="2"/>
                <w:sz w:val="24"/>
                <w:szCs w:val="21"/>
                <w:lang w:val="en-US" w:eastAsia="zh-CN" w:bidi="ar-SA"/>
              </w:rPr>
              <w:t>，主要建设吹膜生产线及其辅助和环保设施。项目主体工程、公辅工程、环保工程等建设内容见</w:t>
            </w:r>
            <w:r>
              <w:rPr>
                <w:rFonts w:hint="eastAsia" w:ascii="Times New Roman" w:hAnsi="Times New Roman" w:eastAsia="宋体" w:cs="Times New Roman"/>
                <w:b w:val="0"/>
                <w:bCs w:val="0"/>
                <w:color w:val="auto"/>
                <w:kern w:val="2"/>
                <w:sz w:val="24"/>
                <w:szCs w:val="21"/>
                <w:lang w:val="en-US" w:eastAsia="zh-CN" w:bidi="ar-SA"/>
              </w:rPr>
              <w:t>下</w:t>
            </w:r>
            <w:r>
              <w:rPr>
                <w:rFonts w:hint="default" w:ascii="Times New Roman" w:hAnsi="Times New Roman" w:eastAsia="宋体" w:cs="Times New Roman"/>
                <w:b w:val="0"/>
                <w:bCs w:val="0"/>
                <w:color w:val="auto"/>
                <w:kern w:val="2"/>
                <w:sz w:val="24"/>
                <w:szCs w:val="21"/>
                <w:lang w:val="en-US" w:eastAsia="zh-CN" w:bidi="ar-SA"/>
              </w:rPr>
              <w:t>表</w:t>
            </w:r>
            <w:r>
              <w:rPr>
                <w:rFonts w:hint="default" w:ascii="Times New Roman" w:hAnsi="Times New Roman" w:cs="Times New Roman"/>
                <w:color w:val="auto"/>
                <w:lang w:val="en-US" w:eastAsia="zh-CN"/>
              </w:rPr>
              <w:t>。</w:t>
            </w:r>
          </w:p>
          <w:p>
            <w:pPr>
              <w:pStyle w:val="83"/>
              <w:jc w:val="center"/>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3</w:t>
            </w:r>
            <w:r>
              <w:rPr>
                <w:rFonts w:hint="default" w:ascii="Times New Roman" w:hAnsi="Times New Roman" w:cs="Times New Roman"/>
                <w:color w:val="auto"/>
              </w:rPr>
              <w:t xml:space="preserve">  工程内容及规模</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228"/>
              <w:gridCol w:w="4830"/>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项目</w:t>
                  </w:r>
                </w:p>
              </w:tc>
              <w:tc>
                <w:tcPr>
                  <w:tcW w:w="772" w:type="pc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单项工程名称</w:t>
                  </w:r>
                </w:p>
              </w:tc>
              <w:tc>
                <w:tcPr>
                  <w:tcW w:w="3039" w:type="pc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工程建设内容及设计能力</w:t>
                  </w:r>
                </w:p>
              </w:tc>
              <w:tc>
                <w:tcPr>
                  <w:tcW w:w="677" w:type="pct"/>
                  <w:noWrap w:val="0"/>
                  <w:vAlign w:val="center"/>
                </w:tcPr>
                <w:p>
                  <w:pPr>
                    <w:adjustRightInd w:val="0"/>
                    <w:snapToGrid w:val="0"/>
                    <w:jc w:val="center"/>
                    <w:rPr>
                      <w:rFonts w:hint="default" w:ascii="Times New Roman" w:hAnsi="Times New Roman" w:eastAsia="宋体" w:cs="Times New Roman"/>
                      <w:b/>
                      <w:color w:val="auto"/>
                      <w:lang w:eastAsia="zh-CN"/>
                    </w:rPr>
                  </w:pPr>
                  <w:r>
                    <w:rPr>
                      <w:rFonts w:hint="default" w:ascii="Times New Roman" w:hAnsi="Times New Roman" w:cs="Times New Roman"/>
                      <w:b/>
                      <w:color w:val="auto"/>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主体工程</w:t>
                  </w:r>
                </w:p>
              </w:tc>
              <w:tc>
                <w:tcPr>
                  <w:tcW w:w="772" w:type="pct"/>
                  <w:noWrap w:val="0"/>
                  <w:vAlign w:val="center"/>
                </w:tcPr>
                <w:p>
                  <w:pPr>
                    <w:adjustRightInd w:val="0"/>
                    <w:snapToGrid w:val="0"/>
                    <w:jc w:val="center"/>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生产车间</w:t>
                  </w:r>
                </w:p>
              </w:tc>
              <w:tc>
                <w:tcPr>
                  <w:tcW w:w="3039" w:type="pct"/>
                  <w:noWrap w:val="0"/>
                  <w:vAlign w:val="center"/>
                </w:tcPr>
                <w:p>
                  <w:pPr>
                    <w:adjustRightInd w:val="0"/>
                    <w:snapToGrid w:val="0"/>
                    <w:jc w:val="center"/>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租赁标准厂房，生产区建筑面积</w:t>
                  </w:r>
                  <w:r>
                    <w:rPr>
                      <w:rFonts w:hint="eastAsia" w:ascii="Times New Roman" w:hAnsi="Times New Roman" w:cs="Times New Roman"/>
                      <w:b w:val="0"/>
                      <w:bCs/>
                      <w:color w:val="auto"/>
                      <w:lang w:val="en-US" w:eastAsia="zh-CN"/>
                    </w:rPr>
                    <w:t>2000</w:t>
                  </w:r>
                  <w:r>
                    <w:rPr>
                      <w:rFonts w:hint="default" w:ascii="Times New Roman" w:hAnsi="Times New Roman" w:cs="Times New Roman"/>
                      <w:b w:val="0"/>
                      <w:bCs/>
                      <w:color w:val="auto"/>
                      <w:lang w:val="en-US" w:eastAsia="zh-CN"/>
                    </w:rPr>
                    <w:t>m</w:t>
                  </w:r>
                  <w:r>
                    <w:rPr>
                      <w:rFonts w:hint="default" w:ascii="Times New Roman" w:hAnsi="Times New Roman" w:cs="Times New Roman"/>
                      <w:b w:val="0"/>
                      <w:bCs/>
                      <w:color w:val="auto"/>
                      <w:vertAlign w:val="superscript"/>
                      <w:lang w:val="en-US" w:eastAsia="zh-CN"/>
                    </w:rPr>
                    <w:t>2</w:t>
                  </w:r>
                  <w:r>
                    <w:rPr>
                      <w:rFonts w:hint="default" w:ascii="Times New Roman" w:hAnsi="Times New Roman" w:cs="Times New Roman"/>
                      <w:b w:val="0"/>
                      <w:bCs/>
                      <w:color w:val="auto"/>
                      <w:lang w:val="en-US" w:eastAsia="zh-CN"/>
                    </w:rPr>
                    <w:t>。生产车间布置搅拌机、吹膜机、制袋机以及包装机。</w:t>
                  </w:r>
                  <w:r>
                    <w:rPr>
                      <w:rFonts w:hint="default" w:ascii="Times New Roman" w:hAnsi="Times New Roman" w:cs="Times New Roman"/>
                      <w:color w:val="auto"/>
                      <w:lang w:val="en-US" w:eastAsia="zh-CN"/>
                    </w:rPr>
                    <w:t>建成后可年产</w:t>
                  </w:r>
                  <w:r>
                    <w:rPr>
                      <w:rFonts w:hint="eastAsia" w:ascii="Times New Roman" w:hAnsi="Times New Roman" w:cs="Times New Roman"/>
                      <w:color w:val="auto"/>
                      <w:lang w:val="en-US" w:eastAsia="zh-CN"/>
                    </w:rPr>
                    <w:t>快递包装袋500t</w:t>
                  </w:r>
                </w:p>
              </w:tc>
              <w:tc>
                <w:tcPr>
                  <w:tcW w:w="677" w:type="pct"/>
                  <w:noWrap w:val="0"/>
                  <w:vAlign w:val="center"/>
                </w:tcPr>
                <w:p>
                  <w:pPr>
                    <w:adjustRightInd w:val="0"/>
                    <w:snapToGrid w:val="0"/>
                    <w:jc w:val="center"/>
                    <w:rPr>
                      <w:rFonts w:hint="default" w:ascii="Times New Roman" w:hAnsi="Times New Roman" w:eastAsia="宋体" w:cs="Times New Roman"/>
                      <w:b w:val="0"/>
                      <w:bCs/>
                      <w:color w:val="auto"/>
                      <w:lang w:eastAsia="zh-CN"/>
                    </w:rPr>
                  </w:pPr>
                  <w:r>
                    <w:rPr>
                      <w:rFonts w:hint="eastAsia" w:ascii="Times New Roman" w:hAnsi="Times New Roman" w:cs="Times New Roman"/>
                      <w:b w:val="0"/>
                      <w:bCs/>
                      <w:color w:val="auto"/>
                      <w:lang w:val="en-US" w:eastAsia="zh-CN"/>
                    </w:rPr>
                    <w:t>租赁现有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noWrap w:val="0"/>
                  <w:vAlign w:val="center"/>
                </w:tcPr>
                <w:p>
                  <w:pPr>
                    <w:adjustRightInd w:val="0"/>
                    <w:snapToGrid w:val="0"/>
                    <w:jc w:val="center"/>
                    <w:rPr>
                      <w:rFonts w:hint="default" w:ascii="Times New Roman" w:hAnsi="Times New Roman" w:eastAsia="宋体" w:cs="Times New Roman"/>
                      <w:b/>
                      <w:color w:val="auto"/>
                      <w:lang w:eastAsia="zh-CN"/>
                    </w:rPr>
                  </w:pPr>
                  <w:r>
                    <w:rPr>
                      <w:rFonts w:hint="default" w:ascii="Times New Roman" w:hAnsi="Times New Roman" w:cs="Times New Roman"/>
                      <w:b/>
                      <w:color w:val="auto"/>
                      <w:lang w:eastAsia="zh-CN"/>
                    </w:rPr>
                    <w:t>辅助工程</w:t>
                  </w:r>
                </w:p>
              </w:tc>
              <w:tc>
                <w:tcPr>
                  <w:tcW w:w="772" w:type="pct"/>
                  <w:noWrap w:val="0"/>
                  <w:vAlign w:val="center"/>
                </w:tcPr>
                <w:p>
                  <w:pPr>
                    <w:adjustRightInd w:val="0"/>
                    <w:snapToGrid w:val="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办公区</w:t>
                  </w:r>
                </w:p>
              </w:tc>
              <w:tc>
                <w:tcPr>
                  <w:tcW w:w="3039" w:type="pct"/>
                  <w:noWrap w:val="0"/>
                  <w:vAlign w:val="center"/>
                </w:tcPr>
                <w:p>
                  <w:pPr>
                    <w:adjustRightInd w:val="0"/>
                    <w:snapToGrid w:val="0"/>
                    <w:jc w:val="center"/>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位于生产车间</w:t>
                  </w:r>
                  <w:r>
                    <w:rPr>
                      <w:rFonts w:hint="eastAsia" w:ascii="Times New Roman" w:hAnsi="Times New Roman" w:cs="Times New Roman"/>
                      <w:b w:val="0"/>
                      <w:bCs/>
                      <w:color w:val="auto"/>
                      <w:lang w:val="en-US" w:eastAsia="zh-CN"/>
                    </w:rPr>
                    <w:t>北</w:t>
                  </w:r>
                  <w:r>
                    <w:rPr>
                      <w:rFonts w:hint="default" w:ascii="Times New Roman" w:hAnsi="Times New Roman" w:cs="Times New Roman"/>
                      <w:b w:val="0"/>
                      <w:bCs/>
                      <w:color w:val="auto"/>
                      <w:lang w:val="en-US" w:eastAsia="zh-CN"/>
                    </w:rPr>
                    <w:t>面，建筑面积为1</w:t>
                  </w:r>
                  <w:r>
                    <w:rPr>
                      <w:rFonts w:hint="eastAsia" w:ascii="Times New Roman" w:hAnsi="Times New Roman" w:cs="Times New Roman"/>
                      <w:b w:val="0"/>
                      <w:bCs/>
                      <w:color w:val="auto"/>
                      <w:lang w:val="en-US" w:eastAsia="zh-CN"/>
                    </w:rPr>
                    <w:t>4</w:t>
                  </w:r>
                  <w:r>
                    <w:rPr>
                      <w:rFonts w:hint="default" w:ascii="Times New Roman" w:hAnsi="Times New Roman" w:cs="Times New Roman"/>
                      <w:b w:val="0"/>
                      <w:bCs/>
                      <w:color w:val="auto"/>
                      <w:lang w:val="en-US" w:eastAsia="zh-CN"/>
                    </w:rPr>
                    <w:t>8m</w:t>
                  </w:r>
                  <w:r>
                    <w:rPr>
                      <w:rFonts w:hint="default" w:ascii="Times New Roman" w:hAnsi="Times New Roman" w:cs="Times New Roman"/>
                      <w:b w:val="0"/>
                      <w:bCs/>
                      <w:color w:val="auto"/>
                      <w:vertAlign w:val="superscript"/>
                      <w:lang w:val="en-US" w:eastAsia="zh-CN"/>
                    </w:rPr>
                    <w:t>2</w:t>
                  </w:r>
                  <w:r>
                    <w:rPr>
                      <w:rFonts w:hint="default" w:ascii="Times New Roman" w:hAnsi="Times New Roman" w:cs="Times New Roman"/>
                      <w:b w:val="0"/>
                      <w:bCs/>
                      <w:color w:val="auto"/>
                      <w:lang w:val="en-US" w:eastAsia="zh-CN"/>
                    </w:rPr>
                    <w:t>，用于综合办公</w:t>
                  </w:r>
                </w:p>
              </w:tc>
              <w:tc>
                <w:tcPr>
                  <w:tcW w:w="677" w:type="pct"/>
                  <w:noWrap w:val="0"/>
                  <w:vAlign w:val="center"/>
                </w:tcPr>
                <w:p>
                  <w:pPr>
                    <w:adjustRightInd w:val="0"/>
                    <w:snapToGrid w:val="0"/>
                    <w:jc w:val="center"/>
                    <w:rPr>
                      <w:rFonts w:hint="default" w:ascii="Times New Roman" w:hAnsi="Times New Roman" w:eastAsia="宋体" w:cs="Times New Roman"/>
                      <w:b w:val="0"/>
                      <w:bCs/>
                      <w:color w:val="auto"/>
                      <w:lang w:eastAsia="zh-CN"/>
                    </w:rPr>
                  </w:pPr>
                  <w:r>
                    <w:rPr>
                      <w:rFonts w:hint="eastAsia" w:ascii="Times New Roman" w:hAnsi="Times New Roman" w:cs="Times New Roman"/>
                      <w:b w:val="0"/>
                      <w:bCs/>
                      <w:color w:val="auto"/>
                      <w:lang w:val="en-US" w:eastAsia="zh-CN"/>
                    </w:rPr>
                    <w:t>租赁现有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10" w:type="pct"/>
                  <w:vMerge w:val="continue"/>
                  <w:noWrap w:val="0"/>
                  <w:vAlign w:val="center"/>
                </w:tcPr>
                <w:p>
                  <w:pPr>
                    <w:adjustRightInd w:val="0"/>
                    <w:snapToGrid w:val="0"/>
                    <w:jc w:val="center"/>
                    <w:rPr>
                      <w:rFonts w:hint="default" w:ascii="Times New Roman" w:hAnsi="Times New Roman" w:cs="Times New Roman"/>
                      <w:b/>
                      <w:color w:val="auto"/>
                      <w:lang w:eastAsia="zh-CN"/>
                    </w:rPr>
                  </w:pPr>
                </w:p>
              </w:tc>
              <w:tc>
                <w:tcPr>
                  <w:tcW w:w="772" w:type="pct"/>
                  <w:noWrap w:val="0"/>
                  <w:vAlign w:val="center"/>
                </w:tcPr>
                <w:p>
                  <w:pPr>
                    <w:adjustRightInd w:val="0"/>
                    <w:snapToGrid w:val="0"/>
                    <w:jc w:val="center"/>
                    <w:rPr>
                      <w:rFonts w:hint="default" w:ascii="Times New Roman" w:hAnsi="Times New Roman" w:cs="Times New Roman"/>
                      <w:b w:val="0"/>
                      <w:bCs/>
                      <w:color w:val="auto"/>
                      <w:lang w:val="en-US" w:eastAsia="zh-CN"/>
                    </w:rPr>
                  </w:pPr>
                  <w:r>
                    <w:rPr>
                      <w:rFonts w:hint="eastAsia" w:ascii="Times New Roman" w:hAnsi="Times New Roman" w:cs="Times New Roman"/>
                      <w:b w:val="0"/>
                      <w:bCs/>
                      <w:color w:val="auto"/>
                      <w:lang w:val="en-US" w:eastAsia="zh-CN"/>
                    </w:rPr>
                    <w:t>生活区</w:t>
                  </w:r>
                </w:p>
              </w:tc>
              <w:tc>
                <w:tcPr>
                  <w:tcW w:w="3039" w:type="pct"/>
                  <w:noWrap w:val="0"/>
                  <w:vAlign w:val="center"/>
                </w:tcPr>
                <w:p>
                  <w:pPr>
                    <w:adjustRightInd w:val="0"/>
                    <w:snapToGrid w:val="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位于</w:t>
                  </w:r>
                  <w:r>
                    <w:rPr>
                      <w:rFonts w:hint="eastAsia" w:ascii="Times New Roman" w:hAnsi="Times New Roman" w:cs="Times New Roman"/>
                      <w:b w:val="0"/>
                      <w:bCs/>
                      <w:color w:val="auto"/>
                      <w:lang w:val="en-US" w:eastAsia="zh-CN"/>
                    </w:rPr>
                    <w:t>厂区东侧</w:t>
                  </w:r>
                  <w:r>
                    <w:rPr>
                      <w:rFonts w:hint="default" w:ascii="Times New Roman" w:hAnsi="Times New Roman" w:cs="Times New Roman"/>
                      <w:b w:val="0"/>
                      <w:bCs/>
                      <w:color w:val="auto"/>
                      <w:lang w:val="en-US" w:eastAsia="zh-CN"/>
                    </w:rPr>
                    <w:t>，建筑面积为1</w:t>
                  </w:r>
                  <w:r>
                    <w:rPr>
                      <w:rFonts w:hint="eastAsia" w:ascii="Times New Roman" w:hAnsi="Times New Roman" w:cs="Times New Roman"/>
                      <w:b w:val="0"/>
                      <w:bCs/>
                      <w:color w:val="auto"/>
                      <w:lang w:val="en-US" w:eastAsia="zh-CN"/>
                    </w:rPr>
                    <w:t>4</w:t>
                  </w:r>
                  <w:r>
                    <w:rPr>
                      <w:rFonts w:hint="default" w:ascii="Times New Roman" w:hAnsi="Times New Roman" w:cs="Times New Roman"/>
                      <w:b w:val="0"/>
                      <w:bCs/>
                      <w:color w:val="auto"/>
                      <w:lang w:val="en-US" w:eastAsia="zh-CN"/>
                    </w:rPr>
                    <w:t>0m</w:t>
                  </w:r>
                  <w:r>
                    <w:rPr>
                      <w:rFonts w:hint="default" w:ascii="Times New Roman" w:hAnsi="Times New Roman" w:cs="Times New Roman"/>
                      <w:b w:val="0"/>
                      <w:bCs/>
                      <w:color w:val="auto"/>
                      <w:vertAlign w:val="superscript"/>
                      <w:lang w:val="en-US" w:eastAsia="zh-CN"/>
                    </w:rPr>
                    <w:t>2</w:t>
                  </w:r>
                  <w:r>
                    <w:rPr>
                      <w:rFonts w:hint="default" w:ascii="Times New Roman" w:hAnsi="Times New Roman" w:cs="Times New Roman"/>
                      <w:b w:val="0"/>
                      <w:bCs/>
                      <w:color w:val="auto"/>
                      <w:lang w:val="en-US" w:eastAsia="zh-CN"/>
                    </w:rPr>
                    <w:t>，用于</w:t>
                  </w:r>
                  <w:r>
                    <w:rPr>
                      <w:rFonts w:hint="eastAsia" w:ascii="Times New Roman" w:hAnsi="Times New Roman" w:cs="Times New Roman"/>
                      <w:b w:val="0"/>
                      <w:bCs/>
                      <w:color w:val="auto"/>
                      <w:lang w:val="en-US" w:eastAsia="zh-CN"/>
                    </w:rPr>
                    <w:t>员工休息、住宿</w:t>
                  </w:r>
                </w:p>
              </w:tc>
              <w:tc>
                <w:tcPr>
                  <w:tcW w:w="677" w:type="pct"/>
                  <w:noWrap w:val="0"/>
                  <w:vAlign w:val="center"/>
                </w:tcPr>
                <w:p>
                  <w:pPr>
                    <w:adjustRightInd w:val="0"/>
                    <w:snapToGrid w:val="0"/>
                    <w:jc w:val="center"/>
                    <w:rPr>
                      <w:rFonts w:hint="eastAsia" w:ascii="Times New Roman" w:hAnsi="Times New Roman" w:cs="Times New Roman"/>
                      <w:b w:val="0"/>
                      <w:bCs/>
                      <w:color w:val="auto"/>
                      <w:lang w:val="en-US" w:eastAsia="zh-CN"/>
                    </w:rPr>
                  </w:pPr>
                  <w:r>
                    <w:rPr>
                      <w:rFonts w:hint="eastAsia" w:ascii="Times New Roman" w:hAnsi="Times New Roman" w:cs="Times New Roman"/>
                      <w:b w:val="0"/>
                      <w:bCs/>
                      <w:color w:val="auto"/>
                      <w:lang w:val="en-US" w:eastAsia="zh-CN"/>
                    </w:rPr>
                    <w:t>租赁现有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0" w:type="pct"/>
                  <w:vMerge w:val="restar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贮运工程</w:t>
                  </w:r>
                </w:p>
              </w:tc>
              <w:tc>
                <w:tcPr>
                  <w:tcW w:w="772" w:type="pct"/>
                  <w:noWrap w:val="0"/>
                  <w:vAlign w:val="center"/>
                </w:tcPr>
                <w:p>
                  <w:pPr>
                    <w:adjustRightInd w:val="0"/>
                    <w:snapToGrid w:val="0"/>
                    <w:jc w:val="center"/>
                    <w:rPr>
                      <w:rFonts w:hint="default" w:ascii="Times New Roman" w:hAnsi="Times New Roman" w:eastAsia="宋体" w:cs="Times New Roman"/>
                      <w:b w:val="0"/>
                      <w:bCs/>
                      <w:color w:val="auto"/>
                      <w:lang w:eastAsia="zh-CN"/>
                    </w:rPr>
                  </w:pPr>
                  <w:r>
                    <w:rPr>
                      <w:rFonts w:hint="eastAsia" w:ascii="Times New Roman" w:hAnsi="Times New Roman" w:cs="Times New Roman"/>
                      <w:b w:val="0"/>
                      <w:bCs/>
                      <w:color w:val="auto"/>
                      <w:lang w:val="en-US" w:eastAsia="zh-CN"/>
                    </w:rPr>
                    <w:t>原料仓库</w:t>
                  </w:r>
                </w:p>
              </w:tc>
              <w:tc>
                <w:tcPr>
                  <w:tcW w:w="3039" w:type="pct"/>
                  <w:noWrap w:val="0"/>
                  <w:vAlign w:val="center"/>
                </w:tcPr>
                <w:p>
                  <w:pPr>
                    <w:adjustRightInd w:val="0"/>
                    <w:snapToGrid w:val="0"/>
                    <w:jc w:val="center"/>
                    <w:rPr>
                      <w:rFonts w:hint="default" w:ascii="Times New Roman" w:hAnsi="Times New Roman" w:eastAsia="宋体" w:cs="Times New Roman"/>
                      <w:b w:val="0"/>
                      <w:bCs/>
                      <w:color w:val="auto"/>
                      <w:vertAlign w:val="baseline"/>
                      <w:lang w:eastAsia="zh-CN"/>
                    </w:rPr>
                  </w:pPr>
                  <w:r>
                    <w:rPr>
                      <w:rFonts w:hint="default" w:ascii="Times New Roman" w:hAnsi="Times New Roman" w:cs="Times New Roman"/>
                      <w:b w:val="0"/>
                      <w:bCs/>
                      <w:color w:val="auto"/>
                      <w:lang w:val="en-US" w:eastAsia="zh-CN"/>
                    </w:rPr>
                    <w:t>位于生产车间</w:t>
                  </w:r>
                  <w:r>
                    <w:rPr>
                      <w:rFonts w:hint="eastAsia" w:ascii="Times New Roman" w:hAnsi="Times New Roman" w:cs="Times New Roman"/>
                      <w:b w:val="0"/>
                      <w:bCs/>
                      <w:color w:val="auto"/>
                      <w:lang w:val="en-US" w:eastAsia="zh-CN"/>
                    </w:rPr>
                    <w:t>西南部</w:t>
                  </w:r>
                  <w:r>
                    <w:rPr>
                      <w:rFonts w:hint="default" w:ascii="Times New Roman" w:hAnsi="Times New Roman" w:cs="Times New Roman"/>
                      <w:b w:val="0"/>
                      <w:bCs/>
                      <w:color w:val="auto"/>
                      <w:lang w:val="en-US" w:eastAsia="zh-CN"/>
                    </w:rPr>
                    <w:t>，标准厂房，建筑面积</w:t>
                  </w:r>
                  <w:r>
                    <w:rPr>
                      <w:rFonts w:hint="eastAsia" w:ascii="Times New Roman" w:hAnsi="Times New Roman" w:cs="Times New Roman"/>
                      <w:b w:val="0"/>
                      <w:bCs/>
                      <w:color w:val="auto"/>
                      <w:lang w:val="en-US" w:eastAsia="zh-CN"/>
                    </w:rPr>
                    <w:t>400</w:t>
                  </w:r>
                  <w:r>
                    <w:rPr>
                      <w:rFonts w:hint="default" w:ascii="Times New Roman" w:hAnsi="Times New Roman" w:cs="Times New Roman"/>
                      <w:b w:val="0"/>
                      <w:bCs/>
                      <w:color w:val="auto"/>
                      <w:lang w:val="en-US" w:eastAsia="zh-CN"/>
                    </w:rPr>
                    <w:t>m</w:t>
                  </w:r>
                  <w:r>
                    <w:rPr>
                      <w:rFonts w:hint="default" w:ascii="Times New Roman" w:hAnsi="Times New Roman" w:cs="Times New Roman"/>
                      <w:b w:val="0"/>
                      <w:bCs/>
                      <w:color w:val="auto"/>
                      <w:vertAlign w:val="superscript"/>
                      <w:lang w:val="en-US" w:eastAsia="zh-CN"/>
                    </w:rPr>
                    <w:t>2</w:t>
                  </w:r>
                  <w:r>
                    <w:rPr>
                      <w:rFonts w:hint="default" w:ascii="Times New Roman" w:hAnsi="Times New Roman" w:cs="Times New Roman"/>
                      <w:b w:val="0"/>
                      <w:bCs/>
                      <w:color w:val="auto"/>
                      <w:lang w:val="en-US" w:eastAsia="zh-CN"/>
                    </w:rPr>
                    <w:t>。</w:t>
                  </w:r>
                </w:p>
              </w:tc>
              <w:tc>
                <w:tcPr>
                  <w:tcW w:w="677" w:type="pct"/>
                  <w:noWrap w:val="0"/>
                  <w:vAlign w:val="center"/>
                </w:tcPr>
                <w:p>
                  <w:pPr>
                    <w:adjustRightInd w:val="0"/>
                    <w:snapToGrid w:val="0"/>
                    <w:jc w:val="center"/>
                    <w:rPr>
                      <w:rFonts w:hint="default" w:ascii="Times New Roman" w:hAnsi="Times New Roman" w:eastAsia="宋体" w:cs="Times New Roman"/>
                      <w:b w:val="0"/>
                      <w:bCs/>
                      <w:color w:val="auto"/>
                      <w:lang w:eastAsia="zh-CN"/>
                    </w:rPr>
                  </w:pPr>
                  <w:r>
                    <w:rPr>
                      <w:rFonts w:hint="eastAsia" w:ascii="Times New Roman" w:hAnsi="Times New Roman" w:cs="Times New Roman"/>
                      <w:b w:val="0"/>
                      <w:bCs/>
                      <w:color w:val="auto"/>
                      <w:lang w:val="en-US" w:eastAsia="zh-CN"/>
                    </w:rPr>
                    <w:t>租赁现有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color w:val="auto"/>
                    </w:rPr>
                  </w:pPr>
                </w:p>
              </w:tc>
              <w:tc>
                <w:tcPr>
                  <w:tcW w:w="772" w:type="pct"/>
                  <w:noWrap w:val="0"/>
                  <w:vAlign w:val="center"/>
                </w:tcPr>
                <w:p>
                  <w:pPr>
                    <w:adjustRightInd w:val="0"/>
                    <w:snapToGrid w:val="0"/>
                    <w:jc w:val="center"/>
                    <w:rPr>
                      <w:rFonts w:hint="default" w:ascii="Times New Roman" w:hAnsi="Times New Roman" w:eastAsia="宋体" w:cs="Times New Roman"/>
                      <w:b w:val="0"/>
                      <w:bCs/>
                      <w:color w:val="auto"/>
                      <w:lang w:eastAsia="zh-CN"/>
                    </w:rPr>
                  </w:pPr>
                  <w:r>
                    <w:rPr>
                      <w:rFonts w:hint="eastAsia" w:ascii="Times New Roman" w:hAnsi="Times New Roman" w:cs="Times New Roman"/>
                      <w:b w:val="0"/>
                      <w:bCs/>
                      <w:color w:val="auto"/>
                      <w:lang w:val="en-US" w:eastAsia="zh-CN"/>
                    </w:rPr>
                    <w:t>产品仓库</w:t>
                  </w:r>
                </w:p>
              </w:tc>
              <w:tc>
                <w:tcPr>
                  <w:tcW w:w="3039" w:type="pct"/>
                  <w:noWrap w:val="0"/>
                  <w:vAlign w:val="center"/>
                </w:tcPr>
                <w:p>
                  <w:pPr>
                    <w:adjustRightInd w:val="0"/>
                    <w:snapToGrid w:val="0"/>
                    <w:jc w:val="center"/>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位于生产车间</w:t>
                  </w:r>
                  <w:r>
                    <w:rPr>
                      <w:rFonts w:hint="eastAsia" w:ascii="Times New Roman" w:hAnsi="Times New Roman" w:cs="Times New Roman"/>
                      <w:b w:val="0"/>
                      <w:bCs/>
                      <w:color w:val="auto"/>
                      <w:lang w:val="en-US" w:eastAsia="zh-CN"/>
                    </w:rPr>
                    <w:t>东部</w:t>
                  </w:r>
                  <w:r>
                    <w:rPr>
                      <w:rFonts w:hint="default" w:ascii="Times New Roman" w:hAnsi="Times New Roman" w:cs="Times New Roman"/>
                      <w:b w:val="0"/>
                      <w:bCs/>
                      <w:color w:val="auto"/>
                      <w:lang w:val="en-US" w:eastAsia="zh-CN"/>
                    </w:rPr>
                    <w:t>，标准厂房，建筑面积</w:t>
                  </w:r>
                  <w:r>
                    <w:rPr>
                      <w:rFonts w:hint="eastAsia" w:ascii="Times New Roman" w:hAnsi="Times New Roman" w:cs="Times New Roman"/>
                      <w:b w:val="0"/>
                      <w:bCs/>
                      <w:color w:val="auto"/>
                      <w:lang w:val="en-US" w:eastAsia="zh-CN"/>
                    </w:rPr>
                    <w:t>600</w:t>
                  </w:r>
                  <w:r>
                    <w:rPr>
                      <w:rFonts w:hint="default" w:ascii="Times New Roman" w:hAnsi="Times New Roman" w:cs="Times New Roman"/>
                      <w:b w:val="0"/>
                      <w:bCs/>
                      <w:color w:val="auto"/>
                      <w:lang w:val="en-US" w:eastAsia="zh-CN"/>
                    </w:rPr>
                    <w:t>m</w:t>
                  </w:r>
                  <w:r>
                    <w:rPr>
                      <w:rFonts w:hint="default" w:ascii="Times New Roman" w:hAnsi="Times New Roman" w:cs="Times New Roman"/>
                      <w:b w:val="0"/>
                      <w:bCs/>
                      <w:color w:val="auto"/>
                      <w:vertAlign w:val="superscript"/>
                      <w:lang w:val="en-US" w:eastAsia="zh-CN"/>
                    </w:rPr>
                    <w:t>2</w:t>
                  </w:r>
                  <w:r>
                    <w:rPr>
                      <w:rFonts w:hint="default" w:ascii="Times New Roman" w:hAnsi="Times New Roman" w:cs="Times New Roman"/>
                      <w:b w:val="0"/>
                      <w:bCs/>
                      <w:color w:val="auto"/>
                      <w:lang w:val="en-US" w:eastAsia="zh-CN"/>
                    </w:rPr>
                    <w:t>。</w:t>
                  </w:r>
                  <w:r>
                    <w:rPr>
                      <w:rFonts w:hint="eastAsia" w:ascii="Times New Roman" w:hAnsi="Times New Roman" w:cs="Times New Roman"/>
                      <w:b w:val="0"/>
                      <w:bCs/>
                      <w:color w:val="auto"/>
                      <w:lang w:val="en-US" w:eastAsia="zh-CN"/>
                    </w:rPr>
                    <w:t>包括</w:t>
                  </w:r>
                  <w:r>
                    <w:rPr>
                      <w:rFonts w:hint="default" w:ascii="Times New Roman" w:hAnsi="Times New Roman" w:cs="Times New Roman"/>
                      <w:b w:val="0"/>
                      <w:bCs/>
                      <w:color w:val="auto"/>
                      <w:lang w:val="en-US" w:eastAsia="zh-CN"/>
                    </w:rPr>
                    <w:t>半成品区、成品区</w:t>
                  </w:r>
                </w:p>
              </w:tc>
              <w:tc>
                <w:tcPr>
                  <w:tcW w:w="677" w:type="pct"/>
                  <w:noWrap w:val="0"/>
                  <w:vAlign w:val="center"/>
                </w:tcPr>
                <w:p>
                  <w:pPr>
                    <w:adjustRightInd w:val="0"/>
                    <w:snapToGrid w:val="0"/>
                    <w:jc w:val="center"/>
                    <w:rPr>
                      <w:rFonts w:hint="default" w:ascii="Times New Roman" w:hAnsi="Times New Roman" w:eastAsia="宋体" w:cs="Times New Roman"/>
                      <w:b w:val="0"/>
                      <w:bCs/>
                      <w:color w:val="auto"/>
                      <w:lang w:eastAsia="zh-CN"/>
                    </w:rPr>
                  </w:pPr>
                  <w:r>
                    <w:rPr>
                      <w:rFonts w:hint="eastAsia" w:ascii="Times New Roman" w:hAnsi="Times New Roman" w:cs="Times New Roman"/>
                      <w:b w:val="0"/>
                      <w:bCs/>
                      <w:color w:val="auto"/>
                      <w:lang w:val="en-US" w:eastAsia="zh-CN"/>
                    </w:rPr>
                    <w:t>租赁现有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510" w:type="pct"/>
                  <w:vMerge w:val="restar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公用工程</w:t>
                  </w:r>
                </w:p>
              </w:tc>
              <w:tc>
                <w:tcPr>
                  <w:tcW w:w="772" w:type="pct"/>
                  <w:noWrap w:val="0"/>
                  <w:vAlign w:val="center"/>
                </w:tcPr>
                <w:p>
                  <w:pPr>
                    <w:adjustRightInd w:val="0"/>
                    <w:snapToGrid w:val="0"/>
                    <w:jc w:val="center"/>
                    <w:rPr>
                      <w:rFonts w:hint="default" w:ascii="Times New Roman" w:hAnsi="Times New Roman" w:cs="Times New Roman"/>
                      <w:b w:val="0"/>
                      <w:bCs/>
                      <w:color w:val="auto"/>
                    </w:rPr>
                  </w:pPr>
                  <w:r>
                    <w:rPr>
                      <w:rFonts w:hint="default" w:ascii="Times New Roman" w:hAnsi="Times New Roman" w:cs="Times New Roman"/>
                      <w:b w:val="0"/>
                      <w:bCs/>
                      <w:color w:val="auto"/>
                    </w:rPr>
                    <w:t>给水</w:t>
                  </w:r>
                </w:p>
              </w:tc>
              <w:tc>
                <w:tcPr>
                  <w:tcW w:w="3039" w:type="pct"/>
                  <w:noWrap w:val="0"/>
                  <w:vAlign w:val="center"/>
                </w:tcPr>
                <w:p>
                  <w:pPr>
                    <w:adjustRightInd w:val="0"/>
                    <w:snapToGrid w:val="0"/>
                    <w:jc w:val="center"/>
                    <w:rPr>
                      <w:rFonts w:hint="default" w:ascii="Times New Roman" w:hAnsi="Times New Roman" w:cs="Times New Roman"/>
                      <w:b w:val="0"/>
                      <w:bCs/>
                      <w:color w:val="auto"/>
                    </w:rPr>
                  </w:pPr>
                  <w:r>
                    <w:rPr>
                      <w:rFonts w:hint="eastAsia" w:ascii="Times New Roman" w:hAnsi="Times New Roman" w:cs="Times New Roman"/>
                      <w:b w:val="0"/>
                      <w:bCs/>
                      <w:color w:val="auto"/>
                      <w:lang w:val="en-US" w:eastAsia="zh-CN"/>
                    </w:rPr>
                    <w:t>自来水</w:t>
                  </w:r>
                  <w:r>
                    <w:rPr>
                      <w:rFonts w:hint="default" w:ascii="Times New Roman" w:hAnsi="Times New Roman" w:cs="Times New Roman"/>
                      <w:b w:val="0"/>
                      <w:bCs/>
                      <w:color w:val="auto"/>
                      <w:lang w:val="en-US" w:eastAsia="zh-CN"/>
                    </w:rPr>
                    <w:t>，用水量为</w:t>
                  </w:r>
                  <w:r>
                    <w:rPr>
                      <w:rFonts w:hint="eastAsia" w:ascii="Times New Roman" w:hAnsi="Times New Roman" w:cs="Times New Roman"/>
                      <w:b w:val="0"/>
                      <w:bCs/>
                      <w:color w:val="auto"/>
                      <w:lang w:val="en-US" w:eastAsia="zh-CN"/>
                    </w:rPr>
                    <w:t>3330</w:t>
                  </w:r>
                  <w:r>
                    <w:rPr>
                      <w:rFonts w:hint="default" w:ascii="Times New Roman" w:hAnsi="Times New Roman" w:cs="Times New Roman"/>
                      <w:b w:val="0"/>
                      <w:bCs/>
                      <w:color w:val="auto"/>
                      <w:lang w:val="en-US" w:eastAsia="zh-CN"/>
                    </w:rPr>
                    <w:t>t/a</w:t>
                  </w:r>
                </w:p>
              </w:tc>
              <w:tc>
                <w:tcPr>
                  <w:tcW w:w="677" w:type="pct"/>
                  <w:noWrap w:val="0"/>
                  <w:vAlign w:val="center"/>
                </w:tcPr>
                <w:p>
                  <w:pPr>
                    <w:adjustRightInd w:val="0"/>
                    <w:snapToGrid w:val="0"/>
                    <w:jc w:val="center"/>
                    <w:rPr>
                      <w:rFonts w:hint="default" w:ascii="Times New Roman" w:hAnsi="Times New Roman" w:eastAsia="宋体" w:cs="Times New Roman"/>
                      <w:b w:val="0"/>
                      <w:bCs/>
                      <w:color w:val="auto"/>
                      <w:lang w:eastAsia="zh-CN"/>
                    </w:rPr>
                  </w:pPr>
                  <w:r>
                    <w:rPr>
                      <w:rFonts w:hint="eastAsia" w:ascii="Times New Roman" w:hAnsi="Times New Roman" w:cs="Times New Roman"/>
                      <w:b w:val="0"/>
                      <w:bCs/>
                      <w:color w:val="auto"/>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color w:val="auto"/>
                    </w:rPr>
                  </w:pPr>
                </w:p>
              </w:tc>
              <w:tc>
                <w:tcPr>
                  <w:tcW w:w="772" w:type="pct"/>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排水</w:t>
                  </w:r>
                </w:p>
              </w:tc>
              <w:tc>
                <w:tcPr>
                  <w:tcW w:w="3039" w:type="pct"/>
                  <w:noWrap w:val="0"/>
                  <w:vAlign w:val="center"/>
                </w:tcPr>
                <w:p>
                  <w:pPr>
                    <w:adjustRightInd w:val="0"/>
                    <w:snapToGrid w:val="0"/>
                    <w:jc w:val="center"/>
                    <w:rPr>
                      <w:rFonts w:hint="default" w:ascii="Times New Roman" w:hAnsi="Times New Roman" w:cs="Times New Roman"/>
                      <w:b/>
                      <w:color w:val="auto"/>
                    </w:rPr>
                  </w:pPr>
                  <w:r>
                    <w:rPr>
                      <w:rFonts w:hint="eastAsia" w:ascii="Times New Roman" w:hAnsi="Times New Roman" w:eastAsia="宋体" w:cs="Times New Roman"/>
                      <w:b w:val="0"/>
                      <w:bCs/>
                      <w:color w:val="auto"/>
                      <w:lang w:val="en-US" w:eastAsia="zh-CN"/>
                    </w:rPr>
                    <w:t>生活污水经化粪池处理后，用作农肥；冷却水循环使用，不外排</w:t>
                  </w:r>
                </w:p>
              </w:tc>
              <w:tc>
                <w:tcPr>
                  <w:tcW w:w="677" w:type="pct"/>
                  <w:noWrap w:val="0"/>
                  <w:vAlign w:val="center"/>
                </w:tcPr>
                <w:p>
                  <w:pPr>
                    <w:adjustRightInd w:val="0"/>
                    <w:snapToGrid w:val="0"/>
                    <w:jc w:val="center"/>
                    <w:rPr>
                      <w:rFonts w:hint="default" w:ascii="Times New Roman" w:hAnsi="Times New Roman" w:cs="Times New Roman"/>
                      <w:b/>
                      <w:color w:val="auto"/>
                      <w:lang w:val="en-US"/>
                    </w:rPr>
                  </w:pPr>
                  <w:r>
                    <w:rPr>
                      <w:rFonts w:hint="eastAsia" w:ascii="Times New Roman" w:hAnsi="Times New Roman" w:cs="Times New Roman"/>
                      <w:b w:val="0"/>
                      <w:bCs/>
                      <w:color w:val="auto"/>
                      <w:lang w:val="en-US" w:eastAsia="zh-CN"/>
                    </w:rPr>
                    <w:t>化粪池现有，自建</w:t>
                  </w:r>
                  <w:r>
                    <w:rPr>
                      <w:rFonts w:hint="eastAsia" w:ascii="Times New Roman" w:hAnsi="Times New Roman" w:eastAsia="宋体" w:cs="Times New Roman"/>
                      <w:b w:val="0"/>
                      <w:bCs/>
                      <w:color w:val="auto"/>
                      <w:lang w:val="en-US" w:eastAsia="zh-CN"/>
                    </w:rPr>
                    <w:t>冷却水循环系统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color w:val="auto"/>
                    </w:rPr>
                  </w:pPr>
                </w:p>
              </w:tc>
              <w:tc>
                <w:tcPr>
                  <w:tcW w:w="772" w:type="pct"/>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供电</w:t>
                  </w:r>
                </w:p>
              </w:tc>
              <w:tc>
                <w:tcPr>
                  <w:tcW w:w="3039" w:type="pc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val="0"/>
                      <w:bCs/>
                      <w:color w:val="auto"/>
                      <w:lang w:val="en-US" w:eastAsia="zh-CN"/>
                    </w:rPr>
                    <w:t>市政供电管网，用电量为</w:t>
                  </w:r>
                  <w:r>
                    <w:rPr>
                      <w:rFonts w:hint="eastAsia" w:ascii="Times New Roman" w:hAnsi="Times New Roman" w:cs="Times New Roman"/>
                      <w:b w:val="0"/>
                      <w:bCs/>
                      <w:color w:val="auto"/>
                      <w:lang w:val="en-US" w:eastAsia="zh-CN"/>
                    </w:rPr>
                    <w:t>2</w:t>
                  </w:r>
                  <w:r>
                    <w:rPr>
                      <w:rFonts w:hint="default" w:ascii="Times New Roman" w:hAnsi="Times New Roman" w:cs="Times New Roman"/>
                      <w:b w:val="0"/>
                      <w:bCs/>
                      <w:color w:val="auto"/>
                      <w:lang w:val="en-US" w:eastAsia="zh-CN"/>
                    </w:rPr>
                    <w:t>0万KWh/a</w:t>
                  </w:r>
                </w:p>
              </w:tc>
              <w:tc>
                <w:tcPr>
                  <w:tcW w:w="677" w:type="pct"/>
                  <w:noWrap w:val="0"/>
                  <w:vAlign w:val="center"/>
                </w:tcPr>
                <w:p>
                  <w:pPr>
                    <w:adjustRightInd w:val="0"/>
                    <w:snapToGrid w:val="0"/>
                    <w:jc w:val="center"/>
                    <w:rPr>
                      <w:rFonts w:hint="default" w:ascii="Times New Roman" w:hAnsi="Times New Roman" w:cs="Times New Roman"/>
                      <w:b/>
                      <w:color w:val="auto"/>
                    </w:rPr>
                  </w:pPr>
                  <w:r>
                    <w:rPr>
                      <w:rFonts w:hint="eastAsia" w:ascii="Times New Roman" w:hAnsi="Times New Roman" w:cs="Times New Roman"/>
                      <w:b w:val="0"/>
                      <w:bCs/>
                      <w:color w:val="auto"/>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0" w:type="pct"/>
                  <w:vMerge w:val="restar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环保工程</w:t>
                  </w:r>
                </w:p>
              </w:tc>
              <w:tc>
                <w:tcPr>
                  <w:tcW w:w="772" w:type="pct"/>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废气处理</w:t>
                  </w:r>
                </w:p>
              </w:tc>
              <w:tc>
                <w:tcPr>
                  <w:tcW w:w="3039" w:type="pc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color w:val="auto"/>
                      <w:lang w:val="en-US" w:eastAsia="zh-CN"/>
                    </w:rPr>
                    <w:t>生产车间吹膜</w:t>
                  </w:r>
                  <w:r>
                    <w:rPr>
                      <w:rFonts w:hint="eastAsia" w:ascii="Times New Roman" w:hAnsi="Times New Roman" w:cs="Times New Roman"/>
                      <w:color w:val="auto"/>
                      <w:lang w:val="en-US" w:eastAsia="zh-CN"/>
                    </w:rPr>
                    <w:t>以及造粒工序</w:t>
                  </w:r>
                  <w:r>
                    <w:rPr>
                      <w:rFonts w:hint="default" w:ascii="Times New Roman" w:hAnsi="Times New Roman" w:cs="Times New Roman"/>
                      <w:color w:val="auto"/>
                      <w:lang w:val="en-US" w:eastAsia="zh-CN"/>
                    </w:rPr>
                    <w:t>产生的</w:t>
                  </w:r>
                  <w:r>
                    <w:rPr>
                      <w:rFonts w:hint="eastAsia" w:ascii="Times New Roman" w:hAnsi="Times New Roman" w:cs="Times New Roman"/>
                      <w:color w:val="auto"/>
                      <w:lang w:val="en-US" w:eastAsia="zh-CN"/>
                    </w:rPr>
                    <w:t>有机</w:t>
                  </w:r>
                  <w:r>
                    <w:rPr>
                      <w:rFonts w:hint="default" w:ascii="Times New Roman" w:hAnsi="Times New Roman" w:cs="Times New Roman"/>
                      <w:color w:val="auto"/>
                      <w:lang w:val="en-US" w:eastAsia="zh-CN"/>
                    </w:rPr>
                    <w:t>废气通过负压收集后经</w:t>
                  </w:r>
                  <w:r>
                    <w:rPr>
                      <w:rFonts w:hint="eastAsia" w:ascii="Times New Roman" w:hAnsi="Times New Roman" w:cs="Times New Roman"/>
                      <w:color w:val="auto"/>
                      <w:lang w:val="en-US" w:eastAsia="zh-CN"/>
                    </w:rPr>
                    <w:t>两级活性炭吸附装置</w:t>
                  </w:r>
                  <w:r>
                    <w:rPr>
                      <w:rFonts w:hint="default" w:ascii="Times New Roman" w:hAnsi="Times New Roman" w:cs="Times New Roman"/>
                      <w:color w:val="auto"/>
                      <w:lang w:val="en-US" w:eastAsia="zh-CN"/>
                    </w:rPr>
                    <w:t>处理再通过</w:t>
                  </w:r>
                  <w:r>
                    <w:rPr>
                      <w:rFonts w:hint="eastAsia" w:ascii="Times New Roman" w:hAnsi="Times New Roman" w:cs="Times New Roman"/>
                      <w:color w:val="auto"/>
                      <w:lang w:val="en-US" w:eastAsia="zh-CN"/>
                    </w:rPr>
                    <w:t>一根</w:t>
                  </w:r>
                  <w:r>
                    <w:rPr>
                      <w:rFonts w:hint="default" w:ascii="Times New Roman" w:hAnsi="Times New Roman" w:cs="Times New Roman"/>
                      <w:color w:val="auto"/>
                      <w:lang w:val="en-US" w:eastAsia="zh-CN"/>
                    </w:rPr>
                    <w:t>15m高排气筒</w:t>
                  </w:r>
                  <w:r>
                    <w:rPr>
                      <w:rFonts w:hint="eastAsia" w:ascii="Times New Roman" w:hAnsi="Times New Roman" w:cs="Times New Roman"/>
                      <w:color w:val="auto"/>
                      <w:lang w:val="en-US" w:eastAsia="zh-CN"/>
                    </w:rPr>
                    <w:t>（DA001）</w:t>
                  </w:r>
                  <w:r>
                    <w:rPr>
                      <w:rFonts w:hint="default" w:ascii="Times New Roman" w:hAnsi="Times New Roman" w:cs="Times New Roman"/>
                      <w:color w:val="auto"/>
                      <w:lang w:val="en-US" w:eastAsia="zh-CN"/>
                    </w:rPr>
                    <w:t>排放</w:t>
                  </w:r>
                </w:p>
              </w:tc>
              <w:tc>
                <w:tcPr>
                  <w:tcW w:w="677" w:type="pct"/>
                  <w:noWrap w:val="0"/>
                  <w:vAlign w:val="center"/>
                </w:tcPr>
                <w:p>
                  <w:pPr>
                    <w:adjustRightInd w:val="0"/>
                    <w:snapToGrid w:val="0"/>
                    <w:jc w:val="center"/>
                    <w:rPr>
                      <w:rFonts w:hint="default" w:ascii="Times New Roman" w:hAnsi="Times New Roman" w:eastAsia="宋体" w:cs="Times New Roman"/>
                      <w:b/>
                      <w:color w:val="auto"/>
                      <w:lang w:eastAsia="zh-CN"/>
                    </w:rPr>
                  </w:pPr>
                  <w:r>
                    <w:rPr>
                      <w:rFonts w:hint="default" w:ascii="Times New Roman" w:hAnsi="Times New Roman" w:cs="Times New Roman"/>
                      <w:b w:val="0"/>
                      <w:bCs/>
                      <w:color w:val="auto"/>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0" w:type="pct"/>
                  <w:vMerge w:val="continue"/>
                  <w:noWrap w:val="0"/>
                  <w:vAlign w:val="center"/>
                </w:tcPr>
                <w:p>
                  <w:pPr>
                    <w:adjustRightInd w:val="0"/>
                    <w:snapToGrid w:val="0"/>
                    <w:jc w:val="center"/>
                    <w:rPr>
                      <w:rFonts w:hint="default" w:ascii="Times New Roman" w:hAnsi="Times New Roman" w:cs="Times New Roman"/>
                      <w:b/>
                      <w:color w:val="auto"/>
                    </w:rPr>
                  </w:pPr>
                </w:p>
              </w:tc>
              <w:tc>
                <w:tcPr>
                  <w:tcW w:w="772" w:type="pct"/>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废水处理</w:t>
                  </w:r>
                </w:p>
              </w:tc>
              <w:tc>
                <w:tcPr>
                  <w:tcW w:w="3039" w:type="pc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eastAsia="宋体" w:cs="Times New Roman"/>
                      <w:b w:val="0"/>
                      <w:bCs/>
                      <w:color w:val="auto"/>
                      <w:lang w:val="en-US" w:eastAsia="zh-CN"/>
                    </w:rPr>
                    <w:t>本项目</w:t>
                  </w:r>
                  <w:r>
                    <w:rPr>
                      <w:rFonts w:hint="eastAsia" w:ascii="Times New Roman" w:hAnsi="Times New Roman" w:eastAsia="宋体" w:cs="Times New Roman"/>
                      <w:b w:val="0"/>
                      <w:bCs/>
                      <w:color w:val="auto"/>
                      <w:lang w:val="en-US" w:eastAsia="zh-CN"/>
                    </w:rPr>
                    <w:t>生活污水经化粪池处理后，用作农肥；冷却水循环使用，不外排</w:t>
                  </w:r>
                </w:p>
              </w:tc>
              <w:tc>
                <w:tcPr>
                  <w:tcW w:w="677" w:type="pct"/>
                  <w:noWrap w:val="0"/>
                  <w:vAlign w:val="center"/>
                </w:tcPr>
                <w:p>
                  <w:pPr>
                    <w:adjustRightInd w:val="0"/>
                    <w:snapToGrid w:val="0"/>
                    <w:jc w:val="center"/>
                    <w:rPr>
                      <w:rFonts w:hint="default" w:ascii="Times New Roman" w:hAnsi="Times New Roman" w:eastAsia="宋体" w:cs="Times New Roman"/>
                      <w:b/>
                      <w:color w:val="auto"/>
                      <w:lang w:eastAsia="zh-CN"/>
                    </w:rPr>
                  </w:pPr>
                  <w:r>
                    <w:rPr>
                      <w:rFonts w:hint="eastAsia" w:ascii="Times New Roman" w:hAnsi="Times New Roman" w:cs="Times New Roman"/>
                      <w:b w:val="0"/>
                      <w:bCs/>
                      <w:color w:val="auto"/>
                      <w:lang w:val="en-US" w:eastAsia="zh-CN"/>
                    </w:rPr>
                    <w:t>化粪池现有，自建</w:t>
                  </w:r>
                  <w:r>
                    <w:rPr>
                      <w:rFonts w:hint="eastAsia" w:ascii="Times New Roman" w:hAnsi="Times New Roman" w:eastAsia="宋体" w:cs="Times New Roman"/>
                      <w:b w:val="0"/>
                      <w:bCs/>
                      <w:color w:val="auto"/>
                      <w:lang w:val="en-US" w:eastAsia="zh-CN"/>
                    </w:rPr>
                    <w:t>冷却水循环系统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color w:val="auto"/>
                    </w:rPr>
                  </w:pPr>
                </w:p>
              </w:tc>
              <w:tc>
                <w:tcPr>
                  <w:tcW w:w="772" w:type="pct"/>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固废处理处置</w:t>
                  </w:r>
                </w:p>
              </w:tc>
              <w:tc>
                <w:tcPr>
                  <w:tcW w:w="3039" w:type="pc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color w:val="auto"/>
                      <w:lang w:val="en-US" w:eastAsia="zh-CN"/>
                    </w:rPr>
                    <w:t>边角料、不合格</w:t>
                  </w:r>
                  <w:r>
                    <w:rPr>
                      <w:rFonts w:hint="eastAsia" w:ascii="Times New Roman" w:hAnsi="Times New Roman" w:cs="Times New Roman"/>
                      <w:color w:val="auto"/>
                      <w:lang w:val="en-US" w:eastAsia="zh-CN"/>
                    </w:rPr>
                    <w:t>以及废薄膜收集后经过造粒回用于生产包装袋</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废包装袋收集后外售物资回收单位；活性炭、</w:t>
                  </w:r>
                  <w:r>
                    <w:rPr>
                      <w:rFonts w:hint="default" w:ascii="Times New Roman" w:hAnsi="Times New Roman" w:cs="Times New Roman"/>
                      <w:color w:val="auto"/>
                      <w:lang w:val="en-US" w:eastAsia="zh-CN"/>
                    </w:rPr>
                    <w:t>废润滑油</w:t>
                  </w:r>
                  <w:r>
                    <w:rPr>
                      <w:rFonts w:hint="eastAsia" w:ascii="Times New Roman" w:hAnsi="Times New Roman" w:cs="Times New Roman"/>
                      <w:color w:val="auto"/>
                      <w:lang w:val="en-US" w:eastAsia="zh-CN"/>
                    </w:rPr>
                    <w:t>以及</w:t>
                  </w:r>
                  <w:r>
                    <w:rPr>
                      <w:rFonts w:hint="default" w:ascii="Times New Roman" w:hAnsi="Times New Roman" w:cs="Times New Roman"/>
                      <w:color w:val="auto"/>
                      <w:lang w:val="en-US" w:eastAsia="zh-CN"/>
                    </w:rPr>
                    <w:t>废</w:t>
                  </w:r>
                  <w:r>
                    <w:rPr>
                      <w:rFonts w:hint="eastAsia" w:ascii="Times New Roman" w:hAnsi="Times New Roman" w:cs="Times New Roman"/>
                      <w:color w:val="auto"/>
                      <w:lang w:val="en-US" w:eastAsia="zh-CN"/>
                    </w:rPr>
                    <w:t>润滑油</w:t>
                  </w:r>
                  <w:r>
                    <w:rPr>
                      <w:rFonts w:hint="default" w:ascii="Times New Roman" w:hAnsi="Times New Roman" w:cs="Times New Roman"/>
                      <w:color w:val="auto"/>
                      <w:lang w:val="en-US" w:eastAsia="zh-CN"/>
                    </w:rPr>
                    <w:t>桶</w:t>
                  </w:r>
                  <w:r>
                    <w:rPr>
                      <w:rFonts w:hint="eastAsia" w:ascii="Times New Roman" w:hAnsi="Times New Roman" w:cs="Times New Roman"/>
                      <w:color w:val="auto"/>
                      <w:lang w:val="en-US" w:eastAsia="zh-CN"/>
                    </w:rPr>
                    <w:t>经</w:t>
                  </w:r>
                  <w:r>
                    <w:rPr>
                      <w:rFonts w:hint="default" w:ascii="Times New Roman" w:hAnsi="Times New Roman" w:cs="Times New Roman"/>
                      <w:color w:val="auto"/>
                      <w:lang w:val="en-US" w:eastAsia="zh-CN"/>
                    </w:rPr>
                    <w:t>收集后暂存</w:t>
                  </w:r>
                  <w:r>
                    <w:rPr>
                      <w:rFonts w:hint="eastAsia" w:ascii="Times New Roman" w:hAnsi="Times New Roman" w:cs="Times New Roman"/>
                      <w:color w:val="auto"/>
                      <w:lang w:val="en-US" w:eastAsia="zh-CN"/>
                    </w:rPr>
                    <w:t>危险废物暂存间</w:t>
                  </w:r>
                  <w:r>
                    <w:rPr>
                      <w:rFonts w:hint="default" w:ascii="Times New Roman" w:hAnsi="Times New Roman" w:cs="Times New Roman"/>
                      <w:color w:val="auto"/>
                      <w:lang w:val="en-US" w:eastAsia="zh-CN"/>
                    </w:rPr>
                    <w:t>交由有资质单位处置；生活垃圾收集后交由环卫部门处置</w:t>
                  </w:r>
                </w:p>
              </w:tc>
              <w:tc>
                <w:tcPr>
                  <w:tcW w:w="677" w:type="pct"/>
                  <w:noWrap w:val="0"/>
                  <w:vAlign w:val="center"/>
                </w:tcPr>
                <w:p>
                  <w:pPr>
                    <w:adjustRightInd w:val="0"/>
                    <w:snapToGrid w:val="0"/>
                    <w:jc w:val="center"/>
                    <w:rPr>
                      <w:rFonts w:hint="default" w:ascii="Times New Roman" w:hAnsi="Times New Roman" w:eastAsia="宋体" w:cs="Times New Roman"/>
                      <w:b/>
                      <w:color w:val="auto"/>
                      <w:lang w:val="en-US" w:eastAsia="zh-CN"/>
                    </w:rPr>
                  </w:pPr>
                  <w:r>
                    <w:rPr>
                      <w:rFonts w:hint="default" w:ascii="Times New Roman" w:hAnsi="Times New Roman" w:cs="Times New Roman"/>
                      <w:b w:val="0"/>
                      <w:bCs/>
                      <w:color w:val="auto"/>
                      <w:lang w:eastAsia="zh-CN"/>
                    </w:rPr>
                    <w:t>新建</w:t>
                  </w:r>
                  <w:r>
                    <w:rPr>
                      <w:rFonts w:hint="eastAsia" w:ascii="Times New Roman" w:hAnsi="Times New Roman" w:cs="Times New Roman"/>
                      <w:b w:val="0"/>
                      <w:bCs/>
                      <w:color w:val="auto"/>
                      <w:lang w:val="en-US" w:eastAsia="zh-CN"/>
                    </w:rPr>
                    <w:t>危险废物暂存间、完善一般固废暂存间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color w:val="auto"/>
                    </w:rPr>
                  </w:pPr>
                </w:p>
              </w:tc>
              <w:tc>
                <w:tcPr>
                  <w:tcW w:w="772" w:type="pct"/>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噪声治理</w:t>
                  </w:r>
                </w:p>
              </w:tc>
              <w:tc>
                <w:tcPr>
                  <w:tcW w:w="3039" w:type="pct"/>
                  <w:noWrap w:val="0"/>
                  <w:vAlign w:val="center"/>
                </w:tcPr>
                <w:p>
                  <w:pPr>
                    <w:adjustRightInd w:val="0"/>
                    <w:snapToGrid w:val="0"/>
                    <w:jc w:val="center"/>
                    <w:rPr>
                      <w:rFonts w:hint="default" w:ascii="Times New Roman" w:hAnsi="Times New Roman" w:cs="Times New Roman"/>
                      <w:b/>
                      <w:color w:val="auto"/>
                      <w:kern w:val="2"/>
                      <w:sz w:val="21"/>
                      <w:szCs w:val="24"/>
                      <w:lang w:val="en-US" w:eastAsia="zh-CN" w:bidi="ar-SA"/>
                    </w:rPr>
                  </w:pPr>
                  <w:r>
                    <w:rPr>
                      <w:rFonts w:hint="eastAsia" w:ascii="Times New Roman" w:hAnsi="Times New Roman" w:cs="Times New Roman"/>
                      <w:b w:val="0"/>
                      <w:bCs/>
                      <w:color w:val="auto"/>
                      <w:lang w:val="en-US" w:eastAsia="zh-CN"/>
                    </w:rPr>
                    <w:t>选用低噪声设备、</w:t>
                  </w:r>
                  <w:r>
                    <w:rPr>
                      <w:rFonts w:hint="default" w:ascii="Times New Roman" w:hAnsi="Times New Roman" w:cs="Times New Roman"/>
                      <w:b w:val="0"/>
                      <w:bCs/>
                      <w:color w:val="auto"/>
                      <w:lang w:val="en-US" w:eastAsia="zh-CN"/>
                    </w:rPr>
                    <w:t>设备基础减震、厂房隔声等措施</w:t>
                  </w:r>
                </w:p>
              </w:tc>
              <w:tc>
                <w:tcPr>
                  <w:tcW w:w="677" w:type="pct"/>
                  <w:noWrap w:val="0"/>
                  <w:vAlign w:val="center"/>
                </w:tcPr>
                <w:p>
                  <w:pPr>
                    <w:adjustRightInd w:val="0"/>
                    <w:snapToGrid w:val="0"/>
                    <w:jc w:val="center"/>
                    <w:rPr>
                      <w:rFonts w:hint="default" w:ascii="Times New Roman" w:hAnsi="Times New Roman" w:eastAsia="宋体" w:cs="Times New Roman"/>
                      <w:b/>
                      <w:color w:val="auto"/>
                      <w:kern w:val="2"/>
                      <w:sz w:val="21"/>
                      <w:szCs w:val="24"/>
                      <w:lang w:val="en-US" w:eastAsia="zh-CN" w:bidi="ar-SA"/>
                    </w:rPr>
                  </w:pPr>
                  <w:r>
                    <w:rPr>
                      <w:rFonts w:hint="eastAsia" w:ascii="Times New Roman" w:hAnsi="Times New Roman" w:cs="Times New Roman"/>
                      <w:b w:val="0"/>
                      <w:bCs/>
                      <w:color w:val="auto"/>
                      <w:lang w:val="en-US" w:eastAsia="zh-CN"/>
                    </w:rPr>
                    <w:t>现有</w:t>
                  </w:r>
                </w:p>
              </w:tc>
            </w:tr>
          </w:tbl>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3.主要原辅材料</w:t>
            </w:r>
          </w:p>
          <w:p>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表2-</w:t>
            </w:r>
            <w:r>
              <w:rPr>
                <w:rFonts w:hint="eastAsia" w:ascii="Times New Roman" w:hAnsi="Times New Roman" w:cs="Times New Roman"/>
                <w:b/>
                <w:color w:val="auto"/>
                <w:sz w:val="24"/>
                <w:lang w:val="en-US" w:eastAsia="zh-CN"/>
              </w:rPr>
              <w:t>4</w:t>
            </w:r>
            <w:r>
              <w:rPr>
                <w:rFonts w:hint="default" w:ascii="Times New Roman" w:hAnsi="Times New Roman" w:cs="Times New Roman"/>
                <w:b/>
                <w:color w:val="auto"/>
                <w:sz w:val="24"/>
              </w:rPr>
              <w:t xml:space="preserve">  </w:t>
            </w:r>
            <w:r>
              <w:rPr>
                <w:rFonts w:hint="default" w:ascii="Times New Roman" w:hAnsi="Times New Roman" w:cs="Times New Roman"/>
                <w:b/>
                <w:color w:val="auto"/>
                <w:sz w:val="24"/>
                <w:lang w:eastAsia="zh-CN"/>
              </w:rPr>
              <w:t>本</w:t>
            </w:r>
            <w:r>
              <w:rPr>
                <w:rFonts w:hint="default" w:ascii="Times New Roman" w:hAnsi="Times New Roman" w:cs="Times New Roman"/>
                <w:b/>
                <w:color w:val="auto"/>
                <w:sz w:val="24"/>
              </w:rPr>
              <w:t>项目主要原辅材料消耗</w:t>
            </w:r>
          </w:p>
          <w:tbl>
            <w:tblPr>
              <w:tblStyle w:val="33"/>
              <w:tblW w:w="497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2"/>
              <w:gridCol w:w="1815"/>
              <w:gridCol w:w="1475"/>
              <w:gridCol w:w="1862"/>
              <w:gridCol w:w="1000"/>
              <w:gridCol w:w="1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9"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1148"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名称</w:t>
                  </w:r>
                </w:p>
              </w:tc>
              <w:tc>
                <w:tcPr>
                  <w:tcW w:w="933"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年用量（t）</w:t>
                  </w:r>
                </w:p>
              </w:tc>
              <w:tc>
                <w:tcPr>
                  <w:tcW w:w="1178"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用途</w:t>
                  </w:r>
                </w:p>
              </w:tc>
              <w:tc>
                <w:tcPr>
                  <w:tcW w:w="632" w:type="pct"/>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b/>
                      <w:bCs/>
                      <w:color w:val="auto"/>
                      <w:kern w:val="0"/>
                      <w:szCs w:val="21"/>
                      <w:lang w:eastAsia="zh-CN"/>
                    </w:rPr>
                  </w:pPr>
                  <w:r>
                    <w:rPr>
                      <w:rFonts w:hint="default" w:ascii="Times New Roman" w:hAnsi="Times New Roman" w:cs="Times New Roman"/>
                      <w:b/>
                      <w:bCs/>
                      <w:color w:val="auto"/>
                      <w:kern w:val="0"/>
                      <w:szCs w:val="21"/>
                      <w:lang w:eastAsia="zh-CN"/>
                    </w:rPr>
                    <w:t>规格</w:t>
                  </w:r>
                </w:p>
              </w:tc>
              <w:tc>
                <w:tcPr>
                  <w:tcW w:w="827" w:type="pct"/>
                  <w:tcBorders>
                    <w:top w:val="single" w:color="auto" w:sz="4" w:space="0"/>
                    <w:bottom w:val="single" w:color="auto" w:sz="4" w:space="0"/>
                  </w:tcBorders>
                  <w:noWrap w:val="0"/>
                  <w:vAlign w:val="center"/>
                </w:tcPr>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148" w:type="pct"/>
                  <w:noWrap w:val="0"/>
                  <w:vAlign w:val="top"/>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聚乙烯（PE）</w:t>
                  </w:r>
                </w:p>
              </w:tc>
              <w:tc>
                <w:tcPr>
                  <w:tcW w:w="933" w:type="pct"/>
                  <w:noWrap w:val="0"/>
                  <w:vAlign w:val="top"/>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490</w:t>
                  </w:r>
                </w:p>
              </w:tc>
              <w:tc>
                <w:tcPr>
                  <w:tcW w:w="117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生产包装袋</w:t>
                  </w:r>
                </w:p>
              </w:tc>
              <w:tc>
                <w:tcPr>
                  <w:tcW w:w="632" w:type="pct"/>
                  <w:noWrap w:val="0"/>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袋装</w:t>
                  </w:r>
                </w:p>
              </w:tc>
              <w:tc>
                <w:tcPr>
                  <w:tcW w:w="827"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外购</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原生料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7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148" w:type="pct"/>
                  <w:noWrap w:val="0"/>
                  <w:vAlign w:val="top"/>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色母粒</w:t>
                  </w:r>
                </w:p>
              </w:tc>
              <w:tc>
                <w:tcPr>
                  <w:tcW w:w="933" w:type="pct"/>
                  <w:noWrap w:val="0"/>
                  <w:vAlign w:val="top"/>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10</w:t>
                  </w:r>
                </w:p>
              </w:tc>
              <w:tc>
                <w:tcPr>
                  <w:tcW w:w="1178" w:type="pct"/>
                  <w:noWrap w:val="0"/>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调制不同的颜色</w:t>
                  </w:r>
                </w:p>
              </w:tc>
              <w:tc>
                <w:tcPr>
                  <w:tcW w:w="632" w:type="pct"/>
                  <w:noWrap w:val="0"/>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袋装</w:t>
                  </w:r>
                </w:p>
              </w:tc>
              <w:tc>
                <w:tcPr>
                  <w:tcW w:w="827" w:type="pct"/>
                  <w:noWrap w:val="0"/>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外购</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原生料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148" w:type="pct"/>
                  <w:noWrap w:val="0"/>
                  <w:vAlign w:val="top"/>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润滑油</w:t>
                  </w:r>
                </w:p>
              </w:tc>
              <w:tc>
                <w:tcPr>
                  <w:tcW w:w="933" w:type="pct"/>
                  <w:noWrap w:val="0"/>
                  <w:vAlign w:val="top"/>
                </w:tcPr>
                <w:p>
                  <w:pPr>
                    <w:adjustRightInd w:val="0"/>
                    <w:snapToGrid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w:t>
                  </w:r>
                </w:p>
              </w:tc>
              <w:tc>
                <w:tcPr>
                  <w:tcW w:w="1178" w:type="pct"/>
                  <w:noWrap w:val="0"/>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设备</w:t>
                  </w:r>
                  <w:r>
                    <w:rPr>
                      <w:rFonts w:hint="eastAsia" w:ascii="Times New Roman" w:hAnsi="Times New Roman" w:eastAsia="宋体" w:cs="Times New Roman"/>
                      <w:color w:val="auto"/>
                      <w:lang w:eastAsia="zh-CN"/>
                    </w:rPr>
                    <w:t>保养</w:t>
                  </w:r>
                </w:p>
              </w:tc>
              <w:tc>
                <w:tcPr>
                  <w:tcW w:w="632" w:type="pct"/>
                  <w:noWrap w:val="0"/>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桶装</w:t>
                  </w:r>
                </w:p>
              </w:tc>
              <w:tc>
                <w:tcPr>
                  <w:tcW w:w="827" w:type="pct"/>
                  <w:noWrap w:val="0"/>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1148" w:type="pct"/>
                  <w:noWrap w:val="0"/>
                  <w:vAlign w:val="top"/>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活性炭</w:t>
                  </w:r>
                </w:p>
              </w:tc>
              <w:tc>
                <w:tcPr>
                  <w:tcW w:w="933" w:type="pct"/>
                  <w:noWrap w:val="0"/>
                  <w:vAlign w:val="top"/>
                </w:tcPr>
                <w:p>
                  <w:pPr>
                    <w:adjustRightInd w:val="0"/>
                    <w:snapToGrid w:val="0"/>
                    <w:jc w:val="center"/>
                    <w:rPr>
                      <w:rFonts w:hint="default" w:ascii="Times New Roman" w:hAnsi="Times New Roman" w:cs="Times New Roman"/>
                      <w:color w:val="auto"/>
                      <w:lang w:val="en-US" w:eastAsia="zh-CN"/>
                    </w:rPr>
                  </w:pPr>
                  <w:r>
                    <w:rPr>
                      <w:rFonts w:hint="eastAsia" w:ascii="Times New Roman" w:hAnsi="Times New Roman" w:cs="Times New Roman"/>
                      <w:color w:val="auto"/>
                      <w:highlight w:val="none"/>
                      <w:lang w:val="en-US" w:eastAsia="zh-CN"/>
                    </w:rPr>
                    <w:t>2.78</w:t>
                  </w:r>
                </w:p>
              </w:tc>
              <w:tc>
                <w:tcPr>
                  <w:tcW w:w="117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废气处理</w:t>
                  </w:r>
                </w:p>
              </w:tc>
              <w:tc>
                <w:tcPr>
                  <w:tcW w:w="632"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袋装</w:t>
                  </w:r>
                </w:p>
              </w:tc>
              <w:tc>
                <w:tcPr>
                  <w:tcW w:w="827" w:type="pct"/>
                  <w:noWrap w:val="0"/>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外购</w:t>
                  </w:r>
                </w:p>
              </w:tc>
            </w:tr>
          </w:tbl>
          <w:p>
            <w:pPr>
              <w:keepNext w:val="0"/>
              <w:keepLines w:val="0"/>
              <w:widowControl/>
              <w:suppressLineNumbers w:val="0"/>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表2-</w:t>
            </w:r>
            <w:r>
              <w:rPr>
                <w:rFonts w:hint="eastAsia" w:ascii="Times New Roman" w:hAnsi="Times New Roman" w:cs="Times New Roman"/>
                <w:b/>
                <w:color w:val="auto"/>
                <w:sz w:val="24"/>
                <w:lang w:val="en-US" w:eastAsia="zh-CN"/>
              </w:rPr>
              <w:t>5</w:t>
            </w:r>
            <w:r>
              <w:rPr>
                <w:rFonts w:hint="default" w:ascii="Times New Roman" w:hAnsi="Times New Roman" w:cs="Times New Roman"/>
                <w:b/>
                <w:color w:val="auto"/>
                <w:sz w:val="24"/>
              </w:rPr>
              <w:t xml:space="preserve">  主要原辅料理化性质、毒性毒理</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3391"/>
              <w:gridCol w:w="1906"/>
              <w:gridCol w:w="12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2134"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理化特性</w:t>
                  </w:r>
                </w:p>
              </w:tc>
              <w:tc>
                <w:tcPr>
                  <w:tcW w:w="1199"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燃烧爆炸性</w:t>
                  </w:r>
                </w:p>
              </w:tc>
              <w:tc>
                <w:tcPr>
                  <w:tcW w:w="765"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毒性</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毒理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rPr>
                    <w:t>聚乙烯</w:t>
                  </w:r>
                  <w:r>
                    <w:rPr>
                      <w:rFonts w:hint="default" w:ascii="Times New Roman" w:hAnsi="Times New Roman" w:eastAsia="宋体" w:cs="Times New Roman"/>
                      <w:color w:val="auto"/>
                      <w:lang w:val="en-US" w:eastAsia="zh-CN"/>
                    </w:rPr>
                    <w:t>（PE）</w:t>
                  </w:r>
                </w:p>
              </w:tc>
              <w:tc>
                <w:tcPr>
                  <w:tcW w:w="2134" w:type="pct"/>
                  <w:noWrap w:val="0"/>
                  <w:vAlign w:val="center"/>
                </w:tcPr>
                <w:p>
                  <w:pPr>
                    <w:pStyle w:val="18"/>
                    <w:bidi w:val="0"/>
                    <w:spacing w:line="240" w:lineRule="auto"/>
                    <w:ind w:left="0" w:leftChars="0" w:firstLine="0" w:firstLineChars="0"/>
                    <w:jc w:val="center"/>
                    <w:rPr>
                      <w:rFonts w:hint="default" w:ascii="Times New Roman" w:hAnsi="Times New Roman" w:eastAsia="宋体" w:cs="Times New Roman"/>
                      <w:b/>
                      <w:color w:val="auto"/>
                      <w:szCs w:val="21"/>
                      <w:vertAlign w:val="baseline"/>
                      <w:lang w:val="en-US" w:eastAsia="zh-CN"/>
                    </w:rPr>
                  </w:pPr>
                  <w:r>
                    <w:rPr>
                      <w:rFonts w:hint="default" w:ascii="Times New Roman" w:hAnsi="Times New Roman" w:eastAsia="宋体" w:cs="Times New Roman"/>
                      <w:b w:val="0"/>
                      <w:bCs/>
                      <w:color w:val="auto"/>
                      <w:kern w:val="2"/>
                      <w:sz w:val="21"/>
                      <w:szCs w:val="21"/>
                      <w:lang w:val="en-US" w:eastAsia="zh-CN" w:bidi="ar-SA"/>
                    </w:rPr>
                    <w:t>乙烯经聚合制得的一种热塑性树脂，在工业上，也包括乙烯与少量α-烯烃的共聚物。外观：低分子量为无色液体，高分子量为无色乳白色蜡状颗粒或粉末，无臭，无毒，化学稳定性好，能耐大多数酸碱的侵蚀。常温下不溶于一般溶剂，熔点85-110℃，密度：0.962g/cm</w:t>
                  </w:r>
                  <w:r>
                    <w:rPr>
                      <w:rFonts w:hint="default" w:ascii="Times New Roman" w:hAnsi="Times New Roman" w:eastAsia="宋体" w:cs="Times New Roman"/>
                      <w:b w:val="0"/>
                      <w:bCs/>
                      <w:color w:val="auto"/>
                      <w:kern w:val="2"/>
                      <w:sz w:val="21"/>
                      <w:szCs w:val="21"/>
                      <w:vertAlign w:val="superscript"/>
                      <w:lang w:val="en-US" w:eastAsia="zh-CN" w:bidi="ar-SA"/>
                    </w:rPr>
                    <w:t>3</w:t>
                  </w:r>
                  <w:r>
                    <w:rPr>
                      <w:rFonts w:hint="default" w:ascii="Times New Roman" w:hAnsi="Times New Roman" w:eastAsia="宋体" w:cs="Times New Roman"/>
                      <w:b w:val="0"/>
                      <w:bCs/>
                      <w:color w:val="auto"/>
                      <w:kern w:val="2"/>
                      <w:sz w:val="21"/>
                      <w:szCs w:val="21"/>
                      <w:lang w:val="en-US" w:eastAsia="zh-CN" w:bidi="ar-SA"/>
                    </w:rPr>
                    <w:t>，闪点：270℃，CAS登录号：9002-88-4</w:t>
                  </w:r>
                </w:p>
              </w:tc>
              <w:tc>
                <w:tcPr>
                  <w:tcW w:w="1199" w:type="pct"/>
                  <w:noWrap w:val="0"/>
                  <w:vAlign w:val="center"/>
                </w:tcPr>
                <w:p>
                  <w:pPr>
                    <w:adjustRightInd w:val="0"/>
                    <w:snapToGrid w:val="0"/>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w:t>
                  </w:r>
                </w:p>
              </w:tc>
              <w:tc>
                <w:tcPr>
                  <w:tcW w:w="765" w:type="pct"/>
                  <w:noWrap w:val="0"/>
                  <w:vAlign w:val="center"/>
                </w:tcPr>
                <w:p>
                  <w:pPr>
                    <w:adjustRightInd w:val="0"/>
                    <w:snapToGrid w:val="0"/>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色母</w:t>
                  </w:r>
                  <w:r>
                    <w:rPr>
                      <w:rFonts w:hint="default" w:ascii="Times New Roman" w:hAnsi="Times New Roman" w:eastAsia="宋体" w:cs="Times New Roman"/>
                      <w:color w:val="auto"/>
                    </w:rPr>
                    <w:t>粒</w:t>
                  </w:r>
                </w:p>
              </w:tc>
              <w:tc>
                <w:tcPr>
                  <w:tcW w:w="2134" w:type="pct"/>
                  <w:noWrap w:val="0"/>
                  <w:vAlign w:val="center"/>
                </w:tcPr>
                <w:p>
                  <w:pPr>
                    <w:adjustRightInd w:val="0"/>
                    <w:snapToGrid w:val="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色母（Color Master Batch）的全称叫色母粒，也叫色种，是一种新型高分子材料专用着色剂，亦称颜料制备物（Pigment Preparation）。色母主要用在塑料上。色母由颜料或染料、载体和添加剂三种基本要素所组成</w:t>
                  </w:r>
                  <w:r>
                    <w:rPr>
                      <w:rFonts w:hint="eastAsia" w:ascii="Times New Roman" w:hAnsi="Times New Roman" w:cs="Times New Roman"/>
                      <w:b w:val="0"/>
                      <w:bCs/>
                      <w:color w:val="auto"/>
                      <w:szCs w:val="21"/>
                      <w:lang w:eastAsia="zh-CN"/>
                    </w:rPr>
                    <w:t>。</w:t>
                  </w:r>
                  <w:r>
                    <w:rPr>
                      <w:rFonts w:hint="default" w:ascii="Times New Roman" w:hAnsi="Times New Roman" w:cs="Times New Roman"/>
                      <w:b w:val="0"/>
                      <w:bCs/>
                      <w:color w:val="auto"/>
                      <w:szCs w:val="21"/>
                    </w:rPr>
                    <w:t>颜料或染料</w:t>
                  </w:r>
                  <w:r>
                    <w:rPr>
                      <w:rFonts w:hint="eastAsia" w:ascii="Times New Roman" w:hAnsi="Times New Roman" w:cs="Times New Roman"/>
                      <w:b w:val="0"/>
                      <w:bCs/>
                      <w:color w:val="auto"/>
                      <w:szCs w:val="21"/>
                      <w:lang w:eastAsia="zh-CN"/>
                    </w:rPr>
                    <w:t>。</w:t>
                  </w:r>
                  <w:r>
                    <w:rPr>
                      <w:rFonts w:hint="default" w:ascii="Times New Roman" w:hAnsi="Times New Roman" w:cs="Times New Roman"/>
                      <w:b w:val="0"/>
                      <w:bCs/>
                      <w:color w:val="auto"/>
                      <w:szCs w:val="21"/>
                    </w:rPr>
                    <w:t>颜料又分为有机颜料与无机颜料</w:t>
                  </w:r>
                  <w:r>
                    <w:rPr>
                      <w:rFonts w:hint="eastAsia" w:ascii="Times New Roman" w:hAnsi="Times New Roman" w:cs="Times New Roman"/>
                      <w:b w:val="0"/>
                      <w:bCs/>
                      <w:color w:val="auto"/>
                      <w:szCs w:val="21"/>
                      <w:lang w:eastAsia="zh-CN"/>
                    </w:rPr>
                    <w:t>，</w:t>
                  </w:r>
                  <w:r>
                    <w:rPr>
                      <w:rFonts w:hint="default" w:ascii="Times New Roman" w:hAnsi="Times New Roman" w:cs="Times New Roman"/>
                      <w:b w:val="0"/>
                      <w:bCs/>
                      <w:color w:val="auto"/>
                      <w:szCs w:val="21"/>
                    </w:rPr>
                    <w:t>常用的有机颜料有：酞菁红、酞菁蓝、酞菁绿、耐晒大红、大分子红、大分子黄、永固黄、永固紫、偶氮红等常用的无机颜料有：镉红、镉黄、钛白粉、炭黑、氧化铁红、氧化铁黄等</w:t>
                  </w:r>
                  <w:r>
                    <w:rPr>
                      <w:rFonts w:hint="eastAsia" w:ascii="Times New Roman" w:hAnsi="Times New Roman" w:cs="Times New Roman"/>
                      <w:b w:val="0"/>
                      <w:bCs/>
                      <w:color w:val="auto"/>
                      <w:szCs w:val="21"/>
                      <w:lang w:eastAsia="zh-CN"/>
                    </w:rPr>
                    <w:t>。</w:t>
                  </w:r>
                  <w:r>
                    <w:rPr>
                      <w:rFonts w:hint="default" w:ascii="Times New Roman" w:hAnsi="Times New Roman" w:cs="Times New Roman"/>
                      <w:b w:val="0"/>
                      <w:bCs/>
                      <w:color w:val="auto"/>
                      <w:szCs w:val="21"/>
                    </w:rPr>
                    <w:t>载体是色母粒的基体。专用色母一般选择与制品树脂相同的树脂作为载体，两者的相容性最好，但同时也要考虑载体的流动性。添加剂如阻燃、增亮、抗菌、抗静电、抗氧化等品种，一般情况下色母中并不含有上述添加剂。</w:t>
                  </w:r>
                </w:p>
                <w:p>
                  <w:pPr>
                    <w:adjustRightInd w:val="0"/>
                    <w:snapToGrid w:val="0"/>
                    <w:jc w:val="center"/>
                    <w:rPr>
                      <w:rFonts w:hint="default" w:ascii="Times New Roman" w:hAnsi="Times New Roman" w:cs="Times New Roman"/>
                      <w:b w:val="0"/>
                      <w:bCs/>
                      <w:color w:val="auto"/>
                      <w:szCs w:val="21"/>
                    </w:rPr>
                  </w:pPr>
                  <w:r>
                    <w:rPr>
                      <w:rFonts w:hint="eastAsia" w:ascii="Times New Roman" w:hAnsi="Times New Roman" w:cs="Times New Roman"/>
                      <w:b w:val="0"/>
                      <w:bCs/>
                      <w:color w:val="auto"/>
                      <w:szCs w:val="21"/>
                      <w:lang w:val="en-US" w:eastAsia="zh-CN"/>
                    </w:rPr>
                    <w:t>本项目色母颜料为炭黑，</w:t>
                  </w:r>
                  <w:r>
                    <w:rPr>
                      <w:rFonts w:hint="default" w:ascii="Times New Roman" w:hAnsi="Times New Roman" w:cs="Times New Roman"/>
                      <w:b w:val="0"/>
                      <w:bCs/>
                      <w:color w:val="auto"/>
                      <w:szCs w:val="21"/>
                    </w:rPr>
                    <w:t>载体</w:t>
                  </w:r>
                  <w:r>
                    <w:rPr>
                      <w:rFonts w:hint="eastAsia" w:ascii="Times New Roman" w:hAnsi="Times New Roman" w:cs="Times New Roman"/>
                      <w:b w:val="0"/>
                      <w:bCs/>
                      <w:color w:val="auto"/>
                      <w:szCs w:val="21"/>
                      <w:lang w:val="en-US" w:eastAsia="zh-CN"/>
                    </w:rPr>
                    <w:t>为</w:t>
                  </w:r>
                  <w:r>
                    <w:rPr>
                      <w:rFonts w:hint="default" w:ascii="Times New Roman" w:hAnsi="Times New Roman" w:eastAsia="宋体" w:cs="Times New Roman"/>
                      <w:color w:val="auto"/>
                    </w:rPr>
                    <w:t>聚乙烯</w:t>
                  </w:r>
                  <w:r>
                    <w:rPr>
                      <w:rFonts w:hint="default" w:ascii="Times New Roman" w:hAnsi="Times New Roman" w:eastAsia="宋体" w:cs="Times New Roman"/>
                      <w:color w:val="auto"/>
                      <w:lang w:val="en-US" w:eastAsia="zh-CN"/>
                    </w:rPr>
                    <w:t>（PE）</w:t>
                  </w:r>
                  <w:r>
                    <w:rPr>
                      <w:rFonts w:hint="eastAsia" w:ascii="Times New Roman" w:hAnsi="Times New Roman" w:cs="Times New Roman"/>
                      <w:b w:val="0"/>
                      <w:bCs/>
                      <w:color w:val="auto"/>
                      <w:szCs w:val="21"/>
                      <w:lang w:val="en-US" w:eastAsia="zh-CN"/>
                    </w:rPr>
                    <w:t>。</w:t>
                  </w:r>
                  <w:r>
                    <w:rPr>
                      <w:rFonts w:hint="default" w:ascii="Times New Roman" w:hAnsi="Times New Roman" w:cs="Times New Roman"/>
                      <w:b w:val="0"/>
                      <w:bCs/>
                      <w:color w:val="auto"/>
                      <w:szCs w:val="21"/>
                    </w:rPr>
                    <w:t xml:space="preserve"> </w:t>
                  </w:r>
                </w:p>
              </w:tc>
              <w:tc>
                <w:tcPr>
                  <w:tcW w:w="1906" w:type="dxa"/>
                  <w:noWrap w:val="0"/>
                  <w:vAlign w:val="center"/>
                </w:tcPr>
                <w:p>
                  <w:pPr>
                    <w:adjustRightInd w:val="0"/>
                    <w:snapToGrid w:val="0"/>
                    <w:jc w:val="center"/>
                    <w:rPr>
                      <w:rFonts w:hint="eastAsia" w:ascii="Times New Roman" w:hAnsi="Times New Roman" w:cs="Times New Roman"/>
                      <w:b w:val="0"/>
                      <w:bCs/>
                      <w:color w:val="auto"/>
                      <w:szCs w:val="21"/>
                      <w:lang w:eastAsia="zh-CN"/>
                    </w:rPr>
                  </w:pPr>
                  <w:r>
                    <w:rPr>
                      <w:rFonts w:hint="default" w:ascii="Times New Roman" w:hAnsi="Times New Roman" w:cs="Times New Roman"/>
                      <w:b/>
                      <w:color w:val="auto"/>
                      <w:szCs w:val="21"/>
                      <w:lang w:val="en-US" w:eastAsia="zh-CN"/>
                    </w:rPr>
                    <w:t>/</w:t>
                  </w:r>
                </w:p>
              </w:tc>
              <w:tc>
                <w:tcPr>
                  <w:tcW w:w="1217" w:type="dxa"/>
                  <w:noWrap w:val="0"/>
                  <w:vAlign w:val="center"/>
                </w:tcPr>
                <w:p>
                  <w:pPr>
                    <w:adjustRightInd w:val="0"/>
                    <w:snapToGrid w:val="0"/>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900" w:type="pct"/>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rPr>
                    <w:t>润滑油</w:t>
                  </w:r>
                </w:p>
              </w:tc>
              <w:tc>
                <w:tcPr>
                  <w:tcW w:w="2134" w:type="pct"/>
                  <w:noWrap w:val="0"/>
                  <w:vAlign w:val="center"/>
                </w:tcPr>
                <w:p>
                  <w:pPr>
                    <w:adjustRightInd w:val="0"/>
                    <w:snapToGrid w:val="0"/>
                    <w:jc w:val="center"/>
                    <w:rPr>
                      <w:rFonts w:hint="eastAsia" w:ascii="Times New Roman" w:hAnsi="Times New Roman" w:eastAsia="宋体" w:cs="Times New Roman"/>
                      <w:b/>
                      <w:color w:val="auto"/>
                      <w:szCs w:val="21"/>
                      <w:lang w:eastAsia="zh-CN"/>
                    </w:rPr>
                  </w:pPr>
                  <w:r>
                    <w:rPr>
                      <w:rFonts w:hint="default" w:ascii="Times New Roman" w:hAnsi="Times New Roman" w:cs="Times New Roman"/>
                      <w:b w:val="0"/>
                      <w:bCs/>
                      <w:color w:val="auto"/>
                      <w:szCs w:val="21"/>
                    </w:rPr>
                    <w:t>润滑油是用在各种类型汽车、机械设备上以减少摩擦，保护机械及加工件的液体或半固体润滑剂，主要起润滑、辅助冷却、防锈、清洁、密封和缓冲等作用</w:t>
                  </w:r>
                  <w:r>
                    <w:rPr>
                      <w:rFonts w:hint="eastAsia" w:ascii="Times New Roman" w:hAnsi="Times New Roman" w:cs="Times New Roman"/>
                      <w:b w:val="0"/>
                      <w:bCs/>
                      <w:color w:val="auto"/>
                      <w:szCs w:val="21"/>
                      <w:lang w:eastAsia="zh-CN"/>
                    </w:rPr>
                    <w:t>。</w:t>
                  </w:r>
                </w:p>
              </w:tc>
              <w:tc>
                <w:tcPr>
                  <w:tcW w:w="1199" w:type="pct"/>
                  <w:noWrap w:val="0"/>
                  <w:vAlign w:val="center"/>
                </w:tcPr>
                <w:p>
                  <w:pPr>
                    <w:adjustRightInd w:val="0"/>
                    <w:snapToGrid w:val="0"/>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val="0"/>
                      <w:bCs/>
                      <w:color w:val="auto"/>
                      <w:szCs w:val="21"/>
                      <w:lang w:eastAsia="zh-CN"/>
                    </w:rPr>
                    <w:t>可燃液体，火灾危险性为丙B类；遇明燃烧，分解产物CO</w:t>
                  </w:r>
                  <w:r>
                    <w:rPr>
                      <w:rFonts w:hint="eastAsia" w:ascii="Times New Roman" w:hAnsi="Times New Roman" w:cs="Times New Roman"/>
                      <w:b w:val="0"/>
                      <w:bCs/>
                      <w:color w:val="auto"/>
                      <w:szCs w:val="21"/>
                      <w:vertAlign w:val="subscript"/>
                      <w:lang w:val="en-US" w:eastAsia="zh-CN"/>
                    </w:rPr>
                    <w:t>2</w:t>
                  </w:r>
                  <w:r>
                    <w:rPr>
                      <w:rFonts w:hint="eastAsia" w:ascii="Times New Roman" w:hAnsi="Times New Roman" w:cs="Times New Roman"/>
                      <w:b w:val="0"/>
                      <w:bCs/>
                      <w:color w:val="auto"/>
                      <w:szCs w:val="21"/>
                      <w:lang w:eastAsia="zh-CN"/>
                    </w:rPr>
                    <w:t>、CO等有毒有害气体。</w:t>
                  </w:r>
                </w:p>
              </w:tc>
              <w:tc>
                <w:tcPr>
                  <w:tcW w:w="765" w:type="pct"/>
                  <w:noWrap w:val="0"/>
                  <w:vAlign w:val="center"/>
                </w:tcPr>
                <w:p>
                  <w:pPr>
                    <w:adjustRightInd w:val="0"/>
                    <w:snapToGrid w:val="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szCs w:val="21"/>
                      <w:lang w:val="en-US" w:eastAsia="zh-CN"/>
                    </w:rPr>
                    <w:t>/</w:t>
                  </w:r>
                </w:p>
              </w:tc>
            </w:tr>
          </w:tbl>
          <w:p>
            <w:pPr>
              <w:spacing w:line="360" w:lineRule="auto"/>
              <w:ind w:firstLine="482" w:firstLineChars="200"/>
              <w:rPr>
                <w:rFonts w:hint="default" w:ascii="Times New Roman" w:hAnsi="Times New Roman" w:cs="Times New Roman"/>
                <w:b/>
                <w:color w:val="auto"/>
                <w:sz w:val="24"/>
              </w:rPr>
            </w:pP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4.主要生产设备规格、数量</w:t>
            </w:r>
          </w:p>
          <w:p>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表2-</w:t>
            </w:r>
            <w:r>
              <w:rPr>
                <w:rFonts w:hint="eastAsia" w:ascii="Times New Roman" w:hAnsi="Times New Roman" w:cs="Times New Roman"/>
                <w:b/>
                <w:color w:val="auto"/>
                <w:sz w:val="24"/>
                <w:lang w:val="en-US" w:eastAsia="zh-CN"/>
              </w:rPr>
              <w:t>6</w:t>
            </w:r>
            <w:r>
              <w:rPr>
                <w:rFonts w:hint="default" w:ascii="Times New Roman" w:hAnsi="Times New Roman" w:cs="Times New Roman"/>
                <w:b/>
                <w:color w:val="auto"/>
                <w:sz w:val="24"/>
              </w:rPr>
              <w:t xml:space="preserve">  </w:t>
            </w:r>
            <w:r>
              <w:rPr>
                <w:rFonts w:hint="default" w:ascii="Times New Roman" w:hAnsi="Times New Roman" w:cs="Times New Roman"/>
                <w:b/>
                <w:color w:val="auto"/>
                <w:sz w:val="24"/>
                <w:lang w:eastAsia="zh-CN"/>
              </w:rPr>
              <w:t>本</w:t>
            </w:r>
            <w:r>
              <w:rPr>
                <w:rFonts w:hint="default" w:ascii="Times New Roman" w:hAnsi="Times New Roman" w:cs="Times New Roman"/>
                <w:b/>
                <w:color w:val="auto"/>
                <w:sz w:val="24"/>
              </w:rPr>
              <w:t>项目主要生产设备</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636"/>
              <w:gridCol w:w="2018"/>
              <w:gridCol w:w="1555"/>
              <w:gridCol w:w="1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noWrap w:val="0"/>
                  <w:vAlign w:val="center"/>
                </w:tcPr>
                <w:p>
                  <w:pPr>
                    <w:adjustRightInd w:val="0"/>
                    <w:snapToGrid w:val="0"/>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eastAsia="zh-CN"/>
                    </w:rPr>
                    <w:t>序号</w:t>
                  </w:r>
                </w:p>
              </w:tc>
              <w:tc>
                <w:tcPr>
                  <w:tcW w:w="1029"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1269"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规格型号</w:t>
                  </w:r>
                </w:p>
              </w:tc>
              <w:tc>
                <w:tcPr>
                  <w:tcW w:w="978" w:type="pct"/>
                  <w:noWrap w:val="0"/>
                  <w:vAlign w:val="center"/>
                </w:tcPr>
                <w:p>
                  <w:pPr>
                    <w:adjustRightInd w:val="0"/>
                    <w:snapToGrid w:val="0"/>
                    <w:jc w:val="center"/>
                    <w:rPr>
                      <w:rFonts w:hint="eastAsia" w:ascii="Times New Roman" w:hAnsi="Times New Roman" w:eastAsia="宋体" w:cs="Times New Roman"/>
                      <w:b/>
                      <w:color w:val="auto"/>
                      <w:szCs w:val="21"/>
                      <w:lang w:eastAsia="zh-CN"/>
                    </w:rPr>
                  </w:pPr>
                  <w:r>
                    <w:rPr>
                      <w:rFonts w:hint="default" w:ascii="Times New Roman" w:hAnsi="Times New Roman" w:cs="Times New Roman"/>
                      <w:b/>
                      <w:color w:val="auto"/>
                      <w:szCs w:val="21"/>
                    </w:rPr>
                    <w:t>数量</w:t>
                  </w:r>
                  <w:r>
                    <w:rPr>
                      <w:rFonts w:hint="eastAsia" w:ascii="Times New Roman" w:hAnsi="Times New Roman" w:cs="Times New Roman"/>
                      <w:b/>
                      <w:color w:val="auto"/>
                      <w:szCs w:val="21"/>
                      <w:lang w:eastAsia="zh-CN"/>
                    </w:rPr>
                    <w:t>（</w:t>
                  </w:r>
                  <w:r>
                    <w:rPr>
                      <w:rFonts w:hint="default" w:ascii="Times New Roman" w:hAnsi="Times New Roman" w:cs="Times New Roman"/>
                      <w:b/>
                      <w:color w:val="auto"/>
                      <w:szCs w:val="21"/>
                    </w:rPr>
                    <w:t>台套</w:t>
                  </w:r>
                  <w:r>
                    <w:rPr>
                      <w:rFonts w:hint="eastAsia" w:ascii="Times New Roman" w:hAnsi="Times New Roman" w:cs="Times New Roman"/>
                      <w:b/>
                      <w:color w:val="auto"/>
                      <w:szCs w:val="21"/>
                      <w:lang w:eastAsia="zh-CN"/>
                    </w:rPr>
                    <w:t>）</w:t>
                  </w:r>
                </w:p>
              </w:tc>
              <w:tc>
                <w:tcPr>
                  <w:tcW w:w="988"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5"/>
                  <w:noWrap w:val="0"/>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33"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029" w:type="pc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搅拌机</w:t>
                  </w:r>
                </w:p>
              </w:tc>
              <w:tc>
                <w:tcPr>
                  <w:tcW w:w="126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密闭式搅拌机</w:t>
                  </w:r>
                </w:p>
              </w:tc>
              <w:tc>
                <w:tcPr>
                  <w:tcW w:w="97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98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密闭搅拌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33"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w:t>
                  </w:r>
                </w:p>
              </w:tc>
              <w:tc>
                <w:tcPr>
                  <w:tcW w:w="102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气泡膜吹膜机</w:t>
                  </w:r>
                </w:p>
              </w:tc>
              <w:tc>
                <w:tcPr>
                  <w:tcW w:w="126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rPr>
                    <w:t>米</w:t>
                  </w:r>
                </w:p>
              </w:tc>
              <w:tc>
                <w:tcPr>
                  <w:tcW w:w="97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988" w:type="pct"/>
                  <w:noWrap w:val="0"/>
                  <w:vAlign w:val="center"/>
                </w:tcPr>
                <w:p>
                  <w:pPr>
                    <w:adjustRightInd w:val="0"/>
                    <w:snapToGrid w:val="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吹膜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33"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w:t>
                  </w:r>
                </w:p>
              </w:tc>
              <w:tc>
                <w:tcPr>
                  <w:tcW w:w="102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气泡膜吹膜机</w:t>
                  </w:r>
                </w:p>
              </w:tc>
              <w:tc>
                <w:tcPr>
                  <w:tcW w:w="126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r>
                    <w:rPr>
                      <w:rFonts w:hint="default" w:ascii="Times New Roman" w:hAnsi="Times New Roman" w:eastAsia="宋体" w:cs="Times New Roman"/>
                      <w:color w:val="auto"/>
                    </w:rPr>
                    <w:t>米</w:t>
                  </w:r>
                </w:p>
              </w:tc>
              <w:tc>
                <w:tcPr>
                  <w:tcW w:w="978" w:type="pc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988" w:type="pct"/>
                  <w:noWrap w:val="0"/>
                  <w:vAlign w:val="center"/>
                </w:tcPr>
                <w:p>
                  <w:pPr>
                    <w:adjustRightInd w:val="0"/>
                    <w:snapToGrid w:val="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吹膜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33" w:type="pc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102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分切机</w:t>
                  </w:r>
                </w:p>
              </w:tc>
              <w:tc>
                <w:tcPr>
                  <w:tcW w:w="1269" w:type="pct"/>
                  <w:noWrap w:val="0"/>
                  <w:vAlign w:val="center"/>
                </w:tcPr>
                <w:p>
                  <w:pPr>
                    <w:adjustRightInd w:val="0"/>
                    <w:snapToGrid w:val="0"/>
                    <w:jc w:val="center"/>
                    <w:rPr>
                      <w:rFonts w:hint="default" w:ascii="Times New Roman" w:hAnsi="Times New Roman" w:eastAsia="宋体" w:cs="Times New Roman"/>
                      <w:color w:val="auto"/>
                    </w:rPr>
                  </w:pPr>
                </w:p>
              </w:tc>
              <w:tc>
                <w:tcPr>
                  <w:tcW w:w="978" w:type="pc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98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33"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5</w:t>
                  </w:r>
                </w:p>
              </w:tc>
              <w:tc>
                <w:tcPr>
                  <w:tcW w:w="102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制袋机</w:t>
                  </w:r>
                </w:p>
              </w:tc>
              <w:tc>
                <w:tcPr>
                  <w:tcW w:w="126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JDDT-500型</w:t>
                  </w:r>
                </w:p>
              </w:tc>
              <w:tc>
                <w:tcPr>
                  <w:tcW w:w="97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988" w:type="pct"/>
                  <w:noWrap w:val="0"/>
                  <w:vAlign w:val="center"/>
                </w:tcPr>
                <w:p>
                  <w:pPr>
                    <w:adjustRightInd w:val="0"/>
                    <w:snapToGrid w:val="0"/>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33" w:type="pc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1029" w:type="pct"/>
                  <w:noWrap w:val="0"/>
                  <w:vAlign w:val="center"/>
                </w:tcPr>
                <w:p>
                  <w:pPr>
                    <w:adjustRightInd w:val="0"/>
                    <w:snapToGrid w:val="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造粒机</w:t>
                  </w:r>
                </w:p>
              </w:tc>
              <w:tc>
                <w:tcPr>
                  <w:tcW w:w="126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低温造粒机</w:t>
                  </w:r>
                </w:p>
              </w:tc>
              <w:tc>
                <w:tcPr>
                  <w:tcW w:w="978" w:type="pc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988" w:type="pct"/>
                  <w:noWrap w:val="0"/>
                  <w:vAlign w:val="center"/>
                </w:tcPr>
                <w:p>
                  <w:pPr>
                    <w:adjustRightInd w:val="0"/>
                    <w:snapToGrid w:val="0"/>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33"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029"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包装机</w:t>
                  </w:r>
                </w:p>
              </w:tc>
              <w:tc>
                <w:tcPr>
                  <w:tcW w:w="1269" w:type="pct"/>
                  <w:noWrap w:val="0"/>
                  <w:vAlign w:val="center"/>
                </w:tcPr>
                <w:p>
                  <w:pPr>
                    <w:adjustRightInd w:val="0"/>
                    <w:snapToGrid w:val="0"/>
                    <w:jc w:val="center"/>
                    <w:rPr>
                      <w:rFonts w:hint="eastAsia" w:ascii="Times New Roman" w:hAnsi="Times New Roman" w:eastAsia="宋体" w:cs="Times New Roman"/>
                      <w:color w:val="auto"/>
                      <w:lang w:val="en-US" w:eastAsia="zh-CN"/>
                    </w:rPr>
                  </w:pPr>
                </w:p>
              </w:tc>
              <w:tc>
                <w:tcPr>
                  <w:tcW w:w="97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98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打包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5"/>
                  <w:noWrap w:val="0"/>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公辅设备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33" w:type="pct"/>
                  <w:noWrap w:val="0"/>
                  <w:vAlign w:val="center"/>
                </w:tcPr>
                <w:p>
                  <w:pPr>
                    <w:adjustRightInd w:val="0"/>
                    <w:snapToGrid w:val="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8</w:t>
                  </w:r>
                </w:p>
              </w:tc>
              <w:tc>
                <w:tcPr>
                  <w:tcW w:w="1029" w:type="pc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空压机</w:t>
                  </w:r>
                </w:p>
              </w:tc>
              <w:tc>
                <w:tcPr>
                  <w:tcW w:w="1269" w:type="pc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45KW</w:t>
                  </w:r>
                </w:p>
              </w:tc>
              <w:tc>
                <w:tcPr>
                  <w:tcW w:w="978" w:type="pct"/>
                  <w:noWrap w:val="0"/>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p>
              </w:tc>
              <w:tc>
                <w:tcPr>
                  <w:tcW w:w="98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33"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w:t>
                  </w:r>
                </w:p>
              </w:tc>
              <w:tc>
                <w:tcPr>
                  <w:tcW w:w="1029" w:type="pc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储气罐</w:t>
                  </w:r>
                </w:p>
              </w:tc>
              <w:tc>
                <w:tcPr>
                  <w:tcW w:w="1269" w:type="pc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容积1000L</w:t>
                  </w:r>
                </w:p>
              </w:tc>
              <w:tc>
                <w:tcPr>
                  <w:tcW w:w="978" w:type="pc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988"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bl>
          <w:p>
            <w:pPr>
              <w:pStyle w:val="83"/>
              <w:ind w:firstLine="482" w:firstLineChars="200"/>
              <w:rPr>
                <w:rFonts w:hint="default" w:ascii="Times New Roman" w:hAnsi="Times New Roman" w:cs="Times New Roman"/>
                <w:color w:val="auto"/>
              </w:rPr>
            </w:pPr>
            <w:r>
              <w:rPr>
                <w:rFonts w:hint="default" w:ascii="Times New Roman" w:hAnsi="Times New Roman" w:cs="Times New Roman"/>
                <w:color w:val="auto"/>
              </w:rPr>
              <w:t>5.公辅工程分析</w:t>
            </w:r>
          </w:p>
          <w:p>
            <w:pPr>
              <w:pStyle w:val="83"/>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（1）给水</w:t>
            </w:r>
          </w:p>
          <w:p>
            <w:pPr>
              <w:pStyle w:val="83"/>
              <w:ind w:firstLine="480" w:firstLineChars="20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本项目年用水量为</w:t>
            </w:r>
            <w:r>
              <w:rPr>
                <w:rFonts w:hint="eastAsia" w:ascii="Times New Roman" w:hAnsi="Times New Roman" w:cs="Times New Roman"/>
                <w:b w:val="0"/>
                <w:bCs/>
                <w:color w:val="auto"/>
                <w:lang w:val="en-US" w:eastAsia="zh-CN"/>
              </w:rPr>
              <w:t>3330</w:t>
            </w:r>
            <w:r>
              <w:rPr>
                <w:color w:val="auto"/>
                <w:sz w:val="24"/>
              </w:rPr>
              <w:t>m</w:t>
            </w:r>
            <w:r>
              <w:rPr>
                <w:color w:val="auto"/>
                <w:sz w:val="24"/>
                <w:vertAlign w:val="superscript"/>
              </w:rPr>
              <w:t>3</w:t>
            </w:r>
            <w:r>
              <w:rPr>
                <w:rFonts w:hint="default" w:ascii="Times New Roman" w:hAnsi="Times New Roman" w:cs="Times New Roman"/>
                <w:b w:val="0"/>
                <w:bCs/>
                <w:color w:val="auto"/>
                <w:lang w:val="en-US" w:eastAsia="zh-CN"/>
              </w:rPr>
              <w:t>/a，由市政给水管网供应。</w:t>
            </w:r>
          </w:p>
          <w:p>
            <w:pPr>
              <w:pStyle w:val="83"/>
              <w:ind w:firstLine="480" w:firstLineChars="20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1）生产用水</w:t>
            </w:r>
          </w:p>
          <w:p>
            <w:pPr>
              <w:adjustRightInd w:val="0"/>
              <w:snapToGrid w:val="0"/>
              <w:spacing w:line="360" w:lineRule="auto"/>
              <w:ind w:firstLine="480" w:firstLineChars="200"/>
              <w:rPr>
                <w:rFonts w:hint="eastAsia" w:ascii="Times New Roman" w:hAnsi="Times New Roman" w:eastAsia="宋体" w:cs="Times New Roman"/>
                <w:b w:val="0"/>
                <w:bCs/>
                <w:color w:val="auto"/>
                <w:lang w:val="en-US" w:eastAsia="zh-CN"/>
              </w:rPr>
            </w:pPr>
            <w:r>
              <w:rPr>
                <w:color w:val="auto"/>
                <w:sz w:val="24"/>
              </w:rPr>
              <w:t>生产用水：本项目生产过程中需要冷却水，平均每台</w:t>
            </w:r>
            <w:r>
              <w:rPr>
                <w:rFonts w:hint="eastAsia"/>
                <w:color w:val="auto"/>
                <w:sz w:val="24"/>
              </w:rPr>
              <w:t>气泡膜吹膜机</w:t>
            </w:r>
            <w:r>
              <w:rPr>
                <w:color w:val="auto"/>
                <w:sz w:val="24"/>
              </w:rPr>
              <w:t>的冷却水流量为40L/min，</w:t>
            </w:r>
            <w:r>
              <w:rPr>
                <w:rFonts w:hint="eastAsia"/>
                <w:color w:val="auto"/>
                <w:sz w:val="24"/>
                <w:lang w:val="en-US" w:eastAsia="zh-CN"/>
              </w:rPr>
              <w:t>2.4</w:t>
            </w:r>
            <w:r>
              <w:rPr>
                <w:color w:val="auto"/>
                <w:sz w:val="24"/>
              </w:rPr>
              <w:t>m</w:t>
            </w:r>
            <w:r>
              <w:rPr>
                <w:color w:val="auto"/>
                <w:sz w:val="24"/>
                <w:vertAlign w:val="superscript"/>
              </w:rPr>
              <w:t>3</w:t>
            </w:r>
            <w:r>
              <w:rPr>
                <w:color w:val="auto"/>
                <w:sz w:val="24"/>
              </w:rPr>
              <w:t>/h，本项目冷却水用量为</w:t>
            </w:r>
            <w:r>
              <w:rPr>
                <w:rFonts w:hint="eastAsia"/>
                <w:color w:val="auto"/>
                <w:sz w:val="24"/>
                <w:lang w:val="en-US" w:eastAsia="zh-CN"/>
              </w:rPr>
              <w:t>96</w:t>
            </w:r>
            <w:r>
              <w:rPr>
                <w:color w:val="auto"/>
                <w:sz w:val="24"/>
              </w:rPr>
              <w:t>m</w:t>
            </w:r>
            <w:r>
              <w:rPr>
                <w:color w:val="auto"/>
                <w:sz w:val="24"/>
                <w:vertAlign w:val="superscript"/>
              </w:rPr>
              <w:t>3</w:t>
            </w:r>
            <w:r>
              <w:rPr>
                <w:color w:val="auto"/>
                <w:sz w:val="24"/>
              </w:rPr>
              <w:t>/</w:t>
            </w:r>
            <w:r>
              <w:rPr>
                <w:rFonts w:hint="eastAsia"/>
                <w:color w:val="auto"/>
                <w:sz w:val="24"/>
                <w:lang w:val="en-US" w:eastAsia="zh-CN"/>
              </w:rPr>
              <w:t>d</w:t>
            </w:r>
            <w:r>
              <w:rPr>
                <w:color w:val="auto"/>
                <w:sz w:val="24"/>
              </w:rPr>
              <w:t>，</w:t>
            </w:r>
            <w:r>
              <w:rPr>
                <w:rFonts w:hint="eastAsia"/>
                <w:color w:val="auto"/>
                <w:sz w:val="24"/>
                <w:lang w:val="en-US" w:eastAsia="zh-CN"/>
              </w:rPr>
              <w:t>28800</w:t>
            </w:r>
            <w:r>
              <w:rPr>
                <w:color w:val="auto"/>
                <w:sz w:val="24"/>
              </w:rPr>
              <w:t>m</w:t>
            </w:r>
            <w:r>
              <w:rPr>
                <w:color w:val="auto"/>
                <w:sz w:val="24"/>
                <w:vertAlign w:val="superscript"/>
              </w:rPr>
              <w:t>3</w:t>
            </w:r>
            <w:r>
              <w:rPr>
                <w:color w:val="auto"/>
                <w:sz w:val="24"/>
              </w:rPr>
              <w:t>/a，冷却水循环使用，冷却</w:t>
            </w:r>
            <w:r>
              <w:rPr>
                <w:rFonts w:hint="eastAsia"/>
                <w:color w:val="auto"/>
                <w:sz w:val="24"/>
                <w:lang w:eastAsia="zh-CN"/>
              </w:rPr>
              <w:t>系统</w:t>
            </w:r>
            <w:r>
              <w:rPr>
                <w:color w:val="auto"/>
                <w:sz w:val="24"/>
              </w:rPr>
              <w:t>所须补给水量约为循环水量的</w:t>
            </w:r>
            <w:r>
              <w:rPr>
                <w:rFonts w:hint="eastAsia"/>
                <w:color w:val="auto"/>
                <w:sz w:val="24"/>
                <w:lang w:val="en-US" w:eastAsia="zh-CN"/>
              </w:rPr>
              <w:t>10</w:t>
            </w:r>
            <w:r>
              <w:rPr>
                <w:color w:val="auto"/>
                <w:sz w:val="24"/>
              </w:rPr>
              <w:t>%。则新鲜水约补充量</w:t>
            </w:r>
            <w:r>
              <w:rPr>
                <w:rFonts w:hint="eastAsia"/>
                <w:color w:val="auto"/>
                <w:sz w:val="24"/>
                <w:lang w:val="en-US" w:eastAsia="zh-CN"/>
              </w:rPr>
              <w:t>9.6</w:t>
            </w:r>
            <w:r>
              <w:rPr>
                <w:color w:val="auto"/>
                <w:sz w:val="24"/>
              </w:rPr>
              <w:t>m</w:t>
            </w:r>
            <w:r>
              <w:rPr>
                <w:color w:val="auto"/>
                <w:sz w:val="24"/>
                <w:vertAlign w:val="superscript"/>
              </w:rPr>
              <w:t>3</w:t>
            </w:r>
            <w:r>
              <w:rPr>
                <w:color w:val="auto"/>
                <w:sz w:val="24"/>
              </w:rPr>
              <w:t>/d，</w:t>
            </w:r>
            <w:r>
              <w:rPr>
                <w:rFonts w:hint="eastAsia"/>
                <w:color w:val="auto"/>
                <w:sz w:val="24"/>
                <w:lang w:val="en-US" w:eastAsia="zh-CN"/>
              </w:rPr>
              <w:t>2880</w:t>
            </w:r>
            <w:r>
              <w:rPr>
                <w:rFonts w:hint="eastAsia"/>
                <w:color w:val="auto"/>
                <w:sz w:val="24"/>
              </w:rPr>
              <w:t>m</w:t>
            </w:r>
            <w:r>
              <w:rPr>
                <w:color w:val="auto"/>
                <w:sz w:val="24"/>
                <w:vertAlign w:val="superscript"/>
              </w:rPr>
              <w:t>3</w:t>
            </w:r>
            <w:r>
              <w:rPr>
                <w:color w:val="auto"/>
                <w:sz w:val="24"/>
              </w:rPr>
              <w:t>/a。</w:t>
            </w:r>
          </w:p>
          <w:p>
            <w:pPr>
              <w:pStyle w:val="83"/>
              <w:ind w:firstLine="480" w:firstLineChars="20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2）生活用水</w:t>
            </w:r>
          </w:p>
          <w:p>
            <w:pPr>
              <w:pStyle w:val="83"/>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本项目职工人数为</w:t>
            </w:r>
            <w:r>
              <w:rPr>
                <w:rFonts w:hint="eastAsia" w:ascii="Times New Roman" w:hAnsi="Times New Roman" w:cs="Times New Roman"/>
                <w:b w:val="0"/>
                <w:bCs/>
                <w:color w:val="auto"/>
                <w:lang w:val="en-US" w:eastAsia="zh-CN"/>
              </w:rPr>
              <w:t>15</w:t>
            </w:r>
            <w:r>
              <w:rPr>
                <w:rFonts w:hint="default" w:ascii="Times New Roman" w:hAnsi="Times New Roman" w:cs="Times New Roman"/>
                <w:b w:val="0"/>
                <w:bCs/>
                <w:color w:val="auto"/>
                <w:lang w:val="en-US" w:eastAsia="zh-CN"/>
              </w:rPr>
              <w:t>人，</w:t>
            </w:r>
            <w:r>
              <w:rPr>
                <w:rFonts w:hint="eastAsia" w:ascii="Times New Roman" w:hAnsi="Times New Roman" w:cs="Times New Roman"/>
                <w:b w:val="0"/>
                <w:bCs/>
                <w:color w:val="auto"/>
                <w:lang w:val="en-US" w:eastAsia="zh-CN"/>
              </w:rPr>
              <w:t>年工作300天，</w:t>
            </w:r>
            <w:r>
              <w:rPr>
                <w:rFonts w:hint="default" w:ascii="Times New Roman" w:hAnsi="Times New Roman" w:cs="Times New Roman"/>
                <w:b w:val="0"/>
                <w:bCs/>
                <w:color w:val="auto"/>
                <w:lang w:val="en-US" w:eastAsia="zh-CN"/>
              </w:rPr>
              <w:t>根据</w:t>
            </w:r>
            <w:r>
              <w:rPr>
                <w:rFonts w:hint="eastAsia" w:ascii="Times New Roman" w:hAnsi="Times New Roman" w:cs="Times New Roman"/>
                <w:b w:val="0"/>
                <w:bCs/>
                <w:color w:val="auto"/>
                <w:lang w:val="en-US" w:eastAsia="zh-CN"/>
              </w:rPr>
              <w:t>企业的实际情况厂内生活</w:t>
            </w:r>
            <w:r>
              <w:rPr>
                <w:rFonts w:hint="default" w:ascii="Times New Roman" w:hAnsi="Times New Roman" w:cs="Times New Roman"/>
                <w:b w:val="0"/>
                <w:bCs/>
                <w:color w:val="auto"/>
                <w:lang w:val="en-US" w:eastAsia="zh-CN"/>
              </w:rPr>
              <w:t>用水</w:t>
            </w:r>
            <w:r>
              <w:rPr>
                <w:rFonts w:hint="eastAsia" w:ascii="Times New Roman" w:hAnsi="Times New Roman" w:cs="Times New Roman"/>
                <w:b w:val="0"/>
                <w:bCs/>
                <w:color w:val="auto"/>
                <w:lang w:val="en-US" w:eastAsia="zh-CN"/>
              </w:rPr>
              <w:t>量约</w:t>
            </w:r>
            <w:r>
              <w:rPr>
                <w:rFonts w:hint="default" w:ascii="Times New Roman" w:hAnsi="Times New Roman" w:cs="Times New Roman"/>
                <w:b w:val="0"/>
                <w:bCs/>
                <w:color w:val="auto"/>
                <w:lang w:val="en-US" w:eastAsia="zh-CN"/>
              </w:rPr>
              <w:t>为</w:t>
            </w:r>
            <w:r>
              <w:rPr>
                <w:rFonts w:hint="eastAsia" w:ascii="Times New Roman" w:hAnsi="Times New Roman" w:cs="Times New Roman"/>
                <w:b w:val="0"/>
                <w:bCs/>
                <w:color w:val="auto"/>
                <w:lang w:val="en-US" w:eastAsia="zh-CN"/>
              </w:rPr>
              <w:t>1.5</w:t>
            </w:r>
            <w:r>
              <w:rPr>
                <w:color w:val="auto"/>
                <w:sz w:val="24"/>
              </w:rPr>
              <w:t>m</w:t>
            </w:r>
            <w:r>
              <w:rPr>
                <w:color w:val="auto"/>
                <w:sz w:val="24"/>
                <w:vertAlign w:val="superscript"/>
              </w:rPr>
              <w:t>3</w:t>
            </w:r>
            <w:r>
              <w:rPr>
                <w:color w:val="auto"/>
                <w:sz w:val="24"/>
              </w:rPr>
              <w:t>/</w:t>
            </w:r>
            <w:r>
              <w:rPr>
                <w:rFonts w:hint="eastAsia"/>
                <w:color w:val="auto"/>
                <w:sz w:val="24"/>
                <w:lang w:val="en-US" w:eastAsia="zh-CN"/>
              </w:rPr>
              <w:t>d</w:t>
            </w:r>
            <w:r>
              <w:rPr>
                <w:rFonts w:hint="default" w:ascii="Times New Roman" w:hAnsi="Times New Roman" w:cs="Times New Roman"/>
                <w:b w:val="0"/>
                <w:bCs/>
                <w:color w:val="auto"/>
                <w:lang w:val="en-US" w:eastAsia="zh-CN"/>
              </w:rPr>
              <w:t>，本项目运营期</w:t>
            </w:r>
            <w:r>
              <w:rPr>
                <w:rFonts w:hint="eastAsia" w:ascii="Times New Roman" w:hAnsi="Times New Roman" w:cs="Times New Roman"/>
                <w:b w:val="0"/>
                <w:bCs/>
                <w:color w:val="auto"/>
                <w:lang w:val="en-US" w:eastAsia="zh-CN"/>
              </w:rPr>
              <w:t>生活</w:t>
            </w:r>
            <w:r>
              <w:rPr>
                <w:rFonts w:hint="default" w:ascii="Times New Roman" w:hAnsi="Times New Roman" w:cs="Times New Roman"/>
                <w:b w:val="0"/>
                <w:bCs/>
                <w:color w:val="auto"/>
                <w:lang w:val="en-US" w:eastAsia="zh-CN"/>
              </w:rPr>
              <w:t>用水量为</w:t>
            </w:r>
            <w:r>
              <w:rPr>
                <w:rFonts w:hint="eastAsia" w:ascii="Times New Roman" w:hAnsi="Times New Roman" w:cs="Times New Roman"/>
                <w:b w:val="0"/>
                <w:bCs/>
                <w:color w:val="auto"/>
                <w:lang w:val="en-US" w:eastAsia="zh-CN"/>
              </w:rPr>
              <w:t>450</w:t>
            </w:r>
            <w:r>
              <w:rPr>
                <w:rFonts w:hint="default" w:ascii="Times New Roman" w:hAnsi="Times New Roman" w:cs="Times New Roman"/>
                <w:b w:val="0"/>
                <w:bCs/>
                <w:color w:val="auto"/>
                <w:lang w:val="en-US" w:eastAsia="zh-CN"/>
              </w:rPr>
              <w:t>t/a。</w:t>
            </w:r>
          </w:p>
          <w:p>
            <w:pPr>
              <w:pStyle w:val="83"/>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（2）排水</w:t>
            </w:r>
          </w:p>
          <w:p>
            <w:pPr>
              <w:pStyle w:val="83"/>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本项目废水主要为生活污水，</w:t>
            </w:r>
            <w:r>
              <w:rPr>
                <w:rFonts w:hint="default" w:ascii="Times New Roman" w:hAnsi="Times New Roman" w:cs="Times New Roman"/>
                <w:b w:val="0"/>
                <w:bCs/>
                <w:color w:val="auto"/>
                <w:lang w:val="en-US" w:eastAsia="zh-CN"/>
              </w:rPr>
              <w:t>产污系数以0.8计，生活污水产生量为</w:t>
            </w:r>
            <w:r>
              <w:rPr>
                <w:rFonts w:hint="eastAsia" w:ascii="Times New Roman" w:hAnsi="Times New Roman" w:cs="Times New Roman"/>
                <w:b w:val="0"/>
                <w:bCs/>
                <w:color w:val="auto"/>
                <w:lang w:val="en-US" w:eastAsia="zh-CN"/>
              </w:rPr>
              <w:t>1.2</w:t>
            </w:r>
            <w:r>
              <w:rPr>
                <w:color w:val="auto"/>
                <w:sz w:val="24"/>
              </w:rPr>
              <w:t>m</w:t>
            </w:r>
            <w:r>
              <w:rPr>
                <w:color w:val="auto"/>
                <w:sz w:val="24"/>
                <w:vertAlign w:val="superscript"/>
              </w:rPr>
              <w:t>3</w:t>
            </w:r>
            <w:r>
              <w:rPr>
                <w:rFonts w:hint="default" w:ascii="Times New Roman" w:hAnsi="Times New Roman" w:cs="Times New Roman"/>
                <w:b w:val="0"/>
                <w:bCs/>
                <w:color w:val="auto"/>
                <w:lang w:val="en-US" w:eastAsia="zh-CN"/>
              </w:rPr>
              <w:t>/d（</w:t>
            </w:r>
            <w:r>
              <w:rPr>
                <w:rFonts w:hint="eastAsia" w:ascii="Times New Roman" w:hAnsi="Times New Roman" w:cs="Times New Roman"/>
                <w:b w:val="0"/>
                <w:bCs/>
                <w:color w:val="auto"/>
                <w:lang w:val="en-US" w:eastAsia="zh-CN"/>
              </w:rPr>
              <w:t>360</w:t>
            </w:r>
            <w:r>
              <w:rPr>
                <w:color w:val="auto"/>
                <w:sz w:val="24"/>
              </w:rPr>
              <w:t>m</w:t>
            </w:r>
            <w:r>
              <w:rPr>
                <w:color w:val="auto"/>
                <w:sz w:val="24"/>
                <w:vertAlign w:val="superscript"/>
              </w:rPr>
              <w:t>3</w:t>
            </w:r>
            <w:r>
              <w:rPr>
                <w:rFonts w:hint="default" w:ascii="Times New Roman" w:hAnsi="Times New Roman" w:cs="Times New Roman"/>
                <w:b w:val="0"/>
                <w:bCs/>
                <w:color w:val="auto"/>
                <w:lang w:val="en-US" w:eastAsia="zh-CN"/>
              </w:rPr>
              <w:t>/a）</w:t>
            </w:r>
            <w:r>
              <w:rPr>
                <w:rFonts w:hint="eastAsia" w:ascii="Times New Roman" w:hAnsi="Times New Roman" w:cs="Times New Roman"/>
                <w:b w:val="0"/>
                <w:bCs/>
                <w:color w:val="auto"/>
                <w:lang w:val="en-US" w:eastAsia="zh-CN"/>
              </w:rPr>
              <w:t>，</w:t>
            </w:r>
            <w:r>
              <w:rPr>
                <w:rFonts w:hint="eastAsia" w:ascii="Times New Roman" w:hAnsi="Times New Roman" w:cs="Times New Roman"/>
                <w:b w:val="0"/>
                <w:bCs/>
                <w:color w:val="auto"/>
                <w:lang w:val="en-US" w:eastAsia="zh-CN"/>
              </w:rPr>
              <w:t>生活污水经化粪池处理后，由附近农户清运，用作农肥</w:t>
            </w:r>
            <w:r>
              <w:rPr>
                <w:rFonts w:hint="default" w:ascii="Times New Roman" w:hAnsi="Times New Roman" w:cs="Times New Roman"/>
                <w:b w:val="0"/>
                <w:bCs/>
                <w:color w:val="auto"/>
                <w:lang w:val="en-US" w:eastAsia="zh-CN"/>
              </w:rPr>
              <w:t>。</w:t>
            </w:r>
          </w:p>
          <w:p>
            <w:pPr>
              <w:pStyle w:val="83"/>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lang w:eastAsia="zh-CN"/>
              </w:rPr>
              <w:t>本项目</w:t>
            </w:r>
            <w:r>
              <w:rPr>
                <w:rFonts w:hint="default" w:ascii="Times New Roman" w:hAnsi="Times New Roman" w:cs="Times New Roman"/>
                <w:b w:val="0"/>
                <w:bCs/>
                <w:color w:val="auto"/>
              </w:rPr>
              <w:t>水平衡图见图2-1。</w:t>
            </w:r>
          </w:p>
          <w:p>
            <w:pPr>
              <w:pStyle w:val="10"/>
              <w:spacing w:line="360" w:lineRule="auto"/>
              <w:ind w:firstLine="0"/>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717632" behindDoc="0" locked="0" layoutInCell="1" allowOverlap="1">
                      <wp:simplePos x="0" y="0"/>
                      <wp:positionH relativeFrom="column">
                        <wp:posOffset>1576705</wp:posOffset>
                      </wp:positionH>
                      <wp:positionV relativeFrom="paragraph">
                        <wp:posOffset>67310</wp:posOffset>
                      </wp:positionV>
                      <wp:extent cx="514350" cy="363855"/>
                      <wp:effectExtent l="0" t="0" r="0" b="0"/>
                      <wp:wrapNone/>
                      <wp:docPr id="284"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514350" cy="363855"/>
                              </a:xfrm>
                              <a:prstGeom prst="rect">
                                <a:avLst/>
                              </a:prstGeom>
                              <a:noFill/>
                              <a:ln>
                                <a:noFill/>
                              </a:ln>
                              <a:effectLst/>
                            </wps:spPr>
                            <wps:txbx>
                              <w:txbxContent>
                                <w:p>
                                  <w:pPr>
                                    <w:rPr>
                                      <w:rFonts w:hint="default" w:eastAsia="宋体"/>
                                      <w:lang w:val="en-US" w:eastAsia="zh-CN"/>
                                    </w:rPr>
                                  </w:pPr>
                                  <w:r>
                                    <w:rPr>
                                      <w:rFonts w:hint="eastAsia" w:eastAsia="宋体"/>
                                      <w:lang w:val="en-US" w:eastAsia="zh-CN"/>
                                    </w:rPr>
                                    <w:t>90</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124.15pt;margin-top:5.3pt;height:28.65pt;width:40.5pt;z-index:251717632;mso-width-relative:page;mso-height-relative:page;" filled="f" stroked="f" coordsize="21600,21600" o:gfxdata="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YXaE1wAA&#10;AAkBAAAPAAAAAAAAAAEAIAAAACIAAABkcnMvZG93bnJldi54bWxQSwECFAAUAAAACACHTuJAIPbS&#10;sh8CAAAnBAAADgAAAAAAAAABACAAAAAmAQAAZHJzL2Uyb0RvYy54bWxQSwUGAAAAAAYABgBZAQAA&#10;tw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90</w:t>
                            </w:r>
                          </w:p>
                        </w:txbxContent>
                      </v:textbox>
                    </v:shape>
                  </w:pict>
                </mc:Fallback>
              </mc:AlternateContent>
            </w:r>
          </w:p>
          <w:p>
            <w:pPr>
              <w:pStyle w:val="10"/>
              <w:spacing w:line="360" w:lineRule="auto"/>
              <w:ind w:firstLine="0"/>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735040" behindDoc="0" locked="0" layoutInCell="1" allowOverlap="1">
                      <wp:simplePos x="0" y="0"/>
                      <wp:positionH relativeFrom="column">
                        <wp:posOffset>624205</wp:posOffset>
                      </wp:positionH>
                      <wp:positionV relativeFrom="paragraph">
                        <wp:posOffset>52070</wp:posOffset>
                      </wp:positionV>
                      <wp:extent cx="514350" cy="363855"/>
                      <wp:effectExtent l="0" t="0" r="0" b="0"/>
                      <wp:wrapNone/>
                      <wp:docPr id="65"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514350" cy="363855"/>
                              </a:xfrm>
                              <a:prstGeom prst="rect">
                                <a:avLst/>
                              </a:prstGeom>
                              <a:noFill/>
                              <a:ln>
                                <a:noFill/>
                              </a:ln>
                              <a:effectLst/>
                            </wps:spPr>
                            <wps:txbx>
                              <w:txbxContent>
                                <w:p>
                                  <w:pPr>
                                    <w:rPr>
                                      <w:rFonts w:hint="default" w:eastAsia="宋体"/>
                                      <w:lang w:val="en-US" w:eastAsia="zh-CN"/>
                                    </w:rPr>
                                  </w:pPr>
                                  <w:r>
                                    <w:rPr>
                                      <w:rFonts w:hint="eastAsia"/>
                                      <w:lang w:val="en-US" w:eastAsia="zh-CN"/>
                                    </w:rPr>
                                    <w:t>450</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49.15pt;margin-top:4.1pt;height:28.65pt;width:40.5pt;z-index:251735040;mso-width-relative:page;mso-height-relative:page;" filled="f" stroked="f" coordsize="21600,21600" o:gfxdata="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0NH+nUAAAABwEA&#10;AA8AAAAAAAAAAQAgAAAAIgAAAGRycy9kb3ducmV2LnhtbFBLAQIUABQAAAAIAIdO4kCZI9T+HgIA&#10;ACYEAAAOAAAAAAAAAAEAIAAAACMBAABkcnMvZTJvRG9jLnhtbFBLBQYAAAAABgAGAFkBAACzBQAA&#10;AAA=&#10;">
                      <v:fill on="f" focussize="0,0"/>
                      <v:stroke on="f"/>
                      <v:imagedata o:title=""/>
                      <o:lock v:ext="edit" aspectratio="f"/>
                      <v:textbox>
                        <w:txbxContent>
                          <w:p>
                            <w:pPr>
                              <w:rPr>
                                <w:rFonts w:hint="default" w:eastAsia="宋体"/>
                                <w:lang w:val="en-US" w:eastAsia="zh-CN"/>
                              </w:rPr>
                            </w:pPr>
                            <w:r>
                              <w:rPr>
                                <w:rFonts w:hint="eastAsia"/>
                                <w:lang w:val="en-US" w:eastAsia="zh-CN"/>
                              </w:rPr>
                              <w:t>450</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8656" behindDoc="0" locked="0" layoutInCell="1" allowOverlap="1">
                      <wp:simplePos x="0" y="0"/>
                      <wp:positionH relativeFrom="column">
                        <wp:posOffset>1423035</wp:posOffset>
                      </wp:positionH>
                      <wp:positionV relativeFrom="paragraph">
                        <wp:posOffset>106045</wp:posOffset>
                      </wp:positionV>
                      <wp:extent cx="276225" cy="161925"/>
                      <wp:effectExtent l="2540" t="0" r="6985" b="9525"/>
                      <wp:wrapNone/>
                      <wp:docPr id="282" name="自选图形 1055"/>
                      <wp:cNvGraphicFramePr/>
                      <a:graphic xmlns:a="http://schemas.openxmlformats.org/drawingml/2006/main">
                        <a:graphicData uri="http://schemas.microsoft.com/office/word/2010/wordprocessingShape">
                          <wps:wsp>
                            <wps:cNvCnPr>
                              <a:cxnSpLocks noChangeShapeType="1"/>
                            </wps:cNvCnPr>
                            <wps:spPr bwMode="auto">
                              <a:xfrm flipV="1">
                                <a:off x="0" y="0"/>
                                <a:ext cx="276225" cy="161925"/>
                              </a:xfrm>
                              <a:prstGeom prst="straightConnector1">
                                <a:avLst/>
                              </a:prstGeom>
                              <a:noFill/>
                              <a:ln w="6350">
                                <a:solidFill>
                                  <a:srgbClr val="000000"/>
                                </a:solidFill>
                                <a:prstDash val="dash"/>
                                <a:round/>
                                <a:tailEnd type="triangle" w="sm" len="med"/>
                              </a:ln>
                              <a:effectLst/>
                            </wps:spPr>
                            <wps:bodyPr/>
                          </wps:wsp>
                        </a:graphicData>
                      </a:graphic>
                    </wp:anchor>
                  </w:drawing>
                </mc:Choice>
                <mc:Fallback>
                  <w:pict>
                    <v:shape id="自选图形 1055" o:spid="_x0000_s1026" o:spt="32" type="#_x0000_t32" style="position:absolute;left:0pt;flip:y;margin-left:112.05pt;margin-top:8.35pt;height:12.75pt;width:21.75pt;z-index:251718656;mso-width-relative:page;mso-height-relative:page;" filled="f" stroked="t" coordsize="21600,21600" o:gfxdata="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n21&#10;pdYAAAAJAQAADwAAAAAAAAABACAAAAAiAAAAZHJzL2Rvd25yZXYueG1sUEsBAhQAFAAAAAgAh07i&#10;QPrVxW0kAgAAGwQAAA4AAAAAAAAAAQAgAAAAJQEAAGRycy9lMm9Eb2MueG1sUEsFBgAAAAAGAAYA&#10;WQEAALsFAAAAAA==&#10;">
                      <v:fill on="f" focussize="0,0"/>
                      <v:stroke weight="0.5pt" color="#000000" joinstyle="round" dashstyle="dash" endarrow="block" endarrowwidth="narrow"/>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9680" behindDoc="0" locked="0" layoutInCell="1" allowOverlap="1">
                      <wp:simplePos x="0" y="0"/>
                      <wp:positionH relativeFrom="column">
                        <wp:posOffset>3589020</wp:posOffset>
                      </wp:positionH>
                      <wp:positionV relativeFrom="paragraph">
                        <wp:posOffset>233680</wp:posOffset>
                      </wp:positionV>
                      <wp:extent cx="879475" cy="449580"/>
                      <wp:effectExtent l="0" t="0" r="0" b="0"/>
                      <wp:wrapNone/>
                      <wp:docPr id="52" name="Text Box 12"/>
                      <wp:cNvGraphicFramePr/>
                      <a:graphic xmlns:a="http://schemas.openxmlformats.org/drawingml/2006/main">
                        <a:graphicData uri="http://schemas.microsoft.com/office/word/2010/wordprocessingShape">
                          <wps:wsp>
                            <wps:cNvSpPr txBox="1"/>
                            <wps:spPr>
                              <a:xfrm>
                                <a:off x="0" y="0"/>
                                <a:ext cx="879475" cy="449580"/>
                              </a:xfrm>
                              <a:prstGeom prst="rect">
                                <a:avLst/>
                              </a:prstGeom>
                              <a:noFill/>
                              <a:ln w="6350">
                                <a:noFill/>
                              </a:ln>
                            </wps:spPr>
                            <wps:txbx>
                              <w:txbxContent>
                                <w:p>
                                  <w:pPr>
                                    <w:jc w:val="center"/>
                                    <w:rPr>
                                      <w:rFonts w:hint="eastAsia" w:ascii="宋体" w:hAnsi="宋体" w:eastAsia="宋体"/>
                                      <w:lang w:eastAsia="zh-CN"/>
                                    </w:rPr>
                                  </w:pPr>
                                  <w:r>
                                    <w:rPr>
                                      <w:rFonts w:hint="eastAsia" w:ascii="宋体" w:hAnsi="宋体"/>
                                      <w:lang w:eastAsia="zh-CN"/>
                                    </w:rPr>
                                    <w:t>用作农肥</w:t>
                                  </w:r>
                                </w:p>
                              </w:txbxContent>
                            </wps:txbx>
                            <wps:bodyPr vert="horz" wrap="square" anchor="t" anchorCtr="0" upright="1"/>
                          </wps:wsp>
                        </a:graphicData>
                      </a:graphic>
                    </wp:anchor>
                  </w:drawing>
                </mc:Choice>
                <mc:Fallback>
                  <w:pict>
                    <v:shape id="Text Box 12" o:spid="_x0000_s1026" o:spt="202" type="#_x0000_t202" style="position:absolute;left:0pt;margin-left:282.6pt;margin-top:18.4pt;height:35.4pt;width:69.25pt;z-index:251719680;mso-width-relative:page;mso-height-relative:page;" filled="f" stroked="f" coordsize="21600,21600" o:gfxdata="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HoJRXbAAAACgEAAA8AAAAAAAAAAQAgAAAAIgAAAGRycy9k&#10;b3ducmV2LnhtbFBLAQIUABQAAAAIAIdO4kA8quxhxgEAAIoDAAAOAAAAAAAAAAEAIAAAACoBAABk&#10;cnMvZTJvRG9jLnhtbFBLBQYAAAAABgAGAFkBAABiBQAAAAA=&#10;">
                      <v:fill on="f" focussize="0,0"/>
                      <v:stroke on="f" weight="0.5pt"/>
                      <v:imagedata o:title=""/>
                      <o:lock v:ext="edit" aspectratio="f"/>
                      <v:textbox>
                        <w:txbxContent>
                          <w:p>
                            <w:pPr>
                              <w:jc w:val="center"/>
                              <w:rPr>
                                <w:rFonts w:hint="eastAsia" w:ascii="宋体" w:hAnsi="宋体" w:eastAsia="宋体"/>
                                <w:lang w:eastAsia="zh-CN"/>
                              </w:rPr>
                            </w:pPr>
                            <w:r>
                              <w:rPr>
                                <w:rFonts w:hint="eastAsia" w:ascii="宋体" w:hAnsi="宋体"/>
                                <w:lang w:eastAsia="zh-CN"/>
                              </w:rPr>
                              <w:t>用作农肥</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0704" behindDoc="0" locked="0" layoutInCell="1" allowOverlap="1">
                      <wp:simplePos x="0" y="0"/>
                      <wp:positionH relativeFrom="column">
                        <wp:posOffset>3182620</wp:posOffset>
                      </wp:positionH>
                      <wp:positionV relativeFrom="paragraph">
                        <wp:posOffset>67310</wp:posOffset>
                      </wp:positionV>
                      <wp:extent cx="514350" cy="292735"/>
                      <wp:effectExtent l="0" t="0" r="0" b="0"/>
                      <wp:wrapNone/>
                      <wp:docPr id="280"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514350" cy="292735"/>
                              </a:xfrm>
                              <a:prstGeom prst="rect">
                                <a:avLst/>
                              </a:prstGeom>
                              <a:noFill/>
                              <a:ln>
                                <a:noFill/>
                              </a:ln>
                              <a:effectLst/>
                            </wps:spPr>
                            <wps:txbx>
                              <w:txbxContent>
                                <w:p>
                                  <w:pPr>
                                    <w:rPr>
                                      <w:rFonts w:hint="default" w:eastAsia="宋体"/>
                                      <w:lang w:val="en-US" w:eastAsia="zh-CN"/>
                                    </w:rPr>
                                  </w:pPr>
                                  <w:r>
                                    <w:rPr>
                                      <w:rFonts w:hint="eastAsia"/>
                                      <w:lang w:val="en-US" w:eastAsia="zh-CN"/>
                                    </w:rPr>
                                    <w:t>360</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250.6pt;margin-top:5.3pt;height:23.05pt;width:40.5pt;z-index:251720704;mso-width-relative:page;mso-height-relative:page;" filled="f" stroked="f" coordsize="21600,21600" o:gfxdata="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A/61gAA&#10;AAkBAAAPAAAAAAAAAAEAIAAAACIAAABkcnMvZG93bnJldi54bWxQSwECFAAUAAAACACHTuJAwbK6&#10;2SACAAAnBAAADgAAAAAAAAABACAAAAAlAQAAZHJzL2Uyb0RvYy54bWxQSwUGAAAAAAYABgBZAQAA&#10;twUAAAAA&#10;">
                      <v:fill on="f" focussize="0,0"/>
                      <v:stroke on="f"/>
                      <v:imagedata o:title=""/>
                      <o:lock v:ext="edit" aspectratio="f"/>
                      <v:textbox>
                        <w:txbxContent>
                          <w:p>
                            <w:pPr>
                              <w:rPr>
                                <w:rFonts w:hint="default" w:eastAsia="宋体"/>
                                <w:lang w:val="en-US" w:eastAsia="zh-CN"/>
                              </w:rPr>
                            </w:pPr>
                            <w:r>
                              <w:rPr>
                                <w:rFonts w:hint="eastAsia"/>
                                <w:lang w:val="en-US" w:eastAsia="zh-CN"/>
                              </w:rPr>
                              <w:t>360</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1728" behindDoc="0" locked="0" layoutInCell="1" allowOverlap="1">
                      <wp:simplePos x="0" y="0"/>
                      <wp:positionH relativeFrom="column">
                        <wp:posOffset>1878965</wp:posOffset>
                      </wp:positionH>
                      <wp:positionV relativeFrom="paragraph">
                        <wp:posOffset>86995</wp:posOffset>
                      </wp:positionV>
                      <wp:extent cx="575310" cy="266065"/>
                      <wp:effectExtent l="0" t="0" r="0" b="0"/>
                      <wp:wrapNone/>
                      <wp:docPr id="279"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575310" cy="266065"/>
                              </a:xfrm>
                              <a:prstGeom prst="rect">
                                <a:avLst/>
                              </a:prstGeom>
                              <a:noFill/>
                              <a:ln>
                                <a:noFill/>
                              </a:ln>
                              <a:effectLst/>
                            </wps:spPr>
                            <wps:txbx>
                              <w:txbxContent>
                                <w:p>
                                  <w:pPr>
                                    <w:rPr>
                                      <w:rFonts w:hint="default" w:eastAsia="宋体"/>
                                      <w:lang w:val="en-US" w:eastAsia="zh-CN"/>
                                    </w:rPr>
                                  </w:pPr>
                                  <w:r>
                                    <w:rPr>
                                      <w:rFonts w:hint="eastAsia"/>
                                      <w:lang w:val="en-US" w:eastAsia="zh-CN"/>
                                    </w:rPr>
                                    <w:t>360</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147.95pt;margin-top:6.85pt;height:20.95pt;width:45.3pt;z-index:251721728;mso-width-relative:page;mso-height-relative:page;" filled="f" stroked="f" coordsize="21600,21600" o:gfxdata="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ne/11wAA&#10;AAkBAAAPAAAAAAAAAAEAIAAAACIAAABkcnMvZG93bnJldi54bWxQSwECFAAUAAAACACHTuJAQxhI&#10;uB8CAAAnBAAADgAAAAAAAAABACAAAAAmAQAAZHJzL2Uyb0RvYy54bWxQSwUGAAAAAAYABgBZAQAA&#10;twUAAAAA&#10;">
                      <v:fill on="f" focussize="0,0"/>
                      <v:stroke on="f"/>
                      <v:imagedata o:title=""/>
                      <o:lock v:ext="edit" aspectratio="f"/>
                      <v:textbox>
                        <w:txbxContent>
                          <w:p>
                            <w:pPr>
                              <w:rPr>
                                <w:rFonts w:hint="default" w:eastAsia="宋体"/>
                                <w:lang w:val="en-US" w:eastAsia="zh-CN"/>
                              </w:rPr>
                            </w:pPr>
                            <w:r>
                              <w:rPr>
                                <w:rFonts w:hint="eastAsia"/>
                                <w:lang w:val="en-US" w:eastAsia="zh-CN"/>
                              </w:rPr>
                              <w:t>360</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2752" behindDoc="0" locked="0" layoutInCell="1" allowOverlap="1">
                      <wp:simplePos x="0" y="0"/>
                      <wp:positionH relativeFrom="column">
                        <wp:posOffset>2353310</wp:posOffset>
                      </wp:positionH>
                      <wp:positionV relativeFrom="paragraph">
                        <wp:posOffset>237490</wp:posOffset>
                      </wp:positionV>
                      <wp:extent cx="723900" cy="342900"/>
                      <wp:effectExtent l="4445" t="4445" r="14605" b="14605"/>
                      <wp:wrapNone/>
                      <wp:docPr id="278"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noFill/>
                              <a:ln w="6350">
                                <a:solidFill>
                                  <a:srgbClr val="000000"/>
                                </a:solidFill>
                                <a:miter lim="800000"/>
                              </a:ln>
                              <a:effectLst/>
                            </wps:spPr>
                            <wps:txbx>
                              <w:txbxContent>
                                <w:p>
                                  <w:pPr>
                                    <w:rPr>
                                      <w:rFonts w:ascii="宋体" w:hAnsi="宋体"/>
                                    </w:rPr>
                                  </w:pPr>
                                  <w:r>
                                    <w:rPr>
                                      <w:rFonts w:hint="eastAsia" w:ascii="宋体" w:hAnsi="宋体"/>
                                    </w:rPr>
                                    <w:t>化粪池</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185.3pt;margin-top:18.7pt;height:27pt;width:57pt;z-index:251722752;mso-width-relative:page;mso-height-relative:page;" filled="f" stroked="t" coordsize="21600,21600" o:gfxdata="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DTKJ2QAAAAkBAAAPAAAAAAAAAAEAIAAA&#10;ACIAAABkcnMvZG93bnJldi54bWxQSwECFAAUAAAACACHTuJAWHOiD0QCAABwBAAADgAAAAAAAAAB&#10;ACAAAAAoAQAAZHJzL2Uyb0RvYy54bWxQSwUGAAAAAAYABgBZAQAA3gUAAAAA&#10;">
                      <v:fill on="f" focussize="0,0"/>
                      <v:stroke weight="0.5pt" color="#000000" miterlimit="8" joinstyle="miter"/>
                      <v:imagedata o:title=""/>
                      <o:lock v:ext="edit" aspectratio="f"/>
                      <v:textbox>
                        <w:txbxContent>
                          <w:p>
                            <w:pPr>
                              <w:rPr>
                                <w:rFonts w:ascii="宋体" w:hAnsi="宋体"/>
                              </w:rPr>
                            </w:pPr>
                            <w:r>
                              <w:rPr>
                                <w:rFonts w:hint="eastAsia" w:ascii="宋体" w:hAnsi="宋体"/>
                              </w:rPr>
                              <w:t>化粪池</w:t>
                            </w:r>
                          </w:p>
                        </w:txbxContent>
                      </v:textbox>
                    </v:shape>
                  </w:pict>
                </mc:Fallback>
              </mc:AlternateContent>
            </w:r>
          </w:p>
          <w:p>
            <w:pPr>
              <w:pStyle w:val="1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734016" behindDoc="0" locked="0" layoutInCell="1" allowOverlap="1">
                      <wp:simplePos x="0" y="0"/>
                      <wp:positionH relativeFrom="column">
                        <wp:posOffset>589915</wp:posOffset>
                      </wp:positionH>
                      <wp:positionV relativeFrom="paragraph">
                        <wp:posOffset>186690</wp:posOffset>
                      </wp:positionV>
                      <wp:extent cx="0" cy="628650"/>
                      <wp:effectExtent l="6350" t="0" r="12700" b="0"/>
                      <wp:wrapNone/>
                      <wp:docPr id="64" name="直接连接符 64"/>
                      <wp:cNvGraphicFramePr/>
                      <a:graphic xmlns:a="http://schemas.openxmlformats.org/drawingml/2006/main">
                        <a:graphicData uri="http://schemas.microsoft.com/office/word/2010/wordprocessingShape">
                          <wps:wsp>
                            <wps:cNvCnPr/>
                            <wps:spPr>
                              <a:xfrm>
                                <a:off x="2108835" y="8030845"/>
                                <a:ext cx="0" cy="628650"/>
                              </a:xfrm>
                              <a:prstGeom prst="line">
                                <a:avLst/>
                              </a:prstGeom>
                              <a:noFill/>
                              <a:ln w="12700" cap="flat" cmpd="sng" algn="ctr">
                                <a:solidFill>
                                  <a:srgbClr val="000000"/>
                                </a:solidFill>
                                <a:prstDash val="solid"/>
                              </a:ln>
                              <a:effectLst/>
                            </wps:spPr>
                            <wps:bodyPr/>
                          </wps:wsp>
                        </a:graphicData>
                      </a:graphic>
                    </wp:anchor>
                  </w:drawing>
                </mc:Choice>
                <mc:Fallback>
                  <w:pict>
                    <v:line id="_x0000_s1026" o:spid="_x0000_s1026" o:spt="20" style="position:absolute;left:0pt;margin-left:46.45pt;margin-top:14.7pt;height:49.5pt;width:0pt;z-index:251734016;mso-width-relative:page;mso-height-relative:page;" filled="f" stroked="t" coordsize="21600,21600" o:gfxdata="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s45o1gAAAAgBAAAPAAAAAAAAAAEAIAAAACIAAABkcnMvZG93bnJldi54bWxQSwECFAAUAAAACACH&#10;TuJACXkG7u0BAAC2AwAADgAAAAAAAAABACAAAAAlAQAAZHJzL2Uyb0RvYy54bWxQSwUGAAAAAAYA&#10;BgBZAQAAhAUAAAAA&#10;">
                      <v:fill on="f" focussize="0,0"/>
                      <v:stroke weight="1pt" color="#000000" joinstyle="round"/>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3776" behindDoc="0" locked="0" layoutInCell="1" allowOverlap="1">
                      <wp:simplePos x="0" y="0"/>
                      <wp:positionH relativeFrom="column">
                        <wp:posOffset>-36830</wp:posOffset>
                      </wp:positionH>
                      <wp:positionV relativeFrom="paragraph">
                        <wp:posOffset>126365</wp:posOffset>
                      </wp:positionV>
                      <wp:extent cx="619125" cy="454025"/>
                      <wp:effectExtent l="0" t="0" r="0" b="0"/>
                      <wp:wrapNone/>
                      <wp:docPr id="277"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619125" cy="454025"/>
                              </a:xfrm>
                              <a:prstGeom prst="rect">
                                <a:avLst/>
                              </a:prstGeom>
                              <a:noFill/>
                              <a:ln>
                                <a:noFill/>
                              </a:ln>
                              <a:effectLst/>
                            </wps:spPr>
                            <wps:txbx>
                              <w:txbxContent>
                                <w:p>
                                  <w:pPr>
                                    <w:ind w:left="210" w:hanging="210" w:hangingChars="100"/>
                                    <w:rPr>
                                      <w:rFonts w:hint="default" w:ascii="宋体" w:hAnsi="宋体" w:eastAsia="宋体"/>
                                      <w:color w:val="auto"/>
                                      <w:lang w:val="en-US" w:eastAsia="zh-CN"/>
                                    </w:rPr>
                                  </w:pPr>
                                  <w:r>
                                    <w:rPr>
                                      <w:rFonts w:hint="eastAsia" w:ascii="宋体" w:hAnsi="宋体"/>
                                      <w:color w:val="auto"/>
                                    </w:rPr>
                                    <w:t>新鲜水</w:t>
                                  </w:r>
                                  <w:r>
                                    <w:rPr>
                                      <w:rFonts w:hint="eastAsia"/>
                                      <w:color w:val="auto"/>
                                      <w:lang w:val="en-US" w:eastAsia="zh-CN"/>
                                    </w:rPr>
                                    <w:t>3330</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2.9pt;margin-top:9.95pt;height:35.75pt;width:48.75pt;z-index:251723776;mso-width-relative:page;mso-height-relative:page;" filled="f" stroked="f" coordsize="21600,21600" o:gfxdata="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AxEODUAAAABwEA&#10;AA8AAAAAAAAAAQAgAAAAIgAAAGRycy9kb3ducmV2LnhtbFBLAQIUABQAAAAIAIdO4kBJXwAQHgIA&#10;ACcEAAAOAAAAAAAAAAEAIAAAACMBAABkcnMvZTJvRG9jLnhtbFBLBQYAAAAABgAGAFkBAACzBQAA&#10;AAA=&#10;">
                      <v:fill on="f" focussize="0,0"/>
                      <v:stroke on="f"/>
                      <v:imagedata o:title=""/>
                      <o:lock v:ext="edit" aspectratio="f"/>
                      <v:textbox>
                        <w:txbxContent>
                          <w:p>
                            <w:pPr>
                              <w:ind w:left="210" w:hanging="210" w:hangingChars="100"/>
                              <w:rPr>
                                <w:rFonts w:hint="default" w:ascii="宋体" w:hAnsi="宋体" w:eastAsia="宋体"/>
                                <w:color w:val="auto"/>
                                <w:lang w:val="en-US" w:eastAsia="zh-CN"/>
                              </w:rPr>
                            </w:pPr>
                            <w:r>
                              <w:rPr>
                                <w:rFonts w:hint="eastAsia" w:ascii="宋体" w:hAnsi="宋体"/>
                                <w:color w:val="auto"/>
                              </w:rPr>
                              <w:t>新鲜水</w:t>
                            </w:r>
                            <w:r>
                              <w:rPr>
                                <w:rFonts w:hint="eastAsia"/>
                                <w:color w:val="auto"/>
                                <w:lang w:val="en-US" w:eastAsia="zh-CN"/>
                              </w:rPr>
                              <w:t>3330</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4800" behindDoc="0" locked="0" layoutInCell="1" allowOverlap="1">
                      <wp:simplePos x="0" y="0"/>
                      <wp:positionH relativeFrom="column">
                        <wp:posOffset>587375</wp:posOffset>
                      </wp:positionH>
                      <wp:positionV relativeFrom="paragraph">
                        <wp:posOffset>182245</wp:posOffset>
                      </wp:positionV>
                      <wp:extent cx="514350" cy="0"/>
                      <wp:effectExtent l="0" t="25400" r="0" b="31750"/>
                      <wp:wrapNone/>
                      <wp:docPr id="275" name="AutoShape 4"/>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6350">
                                <a:solidFill>
                                  <a:srgbClr val="000000"/>
                                </a:solidFill>
                                <a:round/>
                                <a:tailEnd type="triangle" w="sm" len="med"/>
                              </a:ln>
                              <a:effectLst/>
                            </wps:spPr>
                            <wps:bodyPr/>
                          </wps:wsp>
                        </a:graphicData>
                      </a:graphic>
                    </wp:anchor>
                  </w:drawing>
                </mc:Choice>
                <mc:Fallback>
                  <w:pict>
                    <v:shape id="AutoShape 4" o:spid="_x0000_s1026" o:spt="32" type="#_x0000_t32" style="position:absolute;left:0pt;margin-left:46.25pt;margin-top:14.35pt;height:0pt;width:40.5pt;z-index:251724800;mso-width-relative:page;mso-height-relative:page;" filled="f" stroked="t" coordsize="21600,21600" o:gfxdata="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JE94DVAAAACAEAAA8AAAAAAAAAAQAgAAAAIgAAAGRycy9kb3ducmV2LnhtbFBLAQIUABQAAAAI&#10;AIdO4kC7O30U8AEAAO4DAAAOAAAAAAAAAAEAIAAAACQBAABkcnMvZTJvRG9jLnhtbFBLBQYAAAAA&#10;BgAGAFkBAACGBQAAAAA=&#10;">
                      <v:fill on="f" focussize="0,0"/>
                      <v:stroke weight="0.5pt" color="#000000" joinstyle="round" endarrow="block" endarrowwidth="narrow"/>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5824" behindDoc="0" locked="0" layoutInCell="1" allowOverlap="1">
                      <wp:simplePos x="0" y="0"/>
                      <wp:positionH relativeFrom="column">
                        <wp:posOffset>1091565</wp:posOffset>
                      </wp:positionH>
                      <wp:positionV relativeFrom="paragraph">
                        <wp:posOffset>22225</wp:posOffset>
                      </wp:positionV>
                      <wp:extent cx="723900" cy="342900"/>
                      <wp:effectExtent l="4445" t="4445" r="14605" b="14605"/>
                      <wp:wrapNone/>
                      <wp:docPr id="274" name="Text Box 3"/>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noFill/>
                              <a:ln w="6350">
                                <a:solidFill>
                                  <a:srgbClr val="000000"/>
                                </a:solidFill>
                                <a:miter lim="800000"/>
                              </a:ln>
                              <a:effectLst/>
                            </wps:spPr>
                            <wps:txbx>
                              <w:txbxContent>
                                <w:p>
                                  <w:pPr>
                                    <w:rPr>
                                      <w:rFonts w:ascii="宋体" w:hAnsi="宋体"/>
                                    </w:rPr>
                                  </w:pPr>
                                  <w:r>
                                    <w:rPr>
                                      <w:rFonts w:hint="eastAsia" w:ascii="宋体" w:hAnsi="宋体"/>
                                    </w:rPr>
                                    <w:t>生活用水</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85.95pt;margin-top:1.75pt;height:27pt;width:57pt;z-index:251725824;mso-width-relative:page;mso-height-relative:page;" filled="f" stroked="t" coordsize="21600,21600" o:gfxdata="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enEDnXAAAACAEAAA8AAAAAAAAAAQAgAAAAIgAAAGRycy9kb3ducmV2LnhtbFBL&#10;AQIUABQAAAAIAIdO4kCxuHrVMAIAAGwEAAAOAAAAAAAAAAEAIAAAACYBAABkcnMvZTJvRG9jLnht&#10;bFBLBQYAAAAABgAGAFkBAADIBQAAAAA=&#10;">
                      <v:fill on="f" focussize="0,0"/>
                      <v:stroke weight="0.5pt" color="#000000" miterlimit="8" joinstyle="miter"/>
                      <v:imagedata o:title=""/>
                      <o:lock v:ext="edit" aspectratio="f"/>
                      <v:textbox>
                        <w:txbxContent>
                          <w:p>
                            <w:pPr>
                              <w:rPr>
                                <w:rFonts w:ascii="宋体" w:hAnsi="宋体"/>
                              </w:rPr>
                            </w:pPr>
                            <w:r>
                              <w:rPr>
                                <w:rFonts w:hint="eastAsia" w:ascii="宋体" w:hAnsi="宋体"/>
                              </w:rPr>
                              <w:t>生活用水</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6848" behindDoc="0" locked="0" layoutInCell="1" allowOverlap="1">
                      <wp:simplePos x="0" y="0"/>
                      <wp:positionH relativeFrom="column">
                        <wp:posOffset>3072765</wp:posOffset>
                      </wp:positionH>
                      <wp:positionV relativeFrom="paragraph">
                        <wp:posOffset>137160</wp:posOffset>
                      </wp:positionV>
                      <wp:extent cx="514350" cy="0"/>
                      <wp:effectExtent l="0" t="25400" r="0" b="31750"/>
                      <wp:wrapNone/>
                      <wp:docPr id="272" name="自选图形 1057"/>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6350">
                                <a:solidFill>
                                  <a:srgbClr val="000000"/>
                                </a:solidFill>
                                <a:round/>
                                <a:tailEnd type="triangle" w="sm" len="med"/>
                              </a:ln>
                              <a:effectLst/>
                            </wps:spPr>
                            <wps:bodyPr/>
                          </wps:wsp>
                        </a:graphicData>
                      </a:graphic>
                    </wp:anchor>
                  </w:drawing>
                </mc:Choice>
                <mc:Fallback>
                  <w:pict>
                    <v:shape id="自选图形 1057" o:spid="_x0000_s1026" o:spt="32" type="#_x0000_t32" style="position:absolute;left:0pt;margin-left:241.95pt;margin-top:10.8pt;height:0pt;width:40.5pt;z-index:251726848;mso-width-relative:page;mso-height-relative:page;" filled="f" stroked="t" coordsize="21600,21600" o:gfxdata="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Ss4OzWAAAACQEAAA8AAAAAAAAAAQAgAAAAIgAA&#10;AGRycy9kb3ducmV2LnhtbFBLAQIUABQAAAAIAIdO4kActslgCgIAAPQDAAAOAAAAAAAAAAEAIAAA&#10;ACUBAABkcnMvZTJvRG9jLnhtbFBLBQYAAAAABgAGAFkBAAChBQAAAAA=&#10;">
                      <v:fill on="f" focussize="0,0"/>
                      <v:stroke weight="0.5pt" color="#000000" joinstyle="round" endarrow="block" endarrowwidth="narrow"/>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7872" behindDoc="0" locked="0" layoutInCell="1" allowOverlap="1">
                      <wp:simplePos x="0" y="0"/>
                      <wp:positionH relativeFrom="column">
                        <wp:posOffset>1837690</wp:posOffset>
                      </wp:positionH>
                      <wp:positionV relativeFrom="paragraph">
                        <wp:posOffset>158115</wp:posOffset>
                      </wp:positionV>
                      <wp:extent cx="514350" cy="0"/>
                      <wp:effectExtent l="0" t="25400" r="0" b="31750"/>
                      <wp:wrapNone/>
                      <wp:docPr id="271" name="自选图形 1052"/>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6350">
                                <a:solidFill>
                                  <a:srgbClr val="000000"/>
                                </a:solidFill>
                                <a:round/>
                                <a:tailEnd type="triangle" w="sm" len="med"/>
                              </a:ln>
                              <a:effectLst/>
                            </wps:spPr>
                            <wps:bodyPr/>
                          </wps:wsp>
                        </a:graphicData>
                      </a:graphic>
                    </wp:anchor>
                  </w:drawing>
                </mc:Choice>
                <mc:Fallback>
                  <w:pict>
                    <v:shape id="自选图形 1052" o:spid="_x0000_s1026" o:spt="32" type="#_x0000_t32" style="position:absolute;left:0pt;margin-left:144.7pt;margin-top:12.45pt;height:0pt;width:40.5pt;z-index:251727872;mso-width-relative:page;mso-height-relative:page;" filled="f" stroked="t" coordsize="21600,21600" o:gfxdata="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e/0PXAAAACQEAAA8AAAAAAAAAAQAgAAAAIgAA&#10;AGRycy9kb3ducmV2LnhtbFBLAQIUABQAAAAIAIdO4kCCGMEECQIAAPQDAAAOAAAAAAAAAAEAIAAA&#10;ACYBAABkcnMvZTJvRG9jLnhtbFBLBQYAAAAABgAGAFkBAAChBQAAAAA=&#10;">
                      <v:fill on="f" focussize="0,0"/>
                      <v:stroke weight="0.5pt" color="#000000" joinstyle="round" endarrow="block" endarrowwidth="narrow"/>
                      <v:imagedata o:title=""/>
                      <o:lock v:ext="edit" aspectratio="f"/>
                    </v:shape>
                  </w:pict>
                </mc:Fallback>
              </mc:AlternateContent>
            </w:r>
          </w:p>
          <w:p>
            <w:pPr>
              <w:pStyle w:val="1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736064" behindDoc="0" locked="0" layoutInCell="1" allowOverlap="1">
                      <wp:simplePos x="0" y="0"/>
                      <wp:positionH relativeFrom="column">
                        <wp:posOffset>605155</wp:posOffset>
                      </wp:positionH>
                      <wp:positionV relativeFrom="paragraph">
                        <wp:posOffset>173990</wp:posOffset>
                      </wp:positionV>
                      <wp:extent cx="514350" cy="363855"/>
                      <wp:effectExtent l="0" t="0" r="0" b="0"/>
                      <wp:wrapNone/>
                      <wp:docPr id="66"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514350" cy="363855"/>
                              </a:xfrm>
                              <a:prstGeom prst="rect">
                                <a:avLst/>
                              </a:prstGeom>
                              <a:noFill/>
                              <a:ln>
                                <a:noFill/>
                              </a:ln>
                              <a:effectLst/>
                            </wps:spPr>
                            <wps:txbx>
                              <w:txbxContent>
                                <w:p>
                                  <w:pPr>
                                    <w:rPr>
                                      <w:rFonts w:hint="default" w:eastAsia="宋体"/>
                                      <w:lang w:val="en-US" w:eastAsia="zh-CN"/>
                                    </w:rPr>
                                  </w:pPr>
                                  <w:r>
                                    <w:rPr>
                                      <w:rFonts w:hint="eastAsia"/>
                                      <w:lang w:val="en-US" w:eastAsia="zh-CN"/>
                                    </w:rPr>
                                    <w:t>2880</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47.65pt;margin-top:13.7pt;height:28.65pt;width:40.5pt;z-index:251736064;mso-width-relative:page;mso-height-relative:page;" filled="f" stroked="f" coordsize="21600,21600" o:gfxdata="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R95NdYAAAAI&#10;AQAADwAAAAAAAAABACAAAAAiAAAAZHJzL2Rvd25yZXYueG1sUEsBAhQAFAAAAAgAh07iQO5clEoe&#10;AgAAJgQAAA4AAAAAAAAAAQAgAAAAJQEAAGRycy9lMm9Eb2MueG1sUEsFBgAAAAAGAAYAWQEAALUF&#10;AAAAAA==&#10;">
                      <v:fill on="f" focussize="0,0"/>
                      <v:stroke on="f"/>
                      <v:imagedata o:title=""/>
                      <o:lock v:ext="edit" aspectratio="f"/>
                      <v:textbox>
                        <w:txbxContent>
                          <w:p>
                            <w:pPr>
                              <w:rPr>
                                <w:rFonts w:hint="default" w:eastAsia="宋体"/>
                                <w:lang w:val="en-US" w:eastAsia="zh-CN"/>
                              </w:rPr>
                            </w:pPr>
                            <w:r>
                              <w:rPr>
                                <w:rFonts w:hint="eastAsia"/>
                                <w:lang w:val="en-US" w:eastAsia="zh-CN"/>
                              </w:rPr>
                              <w:t>2880</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32992" behindDoc="0" locked="0" layoutInCell="1" allowOverlap="1">
                      <wp:simplePos x="0" y="0"/>
                      <wp:positionH relativeFrom="column">
                        <wp:posOffset>-12700</wp:posOffset>
                      </wp:positionH>
                      <wp:positionV relativeFrom="paragraph">
                        <wp:posOffset>233680</wp:posOffset>
                      </wp:positionV>
                      <wp:extent cx="514350" cy="0"/>
                      <wp:effectExtent l="0" t="25400" r="0" b="31750"/>
                      <wp:wrapNone/>
                      <wp:docPr id="63" name="AutoShape 4"/>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6350">
                                <a:solidFill>
                                  <a:srgbClr val="000000"/>
                                </a:solidFill>
                                <a:round/>
                                <a:tailEnd type="triangle" w="sm" len="med"/>
                              </a:ln>
                              <a:effectLst/>
                            </wps:spPr>
                            <wps:bodyPr/>
                          </wps:wsp>
                        </a:graphicData>
                      </a:graphic>
                    </wp:anchor>
                  </w:drawing>
                </mc:Choice>
                <mc:Fallback>
                  <w:pict>
                    <v:shape id="AutoShape 4" o:spid="_x0000_s1026" o:spt="32" type="#_x0000_t32" style="position:absolute;left:0pt;margin-left:-1pt;margin-top:18.4pt;height:0pt;width:40.5pt;z-index:251732992;mso-width-relative:page;mso-height-relative:page;" filled="f" stroked="t" coordsize="21600,21600" o:gfxdata="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X/+&#10;m9MAAAAHAQAADwAAAAAAAAABACAAAAAiAAAAZHJzL2Rvd25yZXYueG1sUEsBAhQAFAAAAAgAh07i&#10;QNtVEgjuAQAA7QMAAA4AAAAAAAAAAQAgAAAAIgEAAGRycy9lMm9Eb2MueG1sUEsFBgAAAAAGAAYA&#10;WQEAAIIFAAAAAA==&#10;">
                      <v:fill on="f" focussize="0,0"/>
                      <v:stroke weight="0.5pt" color="#000000" joinstyle="round" endarrow="block" endarrowwidth="narrow"/>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31968" behindDoc="0" locked="0" layoutInCell="1" allowOverlap="1">
                      <wp:simplePos x="0" y="0"/>
                      <wp:positionH relativeFrom="column">
                        <wp:posOffset>1710055</wp:posOffset>
                      </wp:positionH>
                      <wp:positionV relativeFrom="paragraph">
                        <wp:posOffset>78740</wp:posOffset>
                      </wp:positionV>
                      <wp:extent cx="514350" cy="363855"/>
                      <wp:effectExtent l="0" t="0" r="0" b="0"/>
                      <wp:wrapNone/>
                      <wp:docPr id="62"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514350" cy="363855"/>
                              </a:xfrm>
                              <a:prstGeom prst="rect">
                                <a:avLst/>
                              </a:prstGeom>
                              <a:noFill/>
                              <a:ln>
                                <a:noFill/>
                              </a:ln>
                              <a:effectLst/>
                            </wps:spPr>
                            <wps:txbx>
                              <w:txbxContent>
                                <w:p>
                                  <w:pPr>
                                    <w:rPr>
                                      <w:rFonts w:hint="default" w:eastAsia="宋体"/>
                                      <w:lang w:val="en-US" w:eastAsia="zh-CN"/>
                                    </w:rPr>
                                  </w:pPr>
                                  <w:r>
                                    <w:rPr>
                                      <w:rFonts w:hint="eastAsia"/>
                                      <w:lang w:val="en-US" w:eastAsia="zh-CN"/>
                                    </w:rPr>
                                    <w:t>2880</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134.65pt;margin-top:6.2pt;height:28.65pt;width:40.5pt;z-index:251731968;mso-width-relative:page;mso-height-relative:page;" filled="f" stroked="f" coordsize="21600,21600" o:gfxdata="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m4i4DXAAAA&#10;CQEAAA8AAAAAAAAAAQAgAAAAIgAAAGRycy9kb3ducmV2LnhtbFBLAQIUABQAAAAIAIdO4kAbDhoh&#10;HgIAACYEAAAOAAAAAAAAAAEAIAAAACYBAABkcnMvZTJvRG9jLnhtbFBLBQYAAAAABgAGAFkBAAC2&#10;BQAAAAA=&#10;">
                      <v:fill on="f" focussize="0,0"/>
                      <v:stroke on="f"/>
                      <v:imagedata o:title=""/>
                      <o:lock v:ext="edit" aspectratio="f"/>
                      <v:textbox>
                        <w:txbxContent>
                          <w:p>
                            <w:pPr>
                              <w:rPr>
                                <w:rFonts w:hint="default" w:eastAsia="宋体"/>
                                <w:lang w:val="en-US" w:eastAsia="zh-CN"/>
                              </w:rPr>
                            </w:pPr>
                            <w:r>
                              <w:rPr>
                                <w:rFonts w:hint="eastAsia"/>
                                <w:lang w:val="en-US" w:eastAsia="zh-CN"/>
                              </w:rPr>
                              <w:t>2880</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30944" behindDoc="0" locked="0" layoutInCell="1" allowOverlap="1">
                      <wp:simplePos x="0" y="0"/>
                      <wp:positionH relativeFrom="column">
                        <wp:posOffset>1403985</wp:posOffset>
                      </wp:positionH>
                      <wp:positionV relativeFrom="paragraph">
                        <wp:posOffset>247015</wp:posOffset>
                      </wp:positionV>
                      <wp:extent cx="276225" cy="161925"/>
                      <wp:effectExtent l="2540" t="0" r="6985" b="9525"/>
                      <wp:wrapNone/>
                      <wp:docPr id="60" name="自选图形 1055"/>
                      <wp:cNvGraphicFramePr/>
                      <a:graphic xmlns:a="http://schemas.openxmlformats.org/drawingml/2006/main">
                        <a:graphicData uri="http://schemas.microsoft.com/office/word/2010/wordprocessingShape">
                          <wps:wsp>
                            <wps:cNvCnPr>
                              <a:cxnSpLocks noChangeShapeType="1"/>
                            </wps:cNvCnPr>
                            <wps:spPr bwMode="auto">
                              <a:xfrm flipV="1">
                                <a:off x="0" y="0"/>
                                <a:ext cx="276225" cy="161925"/>
                              </a:xfrm>
                              <a:prstGeom prst="straightConnector1">
                                <a:avLst/>
                              </a:prstGeom>
                              <a:noFill/>
                              <a:ln w="6350">
                                <a:solidFill>
                                  <a:srgbClr val="000000"/>
                                </a:solidFill>
                                <a:prstDash val="dash"/>
                                <a:round/>
                                <a:tailEnd type="triangle" w="sm" len="med"/>
                              </a:ln>
                              <a:effectLst/>
                            </wps:spPr>
                            <wps:bodyPr/>
                          </wps:wsp>
                        </a:graphicData>
                      </a:graphic>
                    </wp:anchor>
                  </w:drawing>
                </mc:Choice>
                <mc:Fallback>
                  <w:pict>
                    <v:shape id="自选图形 1055" o:spid="_x0000_s1026" o:spt="32" type="#_x0000_t32" style="position:absolute;left:0pt;flip:y;margin-left:110.55pt;margin-top:19.45pt;height:12.75pt;width:21.75pt;z-index:251730944;mso-width-relative:page;mso-height-relative:page;" filled="f" stroked="t" coordsize="21600,21600" o:gfxdata="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AZp&#10;C9gAAAAJAQAADwAAAAAAAAABACAAAAAiAAAAZHJzL2Rvd25yZXYueG1sUEsBAhQAFAAAAAgAh07i&#10;QOv42B0iAgAAGgQAAA4AAAAAAAAAAQAgAAAAJwEAAGRycy9lMm9Eb2MueG1sUEsFBgAAAAAGAAYA&#10;WQEAALsFAAAAAA==&#10;">
                      <v:fill on="f" focussize="0,0"/>
                      <v:stroke weight="0.5pt" color="#000000" joinstyle="round" dashstyle="dash" endarrow="block" endarrowwidth="narrow"/>
                      <v:imagedata o:title=""/>
                      <o:lock v:ext="edit" aspectratio="f"/>
                    </v:shape>
                  </w:pict>
                </mc:Fallback>
              </mc:AlternateContent>
            </w:r>
          </w:p>
          <w:p>
            <w:pPr>
              <w:pStyle w:val="7"/>
              <w:rPr>
                <w:rFonts w:hint="default" w:ascii="Times New Roman" w:hAnsi="Times New Roman" w:cs="Times New Roman"/>
                <w:color w:val="auto"/>
                <w:highlight w:val="none"/>
              </w:rPr>
            </w:pPr>
            <w:r>
              <w:rPr>
                <w:rFonts w:hint="default" w:ascii="Times New Roman" w:hAnsi="Times New Roman" w:cs="Times New Roman"/>
                <w:color w:val="auto"/>
                <w:sz w:val="24"/>
              </w:rPr>
              <mc:AlternateContent>
                <mc:Choice Requires="wps">
                  <w:drawing>
                    <wp:anchor distT="0" distB="0" distL="114300" distR="114300" simplePos="0" relativeHeight="251729920" behindDoc="0" locked="0" layoutInCell="1" allowOverlap="1">
                      <wp:simplePos x="0" y="0"/>
                      <wp:positionH relativeFrom="column">
                        <wp:posOffset>1110615</wp:posOffset>
                      </wp:positionH>
                      <wp:positionV relativeFrom="paragraph">
                        <wp:posOffset>153670</wp:posOffset>
                      </wp:positionV>
                      <wp:extent cx="723900" cy="342900"/>
                      <wp:effectExtent l="4445" t="4445" r="14605" b="14605"/>
                      <wp:wrapNone/>
                      <wp:docPr id="59" name="Text Box 3"/>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noFill/>
                              <a:ln w="6350">
                                <a:solidFill>
                                  <a:srgbClr val="000000"/>
                                </a:solidFill>
                                <a:miter lim="800000"/>
                              </a:ln>
                              <a:effectLst/>
                            </wps:spPr>
                            <wps:txbx>
                              <w:txbxContent>
                                <w:p>
                                  <w:pPr>
                                    <w:rPr>
                                      <w:rFonts w:hint="eastAsia" w:ascii="宋体" w:hAnsi="宋体" w:eastAsia="宋体"/>
                                      <w:lang w:val="en-US" w:eastAsia="zh-CN"/>
                                    </w:rPr>
                                  </w:pPr>
                                  <w:r>
                                    <w:rPr>
                                      <w:rFonts w:hint="eastAsia" w:ascii="宋体" w:hAnsi="宋体"/>
                                      <w:lang w:val="en-US" w:eastAsia="zh-CN"/>
                                    </w:rPr>
                                    <w:t>冷却水</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87.45pt;margin-top:12.1pt;height:27pt;width:57pt;z-index:251729920;mso-width-relative:page;mso-height-relative:page;" filled="f" stroked="t" coordsize="21600,21600" o:gfxdata="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ExQje2AAAAAkBAAAPAAAAAAAAAAEAIAAAACIAAABkcnMvZG93bnJldi54bWxQ&#10;SwECFAAUAAAACACHTuJAPOooRTACAABrBAAADgAAAAAAAAABACAAAAAnAQAAZHJzL2Uyb0RvYy54&#10;bWxQSwUGAAAAAAYABgBZAQAAyQUAAAAA&#10;">
                      <v:fill on="f" focussize="0,0"/>
                      <v:stroke weight="0.5pt" color="#000000" miterlimit="8" joinstyle="miter"/>
                      <v:imagedata o:title=""/>
                      <o:lock v:ext="edit" aspectratio="f"/>
                      <v:textbox>
                        <w:txbxContent>
                          <w:p>
                            <w:pPr>
                              <w:rPr>
                                <w:rFonts w:hint="eastAsia" w:ascii="宋体" w:hAnsi="宋体" w:eastAsia="宋体"/>
                                <w:lang w:val="en-US" w:eastAsia="zh-CN"/>
                              </w:rPr>
                            </w:pPr>
                            <w:r>
                              <w:rPr>
                                <w:rFonts w:hint="eastAsia" w:ascii="宋体" w:hAnsi="宋体"/>
                                <w:lang w:val="en-US" w:eastAsia="zh-CN"/>
                              </w:rPr>
                              <w:t>冷却水</w:t>
                            </w:r>
                          </w:p>
                        </w:txbxContent>
                      </v:textbox>
                    </v:shape>
                  </w:pict>
                </mc:Fallback>
              </mc:AlternateContent>
            </w:r>
          </w:p>
          <w:p>
            <w:pPr>
              <w:spacing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color w:val="auto"/>
                <w:sz w:val="24"/>
              </w:rPr>
              <mc:AlternateContent>
                <mc:Choice Requires="wps">
                  <w:drawing>
                    <wp:anchor distT="0" distB="0" distL="114300" distR="114300" simplePos="0" relativeHeight="251728896" behindDoc="0" locked="0" layoutInCell="1" allowOverlap="1">
                      <wp:simplePos x="0" y="0"/>
                      <wp:positionH relativeFrom="column">
                        <wp:posOffset>580390</wp:posOffset>
                      </wp:positionH>
                      <wp:positionV relativeFrom="paragraph">
                        <wp:posOffset>83185</wp:posOffset>
                      </wp:positionV>
                      <wp:extent cx="483235" cy="4445"/>
                      <wp:effectExtent l="0" t="24765" r="12065" b="27940"/>
                      <wp:wrapNone/>
                      <wp:docPr id="58" name="AutoShape 4"/>
                      <wp:cNvGraphicFramePr/>
                      <a:graphic xmlns:a="http://schemas.openxmlformats.org/drawingml/2006/main">
                        <a:graphicData uri="http://schemas.microsoft.com/office/word/2010/wordprocessingShape">
                          <wps:wsp>
                            <wps:cNvCnPr>
                              <a:cxnSpLocks noChangeShapeType="1"/>
                            </wps:cNvCnPr>
                            <wps:spPr bwMode="auto">
                              <a:xfrm flipV="1">
                                <a:off x="0" y="0"/>
                                <a:ext cx="483235" cy="4445"/>
                              </a:xfrm>
                              <a:prstGeom prst="straightConnector1">
                                <a:avLst/>
                              </a:prstGeom>
                              <a:noFill/>
                              <a:ln w="6350">
                                <a:solidFill>
                                  <a:srgbClr val="000000"/>
                                </a:solidFill>
                                <a:round/>
                                <a:tailEnd type="triangle" w="sm" len="med"/>
                              </a:ln>
                              <a:effectLst/>
                            </wps:spPr>
                            <wps:bodyPr/>
                          </wps:wsp>
                        </a:graphicData>
                      </a:graphic>
                    </wp:anchor>
                  </w:drawing>
                </mc:Choice>
                <mc:Fallback>
                  <w:pict>
                    <v:shape id="AutoShape 4" o:spid="_x0000_s1026" o:spt="32" type="#_x0000_t32" style="position:absolute;left:0pt;flip:y;margin-left:45.7pt;margin-top:6.55pt;height:0.35pt;width:38.05pt;z-index:251728896;mso-width-relative:page;mso-height-relative:page;" filled="f" stroked="t" coordsize="21600,21600" o:gfxdata="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5Yh21wAAAAgBAAAPAAAAAAAAAAEAIAAAACIAAABkcnMvZG93bnJldi54&#10;bWxQSwECFAAUAAAACACHTuJAxbznnvsBAAD6AwAADgAAAAAAAAABACAAAAAmAQAAZHJzL2Uyb0Rv&#10;Yy54bWxQSwUGAAAAAAYABgBZAQAAkwUAAAAA&#10;">
                      <v:fill on="f" focussize="0,0"/>
                      <v:stroke weight="0.5pt" color="#000000" joinstyle="round" endarrow="block" endarrowwidth="narrow"/>
                      <v:imagedata o:title=""/>
                      <o:lock v:ext="edit" aspectratio="f"/>
                    </v:shape>
                  </w:pict>
                </mc:Fallback>
              </mc:AlternateContent>
            </w:r>
          </w:p>
          <w:p>
            <w:pPr>
              <w:spacing w:line="360" w:lineRule="auto"/>
              <w:jc w:val="center"/>
              <w:rPr>
                <w:rFonts w:hint="default" w:ascii="Times New Roman" w:hAnsi="Times New Roman" w:cs="Times New Roman"/>
                <w:b/>
                <w:bCs/>
                <w:color w:val="auto"/>
                <w:sz w:val="24"/>
                <w:highlight w:val="none"/>
              </w:rPr>
            </w:pPr>
          </w:p>
          <w:p>
            <w:pPr>
              <w:spacing w:line="360" w:lineRule="auto"/>
              <w:jc w:val="center"/>
              <w:rPr>
                <w:rFonts w:hint="default" w:ascii="Times New Roman" w:hAnsi="Times New Roman" w:eastAsia="宋体" w:cs="Times New Roman"/>
                <w:color w:val="auto"/>
                <w:sz w:val="24"/>
                <w:highlight w:val="none"/>
                <w:lang w:eastAsia="zh-CN"/>
              </w:rPr>
            </w:pPr>
            <w:r>
              <w:rPr>
                <w:rFonts w:hint="default" w:ascii="Times New Roman" w:hAnsi="Times New Roman" w:cs="Times New Roman"/>
                <w:b/>
                <w:bCs/>
                <w:color w:val="auto"/>
                <w:sz w:val="24"/>
                <w:highlight w:val="none"/>
              </w:rPr>
              <w:t>图2-1  项目水平衡图  单位：m</w:t>
            </w:r>
            <w:r>
              <w:rPr>
                <w:rFonts w:hint="default" w:ascii="Times New Roman" w:hAnsi="Times New Roman" w:cs="Times New Roman"/>
                <w:b/>
                <w:bCs/>
                <w:color w:val="auto"/>
                <w:sz w:val="24"/>
                <w:highlight w:val="none"/>
                <w:vertAlign w:val="superscript"/>
              </w:rPr>
              <w:t>3</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a</w:t>
            </w:r>
          </w:p>
          <w:p>
            <w:pPr>
              <w:pStyle w:val="83"/>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（3）供电</w:t>
            </w:r>
          </w:p>
          <w:p>
            <w:pPr>
              <w:pStyle w:val="83"/>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本项目供电由市政供电管网系统统一供电，年用电量</w:t>
            </w:r>
            <w:r>
              <w:rPr>
                <w:rFonts w:hint="eastAsia" w:ascii="Times New Roman" w:hAnsi="Times New Roman" w:cs="Times New Roman"/>
                <w:b w:val="0"/>
                <w:bCs/>
                <w:color w:val="auto"/>
                <w:lang w:val="en-US" w:eastAsia="zh-CN"/>
              </w:rPr>
              <w:t>20</w:t>
            </w:r>
            <w:r>
              <w:rPr>
                <w:rFonts w:hint="default" w:ascii="Times New Roman" w:hAnsi="Times New Roman" w:cs="Times New Roman"/>
                <w:b w:val="0"/>
                <w:bCs/>
                <w:color w:val="auto"/>
                <w:lang w:val="en-US" w:eastAsia="zh-CN"/>
              </w:rPr>
              <w:t>万kWh。</w:t>
            </w:r>
          </w:p>
          <w:p>
            <w:pPr>
              <w:spacing w:line="360" w:lineRule="auto"/>
              <w:ind w:firstLine="480"/>
              <w:rPr>
                <w:rFonts w:hint="default" w:ascii="Times New Roman" w:hAnsi="Times New Roman" w:cs="Times New Roman"/>
                <w:b/>
                <w:color w:val="auto"/>
                <w:sz w:val="24"/>
              </w:rPr>
            </w:pPr>
            <w:r>
              <w:rPr>
                <w:rFonts w:hint="default" w:ascii="Times New Roman" w:hAnsi="Times New Roman" w:cs="Times New Roman"/>
                <w:b/>
                <w:color w:val="auto"/>
                <w:sz w:val="24"/>
              </w:rPr>
              <w:t>6.生产制度及劳动定员</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val="en-US" w:eastAsia="zh-CN"/>
              </w:rPr>
              <w:t>本项目</w:t>
            </w:r>
            <w:r>
              <w:rPr>
                <w:rFonts w:hint="eastAsia" w:ascii="Times New Roman" w:hAnsi="Times New Roman" w:cs="Times New Roman"/>
                <w:b w:val="0"/>
                <w:bCs w:val="0"/>
                <w:color w:val="auto"/>
                <w:sz w:val="24"/>
                <w:lang w:val="en-US" w:eastAsia="zh-CN"/>
              </w:rPr>
              <w:t>劳动定员15</w:t>
            </w:r>
            <w:r>
              <w:rPr>
                <w:rFonts w:hint="default" w:ascii="Times New Roman" w:hAnsi="Times New Roman" w:cs="Times New Roman"/>
                <w:b w:val="0"/>
                <w:bCs w:val="0"/>
                <w:color w:val="auto"/>
                <w:sz w:val="24"/>
                <w:lang w:val="en-US" w:eastAsia="zh-CN"/>
              </w:rPr>
              <w:t>人，</w:t>
            </w:r>
            <w:r>
              <w:rPr>
                <w:rFonts w:hint="eastAsia" w:ascii="Times New Roman" w:hAnsi="Times New Roman" w:cs="Times New Roman"/>
                <w:b w:val="0"/>
                <w:bCs w:val="0"/>
                <w:color w:val="auto"/>
                <w:sz w:val="24"/>
                <w:lang w:val="en-US" w:eastAsia="zh-CN"/>
              </w:rPr>
              <w:t>1</w:t>
            </w:r>
            <w:r>
              <w:rPr>
                <w:rFonts w:hint="default" w:ascii="Times New Roman" w:hAnsi="Times New Roman" w:cs="Times New Roman"/>
                <w:b w:val="0"/>
                <w:bCs w:val="0"/>
                <w:color w:val="auto"/>
                <w:sz w:val="24"/>
                <w:lang w:val="en-US" w:eastAsia="zh-CN"/>
              </w:rPr>
              <w:t>班制，每班</w:t>
            </w:r>
            <w:r>
              <w:rPr>
                <w:rFonts w:hint="eastAsia" w:ascii="Times New Roman" w:hAnsi="Times New Roman" w:cs="Times New Roman"/>
                <w:b w:val="0"/>
                <w:bCs w:val="0"/>
                <w:color w:val="auto"/>
                <w:sz w:val="24"/>
                <w:lang w:val="en-US" w:eastAsia="zh-CN"/>
              </w:rPr>
              <w:t>8</w:t>
            </w:r>
            <w:r>
              <w:rPr>
                <w:rFonts w:hint="default" w:ascii="Times New Roman" w:hAnsi="Times New Roman" w:cs="Times New Roman"/>
                <w:b w:val="0"/>
                <w:bCs w:val="0"/>
                <w:color w:val="auto"/>
                <w:sz w:val="24"/>
                <w:lang w:val="en-US" w:eastAsia="zh-CN"/>
              </w:rPr>
              <w:t>小时，年工作时间为300天。提供</w:t>
            </w:r>
            <w:r>
              <w:rPr>
                <w:rFonts w:hint="eastAsia" w:ascii="Times New Roman" w:hAnsi="Times New Roman" w:cs="Times New Roman"/>
                <w:b w:val="0"/>
                <w:bCs w:val="0"/>
                <w:color w:val="auto"/>
                <w:sz w:val="24"/>
                <w:lang w:val="en-US" w:eastAsia="zh-CN"/>
              </w:rPr>
              <w:t>住宿，不提供食堂</w:t>
            </w:r>
            <w:r>
              <w:rPr>
                <w:rFonts w:hint="default" w:ascii="Times New Roman" w:hAnsi="Times New Roman" w:cs="Times New Roman"/>
                <w:b w:val="0"/>
                <w:bCs w:val="0"/>
                <w:color w:val="auto"/>
                <w:sz w:val="24"/>
                <w:lang w:val="en-US" w:eastAsia="zh-CN"/>
              </w:rPr>
              <w:t>。</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7.项目的地理位置及周边环境状况</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本项目建设地点位于</w:t>
            </w:r>
            <w:r>
              <w:rPr>
                <w:rFonts w:hint="eastAsia" w:ascii="Times New Roman" w:hAnsi="Times New Roman" w:eastAsia="宋体" w:cs="Times New Roman"/>
                <w:b w:val="0"/>
                <w:bCs w:val="0"/>
                <w:color w:val="auto"/>
                <w:kern w:val="2"/>
                <w:sz w:val="24"/>
                <w:szCs w:val="21"/>
                <w:lang w:val="en-US" w:eastAsia="zh-CN" w:bidi="ar-SA"/>
              </w:rPr>
              <w:t>湖南省邵阳市邵东市廉桥镇兔子坪村5组2号</w:t>
            </w:r>
            <w:r>
              <w:rPr>
                <w:rFonts w:hint="default" w:ascii="Times New Roman" w:hAnsi="Times New Roman" w:eastAsia="宋体" w:cs="Times New Roman"/>
                <w:b w:val="0"/>
                <w:bCs w:val="0"/>
                <w:color w:val="auto"/>
                <w:kern w:val="2"/>
                <w:sz w:val="24"/>
                <w:szCs w:val="21"/>
                <w:lang w:val="en-US" w:eastAsia="zh-CN" w:bidi="ar-SA"/>
              </w:rPr>
              <w:t>，租赁</w:t>
            </w:r>
            <w:r>
              <w:rPr>
                <w:rFonts w:hint="eastAsia" w:ascii="Times New Roman" w:hAnsi="Times New Roman" w:eastAsia="宋体" w:cs="Times New Roman"/>
                <w:b w:val="0"/>
                <w:bCs w:val="0"/>
                <w:color w:val="auto"/>
                <w:kern w:val="2"/>
                <w:sz w:val="24"/>
                <w:szCs w:val="21"/>
                <w:lang w:val="en-US" w:eastAsia="zh-CN" w:bidi="ar-SA"/>
              </w:rPr>
              <w:t>湖南壹佰年科技发展有限公司现有</w:t>
            </w:r>
            <w:r>
              <w:rPr>
                <w:rFonts w:hint="default" w:ascii="Times New Roman" w:hAnsi="Times New Roman" w:eastAsia="宋体" w:cs="Times New Roman"/>
                <w:b w:val="0"/>
                <w:bCs w:val="0"/>
                <w:color w:val="auto"/>
                <w:kern w:val="2"/>
                <w:sz w:val="24"/>
                <w:szCs w:val="21"/>
                <w:lang w:val="en-US" w:eastAsia="zh-CN" w:bidi="ar-SA"/>
              </w:rPr>
              <w:t>厂房，</w:t>
            </w:r>
            <w:r>
              <w:rPr>
                <w:rFonts w:hint="eastAsia" w:ascii="Times New Roman" w:hAnsi="Times New Roman" w:eastAsia="宋体" w:cs="Times New Roman"/>
                <w:b w:val="0"/>
                <w:bCs w:val="0"/>
                <w:color w:val="auto"/>
                <w:kern w:val="2"/>
                <w:sz w:val="24"/>
                <w:szCs w:val="21"/>
                <w:lang w:val="en-US" w:eastAsia="zh-CN" w:bidi="ar-SA"/>
              </w:rPr>
              <w:t>项目东面为空地，南面为邵东县廉桥镇飞荣废旧塑料加工厂，西面为乡村公路，北面为荒山</w:t>
            </w:r>
            <w:r>
              <w:rPr>
                <w:rFonts w:hint="default" w:ascii="Times New Roman" w:hAnsi="Times New Roman" w:eastAsia="宋体" w:cs="Times New Roman"/>
                <w:b w:val="0"/>
                <w:bCs w:val="0"/>
                <w:color w:val="auto"/>
                <w:kern w:val="2"/>
                <w:sz w:val="24"/>
                <w:szCs w:val="21"/>
                <w:lang w:val="en-US" w:eastAsia="zh-CN" w:bidi="ar-SA"/>
              </w:rPr>
              <w:t>。</w:t>
            </w:r>
          </w:p>
          <w:p>
            <w:pPr>
              <w:spacing w:line="360" w:lineRule="auto"/>
              <w:ind w:firstLine="480"/>
              <w:rPr>
                <w:rFonts w:hint="default" w:ascii="Times New Roman" w:hAnsi="Times New Roman" w:cs="Times New Roman"/>
                <w:b/>
                <w:color w:val="auto"/>
                <w:sz w:val="24"/>
              </w:rPr>
            </w:pPr>
            <w:r>
              <w:rPr>
                <w:rFonts w:hint="default" w:ascii="Times New Roman" w:hAnsi="Times New Roman" w:cs="Times New Roman"/>
                <w:b/>
                <w:color w:val="auto"/>
                <w:sz w:val="24"/>
              </w:rPr>
              <w:t>8.总平面布置</w:t>
            </w:r>
          </w:p>
          <w:p>
            <w:pPr>
              <w:spacing w:line="360" w:lineRule="auto"/>
              <w:ind w:firstLine="480" w:firstLineChars="200"/>
              <w:rPr>
                <w:rFonts w:hint="default" w:ascii="Times New Roman" w:hAnsi="Times New Roman" w:cs="Times New Roman"/>
                <w:bCs/>
                <w:color w:val="auto"/>
                <w:szCs w:val="21"/>
              </w:rPr>
            </w:pPr>
            <w:r>
              <w:rPr>
                <w:rFonts w:hint="default" w:ascii="Times New Roman" w:hAnsi="Times New Roman" w:cs="Times New Roman"/>
                <w:color w:val="auto"/>
                <w:sz w:val="24"/>
                <w:szCs w:val="22"/>
              </w:rPr>
              <w:t>项目功能分区明确，主要分为办公区、生产区、仓储区。项目办公区主要</w:t>
            </w:r>
            <w:r>
              <w:rPr>
                <w:rFonts w:hint="default" w:ascii="Times New Roman" w:hAnsi="Times New Roman" w:cs="Times New Roman"/>
                <w:color w:val="auto"/>
                <w:sz w:val="24"/>
                <w:szCs w:val="22"/>
                <w:lang w:eastAsia="zh-CN"/>
              </w:rPr>
              <w:t>在</w:t>
            </w:r>
            <w:r>
              <w:rPr>
                <w:rFonts w:hint="eastAsia" w:ascii="Times New Roman" w:hAnsi="Times New Roman" w:cs="Times New Roman"/>
                <w:color w:val="auto"/>
                <w:sz w:val="24"/>
                <w:szCs w:val="22"/>
                <w:lang w:eastAsia="zh-CN"/>
              </w:rPr>
              <w:t>厂区北部；出入口位于西北角，</w:t>
            </w:r>
            <w:r>
              <w:rPr>
                <w:rFonts w:hint="default" w:ascii="Times New Roman" w:hAnsi="Times New Roman" w:cs="Times New Roman"/>
                <w:color w:val="auto"/>
                <w:sz w:val="24"/>
                <w:szCs w:val="22"/>
                <w:lang w:eastAsia="zh-CN"/>
              </w:rPr>
              <w:t>方便职工办公</w:t>
            </w:r>
            <w:r>
              <w:rPr>
                <w:rFonts w:hint="default" w:ascii="Times New Roman" w:hAnsi="Times New Roman" w:cs="Times New Roman"/>
                <w:color w:val="auto"/>
                <w:sz w:val="24"/>
                <w:szCs w:val="22"/>
              </w:rPr>
              <w:t>；生产区</w:t>
            </w:r>
            <w:r>
              <w:rPr>
                <w:rFonts w:hint="eastAsia" w:ascii="Times New Roman" w:hAnsi="Times New Roman" w:cs="Times New Roman"/>
                <w:color w:val="auto"/>
                <w:sz w:val="24"/>
                <w:szCs w:val="22"/>
                <w:lang w:eastAsia="zh-CN"/>
              </w:rPr>
              <w:t>位于厂区</w:t>
            </w:r>
            <w:r>
              <w:rPr>
                <w:rFonts w:hint="default" w:ascii="Times New Roman" w:hAnsi="Times New Roman" w:cs="Times New Roman"/>
                <w:color w:val="auto"/>
                <w:sz w:val="24"/>
                <w:szCs w:val="22"/>
                <w:lang w:eastAsia="zh-CN"/>
              </w:rPr>
              <w:t>南侧</w:t>
            </w:r>
            <w:r>
              <w:rPr>
                <w:rFonts w:hint="default" w:ascii="Times New Roman" w:hAnsi="Times New Roman" w:cs="Times New Roman"/>
                <w:color w:val="auto"/>
                <w:sz w:val="24"/>
                <w:szCs w:val="22"/>
              </w:rPr>
              <w:t>，生产设备设施按照工艺流程进行布置，</w:t>
            </w:r>
            <w:r>
              <w:rPr>
                <w:rFonts w:hint="default" w:ascii="Times New Roman" w:hAnsi="Times New Roman" w:cs="Times New Roman"/>
                <w:color w:val="auto"/>
                <w:sz w:val="24"/>
                <w:szCs w:val="22"/>
                <w:lang w:val="en-US" w:eastAsia="zh-CN"/>
              </w:rPr>
              <w:t>自</w:t>
            </w:r>
            <w:r>
              <w:rPr>
                <w:rFonts w:hint="eastAsia" w:ascii="Times New Roman" w:hAnsi="Times New Roman" w:cs="Times New Roman"/>
                <w:color w:val="auto"/>
                <w:sz w:val="24"/>
                <w:szCs w:val="22"/>
                <w:lang w:val="en-US" w:eastAsia="zh-CN"/>
              </w:rPr>
              <w:t>南</w:t>
            </w:r>
            <w:r>
              <w:rPr>
                <w:rFonts w:hint="default" w:ascii="Times New Roman" w:hAnsi="Times New Roman" w:cs="Times New Roman"/>
                <w:color w:val="auto"/>
                <w:sz w:val="24"/>
                <w:szCs w:val="22"/>
                <w:lang w:val="en-US" w:eastAsia="zh-CN"/>
              </w:rPr>
              <w:t>向</w:t>
            </w:r>
            <w:r>
              <w:rPr>
                <w:rFonts w:hint="eastAsia" w:ascii="Times New Roman" w:hAnsi="Times New Roman" w:cs="Times New Roman"/>
                <w:color w:val="auto"/>
                <w:sz w:val="24"/>
                <w:szCs w:val="22"/>
                <w:lang w:val="en-US" w:eastAsia="zh-CN"/>
              </w:rPr>
              <w:t>北</w:t>
            </w:r>
            <w:r>
              <w:rPr>
                <w:rFonts w:hint="default" w:ascii="Times New Roman" w:hAnsi="Times New Roman" w:cs="Times New Roman"/>
                <w:color w:val="auto"/>
                <w:sz w:val="24"/>
                <w:szCs w:val="22"/>
                <w:lang w:val="en-US" w:eastAsia="zh-CN"/>
              </w:rPr>
              <w:t>分别布置搅拌机、吹膜机、制袋机</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lang w:val="en-US" w:eastAsia="zh-CN"/>
              </w:rPr>
              <w:t>包装机，</w:t>
            </w:r>
            <w:r>
              <w:rPr>
                <w:rFonts w:hint="default" w:ascii="Times New Roman" w:hAnsi="Times New Roman" w:cs="Times New Roman"/>
                <w:color w:val="auto"/>
                <w:sz w:val="24"/>
                <w:szCs w:val="22"/>
              </w:rPr>
              <w:t>便于生产</w:t>
            </w:r>
            <w:r>
              <w:rPr>
                <w:rFonts w:hint="eastAsia" w:ascii="Times New Roman" w:hAnsi="Times New Roman" w:cs="Times New Roman"/>
                <w:color w:val="auto"/>
                <w:sz w:val="24"/>
                <w:szCs w:val="22"/>
                <w:lang w:eastAsia="zh-CN"/>
              </w:rPr>
              <w:t>操作，</w:t>
            </w:r>
            <w:r>
              <w:rPr>
                <w:rFonts w:hint="eastAsia" w:ascii="Times New Roman" w:hAnsi="Times New Roman" w:cs="Times New Roman"/>
                <w:color w:val="auto"/>
                <w:sz w:val="24"/>
                <w:szCs w:val="22"/>
                <w:lang w:val="en-US" w:eastAsia="zh-CN"/>
              </w:rPr>
              <w:t>造粒机位于生产区东南部，方便物料收集及加工</w:t>
            </w:r>
            <w:r>
              <w:rPr>
                <w:rFonts w:hint="default" w:ascii="Times New Roman" w:hAnsi="Times New Roman" w:cs="Times New Roman"/>
                <w:color w:val="auto"/>
                <w:sz w:val="24"/>
                <w:szCs w:val="22"/>
              </w:rPr>
              <w:t>；</w:t>
            </w:r>
            <w:r>
              <w:rPr>
                <w:rFonts w:hint="eastAsia" w:ascii="Times New Roman" w:hAnsi="Times New Roman" w:cs="Times New Roman"/>
                <w:color w:val="auto"/>
                <w:sz w:val="24"/>
                <w:szCs w:val="22"/>
                <w:lang w:eastAsia="zh-CN"/>
              </w:rPr>
              <w:t>原料仓库位于厂区西南部</w:t>
            </w:r>
            <w:r>
              <w:rPr>
                <w:rFonts w:hint="default" w:ascii="Times New Roman" w:hAnsi="Times New Roman" w:cs="Times New Roman"/>
                <w:color w:val="auto"/>
                <w:sz w:val="24"/>
                <w:szCs w:val="22"/>
                <w:lang w:eastAsia="zh-CN"/>
              </w:rPr>
              <w:t>，</w:t>
            </w:r>
            <w:r>
              <w:rPr>
                <w:rFonts w:hint="eastAsia" w:ascii="Times New Roman" w:hAnsi="Times New Roman" w:eastAsia="宋体" w:cs="Times New Roman"/>
                <w:color w:val="auto"/>
                <w:sz w:val="24"/>
                <w:szCs w:val="22"/>
                <w:lang w:val="en-US" w:eastAsia="zh-CN"/>
              </w:rPr>
              <w:t>产品仓库位于厂区东部，包括</w:t>
            </w:r>
            <w:r>
              <w:rPr>
                <w:rFonts w:hint="default" w:ascii="Times New Roman" w:hAnsi="Times New Roman" w:eastAsia="宋体" w:cs="Times New Roman"/>
                <w:color w:val="auto"/>
                <w:sz w:val="24"/>
                <w:szCs w:val="22"/>
                <w:lang w:val="en-US" w:eastAsia="zh-CN"/>
              </w:rPr>
              <w:t>半成品区、成品区、一般固废堆场以及</w:t>
            </w:r>
            <w:r>
              <w:rPr>
                <w:rFonts w:hint="eastAsia" w:ascii="Times New Roman" w:hAnsi="Times New Roman" w:eastAsia="宋体" w:cs="Times New Roman"/>
                <w:color w:val="auto"/>
                <w:sz w:val="24"/>
                <w:szCs w:val="22"/>
                <w:lang w:val="en-US" w:eastAsia="zh-CN"/>
              </w:rPr>
              <w:t>危险废物暂存间</w:t>
            </w:r>
            <w:r>
              <w:rPr>
                <w:rFonts w:hint="default" w:ascii="Times New Roman" w:hAnsi="Times New Roman" w:eastAsia="宋体" w:cs="Times New Roman"/>
                <w:color w:val="auto"/>
                <w:sz w:val="24"/>
                <w:szCs w:val="22"/>
                <w:lang w:val="en-US" w:eastAsia="zh-CN"/>
              </w:rPr>
              <w:t>，方便物流运输与存放。</w:t>
            </w:r>
            <w:r>
              <w:rPr>
                <w:rFonts w:hint="default" w:ascii="Times New Roman" w:hAnsi="Times New Roman" w:cs="Times New Roman"/>
                <w:color w:val="auto"/>
                <w:sz w:val="24"/>
              </w:rPr>
              <w:t>综上，项目根据生产流程进行平面布置，生产中物料转运流畅，有利于提升生产效率。从平面布置图可知，其人流、车流、货运路线清晰，本项目平面布置有利于项目生产运行过程中各部门的生产协作，提高生产效率。总体来说，本项目的平面布置较为合理。</w:t>
            </w:r>
          </w:p>
        </w:tc>
      </w:tr>
    </w:tbl>
    <w:p>
      <w:pPr>
        <w:pStyle w:val="28"/>
        <w:adjustRightInd w:val="0"/>
        <w:snapToGrid w:val="0"/>
        <w:spacing w:before="0" w:beforeAutospacing="0" w:after="0" w:afterAutospacing="0"/>
        <w:jc w:val="center"/>
        <w:rPr>
          <w:rFonts w:hint="default" w:ascii="Times New Roman" w:hAnsi="Times New Roman" w:cs="Times New Roman"/>
          <w:b/>
          <w:bCs/>
          <w:color w:val="auto"/>
          <w:szCs w:val="24"/>
        </w:rPr>
        <w:sectPr>
          <w:footerReference r:id="rId7" w:type="default"/>
          <w:pgSz w:w="11906" w:h="16838"/>
          <w:pgMar w:top="1588" w:right="1588" w:bottom="1588" w:left="158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pPr>
              <w:pStyle w:val="28"/>
              <w:adjustRightInd w:val="0"/>
              <w:snapToGrid w:val="0"/>
              <w:spacing w:before="0" w:beforeAutospacing="0" w:after="0" w:afterAutospacing="0"/>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工艺流程和产排污环节</w:t>
            </w:r>
          </w:p>
        </w:tc>
        <w:tc>
          <w:tcPr>
            <w:tcW w:w="8161" w:type="dxa"/>
            <w:noWrap w:val="0"/>
            <w:vAlign w:val="top"/>
          </w:tcPr>
          <w:p>
            <w:pPr>
              <w:pStyle w:val="83"/>
              <w:ind w:firstLine="48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一、施工期</w:t>
            </w:r>
          </w:p>
          <w:p>
            <w:pPr>
              <w:pStyle w:val="83"/>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本项目租赁</w:t>
            </w:r>
            <w:r>
              <w:rPr>
                <w:rFonts w:hint="eastAsia" w:ascii="Times New Roman" w:hAnsi="Times New Roman" w:cs="Times New Roman"/>
                <w:b w:val="0"/>
                <w:bCs/>
                <w:color w:val="auto"/>
                <w:lang w:val="en-US" w:eastAsia="zh-CN"/>
              </w:rPr>
              <w:t>湖南壹佰年科技发展有限公司</w:t>
            </w:r>
            <w:r>
              <w:rPr>
                <w:rFonts w:hint="default" w:ascii="Times New Roman" w:hAnsi="Times New Roman" w:cs="Times New Roman"/>
                <w:b w:val="0"/>
                <w:bCs/>
                <w:color w:val="auto"/>
                <w:lang w:val="en-US" w:eastAsia="zh-CN"/>
              </w:rPr>
              <w:t>的闲置厂房进行生产，施工期不涉及土建，仅有设备安装，对环境</w:t>
            </w:r>
            <w:r>
              <w:rPr>
                <w:rFonts w:hint="default" w:ascii="Times New Roman" w:hAnsi="Times New Roman" w:cs="Times New Roman"/>
                <w:b w:val="0"/>
                <w:bCs/>
                <w:color w:val="auto"/>
                <w:lang w:val="en-US" w:eastAsia="zh-CN"/>
              </w:rPr>
              <w:t>影响甚微，本次评价不做分析</w:t>
            </w:r>
            <w:r>
              <w:rPr>
                <w:rFonts w:hint="default" w:ascii="Times New Roman" w:hAnsi="Times New Roman" w:cs="Times New Roman"/>
                <w:b w:val="0"/>
                <w:bCs/>
                <w:color w:val="auto"/>
                <w:lang w:val="en-US" w:eastAsia="zh-CN"/>
              </w:rPr>
              <w:t>。</w:t>
            </w:r>
          </w:p>
          <w:p>
            <w:pPr>
              <w:pStyle w:val="83"/>
              <w:ind w:firstLine="48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 xml:space="preserve">二、运营期 </w:t>
            </w:r>
          </w:p>
          <w:p>
            <w:pPr>
              <w:pStyle w:val="83"/>
              <w:ind w:firstLine="482" w:firstLineChars="20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rPr>
              <w:t>生产工艺流程</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lang w:val="en-US" w:eastAsia="zh-CN"/>
              </w:rPr>
              <w:t>营运期</w:t>
            </w:r>
            <w:r>
              <w:rPr>
                <w:rFonts w:hint="default" w:ascii="Times New Roman" w:hAnsi="Times New Roman" w:cs="Times New Roman"/>
                <w:color w:val="auto"/>
                <w:sz w:val="24"/>
              </w:rPr>
              <w:t>具体生产工艺流程及产污节点</w:t>
            </w:r>
            <w:r>
              <w:rPr>
                <w:rFonts w:hint="default" w:ascii="Times New Roman" w:hAnsi="Times New Roman" w:cs="Times New Roman"/>
                <w:color w:val="auto"/>
                <w:sz w:val="24"/>
                <w:lang w:eastAsia="zh-CN"/>
              </w:rPr>
              <w:t>见</w:t>
            </w:r>
            <w:r>
              <w:rPr>
                <w:rFonts w:hint="default" w:ascii="Times New Roman" w:hAnsi="Times New Roman" w:eastAsia="宋体" w:cs="Times New Roman"/>
                <w:color w:val="auto"/>
                <w:sz w:val="24"/>
                <w:lang w:val="en-US" w:eastAsia="zh-CN"/>
              </w:rPr>
              <w:t>图2-2。</w:t>
            </w:r>
          </w:p>
          <w:p>
            <w:pPr>
              <w:pStyle w:val="72"/>
              <w:rPr>
                <w:rFonts w:hint="eastAsia" w:eastAsia="宋体"/>
                <w:color w:val="auto"/>
                <w:lang w:eastAsia="zh-CN"/>
              </w:rPr>
            </w:pPr>
          </w:p>
          <w:p>
            <w:pPr>
              <w:pStyle w:val="72"/>
              <w:rPr>
                <w:rFonts w:hint="eastAsia" w:eastAsia="宋体"/>
                <w:color w:val="auto"/>
                <w:lang w:eastAsia="zh-CN"/>
              </w:rPr>
            </w:pPr>
            <w:r>
              <w:rPr>
                <w:rFonts w:hint="eastAsia" w:eastAsia="宋体"/>
                <w:color w:val="auto"/>
                <w:lang w:eastAsia="zh-CN"/>
              </w:rPr>
              <w:drawing>
                <wp:inline distT="0" distB="0" distL="114300" distR="114300">
                  <wp:extent cx="4886325" cy="4826635"/>
                  <wp:effectExtent l="0" t="0" r="9525" b="12065"/>
                  <wp:docPr id="55" name="图片 18"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descr="工艺流程图"/>
                          <pic:cNvPicPr>
                            <a:picLocks noChangeAspect="1"/>
                          </pic:cNvPicPr>
                        </pic:nvPicPr>
                        <pic:blipFill>
                          <a:blip r:embed="rId15"/>
                          <a:srcRect b="9673"/>
                          <a:stretch>
                            <a:fillRect/>
                          </a:stretch>
                        </pic:blipFill>
                        <pic:spPr>
                          <a:xfrm>
                            <a:off x="0" y="0"/>
                            <a:ext cx="4886325" cy="4826635"/>
                          </a:xfrm>
                          <a:prstGeom prst="rect">
                            <a:avLst/>
                          </a:prstGeom>
                          <a:noFill/>
                          <a:ln>
                            <a:noFill/>
                          </a:ln>
                        </pic:spPr>
                      </pic:pic>
                    </a:graphicData>
                  </a:graphic>
                </wp:inline>
              </w:drawing>
            </w:r>
          </w:p>
          <w:p>
            <w:pPr>
              <w:pStyle w:val="87"/>
              <w:widowControl w:val="0"/>
              <w:spacing w:line="360" w:lineRule="auto"/>
              <w:jc w:val="center"/>
              <w:rPr>
                <w:rFonts w:hint="default" w:ascii="Times New Roman" w:hAnsi="Times New Roman" w:cs="Times New Roman"/>
                <w:iCs/>
                <w:color w:val="auto"/>
                <w:sz w:val="24"/>
                <w:szCs w:val="24"/>
              </w:rPr>
            </w:pPr>
            <w:bookmarkStart w:id="5" w:name="_Toc29758"/>
            <w:r>
              <w:rPr>
                <w:rFonts w:hint="default" w:ascii="Times New Roman" w:hAnsi="Times New Roman" w:cs="Times New Roman"/>
                <w:iCs/>
                <w:color w:val="auto"/>
                <w:sz w:val="24"/>
                <w:szCs w:val="24"/>
              </w:rPr>
              <w:t>图2-2  生产工艺流程及产排污节点图</w:t>
            </w:r>
            <w:bookmarkEnd w:id="5"/>
          </w:p>
          <w:p>
            <w:pPr>
              <w:pStyle w:val="83"/>
              <w:ind w:firstLine="482" w:firstLineChars="20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w:t>
            </w:r>
            <w:r>
              <w:rPr>
                <w:rFonts w:hint="default" w:ascii="Times New Roman" w:hAnsi="Times New Roman" w:cs="Times New Roman"/>
                <w:color w:val="auto"/>
              </w:rPr>
              <w:t>生产工艺说明</w:t>
            </w:r>
          </w:p>
          <w:p>
            <w:pPr>
              <w:pStyle w:val="10"/>
              <w:spacing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（1）密闭搅拌：将外购来的原材料PE和色母粒（根据客户需求进行添加）按照一定比例</w:t>
            </w:r>
            <w:r>
              <w:rPr>
                <w:rFonts w:hint="eastAsia" w:ascii="Times New Roman" w:hAnsi="Times New Roman" w:eastAsia="宋体" w:cs="Times New Roman"/>
                <w:b w:val="0"/>
                <w:bCs w:val="0"/>
                <w:color w:val="auto"/>
                <w:kern w:val="2"/>
                <w:sz w:val="24"/>
                <w:szCs w:val="21"/>
                <w:lang w:val="en-US" w:eastAsia="zh-CN" w:bidi="ar-SA"/>
              </w:rPr>
              <w:t>（色母粒配比约占2%）</w:t>
            </w:r>
            <w:r>
              <w:rPr>
                <w:rFonts w:hint="default" w:ascii="Times New Roman" w:hAnsi="Times New Roman" w:eastAsia="宋体" w:cs="Times New Roman"/>
                <w:b w:val="0"/>
                <w:bCs w:val="0"/>
                <w:color w:val="auto"/>
                <w:kern w:val="2"/>
                <w:sz w:val="24"/>
                <w:szCs w:val="21"/>
                <w:lang w:val="en-US" w:eastAsia="zh-CN" w:bidi="ar-SA"/>
              </w:rPr>
              <w:t>通过人工投料投至搅拌机进行</w:t>
            </w:r>
            <w:r>
              <w:rPr>
                <w:rFonts w:hint="eastAsia" w:ascii="Times New Roman" w:hAnsi="Times New Roman" w:eastAsia="宋体" w:cs="Times New Roman"/>
                <w:b w:val="0"/>
                <w:bCs w:val="0"/>
                <w:color w:val="auto"/>
                <w:kern w:val="2"/>
                <w:sz w:val="24"/>
                <w:szCs w:val="21"/>
                <w:lang w:val="en-US" w:eastAsia="zh-CN" w:bidi="ar-SA"/>
              </w:rPr>
              <w:t>搅拌</w:t>
            </w:r>
            <w:r>
              <w:rPr>
                <w:rFonts w:hint="default" w:ascii="Times New Roman" w:hAnsi="Times New Roman" w:eastAsia="宋体" w:cs="Times New Roman"/>
                <w:b w:val="0"/>
                <w:bCs w:val="0"/>
                <w:color w:val="auto"/>
                <w:kern w:val="2"/>
                <w:sz w:val="24"/>
                <w:szCs w:val="21"/>
                <w:lang w:val="en-US" w:eastAsia="zh-CN" w:bidi="ar-SA"/>
              </w:rPr>
              <w:t>混合，原材料均为颗粒状，搅拌机为密闭搅拌，因此，该过程不会产生粉尘，该工序会产生机械运行噪声和废包装袋。</w:t>
            </w:r>
          </w:p>
          <w:p>
            <w:pPr>
              <w:pStyle w:val="10"/>
              <w:spacing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（2）吹膜：搅拌均匀的原料颗粒从搅拌机</w:t>
            </w:r>
            <w:r>
              <w:rPr>
                <w:rFonts w:hint="eastAsia" w:ascii="Times New Roman" w:hAnsi="Times New Roman" w:eastAsia="宋体" w:cs="Times New Roman"/>
                <w:b w:val="0"/>
                <w:bCs w:val="0"/>
                <w:color w:val="auto"/>
                <w:kern w:val="2"/>
                <w:sz w:val="24"/>
                <w:szCs w:val="21"/>
                <w:lang w:val="en-US" w:eastAsia="zh-CN" w:bidi="ar-SA"/>
              </w:rPr>
              <w:t>下料口连接的</w:t>
            </w:r>
            <w:r>
              <w:rPr>
                <w:rFonts w:hint="default" w:ascii="Times New Roman" w:hAnsi="Times New Roman" w:eastAsia="宋体" w:cs="Times New Roman"/>
                <w:b w:val="0"/>
                <w:bCs w:val="0"/>
                <w:color w:val="auto"/>
                <w:kern w:val="2"/>
                <w:sz w:val="24"/>
                <w:szCs w:val="21"/>
                <w:lang w:val="en-US" w:eastAsia="zh-CN" w:bidi="ar-SA"/>
              </w:rPr>
              <w:t>密闭输送软管进入吹膜机进料口，</w:t>
            </w:r>
            <w:r>
              <w:rPr>
                <w:rFonts w:hint="eastAsia" w:ascii="Times New Roman" w:hAnsi="Times New Roman" w:eastAsia="宋体" w:cs="Times New Roman"/>
                <w:b w:val="0"/>
                <w:bCs w:val="0"/>
                <w:color w:val="auto"/>
                <w:kern w:val="2"/>
                <w:sz w:val="24"/>
                <w:szCs w:val="21"/>
                <w:lang w:val="en-US" w:eastAsia="zh-CN" w:bidi="ar-SA"/>
              </w:rPr>
              <w:t>由</w:t>
            </w:r>
            <w:r>
              <w:rPr>
                <w:rFonts w:hint="default" w:ascii="Times New Roman" w:hAnsi="Times New Roman" w:eastAsia="宋体" w:cs="Times New Roman"/>
                <w:b w:val="0"/>
                <w:bCs w:val="0"/>
                <w:color w:val="auto"/>
                <w:kern w:val="2"/>
                <w:sz w:val="24"/>
                <w:szCs w:val="21"/>
                <w:lang w:val="en-US" w:eastAsia="zh-CN" w:bidi="ar-SA"/>
              </w:rPr>
              <w:t>进料口进入螺杆，当原料与螺纹斜棱接触后、旋转的斜棱面对原料产生的斜棱面相垂的推理，将原料颗粒向前推移，推移过程中，由于原料与螺杆、原料与机筒之间的摩擦以及原料颗粒间的碰撞摩擦，同时由于料筒外部</w:t>
            </w:r>
            <w:r>
              <w:rPr>
                <w:rFonts w:hint="eastAsia" w:ascii="Times New Roman" w:hAnsi="Times New Roman" w:eastAsia="宋体" w:cs="Times New Roman"/>
                <w:b w:val="0"/>
                <w:bCs w:val="0"/>
                <w:color w:val="auto"/>
                <w:kern w:val="2"/>
                <w:sz w:val="24"/>
                <w:szCs w:val="21"/>
                <w:lang w:val="en-US" w:eastAsia="zh-CN" w:bidi="ar-SA"/>
              </w:rPr>
              <w:t>电</w:t>
            </w:r>
            <w:r>
              <w:rPr>
                <w:rFonts w:hint="default" w:ascii="Times New Roman" w:hAnsi="Times New Roman" w:eastAsia="宋体" w:cs="Times New Roman"/>
                <w:b w:val="0"/>
                <w:bCs w:val="0"/>
                <w:color w:val="auto"/>
                <w:kern w:val="2"/>
                <w:sz w:val="24"/>
                <w:szCs w:val="21"/>
                <w:lang w:val="en-US" w:eastAsia="zh-CN" w:bidi="ar-SA"/>
              </w:rPr>
              <w:t>加热而逐步融化，加热温度为155-180℃之间。塑料融体从机头流出</w:t>
            </w:r>
            <w:r>
              <w:rPr>
                <w:rFonts w:hint="eastAsia" w:ascii="Times New Roman" w:hAnsi="Times New Roman" w:eastAsia="宋体" w:cs="Times New Roman"/>
                <w:b w:val="0"/>
                <w:bCs w:val="0"/>
                <w:color w:val="auto"/>
                <w:kern w:val="2"/>
                <w:sz w:val="24"/>
                <w:szCs w:val="21"/>
                <w:lang w:val="en-US" w:eastAsia="zh-CN" w:bidi="ar-SA"/>
              </w:rPr>
              <w:t>经</w:t>
            </w:r>
            <w:r>
              <w:rPr>
                <w:rFonts w:hint="default" w:ascii="Times New Roman" w:hAnsi="Times New Roman" w:eastAsia="宋体" w:cs="Times New Roman"/>
                <w:b w:val="0"/>
                <w:bCs w:val="0"/>
                <w:color w:val="auto"/>
                <w:kern w:val="2"/>
                <w:sz w:val="24"/>
                <w:szCs w:val="21"/>
                <w:lang w:val="en-US" w:eastAsia="zh-CN" w:bidi="ar-SA"/>
              </w:rPr>
              <w:t>自带圆孔吹塑成型，气泡膜模具中通入循环水进行冷却，成型后薄膜收卷待用。此环节吹膜会产生</w:t>
            </w:r>
            <w:r>
              <w:rPr>
                <w:rFonts w:hint="eastAsia" w:ascii="Times New Roman" w:hAnsi="Times New Roman" w:eastAsia="宋体" w:cs="Times New Roman"/>
                <w:b w:val="0"/>
                <w:bCs w:val="0"/>
                <w:color w:val="auto"/>
                <w:kern w:val="2"/>
                <w:sz w:val="24"/>
                <w:szCs w:val="21"/>
                <w:lang w:val="en-US" w:eastAsia="zh-CN" w:bidi="ar-SA"/>
              </w:rPr>
              <w:t>吹膜</w:t>
            </w:r>
            <w:r>
              <w:rPr>
                <w:rFonts w:hint="default" w:ascii="Times New Roman" w:hAnsi="Times New Roman" w:eastAsia="宋体" w:cs="Times New Roman"/>
                <w:b w:val="0"/>
                <w:bCs w:val="0"/>
                <w:color w:val="auto"/>
                <w:kern w:val="2"/>
                <w:sz w:val="24"/>
                <w:szCs w:val="21"/>
                <w:lang w:val="en-US" w:eastAsia="zh-CN" w:bidi="ar-SA"/>
              </w:rPr>
              <w:t>废气（以非甲烷总烃计）、机械运行噪声以及该工序产生的废薄膜。</w:t>
            </w:r>
          </w:p>
          <w:p>
            <w:pPr>
              <w:pStyle w:val="10"/>
              <w:spacing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（3）制袋切割：利用制袋机按照不同的要求</w:t>
            </w:r>
            <w:r>
              <w:rPr>
                <w:rFonts w:hint="eastAsia" w:ascii="Times New Roman" w:hAnsi="Times New Roman" w:eastAsia="宋体" w:cs="Times New Roman"/>
                <w:b w:val="0"/>
                <w:bCs w:val="0"/>
                <w:color w:val="auto"/>
                <w:kern w:val="2"/>
                <w:sz w:val="24"/>
                <w:szCs w:val="21"/>
                <w:lang w:val="en-US" w:eastAsia="zh-CN" w:bidi="ar-SA"/>
              </w:rPr>
              <w:t>将薄膜</w:t>
            </w:r>
            <w:r>
              <w:rPr>
                <w:rFonts w:hint="default" w:ascii="Times New Roman" w:hAnsi="Times New Roman" w:eastAsia="宋体" w:cs="Times New Roman"/>
                <w:b w:val="0"/>
                <w:bCs w:val="0"/>
                <w:color w:val="auto"/>
                <w:kern w:val="2"/>
                <w:sz w:val="24"/>
                <w:szCs w:val="21"/>
                <w:lang w:val="en-US" w:eastAsia="zh-CN" w:bidi="ar-SA"/>
              </w:rPr>
              <w:t>制成不同规格大小的</w:t>
            </w:r>
            <w:r>
              <w:rPr>
                <w:rFonts w:hint="default" w:ascii="Times New Roman" w:hAnsi="Times New Roman" w:eastAsia="宋体" w:cs="Times New Roman"/>
                <w:b w:val="0"/>
                <w:bCs w:val="0"/>
                <w:color w:val="auto"/>
                <w:kern w:val="2"/>
                <w:sz w:val="24"/>
                <w:szCs w:val="21"/>
                <w:lang w:val="en-US" w:eastAsia="zh-CN" w:bidi="ar-SA"/>
              </w:rPr>
              <w:t>塑料</w:t>
            </w:r>
            <w:r>
              <w:rPr>
                <w:rFonts w:hint="default" w:ascii="Times New Roman" w:hAnsi="Times New Roman" w:eastAsia="宋体" w:cs="Times New Roman"/>
                <w:b w:val="0"/>
                <w:bCs w:val="0"/>
                <w:color w:val="auto"/>
                <w:kern w:val="2"/>
                <w:sz w:val="24"/>
                <w:szCs w:val="21"/>
                <w:lang w:val="en-US" w:eastAsia="zh-CN" w:bidi="ar-SA"/>
              </w:rPr>
              <w:t>袋。制袋过程为热合袋、此工序为瞬间加热，因此产生非甲烷总烃量较少，可忽略不计，</w:t>
            </w:r>
            <w:r>
              <w:rPr>
                <w:rFonts w:hint="eastAsia" w:ascii="Times New Roman" w:hAnsi="Times New Roman" w:eastAsia="宋体" w:cs="Times New Roman"/>
                <w:b w:val="0"/>
                <w:bCs w:val="0"/>
                <w:color w:val="auto"/>
                <w:kern w:val="2"/>
                <w:sz w:val="24"/>
                <w:szCs w:val="21"/>
                <w:lang w:val="en-US" w:eastAsia="zh-CN" w:bidi="ar-SA"/>
              </w:rPr>
              <w:t>根据客户要求，部分</w:t>
            </w:r>
            <w:r>
              <w:rPr>
                <w:rFonts w:hint="default" w:ascii="Times New Roman" w:hAnsi="Times New Roman" w:eastAsia="宋体" w:cs="Times New Roman"/>
                <w:b w:val="0"/>
                <w:bCs w:val="0"/>
                <w:color w:val="auto"/>
                <w:kern w:val="2"/>
                <w:sz w:val="24"/>
                <w:szCs w:val="21"/>
                <w:lang w:val="en-US" w:eastAsia="zh-CN" w:bidi="ar-SA"/>
              </w:rPr>
              <w:t>环保塑料袋</w:t>
            </w:r>
            <w:r>
              <w:rPr>
                <w:rFonts w:hint="eastAsia" w:ascii="Times New Roman" w:hAnsi="Times New Roman" w:eastAsia="宋体" w:cs="Times New Roman"/>
                <w:b w:val="0"/>
                <w:bCs w:val="0"/>
                <w:color w:val="auto"/>
                <w:kern w:val="2"/>
                <w:sz w:val="24"/>
                <w:szCs w:val="21"/>
                <w:lang w:val="en-US" w:eastAsia="zh-CN" w:bidi="ar-SA"/>
              </w:rPr>
              <w:t>需要</w:t>
            </w:r>
            <w:r>
              <w:rPr>
                <w:rFonts w:hint="default" w:ascii="Times New Roman" w:hAnsi="Times New Roman" w:eastAsia="宋体" w:cs="Times New Roman"/>
                <w:b w:val="0"/>
                <w:bCs w:val="0"/>
                <w:color w:val="auto"/>
                <w:kern w:val="2"/>
                <w:sz w:val="24"/>
                <w:szCs w:val="21"/>
                <w:lang w:val="en-US" w:eastAsia="zh-CN" w:bidi="ar-SA"/>
              </w:rPr>
              <w:t>进行</w:t>
            </w:r>
            <w:r>
              <w:rPr>
                <w:rFonts w:hint="eastAsia" w:ascii="Times New Roman" w:hAnsi="Times New Roman" w:eastAsia="宋体" w:cs="Times New Roman"/>
                <w:b w:val="0"/>
                <w:bCs w:val="0"/>
                <w:color w:val="auto"/>
                <w:kern w:val="2"/>
                <w:sz w:val="24"/>
                <w:szCs w:val="21"/>
                <w:lang w:val="en-US" w:eastAsia="zh-CN" w:bidi="ar-SA"/>
              </w:rPr>
              <w:t>裁剪</w:t>
            </w:r>
            <w:r>
              <w:rPr>
                <w:rFonts w:hint="default" w:ascii="Times New Roman" w:hAnsi="Times New Roman" w:eastAsia="宋体" w:cs="Times New Roman"/>
                <w:b w:val="0"/>
                <w:bCs w:val="0"/>
                <w:color w:val="auto"/>
                <w:kern w:val="2"/>
                <w:sz w:val="24"/>
                <w:szCs w:val="21"/>
                <w:lang w:val="en-US" w:eastAsia="zh-CN" w:bidi="ar-SA"/>
              </w:rPr>
              <w:t>切割，该工序会产生机械运行噪声和边角料。</w:t>
            </w:r>
          </w:p>
          <w:p>
            <w:pPr>
              <w:pStyle w:val="10"/>
              <w:spacing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w:t>
            </w:r>
            <w:r>
              <w:rPr>
                <w:rFonts w:hint="eastAsia" w:ascii="Times New Roman" w:hAnsi="Times New Roman" w:eastAsia="宋体" w:cs="Times New Roman"/>
                <w:b w:val="0"/>
                <w:bCs w:val="0"/>
                <w:color w:val="auto"/>
                <w:kern w:val="2"/>
                <w:sz w:val="24"/>
                <w:szCs w:val="21"/>
                <w:lang w:val="en-US" w:eastAsia="zh-CN" w:bidi="ar-SA"/>
              </w:rPr>
              <w:t>4</w:t>
            </w:r>
            <w:r>
              <w:rPr>
                <w:rFonts w:hint="default" w:ascii="Times New Roman" w:hAnsi="Times New Roman" w:eastAsia="宋体" w:cs="Times New Roman"/>
                <w:b w:val="0"/>
                <w:bCs w:val="0"/>
                <w:color w:val="auto"/>
                <w:kern w:val="2"/>
                <w:sz w:val="24"/>
                <w:szCs w:val="21"/>
                <w:lang w:val="en-US" w:eastAsia="zh-CN" w:bidi="ar-SA"/>
              </w:rPr>
              <w:t>）检验：成型后的产品进行检验，合格产品进行包装。</w:t>
            </w:r>
            <w:r>
              <w:rPr>
                <w:rFonts w:hint="eastAsia" w:ascii="Times New Roman" w:hAnsi="Times New Roman" w:eastAsia="宋体" w:cs="Times New Roman"/>
                <w:b w:val="0"/>
                <w:bCs w:val="0"/>
                <w:color w:val="auto"/>
                <w:kern w:val="2"/>
                <w:sz w:val="24"/>
                <w:szCs w:val="21"/>
                <w:lang w:val="en-US" w:eastAsia="zh-CN" w:bidi="ar-SA"/>
              </w:rPr>
              <w:t>该工序会产生少量的不合格品</w:t>
            </w:r>
            <w:r>
              <w:rPr>
                <w:rFonts w:hint="default" w:ascii="Times New Roman" w:hAnsi="Times New Roman" w:eastAsia="宋体" w:cs="Times New Roman"/>
                <w:b w:val="0"/>
                <w:bCs w:val="0"/>
                <w:color w:val="auto"/>
                <w:kern w:val="2"/>
                <w:sz w:val="24"/>
                <w:szCs w:val="21"/>
                <w:lang w:val="en-US" w:eastAsia="zh-CN" w:bidi="ar-SA"/>
              </w:rPr>
              <w:t>。</w:t>
            </w:r>
          </w:p>
          <w:p>
            <w:pPr>
              <w:pStyle w:val="10"/>
              <w:spacing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w:t>
            </w:r>
            <w:r>
              <w:rPr>
                <w:rFonts w:hint="eastAsia" w:ascii="Times New Roman" w:hAnsi="Times New Roman" w:eastAsia="宋体" w:cs="Times New Roman"/>
                <w:b w:val="0"/>
                <w:bCs w:val="0"/>
                <w:color w:val="auto"/>
                <w:kern w:val="2"/>
                <w:sz w:val="24"/>
                <w:szCs w:val="21"/>
                <w:lang w:val="en-US" w:eastAsia="zh-CN" w:bidi="ar-SA"/>
              </w:rPr>
              <w:t>5</w:t>
            </w:r>
            <w:r>
              <w:rPr>
                <w:rFonts w:hint="default" w:ascii="Times New Roman" w:hAnsi="Times New Roman" w:eastAsia="宋体" w:cs="Times New Roman"/>
                <w:b w:val="0"/>
                <w:bCs w:val="0"/>
                <w:color w:val="auto"/>
                <w:kern w:val="2"/>
                <w:sz w:val="24"/>
                <w:szCs w:val="21"/>
                <w:lang w:val="en-US" w:eastAsia="zh-CN" w:bidi="ar-SA"/>
              </w:rPr>
              <w:t>）包装：检验过后的塑料袋即为成品，通过包装机进行打包入库，无法机器打包的人工打包入库。该工序会产生机械运行噪声。</w:t>
            </w:r>
          </w:p>
          <w:p>
            <w:pPr>
              <w:pStyle w:val="10"/>
              <w:spacing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4"/>
                <w:szCs w:val="21"/>
                <w:lang w:val="en-US" w:eastAsia="zh-CN" w:bidi="ar-SA"/>
              </w:rPr>
              <w:t>（6）造粒：将生产过程中产生的废薄膜、边角料以及不合格品，</w:t>
            </w:r>
            <w:r>
              <w:rPr>
                <w:rFonts w:hint="eastAsia" w:ascii="Times New Roman" w:hAnsi="Times New Roman" w:eastAsia="宋体" w:cs="Times New Roman"/>
                <w:b w:val="0"/>
                <w:bCs/>
                <w:color w:val="auto"/>
                <w:kern w:val="2"/>
                <w:sz w:val="24"/>
                <w:szCs w:val="24"/>
                <w:lang w:val="en-US" w:eastAsia="zh-CN" w:bidi="ar-SA"/>
              </w:rPr>
              <w:t>废料为片状，质地柔软，无需破碎，直接通过人工塞入进料口，进行造粒，该工序不产生颗粒物。</w:t>
            </w:r>
            <w:r>
              <w:rPr>
                <w:rFonts w:hint="eastAsia" w:ascii="Times New Roman" w:hAnsi="Times New Roman" w:eastAsia="宋体" w:cs="Times New Roman"/>
                <w:b w:val="0"/>
                <w:bCs w:val="0"/>
                <w:color w:val="auto"/>
                <w:kern w:val="2"/>
                <w:sz w:val="24"/>
                <w:szCs w:val="21"/>
                <w:lang w:val="en-US" w:eastAsia="zh-CN" w:bidi="ar-SA"/>
              </w:rPr>
              <w:t>电加热至120℃达到熔融状态，各种加工物料充分结合，熔融的物料经螺杆设施挤出，随即经过风冷系统快速冷却，逐渐固化成型。冷却后的产品为颗粒状，无需进行切粒，回用于生产包装袋。</w:t>
            </w:r>
            <w:r>
              <w:rPr>
                <w:rFonts w:hint="default" w:ascii="Times New Roman" w:hAnsi="Times New Roman" w:eastAsia="宋体" w:cs="Times New Roman"/>
                <w:b w:val="0"/>
                <w:bCs w:val="0"/>
                <w:color w:val="auto"/>
                <w:kern w:val="2"/>
                <w:sz w:val="24"/>
                <w:szCs w:val="21"/>
                <w:lang w:val="en-US" w:eastAsia="zh-CN" w:bidi="ar-SA"/>
              </w:rPr>
              <w:t>此</w:t>
            </w:r>
            <w:r>
              <w:rPr>
                <w:rFonts w:hint="eastAsia" w:ascii="Times New Roman" w:hAnsi="Times New Roman" w:eastAsia="宋体" w:cs="Times New Roman"/>
                <w:b w:val="0"/>
                <w:bCs w:val="0"/>
                <w:color w:val="auto"/>
                <w:kern w:val="2"/>
                <w:sz w:val="24"/>
                <w:szCs w:val="21"/>
                <w:lang w:val="en-US" w:eastAsia="zh-CN" w:bidi="ar-SA"/>
              </w:rPr>
              <w:t>工序</w:t>
            </w:r>
            <w:r>
              <w:rPr>
                <w:rFonts w:hint="default" w:ascii="Times New Roman" w:hAnsi="Times New Roman" w:eastAsia="宋体" w:cs="Times New Roman"/>
                <w:b w:val="0"/>
                <w:bCs w:val="0"/>
                <w:color w:val="auto"/>
                <w:kern w:val="2"/>
                <w:sz w:val="24"/>
                <w:szCs w:val="21"/>
                <w:lang w:val="en-US" w:eastAsia="zh-CN" w:bidi="ar-SA"/>
              </w:rPr>
              <w:t>会产生</w:t>
            </w:r>
            <w:r>
              <w:rPr>
                <w:rFonts w:hint="eastAsia" w:ascii="Times New Roman" w:hAnsi="Times New Roman" w:eastAsia="宋体" w:cs="Times New Roman"/>
                <w:b w:val="0"/>
                <w:bCs w:val="0"/>
                <w:color w:val="auto"/>
                <w:kern w:val="2"/>
                <w:sz w:val="24"/>
                <w:szCs w:val="21"/>
                <w:lang w:val="en-US" w:eastAsia="zh-CN" w:bidi="ar-SA"/>
              </w:rPr>
              <w:t>造粒</w:t>
            </w:r>
            <w:r>
              <w:rPr>
                <w:rFonts w:hint="default" w:ascii="Times New Roman" w:hAnsi="Times New Roman" w:eastAsia="宋体" w:cs="Times New Roman"/>
                <w:b w:val="0"/>
                <w:bCs w:val="0"/>
                <w:color w:val="auto"/>
                <w:kern w:val="2"/>
                <w:sz w:val="24"/>
                <w:szCs w:val="21"/>
                <w:lang w:val="en-US" w:eastAsia="zh-CN" w:bidi="ar-SA"/>
              </w:rPr>
              <w:t>废气（以非甲烷总烃计）</w:t>
            </w:r>
            <w:r>
              <w:rPr>
                <w:rFonts w:hint="eastAsia" w:ascii="Times New Roman" w:hAnsi="Times New Roman" w:eastAsia="宋体" w:cs="Times New Roman"/>
                <w:b w:val="0"/>
                <w:bCs w:val="0"/>
                <w:color w:val="auto"/>
                <w:kern w:val="2"/>
                <w:sz w:val="24"/>
                <w:szCs w:val="21"/>
                <w:lang w:val="en-US" w:eastAsia="zh-CN" w:bidi="ar-SA"/>
              </w:rPr>
              <w:t>以及</w:t>
            </w:r>
            <w:r>
              <w:rPr>
                <w:rFonts w:hint="default" w:ascii="Times New Roman" w:hAnsi="Times New Roman" w:eastAsia="宋体" w:cs="Times New Roman"/>
                <w:b w:val="0"/>
                <w:bCs w:val="0"/>
                <w:color w:val="auto"/>
                <w:kern w:val="2"/>
                <w:sz w:val="24"/>
                <w:szCs w:val="21"/>
                <w:lang w:val="en-US" w:eastAsia="zh-CN" w:bidi="ar-SA"/>
              </w:rPr>
              <w:t>机械运行噪声。</w:t>
            </w:r>
          </w:p>
          <w:p>
            <w:pPr>
              <w:pStyle w:val="83"/>
              <w:ind w:firstLine="482" w:firstLineChars="200"/>
              <w:rPr>
                <w:rFonts w:hint="default" w:ascii="Times New Roman" w:hAnsi="Times New Roman" w:cs="Times New Roman"/>
                <w:color w:val="auto"/>
              </w:rPr>
            </w:pPr>
            <w:r>
              <w:rPr>
                <w:rFonts w:hint="default" w:ascii="Times New Roman" w:hAnsi="Times New Roman" w:cs="Times New Roman"/>
                <w:color w:val="auto"/>
              </w:rPr>
              <w:t>3.主要污染工序</w:t>
            </w:r>
          </w:p>
          <w:p>
            <w:pPr>
              <w:spacing w:line="360" w:lineRule="auto"/>
              <w:ind w:firstLine="480" w:firstLineChars="200"/>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废气：项目运营期产生的废气主要为吹膜工序</w:t>
            </w:r>
            <w:r>
              <w:rPr>
                <w:rFonts w:hint="eastAsia" w:ascii="Times New Roman" w:hAnsi="Times New Roman" w:eastAsia="宋体" w:cs="Times New Roman"/>
                <w:b w:val="0"/>
                <w:bCs w:val="0"/>
                <w:color w:val="auto"/>
                <w:kern w:val="2"/>
                <w:sz w:val="24"/>
                <w:szCs w:val="21"/>
                <w:lang w:val="en-US" w:eastAsia="zh-CN" w:bidi="ar-SA"/>
              </w:rPr>
              <w:t>产生的</w:t>
            </w:r>
            <w:r>
              <w:rPr>
                <w:rFonts w:hint="default" w:ascii="Times New Roman" w:hAnsi="Times New Roman" w:eastAsia="宋体" w:cs="Times New Roman"/>
                <w:b w:val="0"/>
                <w:bCs w:val="0"/>
                <w:color w:val="auto"/>
                <w:kern w:val="2"/>
                <w:sz w:val="24"/>
                <w:szCs w:val="21"/>
                <w:lang w:val="en-US" w:eastAsia="zh-CN" w:bidi="ar-SA"/>
              </w:rPr>
              <w:t>吹膜废气G1</w:t>
            </w:r>
            <w:r>
              <w:rPr>
                <w:rFonts w:hint="eastAsia" w:ascii="Times New Roman" w:hAnsi="Times New Roman" w:eastAsia="宋体" w:cs="Times New Roman"/>
                <w:b w:val="0"/>
                <w:bCs w:val="0"/>
                <w:color w:val="auto"/>
                <w:kern w:val="2"/>
                <w:sz w:val="24"/>
                <w:szCs w:val="21"/>
                <w:lang w:val="en-US" w:eastAsia="zh-CN" w:bidi="ar-SA"/>
              </w:rPr>
              <w:t>以及造粒工序</w:t>
            </w:r>
            <w:r>
              <w:rPr>
                <w:rFonts w:hint="default" w:ascii="Times New Roman" w:hAnsi="Times New Roman" w:eastAsia="宋体" w:cs="Times New Roman"/>
                <w:b w:val="0"/>
                <w:bCs w:val="0"/>
                <w:color w:val="auto"/>
                <w:kern w:val="2"/>
                <w:sz w:val="24"/>
                <w:szCs w:val="21"/>
                <w:lang w:val="en-US" w:eastAsia="zh-CN" w:bidi="ar-SA"/>
              </w:rPr>
              <w:t>产生</w:t>
            </w:r>
            <w:r>
              <w:rPr>
                <w:rFonts w:hint="eastAsia" w:ascii="Times New Roman" w:hAnsi="Times New Roman" w:eastAsia="宋体" w:cs="Times New Roman"/>
                <w:b w:val="0"/>
                <w:bCs w:val="0"/>
                <w:color w:val="auto"/>
                <w:kern w:val="2"/>
                <w:sz w:val="24"/>
                <w:szCs w:val="21"/>
                <w:lang w:val="en-US" w:eastAsia="zh-CN" w:bidi="ar-SA"/>
              </w:rPr>
              <w:t>造粒废气</w:t>
            </w:r>
            <w:r>
              <w:rPr>
                <w:rFonts w:hint="default" w:ascii="Times New Roman" w:hAnsi="Times New Roman" w:eastAsia="宋体" w:cs="Times New Roman"/>
                <w:b w:val="0"/>
                <w:bCs w:val="0"/>
                <w:color w:val="auto"/>
                <w:kern w:val="2"/>
                <w:sz w:val="24"/>
                <w:szCs w:val="21"/>
                <w:lang w:val="en-US" w:eastAsia="zh-CN" w:bidi="ar-SA"/>
              </w:rPr>
              <w:t>G</w:t>
            </w:r>
            <w:r>
              <w:rPr>
                <w:rFonts w:hint="eastAsia" w:ascii="Times New Roman" w:hAnsi="Times New Roman" w:eastAsia="宋体" w:cs="Times New Roman"/>
                <w:b w:val="0"/>
                <w:bCs w:val="0"/>
                <w:color w:val="auto"/>
                <w:kern w:val="2"/>
                <w:sz w:val="24"/>
                <w:szCs w:val="21"/>
                <w:lang w:val="en-US" w:eastAsia="zh-CN" w:bidi="ar-SA"/>
              </w:rPr>
              <w:t>2</w:t>
            </w:r>
            <w:r>
              <w:rPr>
                <w:rFonts w:hint="default" w:ascii="Times New Roman" w:hAnsi="Times New Roman" w:eastAsia="宋体" w:cs="Times New Roman"/>
                <w:b w:val="0"/>
                <w:bCs w:val="0"/>
                <w:color w:val="auto"/>
                <w:kern w:val="2"/>
                <w:sz w:val="24"/>
                <w:szCs w:val="21"/>
                <w:lang w:val="en-US" w:eastAsia="zh-CN" w:bidi="ar-SA"/>
              </w:rPr>
              <w:t>（</w:t>
            </w:r>
            <w:r>
              <w:rPr>
                <w:rFonts w:hint="eastAsia" w:ascii="Times New Roman" w:hAnsi="Times New Roman" w:eastAsia="宋体" w:cs="Times New Roman"/>
                <w:b w:val="0"/>
                <w:bCs w:val="0"/>
                <w:color w:val="auto"/>
                <w:kern w:val="2"/>
                <w:sz w:val="24"/>
                <w:szCs w:val="21"/>
                <w:lang w:val="en-US" w:eastAsia="zh-CN" w:bidi="ar-SA"/>
              </w:rPr>
              <w:t>均</w:t>
            </w:r>
            <w:r>
              <w:rPr>
                <w:rFonts w:hint="default" w:ascii="Times New Roman" w:hAnsi="Times New Roman" w:eastAsia="宋体" w:cs="Times New Roman"/>
                <w:b w:val="0"/>
                <w:bCs w:val="0"/>
                <w:color w:val="auto"/>
                <w:kern w:val="2"/>
                <w:sz w:val="24"/>
                <w:szCs w:val="21"/>
                <w:lang w:val="en-US" w:eastAsia="zh-CN" w:bidi="ar-SA"/>
              </w:rPr>
              <w:t>以非甲烷总烃计）。</w:t>
            </w:r>
          </w:p>
          <w:p>
            <w:pPr>
              <w:pStyle w:val="10"/>
              <w:spacing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废水：项目主要废水为职工生活污水W1</w:t>
            </w:r>
            <w:r>
              <w:rPr>
                <w:rFonts w:hint="eastAsia" w:ascii="Times New Roman" w:hAnsi="Times New Roman" w:eastAsia="宋体" w:cs="Times New Roman"/>
                <w:b w:val="0"/>
                <w:bCs w:val="0"/>
                <w:color w:val="auto"/>
                <w:kern w:val="2"/>
                <w:sz w:val="24"/>
                <w:szCs w:val="21"/>
                <w:lang w:val="en-US" w:eastAsia="zh-CN" w:bidi="ar-SA"/>
              </w:rPr>
              <w:t>；项目吹膜工序中需要冷却水，冷却水在滚筒里面流动，吹出来的膜在滚筒外冷却，冷却水不与产品接触，为间接冷却水，冷却水循环使用，不外排W2</w:t>
            </w:r>
            <w:r>
              <w:rPr>
                <w:rFonts w:hint="default" w:ascii="Times New Roman" w:hAnsi="Times New Roman" w:eastAsia="宋体" w:cs="Times New Roman"/>
                <w:b w:val="0"/>
                <w:bCs w:val="0"/>
                <w:color w:val="auto"/>
                <w:kern w:val="2"/>
                <w:sz w:val="24"/>
                <w:szCs w:val="21"/>
                <w:lang w:val="en-US" w:eastAsia="zh-CN" w:bidi="ar-SA"/>
              </w:rPr>
              <w:t>。</w:t>
            </w:r>
          </w:p>
          <w:p>
            <w:pPr>
              <w:pStyle w:val="10"/>
              <w:spacing w:line="360" w:lineRule="auto"/>
              <w:ind w:firstLine="482"/>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固废：项目运营期间固体废物主要为S1废包装袋、S2废薄膜、S3边角料、S4不合格品、S5废活性炭</w:t>
            </w:r>
            <w:r>
              <w:rPr>
                <w:rFonts w:hint="eastAsia" w:ascii="Times New Roman" w:hAnsi="Times New Roman" w:eastAsia="宋体" w:cs="Times New Roman"/>
                <w:b w:val="0"/>
                <w:bCs w:val="0"/>
                <w:color w:val="auto"/>
                <w:kern w:val="2"/>
                <w:sz w:val="24"/>
                <w:szCs w:val="21"/>
                <w:lang w:val="en-US" w:eastAsia="zh-CN" w:bidi="ar-SA"/>
              </w:rPr>
              <w:t>、</w:t>
            </w:r>
            <w:r>
              <w:rPr>
                <w:rFonts w:hint="default" w:ascii="Times New Roman" w:hAnsi="Times New Roman" w:eastAsia="宋体" w:cs="Times New Roman"/>
                <w:b w:val="0"/>
                <w:bCs w:val="0"/>
                <w:color w:val="auto"/>
                <w:kern w:val="2"/>
                <w:sz w:val="24"/>
                <w:szCs w:val="21"/>
                <w:lang w:val="en-US" w:eastAsia="zh-CN" w:bidi="ar-SA"/>
              </w:rPr>
              <w:t>S</w:t>
            </w:r>
            <w:r>
              <w:rPr>
                <w:rFonts w:hint="eastAsia" w:ascii="Times New Roman" w:hAnsi="Times New Roman" w:eastAsia="宋体" w:cs="Times New Roman"/>
                <w:b w:val="0"/>
                <w:bCs w:val="0"/>
                <w:color w:val="auto"/>
                <w:kern w:val="2"/>
                <w:sz w:val="24"/>
                <w:szCs w:val="21"/>
                <w:lang w:val="en-US" w:eastAsia="zh-CN" w:bidi="ar-SA"/>
              </w:rPr>
              <w:t>6废润滑油以及</w:t>
            </w:r>
            <w:r>
              <w:rPr>
                <w:rFonts w:hint="default" w:ascii="Times New Roman" w:hAnsi="Times New Roman" w:eastAsia="宋体" w:cs="Times New Roman"/>
                <w:b w:val="0"/>
                <w:bCs w:val="0"/>
                <w:color w:val="auto"/>
                <w:kern w:val="2"/>
                <w:sz w:val="24"/>
                <w:szCs w:val="21"/>
                <w:lang w:val="en-US" w:eastAsia="zh-CN" w:bidi="ar-SA"/>
              </w:rPr>
              <w:t>S</w:t>
            </w:r>
            <w:r>
              <w:rPr>
                <w:rFonts w:hint="eastAsia" w:ascii="Times New Roman" w:hAnsi="Times New Roman" w:eastAsia="宋体" w:cs="Times New Roman"/>
                <w:b w:val="0"/>
                <w:bCs w:val="0"/>
                <w:color w:val="auto"/>
                <w:kern w:val="2"/>
                <w:sz w:val="24"/>
                <w:szCs w:val="21"/>
                <w:lang w:val="en-US" w:eastAsia="zh-CN" w:bidi="ar-SA"/>
              </w:rPr>
              <w:t>7</w:t>
            </w:r>
            <w:r>
              <w:rPr>
                <w:rFonts w:hint="default" w:ascii="Times New Roman" w:hAnsi="Times New Roman" w:eastAsia="宋体" w:cs="Times New Roman"/>
                <w:b w:val="0"/>
                <w:bCs w:val="0"/>
                <w:color w:val="auto"/>
                <w:kern w:val="2"/>
                <w:sz w:val="24"/>
                <w:szCs w:val="21"/>
                <w:lang w:val="en-US" w:eastAsia="zh-CN" w:bidi="ar-SA"/>
              </w:rPr>
              <w:t>生活垃圾。</w:t>
            </w:r>
          </w:p>
          <w:p>
            <w:pPr>
              <w:spacing w:line="360" w:lineRule="auto"/>
              <w:ind w:firstLine="480" w:firstLineChars="200"/>
              <w:rPr>
                <w:rFonts w:hint="default" w:ascii="Times New Roman" w:hAnsi="Times New Roman" w:cs="Times New Roman"/>
                <w:b/>
                <w:color w:val="auto"/>
                <w:sz w:val="24"/>
              </w:rPr>
            </w:pPr>
            <w:r>
              <w:rPr>
                <w:rFonts w:hint="default" w:ascii="Times New Roman" w:hAnsi="Times New Roman" w:eastAsia="宋体" w:cs="Times New Roman"/>
                <w:b w:val="0"/>
                <w:bCs w:val="0"/>
                <w:color w:val="auto"/>
                <w:kern w:val="2"/>
                <w:sz w:val="24"/>
                <w:szCs w:val="21"/>
                <w:lang w:val="en-US" w:eastAsia="zh-CN" w:bidi="ar-SA"/>
              </w:rPr>
              <w:t>噪声：本项目生产过程中产生的噪声源主要是搅拌机、吹膜机、</w:t>
            </w:r>
            <w:r>
              <w:rPr>
                <w:rFonts w:hint="eastAsia" w:ascii="Times New Roman" w:hAnsi="Times New Roman" w:eastAsia="宋体" w:cs="Times New Roman"/>
                <w:b w:val="0"/>
                <w:bCs w:val="0"/>
                <w:color w:val="auto"/>
                <w:kern w:val="2"/>
                <w:sz w:val="24"/>
                <w:szCs w:val="21"/>
                <w:lang w:val="en-US" w:eastAsia="zh-CN" w:bidi="ar-SA"/>
              </w:rPr>
              <w:t>造粒机</w:t>
            </w:r>
            <w:r>
              <w:rPr>
                <w:rFonts w:hint="default" w:ascii="Times New Roman" w:hAnsi="Times New Roman" w:eastAsia="宋体" w:cs="Times New Roman"/>
                <w:b w:val="0"/>
                <w:bCs w:val="0"/>
                <w:color w:val="auto"/>
                <w:kern w:val="2"/>
                <w:sz w:val="24"/>
                <w:szCs w:val="21"/>
                <w:lang w:val="en-US" w:eastAsia="zh-CN" w:bidi="ar-SA"/>
              </w:rPr>
              <w:t>等设备运转产生的噪声N，噪声源强约为65~80dB（A）。</w:t>
            </w:r>
          </w:p>
          <w:p>
            <w:pPr>
              <w:spacing w:line="300" w:lineRule="auto"/>
              <w:jc w:val="center"/>
              <w:rPr>
                <w:rFonts w:hint="default" w:ascii="Times New Roman" w:hAnsi="Times New Roman" w:cs="Times New Roman"/>
                <w:b/>
                <w:color w:val="auto"/>
              </w:rPr>
            </w:pPr>
            <w:r>
              <w:rPr>
                <w:rFonts w:hint="default" w:ascii="Times New Roman" w:hAnsi="Times New Roman" w:cs="Times New Roman"/>
                <w:b/>
                <w:color w:val="auto"/>
                <w:sz w:val="24"/>
              </w:rPr>
              <w:t>表2-7  污染物产生及排放环节</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57"/>
              <w:gridCol w:w="1582"/>
              <w:gridCol w:w="968"/>
              <w:gridCol w:w="1391"/>
              <w:gridCol w:w="28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noWrap w:val="0"/>
                  <w:vAlign w:val="center"/>
                </w:tcPr>
                <w:p>
                  <w:pPr>
                    <w:pStyle w:val="1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污染类别</w:t>
                  </w:r>
                </w:p>
              </w:tc>
              <w:tc>
                <w:tcPr>
                  <w:tcW w:w="995" w:type="pct"/>
                  <w:noWrap w:val="0"/>
                  <w:vAlign w:val="center"/>
                </w:tcPr>
                <w:p>
                  <w:pPr>
                    <w:pStyle w:val="1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产排污环节</w:t>
                  </w:r>
                </w:p>
              </w:tc>
              <w:tc>
                <w:tcPr>
                  <w:tcW w:w="609" w:type="pct"/>
                  <w:noWrap w:val="0"/>
                  <w:vAlign w:val="center"/>
                </w:tcPr>
                <w:p>
                  <w:pPr>
                    <w:pStyle w:val="1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编号</w:t>
                  </w:r>
                </w:p>
              </w:tc>
              <w:tc>
                <w:tcPr>
                  <w:tcW w:w="875" w:type="pct"/>
                  <w:noWrap w:val="0"/>
                  <w:vAlign w:val="center"/>
                </w:tcPr>
                <w:p>
                  <w:pPr>
                    <w:pStyle w:val="1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1791" w:type="pct"/>
                  <w:noWrap w:val="0"/>
                  <w:vAlign w:val="center"/>
                </w:tcPr>
                <w:p>
                  <w:pPr>
                    <w:pStyle w:val="1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治理/处理处置措施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restart"/>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废气</w:t>
                  </w:r>
                </w:p>
              </w:tc>
              <w:tc>
                <w:tcPr>
                  <w:tcW w:w="99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吹膜工序</w:t>
                  </w:r>
                </w:p>
              </w:tc>
              <w:tc>
                <w:tcPr>
                  <w:tcW w:w="609"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G</w:t>
                  </w:r>
                  <w:r>
                    <w:rPr>
                      <w:rFonts w:hint="default" w:ascii="Times New Roman" w:hAnsi="Times New Roman" w:cs="Times New Roman"/>
                      <w:b w:val="0"/>
                      <w:bCs/>
                      <w:color w:val="auto"/>
                      <w:sz w:val="21"/>
                      <w:szCs w:val="21"/>
                      <w:lang w:val="en-US" w:eastAsia="zh-CN"/>
                    </w:rPr>
                    <w:t>1</w:t>
                  </w:r>
                </w:p>
              </w:tc>
              <w:tc>
                <w:tcPr>
                  <w:tcW w:w="87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非甲烷总烃</w:t>
                  </w:r>
                </w:p>
              </w:tc>
              <w:tc>
                <w:tcPr>
                  <w:tcW w:w="1791" w:type="pct"/>
                  <w:vMerge w:val="restar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负压收集</w:t>
                  </w:r>
                  <w:r>
                    <w:rPr>
                      <w:rFonts w:hint="default" w:ascii="Times New Roman" w:hAnsi="Times New Roman" w:cs="Times New Roman"/>
                      <w:b w:val="0"/>
                      <w:bCs/>
                      <w:color w:val="auto"/>
                      <w:sz w:val="21"/>
                      <w:szCs w:val="21"/>
                      <w:lang w:val="en-US" w:eastAsia="zh-CN"/>
                    </w:rPr>
                    <w:t>+二级活性炭吸附装置+15m高排气筒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c>
                <w:tcPr>
                  <w:tcW w:w="995" w:type="pct"/>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造粒工序</w:t>
                  </w:r>
                </w:p>
              </w:tc>
              <w:tc>
                <w:tcPr>
                  <w:tcW w:w="609"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G</w:t>
                  </w:r>
                  <w:r>
                    <w:rPr>
                      <w:rFonts w:hint="eastAsia" w:ascii="Times New Roman" w:hAnsi="Times New Roman" w:cs="Times New Roman"/>
                      <w:b w:val="0"/>
                      <w:bCs/>
                      <w:color w:val="auto"/>
                      <w:sz w:val="21"/>
                      <w:szCs w:val="21"/>
                      <w:lang w:val="en-US" w:eastAsia="zh-CN"/>
                    </w:rPr>
                    <w:t>2</w:t>
                  </w:r>
                </w:p>
              </w:tc>
              <w:tc>
                <w:tcPr>
                  <w:tcW w:w="87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非甲烷总烃</w:t>
                  </w:r>
                </w:p>
              </w:tc>
              <w:tc>
                <w:tcPr>
                  <w:tcW w:w="1791"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restart"/>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废水</w:t>
                  </w:r>
                </w:p>
              </w:tc>
              <w:tc>
                <w:tcPr>
                  <w:tcW w:w="99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生活污水</w:t>
                  </w:r>
                </w:p>
              </w:tc>
              <w:tc>
                <w:tcPr>
                  <w:tcW w:w="609"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W</w:t>
                  </w:r>
                  <w:r>
                    <w:rPr>
                      <w:rFonts w:hint="default" w:ascii="Times New Roman" w:hAnsi="Times New Roman" w:cs="Times New Roman"/>
                      <w:b w:val="0"/>
                      <w:bCs/>
                      <w:color w:val="auto"/>
                      <w:sz w:val="21"/>
                      <w:szCs w:val="21"/>
                      <w:lang w:val="en-US" w:eastAsia="zh-CN"/>
                    </w:rPr>
                    <w:t>1</w:t>
                  </w:r>
                </w:p>
              </w:tc>
              <w:tc>
                <w:tcPr>
                  <w:tcW w:w="875" w:type="pct"/>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COD、BOD、SS、NH</w:t>
                  </w:r>
                  <w:r>
                    <w:rPr>
                      <w:rFonts w:hint="default" w:ascii="Times New Roman" w:hAnsi="Times New Roman" w:cs="Times New Roman"/>
                      <w:b w:val="0"/>
                      <w:bCs/>
                      <w:color w:val="auto"/>
                      <w:sz w:val="21"/>
                      <w:szCs w:val="21"/>
                      <w:vertAlign w:val="subscript"/>
                      <w:lang w:val="en-US" w:eastAsia="zh-CN"/>
                    </w:rPr>
                    <w:t>3</w:t>
                  </w:r>
                  <w:r>
                    <w:rPr>
                      <w:rFonts w:hint="default" w:ascii="Times New Roman" w:hAnsi="Times New Roman" w:cs="Times New Roman"/>
                      <w:b w:val="0"/>
                      <w:bCs/>
                      <w:color w:val="auto"/>
                      <w:sz w:val="21"/>
                      <w:szCs w:val="21"/>
                      <w:lang w:val="en-US" w:eastAsia="zh-CN"/>
                    </w:rPr>
                    <w:t>-N</w:t>
                  </w:r>
                  <w:r>
                    <w:rPr>
                      <w:rFonts w:hint="eastAsia" w:ascii="Times New Roman" w:hAnsi="Times New Roman" w:cs="Times New Roman"/>
                      <w:b w:val="0"/>
                      <w:bCs/>
                      <w:color w:val="auto"/>
                      <w:sz w:val="21"/>
                      <w:szCs w:val="21"/>
                      <w:lang w:val="en-US" w:eastAsia="zh-CN"/>
                    </w:rPr>
                    <w:t>、动植物油</w:t>
                  </w:r>
                </w:p>
              </w:tc>
              <w:tc>
                <w:tcPr>
                  <w:tcW w:w="1791" w:type="pct"/>
                  <w:noWrap w:val="0"/>
                  <w:vAlign w:val="center"/>
                </w:tcPr>
                <w:p>
                  <w:pPr>
                    <w:pStyle w:val="10"/>
                    <w:adjustRightInd w:val="0"/>
                    <w:snapToGrid w:val="0"/>
                    <w:ind w:firstLine="0" w:firstLineChars="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生活污水经化粪池处理后用作农肥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c>
                <w:tcPr>
                  <w:tcW w:w="995" w:type="pct"/>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冷却水</w:t>
                  </w:r>
                </w:p>
              </w:tc>
              <w:tc>
                <w:tcPr>
                  <w:tcW w:w="609" w:type="pct"/>
                  <w:noWrap w:val="0"/>
                  <w:vAlign w:val="center"/>
                </w:tcPr>
                <w:p>
                  <w:pPr>
                    <w:pStyle w:val="10"/>
                    <w:adjustRightInd w:val="0"/>
                    <w:snapToGrid w:val="0"/>
                    <w:ind w:firstLine="0" w:firstLineChars="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W2</w:t>
                  </w:r>
                </w:p>
              </w:tc>
              <w:tc>
                <w:tcPr>
                  <w:tcW w:w="875" w:type="pct"/>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SS</w:t>
                  </w:r>
                </w:p>
              </w:tc>
              <w:tc>
                <w:tcPr>
                  <w:tcW w:w="1791" w:type="pct"/>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restart"/>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固废</w:t>
                  </w:r>
                </w:p>
              </w:tc>
              <w:tc>
                <w:tcPr>
                  <w:tcW w:w="99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拆包</w:t>
                  </w:r>
                </w:p>
              </w:tc>
              <w:tc>
                <w:tcPr>
                  <w:tcW w:w="609"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S</w:t>
                  </w:r>
                  <w:r>
                    <w:rPr>
                      <w:rFonts w:hint="default" w:ascii="Times New Roman" w:hAnsi="Times New Roman" w:cs="Times New Roman"/>
                      <w:b w:val="0"/>
                      <w:bCs/>
                      <w:color w:val="auto"/>
                      <w:sz w:val="21"/>
                      <w:szCs w:val="21"/>
                      <w:lang w:val="en-US" w:eastAsia="zh-CN"/>
                    </w:rPr>
                    <w:t>1</w:t>
                  </w:r>
                </w:p>
              </w:tc>
              <w:tc>
                <w:tcPr>
                  <w:tcW w:w="87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塑料</w:t>
                  </w:r>
                </w:p>
              </w:tc>
              <w:tc>
                <w:tcPr>
                  <w:tcW w:w="1791"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经</w:t>
                  </w:r>
                  <w:r>
                    <w:rPr>
                      <w:rFonts w:hint="default" w:ascii="Times New Roman" w:hAnsi="Times New Roman" w:cs="Times New Roman"/>
                      <w:b w:val="0"/>
                      <w:bCs/>
                      <w:color w:val="auto"/>
                      <w:sz w:val="21"/>
                      <w:szCs w:val="21"/>
                      <w:lang w:eastAsia="zh-CN"/>
                    </w:rPr>
                    <w:t>收集</w:t>
                  </w:r>
                  <w:r>
                    <w:rPr>
                      <w:rFonts w:hint="eastAsia" w:ascii="Times New Roman" w:hAnsi="Times New Roman" w:cs="Times New Roman"/>
                      <w:b w:val="0"/>
                      <w:bCs/>
                      <w:color w:val="auto"/>
                      <w:sz w:val="21"/>
                      <w:szCs w:val="21"/>
                      <w:lang w:eastAsia="zh-CN"/>
                    </w:rPr>
                    <w:t>后</w:t>
                  </w:r>
                  <w:r>
                    <w:rPr>
                      <w:rFonts w:hint="default" w:ascii="Times New Roman" w:hAnsi="Times New Roman" w:cs="Times New Roman"/>
                      <w:b w:val="0"/>
                      <w:bCs/>
                      <w:color w:val="auto"/>
                      <w:sz w:val="21"/>
                      <w:szCs w:val="21"/>
                      <w:lang w:eastAsia="zh-CN"/>
                    </w:rPr>
                    <w:t>暂存于一般固废区，外售物资回收单位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c>
                <w:tcPr>
                  <w:tcW w:w="99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吹膜</w:t>
                  </w:r>
                </w:p>
              </w:tc>
              <w:tc>
                <w:tcPr>
                  <w:tcW w:w="609" w:type="pct"/>
                  <w:noWrap w:val="0"/>
                  <w:vAlign w:val="center"/>
                </w:tcPr>
                <w:p>
                  <w:pPr>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S</w:t>
                  </w:r>
                  <w:r>
                    <w:rPr>
                      <w:rFonts w:hint="default" w:ascii="Times New Roman" w:hAnsi="Times New Roman" w:cs="Times New Roman"/>
                      <w:b w:val="0"/>
                      <w:bCs/>
                      <w:color w:val="auto"/>
                      <w:sz w:val="21"/>
                      <w:szCs w:val="21"/>
                      <w:lang w:val="en-US" w:eastAsia="zh-CN"/>
                    </w:rPr>
                    <w:t>2</w:t>
                  </w:r>
                </w:p>
              </w:tc>
              <w:tc>
                <w:tcPr>
                  <w:tcW w:w="87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塑料</w:t>
                  </w:r>
                </w:p>
              </w:tc>
              <w:tc>
                <w:tcPr>
                  <w:tcW w:w="1791" w:type="pct"/>
                  <w:vMerge w:val="restar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经收集后回用于生产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c>
                <w:tcPr>
                  <w:tcW w:w="99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切割</w:t>
                  </w:r>
                </w:p>
              </w:tc>
              <w:tc>
                <w:tcPr>
                  <w:tcW w:w="609" w:type="pct"/>
                  <w:noWrap w:val="0"/>
                  <w:vAlign w:val="center"/>
                </w:tcPr>
                <w:p>
                  <w:pPr>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S</w:t>
                  </w:r>
                  <w:r>
                    <w:rPr>
                      <w:rFonts w:hint="default" w:ascii="Times New Roman" w:hAnsi="Times New Roman" w:cs="Times New Roman"/>
                      <w:b w:val="0"/>
                      <w:bCs/>
                      <w:color w:val="auto"/>
                      <w:sz w:val="21"/>
                      <w:szCs w:val="21"/>
                      <w:lang w:val="en-US" w:eastAsia="zh-CN"/>
                    </w:rPr>
                    <w:t>3</w:t>
                  </w:r>
                </w:p>
              </w:tc>
              <w:tc>
                <w:tcPr>
                  <w:tcW w:w="87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塑料</w:t>
                  </w:r>
                </w:p>
              </w:tc>
              <w:tc>
                <w:tcPr>
                  <w:tcW w:w="1791"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c>
                <w:tcPr>
                  <w:tcW w:w="99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val="en-US" w:eastAsia="zh-CN"/>
                    </w:rPr>
                    <w:t>检验</w:t>
                  </w:r>
                </w:p>
              </w:tc>
              <w:tc>
                <w:tcPr>
                  <w:tcW w:w="609" w:type="pct"/>
                  <w:noWrap w:val="0"/>
                  <w:vAlign w:val="center"/>
                </w:tcPr>
                <w:p>
                  <w:pPr>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S</w:t>
                  </w:r>
                  <w:r>
                    <w:rPr>
                      <w:rFonts w:hint="default" w:ascii="Times New Roman" w:hAnsi="Times New Roman" w:cs="Times New Roman"/>
                      <w:b w:val="0"/>
                      <w:bCs/>
                      <w:color w:val="auto"/>
                      <w:sz w:val="21"/>
                      <w:szCs w:val="21"/>
                      <w:lang w:val="en-US" w:eastAsia="zh-CN"/>
                    </w:rPr>
                    <w:t>4</w:t>
                  </w:r>
                </w:p>
              </w:tc>
              <w:tc>
                <w:tcPr>
                  <w:tcW w:w="875" w:type="pct"/>
                  <w:tcBorders>
                    <w:bottom w:val="single" w:color="auto" w:sz="4" w:space="0"/>
                  </w:tcBorders>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塑料</w:t>
                  </w:r>
                </w:p>
              </w:tc>
              <w:tc>
                <w:tcPr>
                  <w:tcW w:w="1791" w:type="pct"/>
                  <w:vMerge w:val="continue"/>
                  <w:tcBorders>
                    <w:bottom w:val="single" w:color="auto" w:sz="4" w:space="0"/>
                  </w:tcBorders>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c>
                <w:tcPr>
                  <w:tcW w:w="99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废气治理</w:t>
                  </w:r>
                </w:p>
              </w:tc>
              <w:tc>
                <w:tcPr>
                  <w:tcW w:w="609" w:type="pct"/>
                  <w:noWrap w:val="0"/>
                  <w:vAlign w:val="center"/>
                </w:tcPr>
                <w:p>
                  <w:pPr>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S</w:t>
                  </w:r>
                  <w:r>
                    <w:rPr>
                      <w:rFonts w:hint="eastAsia" w:ascii="Times New Roman" w:hAnsi="Times New Roman" w:cs="Times New Roman"/>
                      <w:b w:val="0"/>
                      <w:bCs/>
                      <w:color w:val="auto"/>
                      <w:sz w:val="21"/>
                      <w:szCs w:val="21"/>
                      <w:lang w:val="en-US" w:eastAsia="zh-CN"/>
                    </w:rPr>
                    <w:t>5</w:t>
                  </w:r>
                </w:p>
              </w:tc>
              <w:tc>
                <w:tcPr>
                  <w:tcW w:w="875" w:type="pct"/>
                  <w:tcBorders>
                    <w:top w:val="single" w:color="auto" w:sz="4" w:space="0"/>
                  </w:tcBorders>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废活性炭</w:t>
                  </w:r>
                </w:p>
              </w:tc>
              <w:tc>
                <w:tcPr>
                  <w:tcW w:w="1791" w:type="pct"/>
                  <w:vMerge w:val="restart"/>
                  <w:tcBorders>
                    <w:top w:val="single" w:color="auto" w:sz="4" w:space="0"/>
                  </w:tcBorders>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eastAsia="zh-CN"/>
                    </w:rPr>
                    <w:t>经</w:t>
                  </w:r>
                  <w:r>
                    <w:rPr>
                      <w:rFonts w:hint="default" w:ascii="Times New Roman" w:hAnsi="Times New Roman" w:cs="Times New Roman"/>
                      <w:b w:val="0"/>
                      <w:bCs/>
                      <w:color w:val="auto"/>
                      <w:sz w:val="21"/>
                      <w:szCs w:val="21"/>
                      <w:lang w:eastAsia="zh-CN"/>
                    </w:rPr>
                    <w:t>收集</w:t>
                  </w:r>
                  <w:r>
                    <w:rPr>
                      <w:rFonts w:hint="eastAsia" w:ascii="Times New Roman" w:hAnsi="Times New Roman" w:cs="Times New Roman"/>
                      <w:b w:val="0"/>
                      <w:bCs/>
                      <w:color w:val="auto"/>
                      <w:sz w:val="21"/>
                      <w:szCs w:val="21"/>
                      <w:lang w:eastAsia="zh-CN"/>
                    </w:rPr>
                    <w:t>后</w:t>
                  </w:r>
                  <w:r>
                    <w:rPr>
                      <w:rFonts w:hint="default" w:ascii="Times New Roman" w:hAnsi="Times New Roman" w:cs="Times New Roman"/>
                      <w:b w:val="0"/>
                      <w:bCs/>
                      <w:color w:val="auto"/>
                      <w:sz w:val="21"/>
                      <w:szCs w:val="21"/>
                      <w:lang w:eastAsia="zh-CN"/>
                    </w:rPr>
                    <w:t>暂存于</w:t>
                  </w:r>
                  <w:r>
                    <w:rPr>
                      <w:rFonts w:hint="eastAsia" w:ascii="Times New Roman" w:hAnsi="Times New Roman" w:cs="Times New Roman"/>
                      <w:b w:val="0"/>
                      <w:bCs/>
                      <w:color w:val="auto"/>
                      <w:sz w:val="21"/>
                      <w:szCs w:val="21"/>
                      <w:lang w:eastAsia="zh-CN"/>
                    </w:rPr>
                    <w:t>危废暂存间</w:t>
                  </w:r>
                  <w:r>
                    <w:rPr>
                      <w:rFonts w:hint="default" w:ascii="Times New Roman" w:hAnsi="Times New Roman" w:cs="Times New Roman"/>
                      <w:b w:val="0"/>
                      <w:bCs/>
                      <w:color w:val="auto"/>
                      <w:sz w:val="21"/>
                      <w:szCs w:val="21"/>
                      <w:lang w:eastAsia="zh-CN"/>
                    </w:rPr>
                    <w:t>，</w:t>
                  </w:r>
                  <w:r>
                    <w:rPr>
                      <w:rFonts w:hint="eastAsia" w:ascii="Times New Roman" w:hAnsi="Times New Roman" w:cs="Times New Roman"/>
                      <w:b w:val="0"/>
                      <w:bCs/>
                      <w:color w:val="auto"/>
                      <w:sz w:val="21"/>
                      <w:szCs w:val="21"/>
                      <w:lang w:eastAsia="zh-CN"/>
                    </w:rPr>
                    <w:t>定期委托资质处置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c>
                <w:tcPr>
                  <w:tcW w:w="99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设备保养</w:t>
                  </w:r>
                </w:p>
              </w:tc>
              <w:tc>
                <w:tcPr>
                  <w:tcW w:w="609" w:type="pct"/>
                  <w:noWrap w:val="0"/>
                  <w:vAlign w:val="center"/>
                </w:tcPr>
                <w:p>
                  <w:pPr>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S</w:t>
                  </w:r>
                  <w:r>
                    <w:rPr>
                      <w:rFonts w:hint="eastAsia" w:ascii="Times New Roman" w:hAnsi="Times New Roman" w:cs="Times New Roman"/>
                      <w:b w:val="0"/>
                      <w:bCs/>
                      <w:color w:val="auto"/>
                      <w:sz w:val="21"/>
                      <w:szCs w:val="21"/>
                      <w:lang w:val="en-US" w:eastAsia="zh-CN"/>
                    </w:rPr>
                    <w:t>6</w:t>
                  </w:r>
                </w:p>
              </w:tc>
              <w:tc>
                <w:tcPr>
                  <w:tcW w:w="87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废润滑油</w:t>
                  </w:r>
                </w:p>
              </w:tc>
              <w:tc>
                <w:tcPr>
                  <w:tcW w:w="1791" w:type="pct"/>
                  <w:vMerge w:val="continue"/>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vMerge w:val="continue"/>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p>
              </w:tc>
              <w:tc>
                <w:tcPr>
                  <w:tcW w:w="99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员工生活</w:t>
                  </w:r>
                </w:p>
              </w:tc>
              <w:tc>
                <w:tcPr>
                  <w:tcW w:w="609" w:type="pct"/>
                  <w:noWrap w:val="0"/>
                  <w:vAlign w:val="center"/>
                </w:tcPr>
                <w:p>
                  <w:pPr>
                    <w:adjustRightInd w:val="0"/>
                    <w:snapToGrid w:val="0"/>
                    <w:ind w:firstLine="0" w:firstLineChars="0"/>
                    <w:jc w:val="center"/>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S</w:t>
                  </w:r>
                  <w:r>
                    <w:rPr>
                      <w:rFonts w:hint="eastAsia" w:ascii="Times New Roman" w:hAnsi="Times New Roman" w:cs="Times New Roman"/>
                      <w:b w:val="0"/>
                      <w:bCs/>
                      <w:color w:val="auto"/>
                      <w:sz w:val="21"/>
                      <w:szCs w:val="21"/>
                      <w:lang w:val="en-US" w:eastAsia="zh-CN"/>
                    </w:rPr>
                    <w:t>7</w:t>
                  </w:r>
                </w:p>
              </w:tc>
              <w:tc>
                <w:tcPr>
                  <w:tcW w:w="87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果皮、纸屑等</w:t>
                  </w:r>
                </w:p>
              </w:tc>
              <w:tc>
                <w:tcPr>
                  <w:tcW w:w="1791"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环卫清运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8" w:type="pct"/>
                  <w:noWrap w:val="0"/>
                  <w:vAlign w:val="center"/>
                </w:tcPr>
                <w:p>
                  <w:pPr>
                    <w:pStyle w:val="10"/>
                    <w:adjustRightInd w:val="0"/>
                    <w:snapToGrid w:val="0"/>
                    <w:ind w:firstLine="0" w:firstLineChars="0"/>
                    <w:jc w:val="center"/>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噪声</w:t>
                  </w:r>
                </w:p>
              </w:tc>
              <w:tc>
                <w:tcPr>
                  <w:tcW w:w="995" w:type="pct"/>
                  <w:noWrap w:val="0"/>
                  <w:vAlign w:val="center"/>
                </w:tcPr>
                <w:p>
                  <w:pPr>
                    <w:pStyle w:val="10"/>
                    <w:adjustRightInd w:val="0"/>
                    <w:snapToGrid w:val="0"/>
                    <w:ind w:firstLine="0" w:firstLineChars="0"/>
                    <w:jc w:val="center"/>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设备运转</w:t>
                  </w:r>
                </w:p>
              </w:tc>
              <w:tc>
                <w:tcPr>
                  <w:tcW w:w="609" w:type="pct"/>
                  <w:noWrap w:val="0"/>
                  <w:vAlign w:val="center"/>
                </w:tcPr>
                <w:p>
                  <w:pPr>
                    <w:pStyle w:val="10"/>
                    <w:adjustRightInd w:val="0"/>
                    <w:snapToGrid w:val="0"/>
                    <w:ind w:firstLine="0" w:firstLineChars="0"/>
                    <w:jc w:val="center"/>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N</w:t>
                  </w:r>
                </w:p>
              </w:tc>
              <w:tc>
                <w:tcPr>
                  <w:tcW w:w="875" w:type="pct"/>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噪声</w:t>
                  </w:r>
                </w:p>
              </w:tc>
              <w:tc>
                <w:tcPr>
                  <w:tcW w:w="1791" w:type="pct"/>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合理布设、安装减震措施、厂房隔声</w:t>
                  </w:r>
                </w:p>
              </w:tc>
            </w:tr>
          </w:tbl>
          <w:p>
            <w:pPr>
              <w:adjustRightInd w:val="0"/>
              <w:snapToGrid w:val="0"/>
              <w:rPr>
                <w:rFonts w:hint="default" w:ascii="Times New Roman" w:hAnsi="Times New Roman"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28"/>
              <w:adjustRightInd w:val="0"/>
              <w:snapToGrid w:val="0"/>
              <w:spacing w:before="0" w:beforeAutospacing="0" w:after="0" w:afterAutospacing="0"/>
              <w:jc w:val="center"/>
              <w:rPr>
                <w:rFonts w:hint="default" w:ascii="Times New Roman" w:hAnsi="Times New Roman" w:cs="Times New Roman"/>
                <w:b/>
                <w:color w:val="auto"/>
                <w:szCs w:val="24"/>
              </w:rPr>
            </w:pPr>
            <w:r>
              <w:rPr>
                <w:rFonts w:hint="default" w:ascii="Times New Roman" w:hAnsi="Times New Roman" w:cs="Times New Roman"/>
                <w:b/>
                <w:color w:val="auto"/>
                <w:kern w:val="2"/>
                <w:szCs w:val="24"/>
              </w:rPr>
              <w:t>与项目有关的原有环境污染问题</w:t>
            </w:r>
          </w:p>
        </w:tc>
        <w:tc>
          <w:tcPr>
            <w:tcW w:w="8161" w:type="dxa"/>
            <w:noWrap w:val="0"/>
            <w:vAlign w:val="top"/>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本项目为新建项目，租赁</w:t>
            </w:r>
            <w:r>
              <w:rPr>
                <w:rFonts w:hint="eastAsia" w:ascii="Times New Roman" w:hAnsi="Times New Roman" w:eastAsia="宋体" w:cs="Times New Roman"/>
                <w:b w:val="0"/>
                <w:bCs w:val="0"/>
                <w:color w:val="auto"/>
                <w:kern w:val="2"/>
                <w:sz w:val="24"/>
                <w:szCs w:val="21"/>
                <w:lang w:val="en-US" w:eastAsia="zh-CN" w:bidi="ar-SA"/>
              </w:rPr>
              <w:t>湖南壹佰年科技发展有限公司</w:t>
            </w:r>
            <w:r>
              <w:rPr>
                <w:rFonts w:hint="default" w:ascii="Times New Roman" w:hAnsi="Times New Roman" w:eastAsia="宋体" w:cs="Times New Roman"/>
                <w:b w:val="0"/>
                <w:bCs w:val="0"/>
                <w:color w:val="auto"/>
                <w:kern w:val="2"/>
                <w:sz w:val="24"/>
                <w:szCs w:val="21"/>
                <w:lang w:val="en-US" w:eastAsia="zh-CN" w:bidi="ar-SA"/>
              </w:rPr>
              <w:t>的闲置厂房进行生产</w:t>
            </w:r>
            <w:r>
              <w:rPr>
                <w:rFonts w:hint="eastAsia" w:ascii="Times New Roman" w:hAnsi="Times New Roman" w:eastAsia="宋体" w:cs="Times New Roman"/>
                <w:b w:val="0"/>
                <w:bCs w:val="0"/>
                <w:color w:val="auto"/>
                <w:kern w:val="2"/>
                <w:sz w:val="24"/>
                <w:szCs w:val="21"/>
                <w:lang w:val="en-US" w:eastAsia="zh-CN" w:bidi="ar-SA"/>
              </w:rPr>
              <w:t>。</w:t>
            </w:r>
            <w:r>
              <w:rPr>
                <w:rFonts w:hint="default" w:ascii="Times New Roman" w:hAnsi="Times New Roman" w:eastAsia="宋体" w:cs="Times New Roman"/>
                <w:color w:val="auto"/>
                <w:sz w:val="24"/>
                <w:szCs w:val="24"/>
              </w:rPr>
              <w:t>经现场踏勘，项目属于补办环评，环评时已安装设备及进入试生产阶段，区域内无自然保护区和重点文物保护单位，区域内无珍稀野生动植物。无历史遗留环境问题</w:t>
            </w:r>
            <w:r>
              <w:rPr>
                <w:rFonts w:hint="default" w:ascii="Times New Roman" w:hAnsi="Times New Roman" w:eastAsia="宋体" w:cs="Times New Roman"/>
                <w:b w:val="0"/>
                <w:bCs w:val="0"/>
                <w:color w:val="auto"/>
                <w:kern w:val="2"/>
                <w:sz w:val="24"/>
                <w:szCs w:val="21"/>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2" w:firstLineChars="200"/>
              <w:jc w:val="both"/>
              <w:outlineLvl w:val="9"/>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、现有工程主要环保措施</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现有工程主要污染物为：</w:t>
            </w:r>
            <w:r>
              <w:rPr>
                <w:rFonts w:hint="eastAsia" w:ascii="Times New Roman" w:hAnsi="Times New Roman" w:eastAsia="宋体" w:cs="Times New Roman"/>
                <w:color w:val="auto"/>
                <w:sz w:val="24"/>
                <w:szCs w:val="24"/>
                <w:lang w:val="en-US" w:eastAsia="zh-CN"/>
              </w:rPr>
              <w:t>生产过程中产生的有机废气（非甲烷总烃）</w:t>
            </w:r>
            <w:r>
              <w:rPr>
                <w:rFonts w:hint="default" w:ascii="Times New Roman" w:hAnsi="Times New Roman" w:eastAsia="宋体" w:cs="Times New Roman"/>
                <w:color w:val="auto"/>
                <w:sz w:val="24"/>
                <w:szCs w:val="24"/>
              </w:rPr>
              <w:t>；生产人员产生的生活污水；机械设备产生噪声；废包装袋、废薄膜、边角料、不合格品、废润滑油以及生活垃圾等固体废弃物。</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根据现场调查，采取的主要环保措施有：</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（1）大气污染防治措施</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厂区及进场道路清扫。</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（2）水污染物防治措施</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无生产废水产生及外排。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生活污水经化粪池处理后用于农林地施肥，无外排。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选用节能低噪声设备，合理布局，对产生高噪声设备进行减振、绿化等降噪措施。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（4）固体废物污染防治措施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生活垃圾收集至垃圾桶，定期运往垃圾填埋场卫生填埋。生活垃圾收集至垃圾桶，定期运往垃圾填埋场卫生填埋</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废包装袋</w:t>
            </w:r>
            <w:r>
              <w:rPr>
                <w:rFonts w:hint="eastAsia" w:ascii="Times New Roman" w:hAnsi="Times New Roman" w:eastAsia="宋体" w:cs="Times New Roman"/>
                <w:color w:val="auto"/>
                <w:sz w:val="24"/>
                <w:szCs w:val="24"/>
                <w:lang w:eastAsia="zh-CN"/>
              </w:rPr>
              <w:t>集中收集于一般固废暂存间定期</w:t>
            </w:r>
            <w:r>
              <w:rPr>
                <w:rFonts w:hint="default" w:ascii="Times New Roman" w:hAnsi="Times New Roman" w:eastAsia="宋体" w:cs="Times New Roman"/>
                <w:color w:val="auto"/>
                <w:sz w:val="24"/>
                <w:szCs w:val="24"/>
              </w:rPr>
              <w:t>外售于物资回收公司</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废薄膜、边角料、不合格品等</w:t>
            </w:r>
            <w:r>
              <w:rPr>
                <w:rFonts w:hint="eastAsia" w:ascii="Times New Roman" w:hAnsi="Times New Roman" w:eastAsia="宋体" w:cs="Times New Roman"/>
                <w:color w:val="auto"/>
                <w:sz w:val="24"/>
                <w:szCs w:val="24"/>
                <w:lang w:eastAsia="zh-CN"/>
              </w:rPr>
              <w:t>集中收集于一般固废暂存间经造粒后</w:t>
            </w:r>
            <w:r>
              <w:rPr>
                <w:rFonts w:hint="eastAsia" w:ascii="Times New Roman" w:hAnsi="Times New Roman" w:eastAsia="宋体" w:cs="Times New Roman"/>
                <w:color w:val="auto"/>
                <w:sz w:val="24"/>
                <w:szCs w:val="24"/>
                <w:lang w:val="en-US" w:eastAsia="zh-CN"/>
              </w:rPr>
              <w:t>回用于生产；</w:t>
            </w:r>
            <w:r>
              <w:rPr>
                <w:rFonts w:hint="default" w:ascii="Times New Roman" w:hAnsi="Times New Roman" w:eastAsia="宋体" w:cs="Times New Roman"/>
                <w:color w:val="auto"/>
                <w:sz w:val="24"/>
                <w:szCs w:val="24"/>
              </w:rPr>
              <w:t>危险废物</w:t>
            </w:r>
            <w:r>
              <w:rPr>
                <w:rFonts w:hint="eastAsia" w:ascii="Times New Roman" w:hAnsi="Times New Roman" w:eastAsia="宋体" w:cs="Times New Roman"/>
                <w:color w:val="auto"/>
                <w:sz w:val="24"/>
                <w:szCs w:val="24"/>
                <w:lang w:eastAsia="zh-CN"/>
              </w:rPr>
              <w:t>集中收集于危废暂存间定期</w:t>
            </w:r>
            <w:r>
              <w:rPr>
                <w:rFonts w:hint="eastAsia" w:ascii="Times New Roman" w:hAnsi="Times New Roman" w:eastAsia="宋体" w:cs="Times New Roman"/>
                <w:color w:val="auto"/>
                <w:sz w:val="24"/>
                <w:szCs w:val="24"/>
                <w:lang w:eastAsia="zh-CN"/>
              </w:rPr>
              <w:t>委托资质单位</w:t>
            </w:r>
            <w:r>
              <w:rPr>
                <w:rFonts w:hint="default" w:ascii="Times New Roman" w:hAnsi="Times New Roman" w:eastAsia="宋体" w:cs="Times New Roman"/>
                <w:color w:val="auto"/>
                <w:sz w:val="24"/>
                <w:szCs w:val="24"/>
              </w:rPr>
              <w:t>处置。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、现有工程污染物排放情况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现有工程无生活污水、生产废水、固体废物外排。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（1）废气产排情况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根据工程分析，本项目运营期的大气污染物主要为</w:t>
            </w:r>
            <w:r>
              <w:rPr>
                <w:rFonts w:hint="eastAsia"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rPr>
              <w:t>目前该部分废气</w:t>
            </w:r>
            <w:r>
              <w:rPr>
                <w:rFonts w:hint="eastAsia" w:ascii="Times New Roman" w:hAnsi="Times New Roman" w:eastAsia="宋体" w:cs="Times New Roman"/>
                <w:color w:val="auto"/>
                <w:sz w:val="24"/>
                <w:szCs w:val="24"/>
                <w:lang w:val="en-US" w:eastAsia="zh-CN"/>
              </w:rPr>
              <w:t>呈</w:t>
            </w:r>
            <w:r>
              <w:rPr>
                <w:rFonts w:hint="default" w:ascii="Times New Roman" w:hAnsi="Times New Roman" w:eastAsia="宋体" w:cs="Times New Roman"/>
                <w:color w:val="auto"/>
                <w:sz w:val="24"/>
                <w:szCs w:val="24"/>
              </w:rPr>
              <w:t>无组织形式排放。</w:t>
            </w:r>
          </w:p>
          <w:p>
            <w:pPr>
              <w:pStyle w:val="180"/>
              <w:keepNext w:val="0"/>
              <w:keepLines w:val="0"/>
              <w:pageBreakBefore w:val="0"/>
              <w:widowControl w:val="0"/>
              <w:kinsoku/>
              <w:wordWrap/>
              <w:overflowPunct/>
              <w:topLinePunct w:val="0"/>
              <w:autoSpaceDE/>
              <w:autoSpaceDN/>
              <w:bidi w:val="0"/>
              <w:adjustRightInd w:val="0"/>
              <w:snapToGrid w:val="0"/>
              <w:spacing w:beforeLines="0" w:afterLines="50" w:line="36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表2-</w:t>
            </w:r>
            <w:r>
              <w:rPr>
                <w:rFonts w:hint="eastAsia" w:ascii="Times New Roman" w:hAnsi="Times New Roman" w:cs="Times New Roman"/>
                <w:bCs/>
                <w:color w:val="auto"/>
                <w:sz w:val="21"/>
                <w:szCs w:val="21"/>
                <w:lang w:val="en-US" w:eastAsia="zh-CN"/>
              </w:rPr>
              <w:t xml:space="preserve">5 </w:t>
            </w:r>
            <w:r>
              <w:rPr>
                <w:rFonts w:hint="default" w:ascii="Times New Roman" w:hAnsi="Times New Roman" w:cs="Times New Roman"/>
                <w:bCs/>
                <w:color w:val="auto"/>
                <w:sz w:val="21"/>
                <w:szCs w:val="21"/>
              </w:rPr>
              <w:t>废气排放情况表   单位：</w:t>
            </w:r>
            <w:r>
              <w:rPr>
                <w:rFonts w:hint="default" w:ascii="Times New Roman" w:hAnsi="Times New Roman" w:cs="Times New Roman"/>
                <w:bCs/>
                <w:color w:val="auto"/>
                <w:spacing w:val="-5"/>
                <w:sz w:val="21"/>
                <w:szCs w:val="21"/>
              </w:rPr>
              <w:t>mg/m</w:t>
            </w:r>
            <w:r>
              <w:rPr>
                <w:rFonts w:hint="default" w:ascii="Times New Roman" w:hAnsi="Times New Roman" w:cs="Times New Roman"/>
                <w:bCs/>
                <w:color w:val="auto"/>
                <w:spacing w:val="-5"/>
                <w:sz w:val="21"/>
                <w:szCs w:val="21"/>
                <w:vertAlign w:val="superscript"/>
              </w:rPr>
              <w:t>3</w:t>
            </w:r>
          </w:p>
          <w:tbl>
            <w:tblPr>
              <w:tblStyle w:val="34"/>
              <w:tblW w:w="7978"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8"/>
              <w:gridCol w:w="931"/>
              <w:gridCol w:w="797"/>
              <w:gridCol w:w="858"/>
              <w:gridCol w:w="834"/>
              <w:gridCol w:w="801"/>
              <w:gridCol w:w="786"/>
              <w:gridCol w:w="791"/>
              <w:gridCol w:w="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trPr>
              <w:tc>
                <w:tcPr>
                  <w:tcW w:w="1658"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检测点位</w:t>
                  </w:r>
                </w:p>
              </w:tc>
              <w:tc>
                <w:tcPr>
                  <w:tcW w:w="931"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检测项目</w:t>
                  </w:r>
                </w:p>
              </w:tc>
              <w:tc>
                <w:tcPr>
                  <w:tcW w:w="4867" w:type="dxa"/>
                  <w:gridSpan w:val="6"/>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检测结果</w:t>
                  </w:r>
                </w:p>
              </w:tc>
              <w:tc>
                <w:tcPr>
                  <w:tcW w:w="522"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参考限值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trPr>
              <w:tc>
                <w:tcPr>
                  <w:tcW w:w="1658"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p>
              </w:tc>
              <w:tc>
                <w:tcPr>
                  <w:tcW w:w="931"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p>
              </w:tc>
              <w:tc>
                <w:tcPr>
                  <w:tcW w:w="2489" w:type="dxa"/>
                  <w:gridSpan w:val="3"/>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2022年3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7</w:t>
                  </w:r>
                  <w:r>
                    <w:rPr>
                      <w:rFonts w:hint="default" w:ascii="Times New Roman" w:hAnsi="Times New Roman" w:cs="Times New Roman"/>
                      <w:b w:val="0"/>
                      <w:bCs w:val="0"/>
                      <w:color w:val="auto"/>
                      <w:sz w:val="21"/>
                      <w:szCs w:val="21"/>
                      <w:lang w:val="en-US" w:eastAsia="zh-CN"/>
                    </w:rPr>
                    <w:t>日</w:t>
                  </w:r>
                </w:p>
              </w:tc>
              <w:tc>
                <w:tcPr>
                  <w:tcW w:w="2378" w:type="dxa"/>
                  <w:gridSpan w:val="3"/>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2022年3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8</w:t>
                  </w:r>
                  <w:r>
                    <w:rPr>
                      <w:rFonts w:hint="default" w:ascii="Times New Roman" w:hAnsi="Times New Roman" w:cs="Times New Roman"/>
                      <w:b w:val="0"/>
                      <w:bCs w:val="0"/>
                      <w:color w:val="auto"/>
                      <w:sz w:val="21"/>
                      <w:szCs w:val="21"/>
                      <w:lang w:val="en-US" w:eastAsia="zh-CN"/>
                    </w:rPr>
                    <w:t>日</w:t>
                  </w:r>
                </w:p>
              </w:tc>
              <w:tc>
                <w:tcPr>
                  <w:tcW w:w="522"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trPr>
              <w:tc>
                <w:tcPr>
                  <w:tcW w:w="1658" w:type="dxa"/>
                  <w:vMerge w:val="continue"/>
                  <w:tcBorders>
                    <w:bottom w:val="single" w:color="auto" w:sz="4" w:space="0"/>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p>
              </w:tc>
              <w:tc>
                <w:tcPr>
                  <w:tcW w:w="931" w:type="dxa"/>
                  <w:vMerge w:val="continue"/>
                  <w:tcBorders>
                    <w:bottom w:val="single" w:color="auto" w:sz="4" w:space="0"/>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p>
              </w:tc>
              <w:tc>
                <w:tcPr>
                  <w:tcW w:w="79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第1次</w:t>
                  </w:r>
                </w:p>
              </w:tc>
              <w:tc>
                <w:tcPr>
                  <w:tcW w:w="85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第2次</w:t>
                  </w:r>
                </w:p>
              </w:tc>
              <w:tc>
                <w:tcPr>
                  <w:tcW w:w="83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第3次</w:t>
                  </w:r>
                </w:p>
              </w:tc>
              <w:tc>
                <w:tcPr>
                  <w:tcW w:w="80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第1次</w:t>
                  </w:r>
                </w:p>
              </w:tc>
              <w:tc>
                <w:tcPr>
                  <w:tcW w:w="78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第2次</w:t>
                  </w:r>
                </w:p>
              </w:tc>
              <w:tc>
                <w:tcPr>
                  <w:tcW w:w="79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第3次</w:t>
                  </w:r>
                </w:p>
              </w:tc>
              <w:tc>
                <w:tcPr>
                  <w:tcW w:w="522"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b w:val="0"/>
                      <w:bCs w:val="0"/>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1658" w:type="dxa"/>
                  <w:tcBorders>
                    <w:top w:val="single" w:color="auto" w:sz="4" w:space="0"/>
                    <w:tl2br w:val="nil"/>
                    <w:tr2bl w:val="nil"/>
                  </w:tcBorders>
                  <w:noWrap w:val="0"/>
                  <w:vAlign w:val="center"/>
                </w:tcPr>
                <w:p>
                  <w:pPr>
                    <w:pStyle w:val="72"/>
                    <w:keepNext w:val="0"/>
                    <w:keepLines w:val="0"/>
                    <w:pageBreakBefore w:val="0"/>
                    <w:widowControl w:val="0"/>
                    <w:kinsoku/>
                    <w:wordWrap/>
                    <w:overflowPunct/>
                    <w:topLinePunct w:val="0"/>
                    <w:bidi w:val="0"/>
                    <w:adjustRightInd w:val="0"/>
                    <w:snapToGrid w:val="0"/>
                    <w:spacing w:before="0" w:after="0" w:line="240" w:lineRule="auto"/>
                    <w:ind w:right="0" w:rightChars="0"/>
                    <w:jc w:val="center"/>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cs="Times New Roman"/>
                      <w:b w:val="0"/>
                      <w:bCs w:val="0"/>
                      <w:color w:val="auto"/>
                      <w:sz w:val="21"/>
                      <w:szCs w:val="21"/>
                    </w:rPr>
                    <w:t>厂界</w:t>
                  </w:r>
                  <w:r>
                    <w:rPr>
                      <w:rFonts w:hint="default" w:ascii="Times New Roman" w:hAnsi="Times New Roman" w:cs="Times New Roman"/>
                      <w:bCs/>
                      <w:color w:val="auto"/>
                      <w:sz w:val="21"/>
                      <w:szCs w:val="21"/>
                    </w:rPr>
                    <w:t>下</w:t>
                  </w:r>
                  <w:r>
                    <w:rPr>
                      <w:rFonts w:hint="default" w:ascii="Times New Roman" w:hAnsi="Times New Roman" w:cs="Times New Roman"/>
                      <w:b w:val="0"/>
                      <w:bCs w:val="0"/>
                      <w:color w:val="auto"/>
                      <w:sz w:val="21"/>
                      <w:szCs w:val="21"/>
                    </w:rPr>
                    <w:t>风向G</w:t>
                  </w:r>
                  <w:r>
                    <w:rPr>
                      <w:rFonts w:hint="eastAsia" w:ascii="Times New Roman" w:hAnsi="Times New Roman" w:cs="Times New Roman"/>
                      <w:b w:val="0"/>
                      <w:bCs w:val="0"/>
                      <w:color w:val="auto"/>
                      <w:sz w:val="21"/>
                      <w:szCs w:val="21"/>
                      <w:lang w:val="en-US" w:eastAsia="zh-CN"/>
                    </w:rPr>
                    <w:t>1</w:t>
                  </w:r>
                </w:p>
              </w:tc>
              <w:tc>
                <w:tcPr>
                  <w:tcW w:w="931" w:type="dxa"/>
                  <w:vMerge w:val="restart"/>
                  <w:tcBorders>
                    <w:top w:val="single" w:color="auto" w:sz="4" w:space="0"/>
                    <w:tl2br w:val="nil"/>
                    <w:tr2bl w:val="nil"/>
                  </w:tcBorders>
                  <w:noWrap w:val="0"/>
                  <w:vAlign w:val="center"/>
                </w:tcPr>
                <w:p>
                  <w:pPr>
                    <w:pStyle w:val="72"/>
                    <w:keepNext w:val="0"/>
                    <w:keepLines w:val="0"/>
                    <w:pageBreakBefore w:val="0"/>
                    <w:widowControl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9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1.60</w:t>
                  </w:r>
                </w:p>
              </w:tc>
              <w:tc>
                <w:tcPr>
                  <w:tcW w:w="85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1.41</w:t>
                  </w:r>
                </w:p>
              </w:tc>
              <w:tc>
                <w:tcPr>
                  <w:tcW w:w="83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1.87</w:t>
                  </w:r>
                </w:p>
              </w:tc>
              <w:tc>
                <w:tcPr>
                  <w:tcW w:w="80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1.45</w:t>
                  </w:r>
                </w:p>
              </w:tc>
              <w:tc>
                <w:tcPr>
                  <w:tcW w:w="78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1.66</w:t>
                  </w:r>
                </w:p>
              </w:tc>
              <w:tc>
                <w:tcPr>
                  <w:tcW w:w="79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1.89</w:t>
                  </w:r>
                </w:p>
              </w:tc>
              <w:tc>
                <w:tcPr>
                  <w:tcW w:w="522"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1658" w:type="dxa"/>
                  <w:tcBorders>
                    <w:tl2br w:val="nil"/>
                    <w:tr2bl w:val="nil"/>
                  </w:tcBorders>
                  <w:noWrap w:val="0"/>
                  <w:vAlign w:val="center"/>
                </w:tcPr>
                <w:p>
                  <w:pPr>
                    <w:pStyle w:val="72"/>
                    <w:keepNext w:val="0"/>
                    <w:keepLines w:val="0"/>
                    <w:pageBreakBefore w:val="0"/>
                    <w:widowControl w:val="0"/>
                    <w:kinsoku/>
                    <w:wordWrap/>
                    <w:overflowPunct/>
                    <w:topLinePunct w:val="0"/>
                    <w:bidi w:val="0"/>
                    <w:adjustRightInd w:val="0"/>
                    <w:snapToGrid w:val="0"/>
                    <w:spacing w:before="0" w:after="0" w:line="240" w:lineRule="auto"/>
                    <w:ind w:right="0" w:rightChars="0"/>
                    <w:jc w:val="center"/>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厂界下风向G</w:t>
                  </w:r>
                  <w:r>
                    <w:rPr>
                      <w:rFonts w:hint="eastAsia" w:ascii="Times New Roman" w:hAnsi="Times New Roman" w:cs="Times New Roman"/>
                      <w:bCs/>
                      <w:color w:val="auto"/>
                      <w:sz w:val="21"/>
                      <w:szCs w:val="21"/>
                      <w:lang w:val="en-US" w:eastAsia="zh-CN"/>
                    </w:rPr>
                    <w:t>2</w:t>
                  </w:r>
                </w:p>
              </w:tc>
              <w:tc>
                <w:tcPr>
                  <w:tcW w:w="931" w:type="dxa"/>
                  <w:vMerge w:val="continue"/>
                  <w:tcBorders>
                    <w:tl2br w:val="nil"/>
                    <w:tr2bl w:val="nil"/>
                  </w:tcBorders>
                  <w:noWrap w:val="0"/>
                  <w:vAlign w:val="center"/>
                </w:tcPr>
                <w:p>
                  <w:pPr>
                    <w:pStyle w:val="72"/>
                    <w:keepNext w:val="0"/>
                    <w:keepLines w:val="0"/>
                    <w:pageBreakBefore w:val="0"/>
                    <w:widowControl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cs="Times New Roman"/>
                      <w:color w:val="auto"/>
                      <w:sz w:val="21"/>
                      <w:szCs w:val="21"/>
                    </w:rPr>
                  </w:pPr>
                </w:p>
              </w:tc>
              <w:tc>
                <w:tcPr>
                  <w:tcW w:w="79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1.74</w:t>
                  </w:r>
                </w:p>
              </w:tc>
              <w:tc>
                <w:tcPr>
                  <w:tcW w:w="85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1.68</w:t>
                  </w:r>
                </w:p>
              </w:tc>
              <w:tc>
                <w:tcPr>
                  <w:tcW w:w="83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1.69</w:t>
                  </w:r>
                </w:p>
              </w:tc>
              <w:tc>
                <w:tcPr>
                  <w:tcW w:w="80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1.73</w:t>
                  </w:r>
                </w:p>
              </w:tc>
              <w:tc>
                <w:tcPr>
                  <w:tcW w:w="78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1.71</w:t>
                  </w:r>
                </w:p>
              </w:tc>
              <w:tc>
                <w:tcPr>
                  <w:tcW w:w="79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1.62</w:t>
                  </w:r>
                </w:p>
              </w:tc>
              <w:tc>
                <w:tcPr>
                  <w:tcW w:w="522"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4" w:hRule="atLeast"/>
              </w:trPr>
              <w:tc>
                <w:tcPr>
                  <w:tcW w:w="7978" w:type="dxa"/>
                  <w:gridSpan w:val="9"/>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参考《大气污染物综合排放标准》（GB16297-1996）表2中无组织排放监控浓度限值</w:t>
                  </w:r>
                </w:p>
              </w:tc>
            </w:tr>
          </w:tbl>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szCs w:val="24"/>
              </w:rPr>
              <w:t>由表2-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可知，本项目无组织排放</w:t>
            </w:r>
            <w:r>
              <w:rPr>
                <w:rFonts w:hint="default" w:ascii="Times New Roman" w:hAnsi="Times New Roman" w:cs="Times New Roman"/>
                <w:color w:val="auto"/>
                <w:sz w:val="24"/>
                <w:szCs w:val="24"/>
                <w:lang w:eastAsia="zh-CN"/>
              </w:rPr>
              <w:t>非甲烷总烃</w:t>
            </w:r>
            <w:r>
              <w:rPr>
                <w:rFonts w:hint="eastAsia" w:ascii="Times New Roman" w:hAnsi="Times New Roman" w:cs="Times New Roman"/>
                <w:color w:val="auto"/>
                <w:sz w:val="24"/>
                <w:szCs w:val="24"/>
                <w:lang w:val="en-US" w:eastAsia="zh-CN"/>
              </w:rPr>
              <w:t>计</w:t>
            </w:r>
            <w:r>
              <w:rPr>
                <w:rFonts w:hint="default" w:ascii="Times New Roman" w:hAnsi="Times New Roman" w:cs="Times New Roman"/>
                <w:color w:val="auto"/>
                <w:sz w:val="24"/>
                <w:szCs w:val="24"/>
              </w:rPr>
              <w:t>能够《大气污染物综合排放标准》（GB16297-1996）表2中无组织排放监控浓度限值。</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（2）废水产排情况</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现有项目生产废水</w:t>
            </w:r>
            <w:r>
              <w:rPr>
                <w:rFonts w:hint="eastAsia" w:ascii="Times New Roman" w:hAnsi="Times New Roman" w:eastAsia="宋体" w:cs="Times New Roman"/>
                <w:color w:val="auto"/>
                <w:sz w:val="24"/>
                <w:szCs w:val="24"/>
                <w:lang w:val="en-US" w:eastAsia="zh-CN"/>
              </w:rPr>
              <w:t>循环使用，不外排</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生活污水经化粪池处理后运往附近菜地施肥。</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（3）噪声产排情况</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机械设备基础减震，厂房隔音</w:t>
            </w:r>
            <w:r>
              <w:rPr>
                <w:rFonts w:hint="eastAsia" w:ascii="Times New Roman" w:hAnsi="Times New Roman" w:eastAsia="宋体" w:cs="Times New Roman"/>
                <w:color w:val="auto"/>
                <w:sz w:val="24"/>
                <w:szCs w:val="24"/>
                <w:lang w:eastAsia="zh-CN"/>
              </w:rPr>
              <w:t>。</w:t>
            </w:r>
          </w:p>
          <w:p>
            <w:pPr>
              <w:pStyle w:val="180"/>
              <w:spacing w:beforeLines="0" w:afterLines="50" w:line="240" w:lineRule="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表2-</w:t>
            </w:r>
            <w:r>
              <w:rPr>
                <w:rFonts w:hint="eastAsia" w:ascii="Times New Roman" w:hAnsi="Times New Roman" w:cs="Times New Roman"/>
                <w:bCs/>
                <w:color w:val="auto"/>
                <w:sz w:val="21"/>
                <w:szCs w:val="21"/>
                <w:lang w:val="en-US" w:eastAsia="zh-CN"/>
              </w:rPr>
              <w:t>6</w:t>
            </w:r>
            <w:r>
              <w:rPr>
                <w:rFonts w:hint="default" w:ascii="Times New Roman" w:hAnsi="Times New Roman" w:cs="Times New Roman"/>
                <w:bCs/>
                <w:color w:val="auto"/>
                <w:sz w:val="21"/>
                <w:szCs w:val="21"/>
              </w:rPr>
              <w:t xml:space="preserve"> </w:t>
            </w:r>
            <w:r>
              <w:rPr>
                <w:rFonts w:hint="default" w:ascii="Times New Roman" w:hAnsi="Times New Roman" w:cs="Times New Roman"/>
                <w:bCs/>
                <w:color w:val="auto"/>
                <w:sz w:val="21"/>
                <w:szCs w:val="21"/>
                <w:lang w:eastAsia="zh-CN"/>
              </w:rPr>
              <w:t>噪声</w:t>
            </w:r>
            <w:r>
              <w:rPr>
                <w:rFonts w:hint="default" w:ascii="Times New Roman" w:hAnsi="Times New Roman" w:cs="Times New Roman"/>
                <w:bCs/>
                <w:color w:val="auto"/>
                <w:sz w:val="21"/>
                <w:szCs w:val="21"/>
              </w:rPr>
              <w:t>排放情况表   单位：</w:t>
            </w:r>
            <w:r>
              <w:rPr>
                <w:rFonts w:hint="default" w:ascii="Times New Roman" w:hAnsi="Times New Roman" w:cs="Times New Roman"/>
                <w:bCs/>
                <w:color w:val="auto"/>
                <w:spacing w:val="-5"/>
                <w:sz w:val="21"/>
                <w:szCs w:val="21"/>
                <w:lang w:val="en-US" w:eastAsia="zh-CN"/>
              </w:rPr>
              <w:t>dB(A)</w:t>
            </w:r>
          </w:p>
          <w:tbl>
            <w:tblPr>
              <w:tblStyle w:val="33"/>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275"/>
              <w:gridCol w:w="949"/>
              <w:gridCol w:w="950"/>
              <w:gridCol w:w="1634"/>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kern w:val="2"/>
                      <w:szCs w:val="21"/>
                    </w:rPr>
                    <w:t>监测点位</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kern w:val="2"/>
                      <w:szCs w:val="21"/>
                    </w:rPr>
                    <w:t>监测日期</w:t>
                  </w:r>
                </w:p>
              </w:tc>
              <w:tc>
                <w:tcPr>
                  <w:tcW w:w="1899"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420" w:firstLineChars="200"/>
                    <w:jc w:val="center"/>
                    <w:rPr>
                      <w:rFonts w:hint="default" w:ascii="Times New Roman" w:hAnsi="Times New Roman" w:cs="Times New Roman"/>
                      <w:color w:val="auto"/>
                      <w:szCs w:val="21"/>
                    </w:rPr>
                  </w:pPr>
                  <w:r>
                    <w:rPr>
                      <w:rFonts w:hint="default" w:ascii="Times New Roman" w:hAnsi="Times New Roman" w:cs="Times New Roman"/>
                      <w:color w:val="auto"/>
                      <w:kern w:val="2"/>
                      <w:szCs w:val="21"/>
                    </w:rPr>
                    <w:t>监测值</w:t>
                  </w:r>
                </w:p>
              </w:tc>
              <w:tc>
                <w:tcPr>
                  <w:tcW w:w="317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kern w:val="2"/>
                      <w:szCs w:val="21"/>
                    </w:rPr>
                    <w:t>《工业企业厂界环境噪声排放标准》(GB12348-2008)中2类标准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949"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kern w:val="2"/>
                      <w:szCs w:val="21"/>
                    </w:rPr>
                    <w:t xml:space="preserve"> 昼间</w:t>
                  </w: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kern w:val="2"/>
                      <w:szCs w:val="21"/>
                    </w:rPr>
                    <w:t xml:space="preserve"> 夜间</w:t>
                  </w:r>
                </w:p>
              </w:tc>
              <w:tc>
                <w:tcPr>
                  <w:tcW w:w="317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4" w:type="dxa"/>
                  <w:vMerge w:val="restart"/>
                  <w:tcBorders>
                    <w:top w:val="single" w:color="auto" w:sz="4" w:space="0"/>
                    <w:left w:val="single" w:color="auto" w:sz="4" w:space="0"/>
                    <w:bottom w:val="single" w:color="auto" w:sz="4" w:space="0"/>
                    <w:right w:val="single" w:color="auto" w:sz="4" w:space="0"/>
                  </w:tcBorders>
                  <w:noWrap w:val="0"/>
                  <w:vAlign w:val="center"/>
                </w:tcPr>
                <w:p>
                  <w:pPr>
                    <w:pStyle w:val="181"/>
                    <w:widowControl w:val="0"/>
                    <w:rPr>
                      <w:rFonts w:hint="default" w:ascii="Times New Roman" w:hAnsi="Times New Roman" w:cs="Times New Roman"/>
                      <w:b w:val="0"/>
                      <w:bCs/>
                      <w:color w:val="auto"/>
                    </w:rPr>
                  </w:pPr>
                  <w:r>
                    <w:rPr>
                      <w:rFonts w:hint="default" w:ascii="Times New Roman" w:hAnsi="Times New Roman" w:cs="Times New Roman"/>
                      <w:b w:val="0"/>
                      <w:bCs/>
                      <w:color w:val="auto"/>
                    </w:rPr>
                    <w:t>项目所在地</w:t>
                  </w:r>
                </w:p>
                <w:p>
                  <w:pPr>
                    <w:pStyle w:val="181"/>
                    <w:widowControl w:val="0"/>
                    <w:rPr>
                      <w:rFonts w:hint="default" w:ascii="Times New Roman" w:hAnsi="Times New Roman" w:cs="Times New Roman"/>
                      <w:color w:val="auto"/>
                    </w:rPr>
                  </w:pPr>
                  <w:r>
                    <w:rPr>
                      <w:rFonts w:hint="default" w:ascii="Times New Roman" w:hAnsi="Times New Roman" w:cs="Times New Roman"/>
                      <w:b w:val="0"/>
                      <w:bCs/>
                      <w:color w:val="auto"/>
                    </w:rPr>
                    <w:t>东面界外1米处</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b w:val="0"/>
                      <w:bCs/>
                      <w:color w:val="auto"/>
                    </w:rPr>
                  </w:pPr>
                  <w:r>
                    <w:rPr>
                      <w:rFonts w:hint="eastAsia" w:cs="Times New Roman"/>
                      <w:b w:val="0"/>
                      <w:bCs w:val="0"/>
                      <w:color w:val="auto"/>
                      <w:sz w:val="21"/>
                      <w:szCs w:val="21"/>
                      <w:lang w:val="en-US" w:eastAsia="zh-CN"/>
                    </w:rPr>
                    <w:t>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7</w:t>
                  </w:r>
                  <w:r>
                    <w:rPr>
                      <w:rFonts w:hint="default" w:ascii="Times New Roman" w:hAnsi="Times New Roman" w:cs="Times New Roman"/>
                      <w:b w:val="0"/>
                      <w:bCs w:val="0"/>
                      <w:color w:val="auto"/>
                      <w:sz w:val="21"/>
                      <w:szCs w:val="21"/>
                      <w:lang w:val="en-US" w:eastAsia="zh-CN"/>
                    </w:rPr>
                    <w:t>日</w:t>
                  </w:r>
                </w:p>
              </w:tc>
              <w:tc>
                <w:tcPr>
                  <w:tcW w:w="9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54.5</w:t>
                  </w:r>
                </w:p>
              </w:tc>
              <w:tc>
                <w:tcPr>
                  <w:tcW w:w="9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42.4</w:t>
                  </w:r>
                </w:p>
              </w:tc>
              <w:tc>
                <w:tcPr>
                  <w:tcW w:w="163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kern w:val="2"/>
                      <w:szCs w:val="21"/>
                    </w:rPr>
                    <w:t>60</w:t>
                  </w:r>
                </w:p>
              </w:tc>
              <w:tc>
                <w:tcPr>
                  <w:tcW w:w="15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kern w:val="2"/>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b w:val="0"/>
                      <w:bCs/>
                      <w:color w:val="auto"/>
                    </w:rPr>
                  </w:pPr>
                  <w:r>
                    <w:rPr>
                      <w:rFonts w:hint="eastAsia" w:cs="Times New Roman"/>
                      <w:b w:val="0"/>
                      <w:bCs w:val="0"/>
                      <w:color w:val="auto"/>
                      <w:sz w:val="21"/>
                      <w:szCs w:val="21"/>
                      <w:lang w:val="en-US" w:eastAsia="zh-CN"/>
                    </w:rPr>
                    <w:t>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8</w:t>
                  </w:r>
                  <w:r>
                    <w:rPr>
                      <w:rFonts w:hint="default" w:ascii="Times New Roman" w:hAnsi="Times New Roman" w:cs="Times New Roman"/>
                      <w:b w:val="0"/>
                      <w:bCs w:val="0"/>
                      <w:color w:val="auto"/>
                      <w:sz w:val="21"/>
                      <w:szCs w:val="21"/>
                      <w:lang w:val="en-US" w:eastAsia="zh-CN"/>
                    </w:rPr>
                    <w:t>日</w:t>
                  </w:r>
                </w:p>
              </w:tc>
              <w:tc>
                <w:tcPr>
                  <w:tcW w:w="9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54.4</w:t>
                  </w:r>
                </w:p>
              </w:tc>
              <w:tc>
                <w:tcPr>
                  <w:tcW w:w="9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42.1</w:t>
                  </w:r>
                </w:p>
              </w:tc>
              <w:tc>
                <w:tcPr>
                  <w:tcW w:w="163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53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4" w:type="dxa"/>
                  <w:vMerge w:val="restart"/>
                  <w:tcBorders>
                    <w:top w:val="single" w:color="auto" w:sz="4" w:space="0"/>
                    <w:left w:val="single" w:color="auto" w:sz="4" w:space="0"/>
                    <w:bottom w:val="single" w:color="auto" w:sz="4" w:space="0"/>
                    <w:right w:val="single" w:color="auto" w:sz="4" w:space="0"/>
                  </w:tcBorders>
                  <w:noWrap w:val="0"/>
                  <w:vAlign w:val="center"/>
                </w:tcPr>
                <w:p>
                  <w:pPr>
                    <w:pStyle w:val="181"/>
                    <w:widowControl w:val="0"/>
                    <w:rPr>
                      <w:rFonts w:hint="default" w:ascii="Times New Roman" w:hAnsi="Times New Roman" w:cs="Times New Roman"/>
                      <w:b w:val="0"/>
                      <w:bCs/>
                      <w:color w:val="auto"/>
                    </w:rPr>
                  </w:pPr>
                  <w:r>
                    <w:rPr>
                      <w:rFonts w:hint="default" w:ascii="Times New Roman" w:hAnsi="Times New Roman" w:cs="Times New Roman"/>
                      <w:b w:val="0"/>
                      <w:bCs/>
                      <w:color w:val="auto"/>
                    </w:rPr>
                    <w:t>项目所在地</w:t>
                  </w:r>
                </w:p>
                <w:p>
                  <w:pPr>
                    <w:pStyle w:val="181"/>
                    <w:widowControl w:val="0"/>
                    <w:rPr>
                      <w:rFonts w:hint="default" w:ascii="Times New Roman" w:hAnsi="Times New Roman" w:cs="Times New Roman"/>
                      <w:color w:val="auto"/>
                    </w:rPr>
                  </w:pPr>
                  <w:r>
                    <w:rPr>
                      <w:rFonts w:hint="default" w:ascii="Times New Roman" w:hAnsi="Times New Roman" w:cs="Times New Roman"/>
                      <w:b w:val="0"/>
                      <w:bCs/>
                      <w:color w:val="auto"/>
                    </w:rPr>
                    <w:t>南面界外1米处</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b w:val="0"/>
                      <w:bCs/>
                      <w:color w:val="auto"/>
                    </w:rPr>
                  </w:pPr>
                  <w:r>
                    <w:rPr>
                      <w:rFonts w:hint="eastAsia" w:cs="Times New Roman"/>
                      <w:b w:val="0"/>
                      <w:bCs w:val="0"/>
                      <w:color w:val="auto"/>
                      <w:sz w:val="21"/>
                      <w:szCs w:val="21"/>
                      <w:lang w:val="en-US" w:eastAsia="zh-CN"/>
                    </w:rPr>
                    <w:t>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7</w:t>
                  </w:r>
                  <w:r>
                    <w:rPr>
                      <w:rFonts w:hint="default" w:ascii="Times New Roman" w:hAnsi="Times New Roman" w:cs="Times New Roman"/>
                      <w:b w:val="0"/>
                      <w:bCs w:val="0"/>
                      <w:color w:val="auto"/>
                      <w:sz w:val="21"/>
                      <w:szCs w:val="21"/>
                      <w:lang w:val="en-US" w:eastAsia="zh-CN"/>
                    </w:rPr>
                    <w:t>日</w:t>
                  </w:r>
                </w:p>
              </w:tc>
              <w:tc>
                <w:tcPr>
                  <w:tcW w:w="9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57.2</w:t>
                  </w:r>
                </w:p>
              </w:tc>
              <w:tc>
                <w:tcPr>
                  <w:tcW w:w="9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43.7</w:t>
                  </w:r>
                </w:p>
              </w:tc>
              <w:tc>
                <w:tcPr>
                  <w:tcW w:w="163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53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b w:val="0"/>
                      <w:bCs/>
                      <w:color w:val="auto"/>
                    </w:rPr>
                  </w:pPr>
                  <w:r>
                    <w:rPr>
                      <w:rFonts w:hint="eastAsia" w:cs="Times New Roman"/>
                      <w:b w:val="0"/>
                      <w:bCs w:val="0"/>
                      <w:color w:val="auto"/>
                      <w:sz w:val="21"/>
                      <w:szCs w:val="21"/>
                      <w:lang w:val="en-US" w:eastAsia="zh-CN"/>
                    </w:rPr>
                    <w:t>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8</w:t>
                  </w:r>
                  <w:r>
                    <w:rPr>
                      <w:rFonts w:hint="default" w:ascii="Times New Roman" w:hAnsi="Times New Roman" w:cs="Times New Roman"/>
                      <w:b w:val="0"/>
                      <w:bCs w:val="0"/>
                      <w:color w:val="auto"/>
                      <w:sz w:val="21"/>
                      <w:szCs w:val="21"/>
                      <w:lang w:val="en-US" w:eastAsia="zh-CN"/>
                    </w:rPr>
                    <w:t>日</w:t>
                  </w:r>
                </w:p>
              </w:tc>
              <w:tc>
                <w:tcPr>
                  <w:tcW w:w="9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57.3</w:t>
                  </w:r>
                </w:p>
              </w:tc>
              <w:tc>
                <w:tcPr>
                  <w:tcW w:w="9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43.6</w:t>
                  </w:r>
                </w:p>
              </w:tc>
              <w:tc>
                <w:tcPr>
                  <w:tcW w:w="163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53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4" w:type="dxa"/>
                  <w:vMerge w:val="restart"/>
                  <w:tcBorders>
                    <w:top w:val="single" w:color="auto" w:sz="4" w:space="0"/>
                    <w:left w:val="single" w:color="auto" w:sz="4" w:space="0"/>
                    <w:bottom w:val="single" w:color="auto" w:sz="4" w:space="0"/>
                    <w:right w:val="single" w:color="auto" w:sz="4" w:space="0"/>
                  </w:tcBorders>
                  <w:noWrap w:val="0"/>
                  <w:vAlign w:val="center"/>
                </w:tcPr>
                <w:p>
                  <w:pPr>
                    <w:pStyle w:val="181"/>
                    <w:widowControl w:val="0"/>
                    <w:rPr>
                      <w:rFonts w:hint="default" w:ascii="Times New Roman" w:hAnsi="Times New Roman" w:cs="Times New Roman"/>
                      <w:b w:val="0"/>
                      <w:bCs/>
                      <w:color w:val="auto"/>
                    </w:rPr>
                  </w:pPr>
                  <w:r>
                    <w:rPr>
                      <w:rFonts w:hint="default" w:ascii="Times New Roman" w:hAnsi="Times New Roman" w:cs="Times New Roman"/>
                      <w:b w:val="0"/>
                      <w:bCs/>
                      <w:color w:val="auto"/>
                    </w:rPr>
                    <w:t>项目所在地</w:t>
                  </w:r>
                </w:p>
                <w:p>
                  <w:pPr>
                    <w:pStyle w:val="181"/>
                    <w:widowControl w:val="0"/>
                    <w:rPr>
                      <w:rFonts w:hint="default" w:ascii="Times New Roman" w:hAnsi="Times New Roman" w:cs="Times New Roman"/>
                      <w:color w:val="auto"/>
                    </w:rPr>
                  </w:pPr>
                  <w:r>
                    <w:rPr>
                      <w:rFonts w:hint="default" w:ascii="Times New Roman" w:hAnsi="Times New Roman" w:cs="Times New Roman"/>
                      <w:b w:val="0"/>
                      <w:bCs/>
                      <w:color w:val="auto"/>
                    </w:rPr>
                    <w:t>西面界外1米处</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b w:val="0"/>
                      <w:bCs/>
                      <w:color w:val="auto"/>
                    </w:rPr>
                  </w:pPr>
                  <w:r>
                    <w:rPr>
                      <w:rFonts w:hint="eastAsia" w:cs="Times New Roman"/>
                      <w:b w:val="0"/>
                      <w:bCs w:val="0"/>
                      <w:color w:val="auto"/>
                      <w:sz w:val="21"/>
                      <w:szCs w:val="21"/>
                      <w:lang w:val="en-US" w:eastAsia="zh-CN"/>
                    </w:rPr>
                    <w:t>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7</w:t>
                  </w:r>
                  <w:r>
                    <w:rPr>
                      <w:rFonts w:hint="default" w:ascii="Times New Roman" w:hAnsi="Times New Roman" w:cs="Times New Roman"/>
                      <w:b w:val="0"/>
                      <w:bCs w:val="0"/>
                      <w:color w:val="auto"/>
                      <w:sz w:val="21"/>
                      <w:szCs w:val="21"/>
                      <w:lang w:val="en-US" w:eastAsia="zh-CN"/>
                    </w:rPr>
                    <w:t>日</w:t>
                  </w:r>
                </w:p>
              </w:tc>
              <w:tc>
                <w:tcPr>
                  <w:tcW w:w="9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55.6</w:t>
                  </w:r>
                </w:p>
              </w:tc>
              <w:tc>
                <w:tcPr>
                  <w:tcW w:w="9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44.0</w:t>
                  </w:r>
                </w:p>
              </w:tc>
              <w:tc>
                <w:tcPr>
                  <w:tcW w:w="163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53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b w:val="0"/>
                      <w:bCs/>
                      <w:color w:val="auto"/>
                    </w:rPr>
                  </w:pPr>
                  <w:r>
                    <w:rPr>
                      <w:rFonts w:hint="eastAsia" w:cs="Times New Roman"/>
                      <w:b w:val="0"/>
                      <w:bCs w:val="0"/>
                      <w:color w:val="auto"/>
                      <w:sz w:val="21"/>
                      <w:szCs w:val="21"/>
                      <w:lang w:val="en-US" w:eastAsia="zh-CN"/>
                    </w:rPr>
                    <w:t>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8</w:t>
                  </w:r>
                  <w:r>
                    <w:rPr>
                      <w:rFonts w:hint="default" w:ascii="Times New Roman" w:hAnsi="Times New Roman" w:cs="Times New Roman"/>
                      <w:b w:val="0"/>
                      <w:bCs w:val="0"/>
                      <w:color w:val="auto"/>
                      <w:sz w:val="21"/>
                      <w:szCs w:val="21"/>
                      <w:lang w:val="en-US" w:eastAsia="zh-CN"/>
                    </w:rPr>
                    <w:t>日</w:t>
                  </w:r>
                </w:p>
              </w:tc>
              <w:tc>
                <w:tcPr>
                  <w:tcW w:w="9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55.7</w:t>
                  </w:r>
                </w:p>
              </w:tc>
              <w:tc>
                <w:tcPr>
                  <w:tcW w:w="9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43.9</w:t>
                  </w:r>
                </w:p>
              </w:tc>
              <w:tc>
                <w:tcPr>
                  <w:tcW w:w="163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53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54" w:type="dxa"/>
                  <w:vMerge w:val="restart"/>
                  <w:tcBorders>
                    <w:top w:val="single" w:color="auto" w:sz="4" w:space="0"/>
                    <w:left w:val="single" w:color="auto" w:sz="4" w:space="0"/>
                    <w:bottom w:val="single" w:color="auto" w:sz="4" w:space="0"/>
                    <w:right w:val="single" w:color="auto" w:sz="4" w:space="0"/>
                  </w:tcBorders>
                  <w:noWrap w:val="0"/>
                  <w:vAlign w:val="center"/>
                </w:tcPr>
                <w:p>
                  <w:pPr>
                    <w:pStyle w:val="181"/>
                    <w:widowControl w:val="0"/>
                    <w:rPr>
                      <w:rFonts w:hint="default" w:ascii="Times New Roman" w:hAnsi="Times New Roman" w:cs="Times New Roman"/>
                      <w:b w:val="0"/>
                      <w:bCs/>
                      <w:color w:val="auto"/>
                    </w:rPr>
                  </w:pPr>
                  <w:r>
                    <w:rPr>
                      <w:rFonts w:hint="default" w:ascii="Times New Roman" w:hAnsi="Times New Roman" w:cs="Times New Roman"/>
                      <w:b w:val="0"/>
                      <w:bCs/>
                      <w:color w:val="auto"/>
                    </w:rPr>
                    <w:t>项目所在地</w:t>
                  </w:r>
                </w:p>
                <w:p>
                  <w:pPr>
                    <w:pStyle w:val="181"/>
                    <w:widowControl w:val="0"/>
                    <w:rPr>
                      <w:rFonts w:hint="default" w:ascii="Times New Roman" w:hAnsi="Times New Roman" w:cs="Times New Roman"/>
                      <w:color w:val="auto"/>
                    </w:rPr>
                  </w:pPr>
                  <w:r>
                    <w:rPr>
                      <w:rFonts w:hint="default" w:ascii="Times New Roman" w:hAnsi="Times New Roman" w:cs="Times New Roman"/>
                      <w:b w:val="0"/>
                      <w:bCs/>
                      <w:color w:val="auto"/>
                    </w:rPr>
                    <w:t>北面界外1米处</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b w:val="0"/>
                      <w:bCs/>
                      <w:color w:val="auto"/>
                    </w:rPr>
                  </w:pPr>
                  <w:r>
                    <w:rPr>
                      <w:rFonts w:hint="eastAsia" w:cs="Times New Roman"/>
                      <w:b w:val="0"/>
                      <w:bCs w:val="0"/>
                      <w:color w:val="auto"/>
                      <w:sz w:val="21"/>
                      <w:szCs w:val="21"/>
                      <w:lang w:val="en-US" w:eastAsia="zh-CN"/>
                    </w:rPr>
                    <w:t>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7</w:t>
                  </w:r>
                  <w:r>
                    <w:rPr>
                      <w:rFonts w:hint="default" w:ascii="Times New Roman" w:hAnsi="Times New Roman" w:cs="Times New Roman"/>
                      <w:b w:val="0"/>
                      <w:bCs w:val="0"/>
                      <w:color w:val="auto"/>
                      <w:sz w:val="21"/>
                      <w:szCs w:val="21"/>
                      <w:lang w:val="en-US" w:eastAsia="zh-CN"/>
                    </w:rPr>
                    <w:t>日</w:t>
                  </w:r>
                </w:p>
              </w:tc>
              <w:tc>
                <w:tcPr>
                  <w:tcW w:w="9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54.9</w:t>
                  </w:r>
                </w:p>
              </w:tc>
              <w:tc>
                <w:tcPr>
                  <w:tcW w:w="9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42.8</w:t>
                  </w:r>
                </w:p>
              </w:tc>
              <w:tc>
                <w:tcPr>
                  <w:tcW w:w="163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53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65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b w:val="0"/>
                      <w:bCs/>
                      <w:color w:val="auto"/>
                    </w:rPr>
                  </w:pPr>
                  <w:r>
                    <w:rPr>
                      <w:rFonts w:hint="eastAsia" w:cs="Times New Roman"/>
                      <w:b w:val="0"/>
                      <w:bCs w:val="0"/>
                      <w:color w:val="auto"/>
                      <w:sz w:val="21"/>
                      <w:szCs w:val="21"/>
                      <w:lang w:val="en-US" w:eastAsia="zh-CN"/>
                    </w:rPr>
                    <w:t>3</w:t>
                  </w:r>
                  <w:r>
                    <w:rPr>
                      <w:rFonts w:hint="default" w:ascii="Times New Roman" w:hAnsi="Times New Roman" w:cs="Times New Roman"/>
                      <w:b w:val="0"/>
                      <w:bCs w:val="0"/>
                      <w:color w:val="auto"/>
                      <w:sz w:val="21"/>
                      <w:szCs w:val="21"/>
                      <w:lang w:val="en-US" w:eastAsia="zh-CN"/>
                    </w:rPr>
                    <w:t>月</w:t>
                  </w:r>
                  <w:r>
                    <w:rPr>
                      <w:rFonts w:hint="eastAsia" w:cs="Times New Roman"/>
                      <w:b w:val="0"/>
                      <w:bCs w:val="0"/>
                      <w:color w:val="auto"/>
                      <w:sz w:val="21"/>
                      <w:szCs w:val="21"/>
                      <w:lang w:val="en-US" w:eastAsia="zh-CN"/>
                    </w:rPr>
                    <w:t>8</w:t>
                  </w:r>
                  <w:r>
                    <w:rPr>
                      <w:rFonts w:hint="default" w:ascii="Times New Roman" w:hAnsi="Times New Roman" w:cs="Times New Roman"/>
                      <w:b w:val="0"/>
                      <w:bCs w:val="0"/>
                      <w:color w:val="auto"/>
                      <w:sz w:val="21"/>
                      <w:szCs w:val="21"/>
                      <w:lang w:val="en-US" w:eastAsia="zh-CN"/>
                    </w:rPr>
                    <w:t>日</w:t>
                  </w:r>
                </w:p>
              </w:tc>
              <w:tc>
                <w:tcPr>
                  <w:tcW w:w="94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55.0</w:t>
                  </w:r>
                </w:p>
              </w:tc>
              <w:tc>
                <w:tcPr>
                  <w:tcW w:w="9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43.2</w:t>
                  </w:r>
                </w:p>
              </w:tc>
              <w:tc>
                <w:tcPr>
                  <w:tcW w:w="163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c>
                <w:tcPr>
                  <w:tcW w:w="153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color w:val="auto"/>
                      <w:sz w:val="20"/>
                    </w:rPr>
                  </w:pPr>
                </w:p>
              </w:tc>
            </w:tr>
          </w:tbl>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w:t>
            </w:r>
            <w:r>
              <w:rPr>
                <w:rFonts w:hint="eastAsia"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rPr>
              <w:t>过程中会产生</w:t>
            </w:r>
            <w:r>
              <w:rPr>
                <w:rFonts w:hint="default" w:ascii="Times New Roman" w:hAnsi="Times New Roman" w:eastAsia="宋体" w:cs="Times New Roman"/>
                <w:color w:val="auto"/>
                <w:sz w:val="24"/>
                <w:szCs w:val="24"/>
                <w:lang w:eastAsia="zh-CN"/>
              </w:rPr>
              <w:t>噪声</w:t>
            </w:r>
            <w:r>
              <w:rPr>
                <w:rFonts w:hint="default" w:ascii="Times New Roman" w:hAnsi="Times New Roman" w:eastAsia="宋体" w:cs="Times New Roman"/>
                <w:color w:val="auto"/>
                <w:sz w:val="24"/>
                <w:szCs w:val="24"/>
              </w:rPr>
              <w:t>，目前采取的措施是</w:t>
            </w:r>
            <w:r>
              <w:rPr>
                <w:rFonts w:hint="default" w:ascii="Times New Roman" w:hAnsi="Times New Roman" w:eastAsia="宋体" w:cs="Times New Roman"/>
                <w:color w:val="auto"/>
                <w:sz w:val="24"/>
                <w:szCs w:val="24"/>
                <w:lang w:eastAsia="zh-CN"/>
              </w:rPr>
              <w:t>设备基础减震、厂房隔音</w:t>
            </w:r>
            <w:r>
              <w:rPr>
                <w:rFonts w:hint="default" w:ascii="Times New Roman" w:hAnsi="Times New Roman" w:eastAsia="宋体" w:cs="Times New Roman"/>
                <w:color w:val="auto"/>
                <w:sz w:val="24"/>
                <w:szCs w:val="24"/>
              </w:rPr>
              <w:t>。由表2-</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可知，本项目</w:t>
            </w:r>
            <w:r>
              <w:rPr>
                <w:rFonts w:hint="eastAsia" w:ascii="Times New Roman" w:hAnsi="Times New Roman" w:eastAsia="宋体" w:cs="Times New Roman"/>
                <w:color w:val="auto"/>
                <w:sz w:val="24"/>
                <w:szCs w:val="24"/>
                <w:lang w:val="en-US" w:eastAsia="zh-CN"/>
              </w:rPr>
              <w:t>夜间不生产，</w:t>
            </w:r>
            <w:r>
              <w:rPr>
                <w:rFonts w:hint="default" w:ascii="Times New Roman" w:hAnsi="Times New Roman" w:eastAsia="宋体" w:cs="Times New Roman"/>
                <w:color w:val="auto"/>
                <w:sz w:val="24"/>
                <w:szCs w:val="24"/>
                <w:lang w:eastAsia="zh-CN"/>
              </w:rPr>
              <w:t>厂界</w:t>
            </w:r>
            <w:r>
              <w:rPr>
                <w:rFonts w:hint="eastAsia" w:ascii="Times New Roman" w:hAnsi="Times New Roman" w:eastAsia="宋体" w:cs="Times New Roman"/>
                <w:color w:val="auto"/>
                <w:sz w:val="24"/>
                <w:szCs w:val="24"/>
                <w:lang w:val="en-US" w:eastAsia="zh-CN"/>
              </w:rPr>
              <w:t>昼间</w:t>
            </w:r>
            <w:r>
              <w:rPr>
                <w:rFonts w:hint="default" w:ascii="Times New Roman" w:hAnsi="Times New Roman" w:eastAsia="宋体" w:cs="Times New Roman"/>
                <w:color w:val="auto"/>
                <w:sz w:val="24"/>
                <w:szCs w:val="24"/>
                <w:lang w:eastAsia="zh-CN"/>
              </w:rPr>
              <w:t>噪声能满足</w:t>
            </w:r>
            <w:r>
              <w:rPr>
                <w:rFonts w:hint="default" w:ascii="Times New Roman" w:hAnsi="Times New Roman" w:eastAsia="宋体" w:cs="Times New Roman"/>
                <w:color w:val="auto"/>
                <w:sz w:val="24"/>
                <w:szCs w:val="24"/>
              </w:rPr>
              <w:t>《工业企业厂界环境噪声排放标准》(GB12348-2008)中2类标准</w:t>
            </w:r>
            <w:r>
              <w:rPr>
                <w:rFonts w:hint="default" w:ascii="Times New Roman" w:hAnsi="Times New Roman" w:eastAsia="宋体" w:cs="Times New Roman"/>
                <w:color w:val="auto"/>
                <w:sz w:val="24"/>
                <w:szCs w:val="24"/>
                <w:lang w:eastAsia="zh-CN"/>
              </w:rPr>
              <w:t>要求</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（4）固体废物产排情况</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现有固体废物主要有生活垃圾、废包装袋、废薄膜、边角料、不合格品等。</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生活垃圾收集至垃圾桶，定期运往垃圾填埋场卫生填埋</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废包装袋外售于物资回收公司</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废薄膜、边角料、不合格品等</w:t>
            </w:r>
            <w:r>
              <w:rPr>
                <w:rFonts w:hint="eastAsia" w:ascii="Times New Roman" w:hAnsi="Times New Roman" w:eastAsia="宋体" w:cs="Times New Roman"/>
                <w:color w:val="auto"/>
                <w:sz w:val="24"/>
                <w:szCs w:val="24"/>
                <w:lang w:val="en-US" w:eastAsia="zh-CN"/>
              </w:rPr>
              <w:t>回用于生产</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2" w:firstLineChars="200"/>
              <w:jc w:val="both"/>
              <w:outlineLvl w:val="9"/>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、存在的环境问题及整改措施</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根据现场调查，并结合环保要求，现有工程存在主要环境问题有：</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（1）未安装废气处理设备及排气筒，污染物呈无组织排放；</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（2）一般固废暂存间</w:t>
            </w:r>
            <w:r>
              <w:rPr>
                <w:rFonts w:hint="eastAsia" w:ascii="Times New Roman" w:hAnsi="Times New Roman" w:eastAsia="宋体" w:cs="Times New Roman"/>
                <w:color w:val="auto"/>
                <w:sz w:val="24"/>
                <w:szCs w:val="24"/>
                <w:lang w:val="en-US" w:eastAsia="zh-CN"/>
              </w:rPr>
              <w:t>不规范</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）未设置危废暂存</w:t>
            </w:r>
            <w:r>
              <w:rPr>
                <w:rFonts w:hint="eastAsia" w:ascii="Times New Roman" w:hAnsi="Times New Roman" w:eastAsia="宋体" w:cs="Times New Roman"/>
                <w:color w:val="auto"/>
                <w:sz w:val="24"/>
                <w:szCs w:val="24"/>
                <w:lang w:val="en-US" w:eastAsia="zh-CN"/>
              </w:rPr>
              <w:t>间</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本次评价要求项目正式投运前整改完成以上存在的环境问题。</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整改措施：</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吹膜、制粒</w:t>
            </w:r>
            <w:r>
              <w:rPr>
                <w:rFonts w:hint="default" w:ascii="Times New Roman" w:hAnsi="Times New Roman" w:eastAsia="宋体" w:cs="Times New Roman"/>
                <w:color w:val="auto"/>
                <w:sz w:val="24"/>
                <w:szCs w:val="24"/>
              </w:rPr>
              <w:t>工序安装废气处理设备及排气筒，确保污染物达标排放；</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jc w:val="both"/>
              <w:outlineLvl w:val="9"/>
              <w:rPr>
                <w:rFonts w:hint="default" w:ascii="Times New Roman" w:hAnsi="Times New Roman" w:cs="Times New Roman"/>
                <w:color w:val="auto"/>
              </w:rPr>
            </w:pPr>
            <w:r>
              <w:rPr>
                <w:rFonts w:hint="default"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按规范</w:t>
            </w:r>
            <w:r>
              <w:rPr>
                <w:rFonts w:hint="default" w:ascii="Times New Roman" w:hAnsi="Times New Roman" w:eastAsia="宋体" w:cs="Times New Roman"/>
                <w:color w:val="auto"/>
                <w:sz w:val="24"/>
                <w:szCs w:val="24"/>
              </w:rPr>
              <w:t>建设一般固废暂存间及危废暂存间，设立标识标牌，确保项目固体废物妥善处理。</w:t>
            </w:r>
          </w:p>
        </w:tc>
      </w:tr>
    </w:tbl>
    <w:p>
      <w:pPr>
        <w:pStyle w:val="28"/>
        <w:jc w:val="center"/>
        <w:rPr>
          <w:rFonts w:hint="default" w:ascii="Times New Roman" w:hAnsi="Times New Roman" w:cs="Times New Roman"/>
          <w:snapToGrid w:val="0"/>
          <w:color w:val="auto"/>
          <w:sz w:val="36"/>
          <w:szCs w:val="36"/>
        </w:rPr>
        <w:sectPr>
          <w:footerReference r:id="rId8" w:type="default"/>
          <w:pgSz w:w="11906" w:h="16838"/>
          <w:pgMar w:top="1588" w:right="1588" w:bottom="1588" w:left="158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adjustRightInd w:val="0"/>
        <w:snapToGrid w:val="0"/>
        <w:spacing w:before="0" w:beforeAutospacing="0" w:after="0" w:afterAutospacing="0" w:line="14" w:lineRule="auto"/>
        <w:jc w:val="center"/>
        <w:outlineLvl w:val="0"/>
        <w:rPr>
          <w:rFonts w:hint="default" w:ascii="Times New Roman" w:hAnsi="Times New Roman" w:cs="Times New Roman"/>
          <w:snapToGrid w:val="0"/>
          <w:color w:val="auto"/>
          <w:sz w:val="30"/>
          <w:szCs w:val="30"/>
        </w:rPr>
      </w:pPr>
    </w:p>
    <w:p>
      <w:pPr>
        <w:pStyle w:val="28"/>
        <w:adjustRightInd w:val="0"/>
        <w:snapToGrid w:val="0"/>
        <w:spacing w:before="0" w:beforeAutospacing="0" w:after="120" w:afterLines="50" w:afterAutospacing="0"/>
        <w:jc w:val="center"/>
        <w:outlineLvl w:val="0"/>
        <w:rPr>
          <w:rFonts w:hint="default" w:ascii="Times New Roman" w:hAnsi="Times New Roman" w:eastAsia="黑体" w:cs="Times New Roman"/>
          <w:snapToGrid w:val="0"/>
          <w:color w:val="auto"/>
          <w:sz w:val="30"/>
          <w:szCs w:val="30"/>
        </w:rPr>
      </w:pPr>
      <w:bookmarkStart w:id="6" w:name="_Toc10134"/>
      <w:r>
        <w:rPr>
          <w:rFonts w:hint="default" w:ascii="Times New Roman" w:hAnsi="Times New Roman" w:eastAsia="黑体" w:cs="Times New Roman"/>
          <w:snapToGrid w:val="0"/>
          <w:color w:val="auto"/>
          <w:sz w:val="30"/>
          <w:szCs w:val="30"/>
        </w:rPr>
        <w:t>三、区域环境质量现状、环境保护目标及评价标准</w:t>
      </w:r>
      <w:bookmarkEnd w:id="6"/>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4" w:hRule="atLeast"/>
          <w:jc w:val="center"/>
        </w:trPr>
        <w:tc>
          <w:tcPr>
            <w:tcW w:w="800" w:type="dxa"/>
            <w:noWrap w:val="0"/>
            <w:vAlign w:val="center"/>
          </w:tcPr>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质量</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现状</w:t>
            </w:r>
          </w:p>
        </w:tc>
        <w:tc>
          <w:tcPr>
            <w:tcW w:w="8190" w:type="dxa"/>
            <w:noWrap w:val="0"/>
            <w:vAlign w:val="center"/>
          </w:tcPr>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（一）环境质量公报</w:t>
            </w:r>
          </w:p>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1、大气质量现状</w:t>
            </w:r>
          </w:p>
          <w:p>
            <w:pPr>
              <w:spacing w:line="360" w:lineRule="auto"/>
              <w:ind w:firstLine="480" w:firstLineChars="200"/>
              <w:rPr>
                <w:rFonts w:hint="eastAsia" w:ascii="宋体" w:hAnsi="宋体" w:eastAsia="宋体"/>
                <w:color w:val="auto"/>
                <w:sz w:val="24"/>
                <w:szCs w:val="24"/>
                <w:lang w:val="en-US" w:eastAsia="zh-CN"/>
              </w:rPr>
            </w:pPr>
            <w:r>
              <w:rPr>
                <w:rFonts w:hint="eastAsia" w:ascii="宋体" w:hAnsi="宋体"/>
                <w:color w:val="auto"/>
                <w:sz w:val="24"/>
                <w:szCs w:val="24"/>
                <w:lang w:val="en-US" w:eastAsia="zh-CN"/>
              </w:rPr>
              <w:t>（1）</w:t>
            </w:r>
            <w:r>
              <w:rPr>
                <w:color w:val="auto"/>
                <w:sz w:val="24"/>
                <w:szCs w:val="24"/>
                <w:lang w:val="en-US" w:eastAsia="zh-CN"/>
              </w:rPr>
              <w:t>区域空气环境质量现状</w:t>
            </w:r>
          </w:p>
          <w:p>
            <w:pPr>
              <w:pStyle w:val="18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80"/>
              <w:textAlignment w:val="auto"/>
              <w:rPr>
                <w:rFonts w:hint="default" w:ascii="Times New Roman" w:hAnsi="Times New Roman" w:eastAsia="宋体" w:cs="Times New Roman"/>
                <w:color w:val="auto"/>
                <w:sz w:val="24"/>
                <w:szCs w:val="24"/>
                <w:u w:val="none"/>
                <w:lang w:val="en-US" w:eastAsia="zh-CN"/>
              </w:rPr>
            </w:pPr>
            <w:r>
              <w:rPr>
                <w:rFonts w:hint="eastAsia"/>
                <w:color w:val="auto"/>
                <w:spacing w:val="3"/>
                <w:sz w:val="24"/>
                <w:szCs w:val="24"/>
              </w:rPr>
              <w:t>根据《环境影响评价技术导则</w:t>
            </w:r>
            <w:r>
              <w:rPr>
                <w:rFonts w:hint="default"/>
                <w:color w:val="auto"/>
                <w:spacing w:val="3"/>
                <w:sz w:val="24"/>
                <w:szCs w:val="24"/>
              </w:rPr>
              <w:t xml:space="preserve"> </w:t>
            </w:r>
            <w:r>
              <w:rPr>
                <w:rFonts w:hint="eastAsia"/>
                <w:color w:val="auto"/>
                <w:spacing w:val="3"/>
                <w:sz w:val="24"/>
                <w:szCs w:val="24"/>
              </w:rPr>
              <w:t>大气环境》（</w:t>
            </w:r>
            <w:r>
              <w:rPr>
                <w:rFonts w:hint="default"/>
                <w:color w:val="auto"/>
                <w:spacing w:val="3"/>
                <w:sz w:val="24"/>
                <w:szCs w:val="24"/>
              </w:rPr>
              <w:t>HJ2.2-2018</w:t>
            </w:r>
            <w:r>
              <w:rPr>
                <w:rFonts w:hint="eastAsia"/>
                <w:color w:val="auto"/>
                <w:spacing w:val="3"/>
                <w:sz w:val="24"/>
                <w:szCs w:val="24"/>
              </w:rPr>
              <w:t>）第</w:t>
            </w:r>
            <w:r>
              <w:rPr>
                <w:rFonts w:hint="default"/>
                <w:color w:val="auto"/>
                <w:spacing w:val="3"/>
                <w:sz w:val="24"/>
                <w:szCs w:val="24"/>
              </w:rPr>
              <w:t>6.2.1.1</w:t>
            </w:r>
            <w:r>
              <w:rPr>
                <w:rFonts w:hint="eastAsia"/>
                <w:color w:val="auto"/>
                <w:spacing w:val="3"/>
                <w:sz w:val="24"/>
                <w:szCs w:val="24"/>
              </w:rPr>
              <w:t>条规定：项目所在区域达标判定，优先采用国家或地方生态环境主管部门公开发布的评价基准年环境质量公告或环境质量报告中的数据或结论，并能满足项目评价要求的，可不再进行现状监测。</w:t>
            </w:r>
            <w:r>
              <w:rPr>
                <w:rFonts w:hint="default" w:ascii="Times New Roman" w:hAnsi="Times New Roman" w:eastAsia="宋体" w:cs="Times New Roman"/>
                <w:color w:val="auto"/>
                <w:sz w:val="24"/>
                <w:szCs w:val="24"/>
                <w:u w:val="none"/>
              </w:rPr>
              <w:t>根据《环境影响评价技术导则—大气环境》（HJ2.2-2018）中“6.2.1项目所在区域达标判定，优先采用国家或地方生态环境主管部门公开发布的评价基准年环境质量公告或环境质量报告中数据或结论”，并能满足项目评价要求的，可不再进行现状监测。根据《环境空气质量监测点位布设技术规范（实行）》（HJ664—2013）中对“环境空气质量评价区域点”的定义，其代表范围一般为半径五十千米，因此，本项目大气环境质量现状摘取邵东市的常规监测点202</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年1月~202</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年12月的年均浓度统计情况来判断区域是否达标。根据邵东市政府大气常规监测点（地理坐标：经度111°44′07″，纬度27°15′41″）202</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年1-12月的监测数据统计，项目区域空气质量现状达标判定结果详见表3-1。</w:t>
            </w:r>
          </w:p>
          <w:p>
            <w:pPr>
              <w:keepNext w:val="0"/>
              <w:keepLines w:val="0"/>
              <w:suppressLineNumbers w:val="0"/>
              <w:spacing w:before="0" w:beforeAutospacing="0" w:after="0" w:afterAutospacing="0" w:line="360" w:lineRule="auto"/>
              <w:ind w:left="0" w:right="0" w:firstLine="420"/>
              <w:jc w:val="center"/>
              <w:rPr>
                <w:rStyle w:val="183"/>
                <w:rFonts w:hint="default" w:ascii="Times New Roman" w:hAnsi="Times New Roman" w:eastAsia="宋体" w:cs="Times New Roman"/>
                <w:b/>
                <w:bCs/>
                <w:color w:val="auto"/>
                <w:sz w:val="21"/>
                <w:szCs w:val="21"/>
                <w:lang w:val="en-US" w:eastAsia="zh-CN"/>
              </w:rPr>
            </w:pPr>
            <w:r>
              <w:rPr>
                <w:rStyle w:val="183"/>
                <w:rFonts w:hint="default" w:ascii="Times New Roman" w:hAnsi="Times New Roman" w:eastAsia="宋体" w:cs="Times New Roman"/>
                <w:b/>
                <w:bCs/>
                <w:color w:val="auto"/>
                <w:sz w:val="21"/>
                <w:szCs w:val="21"/>
                <w:lang w:eastAsia="zh-CN"/>
              </w:rPr>
              <w:t>表</w:t>
            </w:r>
            <w:r>
              <w:rPr>
                <w:rStyle w:val="183"/>
                <w:rFonts w:hint="default" w:ascii="Times New Roman" w:hAnsi="Times New Roman" w:eastAsia="宋体" w:cs="Times New Roman"/>
                <w:b/>
                <w:bCs/>
                <w:color w:val="auto"/>
                <w:sz w:val="21"/>
                <w:szCs w:val="21"/>
                <w:lang w:val="en-US" w:eastAsia="zh-CN"/>
              </w:rPr>
              <w:t>3-1       区域空气质量现状评价表</w:t>
            </w:r>
          </w:p>
          <w:tbl>
            <w:tblPr>
              <w:tblStyle w:val="33"/>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2177"/>
              <w:gridCol w:w="1225"/>
              <w:gridCol w:w="1225"/>
              <w:gridCol w:w="1171"/>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dxa"/>
                  <w:vMerge w:val="restart"/>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w:t>
                  </w:r>
                </w:p>
              </w:tc>
              <w:tc>
                <w:tcPr>
                  <w:tcW w:w="2177" w:type="dxa"/>
                  <w:vMerge w:val="restart"/>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年评价指标</w:t>
                  </w:r>
                </w:p>
              </w:tc>
              <w:tc>
                <w:tcPr>
                  <w:tcW w:w="1225" w:type="dxa"/>
                  <w:vMerge w:val="restart"/>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现状浓度/（ug/m</w:t>
                  </w:r>
                  <w:r>
                    <w:rPr>
                      <w:rFonts w:hint="default" w:ascii="Times New Roman" w:hAnsi="Times New Roman" w:eastAsia="宋体" w:cs="Times New Roman"/>
                      <w:color w:val="auto"/>
                      <w:sz w:val="21"/>
                      <w:szCs w:val="21"/>
                      <w:vertAlign w:val="subscript"/>
                      <w:lang w:eastAsia="zh-CN"/>
                    </w:rPr>
                    <w:t>3</w:t>
                  </w:r>
                  <w:r>
                    <w:rPr>
                      <w:rFonts w:hint="default" w:ascii="Times New Roman" w:hAnsi="Times New Roman" w:eastAsia="宋体" w:cs="Times New Roman"/>
                      <w:color w:val="auto"/>
                      <w:sz w:val="21"/>
                      <w:szCs w:val="21"/>
                      <w:lang w:eastAsia="zh-CN"/>
                    </w:rPr>
                    <w:t>）</w:t>
                  </w:r>
                </w:p>
              </w:tc>
              <w:tc>
                <w:tcPr>
                  <w:tcW w:w="1225" w:type="dxa"/>
                  <w:vMerge w:val="restart"/>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标准值/（ug/m</w:t>
                  </w:r>
                  <w:r>
                    <w:rPr>
                      <w:rFonts w:hint="default" w:ascii="Times New Roman" w:hAnsi="Times New Roman" w:eastAsia="宋体" w:cs="Times New Roman"/>
                      <w:color w:val="auto"/>
                      <w:sz w:val="21"/>
                      <w:szCs w:val="21"/>
                      <w:vertAlign w:val="subscript"/>
                      <w:lang w:eastAsia="zh-CN"/>
                    </w:rPr>
                    <w:t>3</w:t>
                  </w:r>
                  <w:r>
                    <w:rPr>
                      <w:rFonts w:hint="default" w:ascii="Times New Roman" w:hAnsi="Times New Roman" w:eastAsia="宋体" w:cs="Times New Roman"/>
                      <w:color w:val="auto"/>
                      <w:sz w:val="21"/>
                      <w:szCs w:val="21"/>
                      <w:lang w:eastAsia="zh-CN"/>
                    </w:rPr>
                    <w:t>）</w:t>
                  </w:r>
                </w:p>
              </w:tc>
              <w:tc>
                <w:tcPr>
                  <w:tcW w:w="1171" w:type="dxa"/>
                  <w:vMerge w:val="restart"/>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占标率/%</w:t>
                  </w:r>
                </w:p>
              </w:tc>
              <w:tc>
                <w:tcPr>
                  <w:tcW w:w="1092" w:type="dxa"/>
                  <w:vMerge w:val="restart"/>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088" w:type="dxa"/>
                  <w:vMerge w:val="continue"/>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p>
              </w:tc>
              <w:tc>
                <w:tcPr>
                  <w:tcW w:w="2177" w:type="dxa"/>
                  <w:vMerge w:val="continue"/>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p>
              </w:tc>
              <w:tc>
                <w:tcPr>
                  <w:tcW w:w="1225" w:type="dxa"/>
                  <w:vMerge w:val="continue"/>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p>
              </w:tc>
              <w:tc>
                <w:tcPr>
                  <w:tcW w:w="1225" w:type="dxa"/>
                  <w:vMerge w:val="continue"/>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p>
              </w:tc>
              <w:tc>
                <w:tcPr>
                  <w:tcW w:w="1171" w:type="dxa"/>
                  <w:vMerge w:val="continue"/>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p>
              </w:tc>
              <w:tc>
                <w:tcPr>
                  <w:tcW w:w="1092" w:type="dxa"/>
                  <w:vMerge w:val="continue"/>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2177"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年平均质量浓度</w:t>
                  </w:r>
                </w:p>
              </w:tc>
              <w:tc>
                <w:tcPr>
                  <w:tcW w:w="1225" w:type="dxa"/>
                  <w:noWrap w:val="0"/>
                  <w:vAlign w:val="center"/>
                </w:tcPr>
                <w:p>
                  <w:pPr>
                    <w:pStyle w:val="181"/>
                    <w:keepNext w:val="0"/>
                    <w:keepLines w:val="0"/>
                    <w:widowControl w:val="0"/>
                    <w:suppressLineNumbers w:val="0"/>
                    <w:spacing w:before="0" w:beforeAutospacing="0" w:after="0" w:afterAutospacing="0"/>
                    <w:ind w:left="0" w:right="0"/>
                    <w:outlineLvl w:val="0"/>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12</w:t>
                  </w:r>
                </w:p>
              </w:tc>
              <w:tc>
                <w:tcPr>
                  <w:tcW w:w="122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71"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092"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088"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2177"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年平均质量浓度</w:t>
                  </w:r>
                </w:p>
              </w:tc>
              <w:tc>
                <w:tcPr>
                  <w:tcW w:w="1225" w:type="dxa"/>
                  <w:noWrap w:val="0"/>
                  <w:vAlign w:val="center"/>
                </w:tcPr>
                <w:p>
                  <w:pPr>
                    <w:pStyle w:val="181"/>
                    <w:keepNext w:val="0"/>
                    <w:keepLines w:val="0"/>
                    <w:widowControl w:val="0"/>
                    <w:suppressLineNumbers w:val="0"/>
                    <w:spacing w:before="0" w:beforeAutospacing="0" w:after="0" w:afterAutospacing="0"/>
                    <w:ind w:left="0" w:right="0"/>
                    <w:outlineLvl w:val="0"/>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20</w:t>
                  </w:r>
                </w:p>
              </w:tc>
              <w:tc>
                <w:tcPr>
                  <w:tcW w:w="122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71"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092"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2177"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年平均质量浓度</w:t>
                  </w:r>
                </w:p>
              </w:tc>
              <w:tc>
                <w:tcPr>
                  <w:tcW w:w="1225" w:type="dxa"/>
                  <w:noWrap w:val="0"/>
                  <w:vAlign w:val="center"/>
                </w:tcPr>
                <w:p>
                  <w:pPr>
                    <w:pStyle w:val="181"/>
                    <w:keepNext w:val="0"/>
                    <w:keepLines w:val="0"/>
                    <w:widowControl w:val="0"/>
                    <w:suppressLineNumbers w:val="0"/>
                    <w:spacing w:before="0" w:beforeAutospacing="0" w:after="0" w:afterAutospacing="0"/>
                    <w:ind w:left="0" w:right="0"/>
                    <w:outlineLvl w:val="0"/>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49</w:t>
                  </w:r>
                </w:p>
              </w:tc>
              <w:tc>
                <w:tcPr>
                  <w:tcW w:w="122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71"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1092"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lang w:eastAsia="zh-CN"/>
                    </w:rPr>
                    <w:t>2.5</w:t>
                  </w:r>
                </w:p>
              </w:tc>
              <w:tc>
                <w:tcPr>
                  <w:tcW w:w="2177"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年平均质量浓度</w:t>
                  </w:r>
                </w:p>
              </w:tc>
              <w:tc>
                <w:tcPr>
                  <w:tcW w:w="1225" w:type="dxa"/>
                  <w:noWrap w:val="0"/>
                  <w:vAlign w:val="center"/>
                </w:tcPr>
                <w:p>
                  <w:pPr>
                    <w:pStyle w:val="181"/>
                    <w:keepNext w:val="0"/>
                    <w:keepLines w:val="0"/>
                    <w:widowControl w:val="0"/>
                    <w:suppressLineNumbers w:val="0"/>
                    <w:spacing w:before="0" w:beforeAutospacing="0" w:after="0" w:afterAutospacing="0"/>
                    <w:ind w:left="0" w:right="0"/>
                    <w:outlineLvl w:val="0"/>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34.0</w:t>
                  </w:r>
                </w:p>
              </w:tc>
              <w:tc>
                <w:tcPr>
                  <w:tcW w:w="122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35</w:t>
                  </w:r>
                </w:p>
              </w:tc>
              <w:tc>
                <w:tcPr>
                  <w:tcW w:w="1171"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97.1</w:t>
                  </w:r>
                </w:p>
              </w:tc>
              <w:tc>
                <w:tcPr>
                  <w:tcW w:w="1092"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CO</w:t>
                  </w:r>
                </w:p>
              </w:tc>
              <w:tc>
                <w:tcPr>
                  <w:tcW w:w="2177"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第95百分位数24h平均质量浓度</w:t>
                  </w:r>
                </w:p>
              </w:tc>
              <w:tc>
                <w:tcPr>
                  <w:tcW w:w="1225" w:type="dxa"/>
                  <w:noWrap w:val="0"/>
                  <w:vAlign w:val="center"/>
                </w:tcPr>
                <w:p>
                  <w:pPr>
                    <w:pStyle w:val="181"/>
                    <w:keepNext w:val="0"/>
                    <w:keepLines w:val="0"/>
                    <w:widowControl w:val="0"/>
                    <w:suppressLineNumbers w:val="0"/>
                    <w:spacing w:before="0" w:beforeAutospacing="0" w:after="0" w:afterAutospacing="0"/>
                    <w:ind w:left="0" w:right="0"/>
                    <w:outlineLvl w:val="0"/>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1.1</w:t>
                  </w:r>
                </w:p>
              </w:tc>
              <w:tc>
                <w:tcPr>
                  <w:tcW w:w="122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71"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27.5</w:t>
                  </w:r>
                </w:p>
              </w:tc>
              <w:tc>
                <w:tcPr>
                  <w:tcW w:w="1092"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8"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O</w:t>
                  </w:r>
                  <w:r>
                    <w:rPr>
                      <w:rFonts w:hint="default" w:ascii="Times New Roman" w:hAnsi="Times New Roman" w:eastAsia="宋体" w:cs="Times New Roman"/>
                      <w:color w:val="auto"/>
                      <w:sz w:val="21"/>
                      <w:szCs w:val="21"/>
                      <w:vertAlign w:val="subscript"/>
                      <w:lang w:eastAsia="zh-CN"/>
                    </w:rPr>
                    <w:t>3</w:t>
                  </w:r>
                </w:p>
              </w:tc>
              <w:tc>
                <w:tcPr>
                  <w:tcW w:w="2177"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第90百分位数最大8h平均质量浓度</w:t>
                  </w:r>
                </w:p>
              </w:tc>
              <w:tc>
                <w:tcPr>
                  <w:tcW w:w="1225" w:type="dxa"/>
                  <w:noWrap w:val="0"/>
                  <w:vAlign w:val="center"/>
                </w:tcPr>
                <w:p>
                  <w:pPr>
                    <w:pStyle w:val="181"/>
                    <w:keepNext w:val="0"/>
                    <w:keepLines w:val="0"/>
                    <w:widowControl w:val="0"/>
                    <w:suppressLineNumbers w:val="0"/>
                    <w:spacing w:before="0" w:beforeAutospacing="0" w:after="0" w:afterAutospacing="0"/>
                    <w:ind w:left="0" w:right="0"/>
                    <w:outlineLvl w:val="0"/>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116</w:t>
                  </w:r>
                </w:p>
              </w:tc>
              <w:tc>
                <w:tcPr>
                  <w:tcW w:w="122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171"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72.5</w:t>
                  </w:r>
                </w:p>
              </w:tc>
              <w:tc>
                <w:tcPr>
                  <w:tcW w:w="1092" w:type="dxa"/>
                  <w:noWrap w:val="0"/>
                  <w:vAlign w:val="center"/>
                </w:tcPr>
                <w:p>
                  <w:pPr>
                    <w:pStyle w:val="18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根据统计数据结果可知，邵东市</w:t>
            </w:r>
            <w:r>
              <w:rPr>
                <w:rFonts w:hint="default" w:ascii="Times New Roman" w:hAnsi="Times New Roman" w:eastAsia="宋体" w:cs="Times New Roman"/>
                <w:color w:val="auto"/>
                <w:sz w:val="24"/>
                <w:szCs w:val="24"/>
                <w:u w:val="none"/>
                <w:lang w:val="en-US" w:eastAsia="zh-CN"/>
              </w:rPr>
              <w:t>202</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年全年二氧化硫、二氧化氮</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PM</w:t>
            </w:r>
            <w:r>
              <w:rPr>
                <w:rFonts w:hint="default" w:ascii="Times New Roman" w:hAnsi="Times New Roman" w:eastAsia="宋体" w:cs="Times New Roman"/>
                <w:color w:val="auto"/>
                <w:sz w:val="24"/>
                <w:szCs w:val="24"/>
                <w:u w:val="none"/>
                <w:vertAlign w:val="subscript"/>
              </w:rPr>
              <w:t>2.5</w:t>
            </w:r>
            <w:r>
              <w:rPr>
                <w:rFonts w:hint="default" w:ascii="Times New Roman" w:hAnsi="Times New Roman" w:eastAsia="宋体" w:cs="Times New Roman"/>
                <w:color w:val="auto"/>
                <w:sz w:val="24"/>
                <w:szCs w:val="24"/>
                <w:u w:val="none"/>
              </w:rPr>
              <w:t>和PM</w:t>
            </w:r>
            <w:r>
              <w:rPr>
                <w:rFonts w:hint="default" w:ascii="Times New Roman" w:hAnsi="Times New Roman" w:eastAsia="宋体" w:cs="Times New Roman"/>
                <w:color w:val="auto"/>
                <w:sz w:val="24"/>
                <w:szCs w:val="24"/>
                <w:u w:val="none"/>
                <w:vertAlign w:val="subscript"/>
              </w:rPr>
              <w:t>10</w:t>
            </w:r>
            <w:r>
              <w:rPr>
                <w:rFonts w:hint="default" w:ascii="Times New Roman" w:hAnsi="Times New Roman" w:eastAsia="宋体" w:cs="Times New Roman"/>
                <w:color w:val="auto"/>
                <w:sz w:val="24"/>
                <w:szCs w:val="24"/>
                <w:u w:val="none"/>
              </w:rPr>
              <w:t>达到《环境空气质量标准》（GB3095-2012）二级标准年平均浓度限值，一氧化碳达到《环境空气质量标准》（GB3095-2012）二级标准日平均浓度限值，臭氧达到《环境空气质量标准》（GB3095-2012）二级标准</w:t>
            </w:r>
            <w:r>
              <w:rPr>
                <w:rFonts w:hint="default" w:ascii="Times New Roman" w:hAnsi="Times New Roman" w:eastAsia="宋体" w:cs="Times New Roman"/>
                <w:color w:val="auto"/>
                <w:sz w:val="24"/>
                <w:szCs w:val="24"/>
                <w:u w:val="none"/>
                <w:lang w:val="en-US" w:eastAsia="zh-CN"/>
              </w:rPr>
              <w:t>8小时平均浓度</w:t>
            </w:r>
            <w:r>
              <w:rPr>
                <w:rFonts w:hint="default" w:ascii="Times New Roman" w:hAnsi="Times New Roman" w:eastAsia="宋体" w:cs="Times New Roman"/>
                <w:color w:val="auto"/>
                <w:sz w:val="24"/>
                <w:szCs w:val="24"/>
                <w:u w:val="none"/>
              </w:rPr>
              <w:t>。</w:t>
            </w:r>
            <w:r>
              <w:rPr>
                <w:rFonts w:hint="eastAsia" w:ascii="Times New Roman" w:hAnsi="Times New Roman" w:cs="Times New Roman"/>
                <w:color w:val="auto"/>
                <w:sz w:val="24"/>
                <w:szCs w:val="24"/>
                <w:lang w:eastAsia="zh-CN"/>
              </w:rPr>
              <w:t>因此</w:t>
            </w:r>
            <w:r>
              <w:rPr>
                <w:rFonts w:hint="default" w:ascii="Times New Roman" w:hAnsi="Times New Roman" w:eastAsia="宋体" w:cs="Times New Roman"/>
                <w:color w:val="auto"/>
                <w:sz w:val="24"/>
                <w:szCs w:val="24"/>
              </w:rPr>
              <w:t>判定本项目所在区域为达标区</w:t>
            </w:r>
            <w:r>
              <w:rPr>
                <w:rFonts w:hint="default" w:ascii="Times New Roman" w:hAnsi="Times New Roman" w:eastAsia="宋体" w:cs="Times New Roman"/>
                <w:color w:val="auto"/>
                <w:sz w:val="24"/>
                <w:szCs w:val="24"/>
                <w:u w:val="none"/>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auto"/>
                <w:sz w:val="24"/>
                <w:szCs w:val="24"/>
                <w:lang w:val="en-US" w:eastAsia="zh-CN"/>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lang w:eastAsia="zh-CN"/>
              </w:rPr>
              <w:t>）</w:t>
            </w:r>
            <w:r>
              <w:rPr>
                <w:color w:val="auto"/>
                <w:sz w:val="24"/>
                <w:szCs w:val="24"/>
                <w:lang w:val="en-US" w:eastAsia="zh-CN"/>
              </w:rPr>
              <w:t>特征因子现状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bCs/>
                <w:color w:val="auto"/>
                <w:sz w:val="24"/>
                <w:szCs w:val="24"/>
                <w:u w:val="none"/>
              </w:rPr>
              <w:t>本项目位于</w:t>
            </w:r>
            <w:r>
              <w:rPr>
                <w:rFonts w:hint="default" w:ascii="Times New Roman" w:hAnsi="Times New Roman" w:cs="Times New Roman"/>
                <w:color w:val="auto"/>
                <w:sz w:val="24"/>
                <w:szCs w:val="24"/>
                <w:u w:val="none"/>
                <w:lang w:eastAsia="zh-CN"/>
              </w:rPr>
              <w:t>湖南省邵阳市邵东市</w:t>
            </w:r>
            <w:r>
              <w:rPr>
                <w:rFonts w:hint="eastAsia" w:ascii="Times New Roman" w:hAnsi="Times New Roman" w:cs="Times New Roman"/>
                <w:color w:val="auto"/>
                <w:sz w:val="24"/>
                <w:szCs w:val="24"/>
                <w:u w:val="none"/>
                <w:lang w:eastAsia="zh-CN"/>
              </w:rPr>
              <w:t>廉桥镇兔子坪</w:t>
            </w:r>
            <w:r>
              <w:rPr>
                <w:rFonts w:hint="eastAsia" w:ascii="Times New Roman" w:hAnsi="Times New Roman" w:cs="Times New Roman"/>
                <w:color w:val="auto"/>
                <w:sz w:val="24"/>
                <w:szCs w:val="24"/>
                <w:u w:val="none"/>
                <w:lang w:val="en-US" w:eastAsia="zh-CN"/>
              </w:rPr>
              <w:t>村</w:t>
            </w:r>
            <w:r>
              <w:rPr>
                <w:rFonts w:hint="default" w:ascii="Times New Roman" w:hAnsi="Times New Roman" w:eastAsia="宋体" w:cs="Times New Roman"/>
                <w:bCs/>
                <w:color w:val="auto"/>
                <w:sz w:val="24"/>
                <w:szCs w:val="24"/>
                <w:u w:val="none"/>
              </w:rPr>
              <w:t>，为了解项目所在区域周边环境情况，本次环评引用邵东县廉桥镇飞荣废旧塑料加工厂《年产5000吨再生塑料生产线建设项目环境影响报告</w:t>
            </w:r>
            <w:r>
              <w:rPr>
                <w:rFonts w:hint="eastAsia" w:ascii="Times New Roman" w:hAnsi="Times New Roman" w:eastAsia="宋体" w:cs="Times New Roman"/>
                <w:bCs/>
                <w:color w:val="auto"/>
                <w:sz w:val="24"/>
                <w:szCs w:val="24"/>
                <w:u w:val="none"/>
                <w:lang w:eastAsia="zh-CN"/>
              </w:rPr>
              <w:t>书</w:t>
            </w:r>
            <w:r>
              <w:rPr>
                <w:rFonts w:hint="default" w:ascii="Times New Roman" w:hAnsi="Times New Roman" w:eastAsia="宋体" w:cs="Times New Roman"/>
                <w:bCs/>
                <w:color w:val="auto"/>
                <w:sz w:val="24"/>
                <w:szCs w:val="24"/>
                <w:u w:val="none"/>
              </w:rPr>
              <w:t>》2020年5月20日至2020年5月26日历史大气环境质量现状监测数据，</w:t>
            </w:r>
            <w:r>
              <w:rPr>
                <w:rFonts w:hint="default" w:ascii="Times New Roman" w:hAnsi="Times New Roman" w:eastAsia="宋体" w:cs="Times New Roman"/>
                <w:bCs/>
                <w:color w:val="auto"/>
                <w:sz w:val="24"/>
                <w:szCs w:val="24"/>
                <w:u w:val="none"/>
              </w:rPr>
              <w:t>邵东县廉桥镇飞荣废旧塑料加工厂</w:t>
            </w:r>
            <w:r>
              <w:rPr>
                <w:rFonts w:hint="eastAsia" w:ascii="Times New Roman" w:hAnsi="Times New Roman" w:eastAsia="宋体" w:cs="Times New Roman"/>
                <w:bCs/>
                <w:color w:val="auto"/>
                <w:sz w:val="24"/>
                <w:szCs w:val="24"/>
                <w:u w:val="none"/>
                <w:lang w:eastAsia="zh-CN"/>
              </w:rPr>
              <w:t>紧邻</w:t>
            </w:r>
            <w:r>
              <w:rPr>
                <w:rFonts w:hint="default" w:ascii="Times New Roman" w:hAnsi="Times New Roman" w:eastAsia="宋体" w:cs="Times New Roman"/>
                <w:bCs/>
                <w:color w:val="auto"/>
                <w:sz w:val="24"/>
                <w:szCs w:val="24"/>
                <w:u w:val="none"/>
              </w:rPr>
              <w:t>本项目的</w:t>
            </w:r>
            <w:r>
              <w:rPr>
                <w:rFonts w:hint="eastAsia" w:ascii="Times New Roman" w:hAnsi="Times New Roman" w:eastAsia="宋体" w:cs="Times New Roman"/>
                <w:bCs/>
                <w:color w:val="auto"/>
                <w:sz w:val="24"/>
                <w:szCs w:val="24"/>
                <w:u w:val="none"/>
                <w:lang w:val="en-US" w:eastAsia="zh-CN"/>
              </w:rPr>
              <w:t>南</w:t>
            </w:r>
            <w:r>
              <w:rPr>
                <w:rFonts w:hint="default" w:ascii="Times New Roman" w:hAnsi="Times New Roman" w:eastAsia="宋体" w:cs="Times New Roman"/>
                <w:bCs/>
                <w:color w:val="auto"/>
                <w:sz w:val="24"/>
                <w:szCs w:val="24"/>
                <w:u w:val="none"/>
              </w:rPr>
              <w:t>侧</w:t>
            </w:r>
            <w:r>
              <w:rPr>
                <w:rFonts w:hint="eastAsia" w:ascii="Times New Roman" w:hAnsi="Times New Roman" w:eastAsia="宋体" w:cs="Times New Roman"/>
                <w:bCs/>
                <w:color w:val="auto"/>
                <w:sz w:val="24"/>
                <w:szCs w:val="24"/>
                <w:u w:val="none"/>
                <w:lang w:eastAsia="zh-CN"/>
              </w:rPr>
              <w:t>。</w:t>
            </w:r>
            <w:r>
              <w:rPr>
                <w:rFonts w:hint="default" w:ascii="Times New Roman" w:hAnsi="Times New Roman" w:eastAsia="宋体" w:cs="Times New Roman"/>
                <w:bCs/>
                <w:color w:val="auto"/>
                <w:sz w:val="24"/>
                <w:szCs w:val="24"/>
                <w:u w:val="none"/>
              </w:rPr>
              <w:t>邵东县廉桥镇飞荣废旧塑料加工厂于2019年8月在湖南省邵阳市邵东市廉桥镇兔子坪村建设投产了1条废旧塑料破碎加工生产线及3条塑料粒子生产线</w:t>
            </w:r>
            <w:r>
              <w:rPr>
                <w:rFonts w:hint="eastAsia" w:ascii="Times New Roman" w:hAnsi="Times New Roman" w:eastAsia="宋体" w:cs="Times New Roman"/>
                <w:bCs/>
                <w:color w:val="auto"/>
                <w:sz w:val="24"/>
                <w:szCs w:val="24"/>
                <w:u w:val="none"/>
                <w:lang w:eastAsia="zh-CN"/>
              </w:rPr>
              <w:t>，属于补办环评手续。</w:t>
            </w:r>
            <w:r>
              <w:rPr>
                <w:rFonts w:hint="default" w:ascii="Times New Roman" w:hAnsi="Times New Roman" w:eastAsia="宋体" w:cs="Times New Roman"/>
                <w:bCs/>
                <w:color w:val="auto"/>
                <w:sz w:val="24"/>
                <w:szCs w:val="24"/>
                <w:u w:val="none"/>
              </w:rPr>
              <w:t>项目</w:t>
            </w:r>
            <w:r>
              <w:rPr>
                <w:rFonts w:hint="eastAsia" w:ascii="Times New Roman" w:hAnsi="Times New Roman" w:eastAsia="宋体" w:cs="Times New Roman"/>
                <w:bCs/>
                <w:color w:val="auto"/>
                <w:sz w:val="24"/>
                <w:szCs w:val="24"/>
                <w:u w:val="none"/>
                <w:lang w:eastAsia="zh-CN"/>
              </w:rPr>
              <w:t>监测时邵东县廉桥镇飞荣废旧塑料加工厂已经投入运行，</w:t>
            </w:r>
            <w:r>
              <w:rPr>
                <w:rFonts w:hint="default" w:ascii="Times New Roman" w:hAnsi="Times New Roman" w:eastAsia="宋体" w:cs="Times New Roman"/>
                <w:bCs/>
                <w:color w:val="auto"/>
                <w:sz w:val="24"/>
                <w:szCs w:val="24"/>
                <w:u w:val="none"/>
              </w:rPr>
              <w:t>项目</w:t>
            </w:r>
            <w:r>
              <w:rPr>
                <w:rFonts w:hint="eastAsia" w:ascii="Times New Roman" w:hAnsi="Times New Roman" w:eastAsia="宋体" w:cs="Times New Roman"/>
                <w:bCs/>
                <w:color w:val="auto"/>
                <w:sz w:val="24"/>
                <w:szCs w:val="24"/>
                <w:u w:val="none"/>
              </w:rPr>
              <w:t>自监测时至今，项目区域自然及社会环境未发生重大变化，</w:t>
            </w:r>
            <w:r>
              <w:rPr>
                <w:rFonts w:hint="default" w:ascii="Times New Roman" w:hAnsi="Times New Roman" w:eastAsia="宋体" w:cs="Times New Roman"/>
                <w:bCs/>
                <w:color w:val="auto"/>
                <w:sz w:val="24"/>
                <w:szCs w:val="24"/>
                <w:u w:val="none"/>
              </w:rPr>
              <w:t>引用数据的时间以及位置均符合导则关于引用环境质量监测数据近三年，属于同一评价范围的规定，引用数据基本能够反映项目区域环境质量情况。</w:t>
            </w:r>
            <w:r>
              <w:rPr>
                <w:rFonts w:hint="eastAsia" w:ascii="Times New Roman" w:hAnsi="Times New Roman" w:eastAsia="宋体" w:cs="Times New Roman"/>
                <w:bCs/>
                <w:color w:val="auto"/>
                <w:sz w:val="24"/>
                <w:szCs w:val="24"/>
                <w:u w:val="none"/>
              </w:rPr>
              <w:t>具体情况如下</w:t>
            </w:r>
            <w:r>
              <w:rPr>
                <w:rFonts w:hint="default" w:ascii="Times New Roman" w:hAnsi="Times New Roman" w:eastAsia="宋体" w:cs="Times New Roman"/>
                <w:bCs/>
                <w:color w:val="auto"/>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宋体" w:hAnsi="宋体" w:eastAsia="宋体" w:cs="宋体"/>
                <w:bCs/>
                <w:color w:val="auto"/>
                <w:sz w:val="24"/>
                <w:szCs w:val="24"/>
              </w:rPr>
            </w:pPr>
            <w:r>
              <w:rPr>
                <w:rFonts w:hint="default" w:ascii="Times New Roman" w:hAnsi="Times New Roman" w:eastAsia="宋体" w:cs="Times New Roman"/>
                <w:bCs/>
                <w:color w:val="auto"/>
                <w:sz w:val="24"/>
                <w:szCs w:val="24"/>
              </w:rPr>
              <w:t>①监测点位信</w:t>
            </w:r>
            <w:r>
              <w:rPr>
                <w:rFonts w:hint="eastAsia" w:ascii="宋体" w:hAnsi="宋体" w:eastAsia="宋体" w:cs="宋体"/>
                <w:bCs/>
                <w:color w:val="auto"/>
                <w:sz w:val="24"/>
                <w:szCs w:val="24"/>
              </w:rPr>
              <w:t>息</w:t>
            </w:r>
          </w:p>
          <w:p>
            <w:pPr>
              <w:pStyle w:val="186"/>
              <w:jc w:val="center"/>
              <w:rPr>
                <w:rFonts w:hint="eastAsia" w:ascii="Times New Roman" w:hAnsi="Times New Roman" w:eastAsia="宋体" w:cs="Times New Roman"/>
                <w:b/>
                <w:bCs/>
                <w:color w:val="auto"/>
                <w:sz w:val="21"/>
                <w:szCs w:val="21"/>
                <w:lang w:eastAsia="zh-CN"/>
              </w:rPr>
            </w:pPr>
            <w:r>
              <w:rPr>
                <w:rFonts w:ascii="Times New Roman" w:hAnsi="Times New Roman" w:cs="Times New Roman"/>
                <w:b/>
                <w:bCs/>
                <w:color w:val="auto"/>
                <w:sz w:val="21"/>
                <w:szCs w:val="21"/>
              </w:rPr>
              <w:t>表3-2  监测点布设</w:t>
            </w:r>
            <w:r>
              <w:rPr>
                <w:rFonts w:hint="eastAsia" w:ascii="Times New Roman" w:hAnsi="Times New Roman" w:cs="Times New Roman"/>
                <w:b/>
                <w:bCs/>
                <w:color w:val="auto"/>
                <w:sz w:val="21"/>
                <w:szCs w:val="21"/>
                <w:lang w:eastAsia="zh-CN"/>
              </w:rPr>
              <w:t>位置</w:t>
            </w:r>
          </w:p>
          <w:tbl>
            <w:tblPr>
              <w:tblStyle w:val="33"/>
              <w:tblW w:w="8143" w:type="dxa"/>
              <w:jc w:val="center"/>
              <w:tblLayout w:type="fixed"/>
              <w:tblCellMar>
                <w:top w:w="0" w:type="dxa"/>
                <w:left w:w="0" w:type="dxa"/>
                <w:bottom w:w="0" w:type="dxa"/>
                <w:right w:w="0" w:type="dxa"/>
              </w:tblCellMar>
            </w:tblPr>
            <w:tblGrid>
              <w:gridCol w:w="1620"/>
              <w:gridCol w:w="1165"/>
              <w:gridCol w:w="1167"/>
              <w:gridCol w:w="1308"/>
              <w:gridCol w:w="1355"/>
              <w:gridCol w:w="1528"/>
            </w:tblGrid>
            <w:tr>
              <w:tblPrEx>
                <w:tblCellMar>
                  <w:top w:w="0" w:type="dxa"/>
                  <w:left w:w="0" w:type="dxa"/>
                  <w:bottom w:w="0" w:type="dxa"/>
                  <w:right w:w="0" w:type="dxa"/>
                </w:tblCellMar>
              </w:tblPrEx>
              <w:trPr>
                <w:trHeight w:val="23" w:hRule="atLeast"/>
                <w:jc w:val="center"/>
              </w:trPr>
              <w:tc>
                <w:tcPr>
                  <w:tcW w:w="1620" w:type="dxa"/>
                  <w:vMerge w:val="restart"/>
                  <w:tcBorders>
                    <w:top w:val="single" w:color="000000" w:sz="12" w:space="0"/>
                    <w:left w:val="single" w:color="000000" w:sz="12" w:space="0"/>
                    <w:right w:val="single" w:color="000000" w:sz="6" w:space="0"/>
                  </w:tcBorders>
                  <w:noWrap w:val="0"/>
                  <w:vAlign w:val="top"/>
                </w:tcPr>
                <w:p>
                  <w:pPr>
                    <w:spacing w:before="91" w:after="0" w:line="240" w:lineRule="auto"/>
                    <w:ind w:left="275" w:right="-20"/>
                    <w:jc w:val="left"/>
                    <w:rPr>
                      <w:rFonts w:ascii="宋体" w:hAnsi="宋体" w:eastAsia="宋体" w:cs="宋体"/>
                      <w:color w:val="auto"/>
                      <w:sz w:val="21"/>
                      <w:szCs w:val="21"/>
                    </w:rPr>
                  </w:pPr>
                  <w:r>
                    <w:rPr>
                      <w:rFonts w:ascii="宋体" w:hAnsi="宋体" w:eastAsia="宋体" w:cs="宋体"/>
                      <w:color w:val="auto"/>
                      <w:spacing w:val="0"/>
                      <w:w w:val="100"/>
                      <w:sz w:val="21"/>
                      <w:szCs w:val="21"/>
                    </w:rPr>
                    <w:t>监</w:t>
                  </w:r>
                  <w:r>
                    <w:rPr>
                      <w:rFonts w:ascii="宋体" w:hAnsi="宋体" w:eastAsia="宋体" w:cs="宋体"/>
                      <w:color w:val="auto"/>
                      <w:spacing w:val="2"/>
                      <w:w w:val="100"/>
                      <w:sz w:val="21"/>
                      <w:szCs w:val="21"/>
                    </w:rPr>
                    <w:t>测</w:t>
                  </w:r>
                  <w:r>
                    <w:rPr>
                      <w:rFonts w:ascii="宋体" w:hAnsi="宋体" w:eastAsia="宋体" w:cs="宋体"/>
                      <w:color w:val="auto"/>
                      <w:spacing w:val="0"/>
                      <w:w w:val="100"/>
                      <w:sz w:val="21"/>
                      <w:szCs w:val="21"/>
                    </w:rPr>
                    <w:t>点</w:t>
                  </w:r>
                  <w:r>
                    <w:rPr>
                      <w:rFonts w:ascii="宋体" w:hAnsi="宋体" w:eastAsia="宋体" w:cs="宋体"/>
                      <w:color w:val="auto"/>
                      <w:spacing w:val="2"/>
                      <w:w w:val="100"/>
                      <w:sz w:val="21"/>
                      <w:szCs w:val="21"/>
                    </w:rPr>
                    <w:t>名</w:t>
                  </w:r>
                  <w:r>
                    <w:rPr>
                      <w:rFonts w:ascii="宋体" w:hAnsi="宋体" w:eastAsia="宋体" w:cs="宋体"/>
                      <w:color w:val="auto"/>
                      <w:spacing w:val="0"/>
                      <w:w w:val="100"/>
                      <w:sz w:val="21"/>
                      <w:szCs w:val="21"/>
                    </w:rPr>
                    <w:t>称</w:t>
                  </w:r>
                </w:p>
              </w:tc>
              <w:tc>
                <w:tcPr>
                  <w:tcW w:w="2332" w:type="dxa"/>
                  <w:gridSpan w:val="2"/>
                  <w:tcBorders>
                    <w:top w:val="single" w:color="000000" w:sz="12" w:space="0"/>
                    <w:left w:val="single" w:color="000000" w:sz="6" w:space="0"/>
                    <w:bottom w:val="single" w:color="000000" w:sz="4" w:space="0"/>
                    <w:right w:val="single" w:color="000000" w:sz="6" w:space="0"/>
                  </w:tcBorders>
                  <w:noWrap w:val="0"/>
                  <w:vAlign w:val="top"/>
                </w:tcPr>
                <w:p>
                  <w:pPr>
                    <w:spacing w:before="0" w:after="0" w:line="292" w:lineRule="exact"/>
                    <w:ind w:left="522" w:right="-20"/>
                    <w:jc w:val="left"/>
                    <w:rPr>
                      <w:rFonts w:ascii="Times New Roman" w:hAnsi="Times New Roman" w:eastAsia="Times New Roman" w:cs="Times New Roman"/>
                      <w:color w:val="auto"/>
                      <w:sz w:val="21"/>
                      <w:szCs w:val="21"/>
                    </w:rPr>
                  </w:pPr>
                  <w:r>
                    <w:rPr>
                      <w:rFonts w:ascii="宋体" w:hAnsi="宋体" w:eastAsia="宋体" w:cs="宋体"/>
                      <w:color w:val="auto"/>
                      <w:spacing w:val="0"/>
                      <w:w w:val="100"/>
                      <w:position w:val="0"/>
                      <w:sz w:val="21"/>
                      <w:szCs w:val="21"/>
                    </w:rPr>
                    <w:t>监</w:t>
                  </w:r>
                  <w:r>
                    <w:rPr>
                      <w:rFonts w:ascii="宋体" w:hAnsi="宋体" w:eastAsia="宋体" w:cs="宋体"/>
                      <w:color w:val="auto"/>
                      <w:spacing w:val="2"/>
                      <w:w w:val="100"/>
                      <w:position w:val="0"/>
                      <w:sz w:val="21"/>
                      <w:szCs w:val="21"/>
                    </w:rPr>
                    <w:t>测</w:t>
                  </w:r>
                  <w:r>
                    <w:rPr>
                      <w:rFonts w:ascii="宋体" w:hAnsi="宋体" w:eastAsia="宋体" w:cs="宋体"/>
                      <w:color w:val="auto"/>
                      <w:spacing w:val="0"/>
                      <w:w w:val="100"/>
                      <w:position w:val="0"/>
                      <w:sz w:val="21"/>
                      <w:szCs w:val="21"/>
                    </w:rPr>
                    <w:t>点</w:t>
                  </w:r>
                  <w:r>
                    <w:rPr>
                      <w:rFonts w:ascii="宋体" w:hAnsi="宋体" w:eastAsia="宋体" w:cs="宋体"/>
                      <w:color w:val="auto"/>
                      <w:spacing w:val="2"/>
                      <w:w w:val="100"/>
                      <w:position w:val="0"/>
                      <w:sz w:val="21"/>
                      <w:szCs w:val="21"/>
                    </w:rPr>
                    <w:t>坐标</w:t>
                  </w:r>
                  <w:r>
                    <w:rPr>
                      <w:rFonts w:ascii="Times New Roman" w:hAnsi="Times New Roman" w:eastAsia="Times New Roman" w:cs="Times New Roman"/>
                      <w:color w:val="auto"/>
                      <w:spacing w:val="0"/>
                      <w:w w:val="100"/>
                      <w:position w:val="0"/>
                      <w:sz w:val="21"/>
                      <w:szCs w:val="21"/>
                    </w:rPr>
                    <w:t>/m</w:t>
                  </w:r>
                </w:p>
              </w:tc>
              <w:tc>
                <w:tcPr>
                  <w:tcW w:w="1308" w:type="dxa"/>
                  <w:vMerge w:val="restart"/>
                  <w:tcBorders>
                    <w:top w:val="single" w:color="000000" w:sz="12" w:space="0"/>
                    <w:left w:val="single" w:color="000000" w:sz="6" w:space="0"/>
                    <w:right w:val="single" w:color="000000" w:sz="6" w:space="0"/>
                  </w:tcBorders>
                  <w:noWrap w:val="0"/>
                  <w:vAlign w:val="top"/>
                </w:tcPr>
                <w:p>
                  <w:pPr>
                    <w:spacing w:before="91" w:after="0" w:line="240" w:lineRule="auto"/>
                    <w:ind w:left="227" w:right="-20"/>
                    <w:jc w:val="left"/>
                    <w:rPr>
                      <w:rFonts w:ascii="宋体" w:hAnsi="宋体" w:eastAsia="宋体" w:cs="宋体"/>
                      <w:color w:val="auto"/>
                      <w:sz w:val="21"/>
                      <w:szCs w:val="21"/>
                    </w:rPr>
                  </w:pPr>
                  <w:r>
                    <w:rPr>
                      <w:rFonts w:ascii="宋体" w:hAnsi="宋体" w:eastAsia="宋体" w:cs="宋体"/>
                      <w:color w:val="auto"/>
                      <w:spacing w:val="0"/>
                      <w:w w:val="100"/>
                      <w:sz w:val="21"/>
                      <w:szCs w:val="21"/>
                    </w:rPr>
                    <w:t>监</w:t>
                  </w:r>
                  <w:r>
                    <w:rPr>
                      <w:rFonts w:ascii="宋体" w:hAnsi="宋体" w:eastAsia="宋体" w:cs="宋体"/>
                      <w:color w:val="auto"/>
                      <w:spacing w:val="2"/>
                      <w:w w:val="100"/>
                      <w:sz w:val="21"/>
                      <w:szCs w:val="21"/>
                    </w:rPr>
                    <w:t>测</w:t>
                  </w:r>
                  <w:r>
                    <w:rPr>
                      <w:rFonts w:ascii="宋体" w:hAnsi="宋体" w:eastAsia="宋体" w:cs="宋体"/>
                      <w:color w:val="auto"/>
                      <w:spacing w:val="0"/>
                      <w:w w:val="100"/>
                      <w:sz w:val="21"/>
                      <w:szCs w:val="21"/>
                    </w:rPr>
                    <w:t>因子</w:t>
                  </w:r>
                </w:p>
              </w:tc>
              <w:tc>
                <w:tcPr>
                  <w:tcW w:w="1355" w:type="dxa"/>
                  <w:vMerge w:val="restart"/>
                  <w:tcBorders>
                    <w:top w:val="single" w:color="000000" w:sz="12" w:space="0"/>
                    <w:left w:val="single" w:color="000000" w:sz="6" w:space="0"/>
                    <w:right w:val="single" w:color="000000" w:sz="6" w:space="0"/>
                  </w:tcBorders>
                  <w:noWrap w:val="0"/>
                  <w:vAlign w:val="top"/>
                </w:tcPr>
                <w:p>
                  <w:pPr>
                    <w:spacing w:before="91" w:after="0" w:line="240" w:lineRule="auto"/>
                    <w:ind w:left="40" w:right="-20"/>
                    <w:jc w:val="left"/>
                    <w:rPr>
                      <w:rFonts w:ascii="宋体" w:hAnsi="宋体" w:eastAsia="宋体" w:cs="宋体"/>
                      <w:color w:val="auto"/>
                      <w:sz w:val="21"/>
                      <w:szCs w:val="21"/>
                    </w:rPr>
                  </w:pPr>
                  <w:r>
                    <w:rPr>
                      <w:rFonts w:ascii="宋体" w:hAnsi="宋体" w:eastAsia="宋体" w:cs="宋体"/>
                      <w:color w:val="auto"/>
                      <w:spacing w:val="0"/>
                      <w:w w:val="100"/>
                      <w:sz w:val="21"/>
                      <w:szCs w:val="21"/>
                    </w:rPr>
                    <w:t>相</w:t>
                  </w:r>
                  <w:r>
                    <w:rPr>
                      <w:rFonts w:ascii="宋体" w:hAnsi="宋体" w:eastAsia="宋体" w:cs="宋体"/>
                      <w:color w:val="auto"/>
                      <w:spacing w:val="2"/>
                      <w:w w:val="100"/>
                      <w:sz w:val="21"/>
                      <w:szCs w:val="21"/>
                    </w:rPr>
                    <w:t>对</w:t>
                  </w:r>
                  <w:r>
                    <w:rPr>
                      <w:rFonts w:hint="eastAsia" w:ascii="宋体" w:hAnsi="宋体" w:eastAsia="宋体" w:cs="宋体"/>
                      <w:color w:val="auto"/>
                      <w:spacing w:val="0"/>
                      <w:w w:val="100"/>
                      <w:sz w:val="21"/>
                      <w:szCs w:val="21"/>
                      <w:lang w:eastAsia="zh-CN"/>
                    </w:rPr>
                    <w:t>本项目</w:t>
                  </w:r>
                  <w:r>
                    <w:rPr>
                      <w:rFonts w:ascii="宋体" w:hAnsi="宋体" w:eastAsia="宋体" w:cs="宋体"/>
                      <w:color w:val="auto"/>
                      <w:spacing w:val="0"/>
                      <w:w w:val="100"/>
                      <w:sz w:val="21"/>
                      <w:szCs w:val="21"/>
                    </w:rPr>
                    <w:t>方位</w:t>
                  </w:r>
                </w:p>
              </w:tc>
              <w:tc>
                <w:tcPr>
                  <w:tcW w:w="1528" w:type="dxa"/>
                  <w:vMerge w:val="restart"/>
                  <w:tcBorders>
                    <w:top w:val="single" w:color="000000" w:sz="12" w:space="0"/>
                    <w:left w:val="single" w:color="000000" w:sz="6" w:space="0"/>
                    <w:right w:val="single" w:color="000000" w:sz="12" w:space="0"/>
                  </w:tcBorders>
                  <w:noWrap w:val="0"/>
                  <w:vAlign w:val="top"/>
                </w:tcPr>
                <w:p>
                  <w:pPr>
                    <w:spacing w:before="91" w:after="0" w:line="240" w:lineRule="auto"/>
                    <w:ind w:left="12" w:right="-78"/>
                    <w:jc w:val="left"/>
                    <w:rPr>
                      <w:rFonts w:ascii="Times New Roman" w:hAnsi="Times New Roman" w:eastAsia="Times New Roman" w:cs="Times New Roman"/>
                      <w:color w:val="auto"/>
                      <w:sz w:val="21"/>
                      <w:szCs w:val="21"/>
                    </w:rPr>
                  </w:pPr>
                  <w:r>
                    <w:rPr>
                      <w:rFonts w:ascii="宋体" w:hAnsi="宋体" w:eastAsia="宋体" w:cs="宋体"/>
                      <w:color w:val="auto"/>
                      <w:spacing w:val="0"/>
                      <w:w w:val="100"/>
                      <w:sz w:val="21"/>
                      <w:szCs w:val="21"/>
                    </w:rPr>
                    <w:t>相</w:t>
                  </w:r>
                  <w:r>
                    <w:rPr>
                      <w:rFonts w:ascii="宋体" w:hAnsi="宋体" w:eastAsia="宋体" w:cs="宋体"/>
                      <w:color w:val="auto"/>
                      <w:spacing w:val="2"/>
                      <w:w w:val="100"/>
                      <w:sz w:val="21"/>
                      <w:szCs w:val="21"/>
                    </w:rPr>
                    <w:t>对</w:t>
                  </w:r>
                  <w:r>
                    <w:rPr>
                      <w:rFonts w:ascii="宋体" w:hAnsi="宋体" w:eastAsia="宋体" w:cs="宋体"/>
                      <w:color w:val="auto"/>
                      <w:spacing w:val="0"/>
                      <w:w w:val="100"/>
                      <w:sz w:val="21"/>
                      <w:szCs w:val="21"/>
                    </w:rPr>
                    <w:t>厂</w:t>
                  </w:r>
                  <w:r>
                    <w:rPr>
                      <w:rFonts w:ascii="宋体" w:hAnsi="宋体" w:eastAsia="宋体" w:cs="宋体"/>
                      <w:color w:val="auto"/>
                      <w:spacing w:val="2"/>
                      <w:w w:val="100"/>
                      <w:sz w:val="21"/>
                      <w:szCs w:val="21"/>
                    </w:rPr>
                    <w:t>界</w:t>
                  </w:r>
                  <w:r>
                    <w:rPr>
                      <w:rFonts w:ascii="宋体" w:hAnsi="宋体" w:eastAsia="宋体" w:cs="宋体"/>
                      <w:color w:val="auto"/>
                      <w:spacing w:val="0"/>
                      <w:w w:val="100"/>
                      <w:sz w:val="21"/>
                      <w:szCs w:val="21"/>
                    </w:rPr>
                    <w:t>距</w:t>
                  </w:r>
                  <w:r>
                    <w:rPr>
                      <w:rFonts w:ascii="宋体" w:hAnsi="宋体" w:eastAsia="宋体" w:cs="宋体"/>
                      <w:color w:val="auto"/>
                      <w:spacing w:val="2"/>
                      <w:w w:val="100"/>
                      <w:sz w:val="21"/>
                      <w:szCs w:val="21"/>
                    </w:rPr>
                    <w:t>离</w:t>
                  </w:r>
                  <w:r>
                    <w:rPr>
                      <w:rFonts w:ascii="Times New Roman" w:hAnsi="Times New Roman" w:eastAsia="Times New Roman" w:cs="Times New Roman"/>
                      <w:color w:val="auto"/>
                      <w:spacing w:val="0"/>
                      <w:w w:val="100"/>
                      <w:sz w:val="21"/>
                      <w:szCs w:val="21"/>
                    </w:rPr>
                    <w:t>/m</w:t>
                  </w:r>
                </w:p>
              </w:tc>
            </w:tr>
            <w:tr>
              <w:tblPrEx>
                <w:tblCellMar>
                  <w:top w:w="0" w:type="dxa"/>
                  <w:left w:w="0" w:type="dxa"/>
                  <w:bottom w:w="0" w:type="dxa"/>
                  <w:right w:w="0" w:type="dxa"/>
                </w:tblCellMar>
              </w:tblPrEx>
              <w:trPr>
                <w:trHeight w:val="23" w:hRule="atLeast"/>
                <w:jc w:val="center"/>
              </w:trPr>
              <w:tc>
                <w:tcPr>
                  <w:tcW w:w="1620" w:type="dxa"/>
                  <w:vMerge w:val="continue"/>
                  <w:tcBorders>
                    <w:left w:val="single" w:color="000000" w:sz="12" w:space="0"/>
                    <w:bottom w:val="single" w:color="000000" w:sz="4" w:space="0"/>
                    <w:right w:val="single" w:color="000000" w:sz="6" w:space="0"/>
                  </w:tcBorders>
                  <w:noWrap w:val="0"/>
                  <w:vAlign w:val="top"/>
                </w:tcPr>
                <w:p>
                  <w:pPr>
                    <w:rPr>
                      <w:color w:val="auto"/>
                    </w:rPr>
                  </w:pPr>
                </w:p>
              </w:tc>
              <w:tc>
                <w:tcPr>
                  <w:tcW w:w="1165" w:type="dxa"/>
                  <w:tcBorders>
                    <w:top w:val="single" w:color="000000" w:sz="4" w:space="0"/>
                    <w:left w:val="single" w:color="000000" w:sz="6" w:space="0"/>
                    <w:bottom w:val="single" w:color="000000" w:sz="4" w:space="0"/>
                    <w:right w:val="single" w:color="000000" w:sz="6" w:space="0"/>
                  </w:tcBorders>
                  <w:noWrap w:val="0"/>
                  <w:vAlign w:val="top"/>
                </w:tcPr>
                <w:p>
                  <w:pPr>
                    <w:spacing w:before="31" w:after="0" w:line="241" w:lineRule="exact"/>
                    <w:ind w:left="465" w:right="444"/>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0"/>
                      <w:w w:val="99"/>
                      <w:sz w:val="21"/>
                      <w:szCs w:val="21"/>
                    </w:rPr>
                    <w:t>X</w:t>
                  </w:r>
                </w:p>
              </w:tc>
              <w:tc>
                <w:tcPr>
                  <w:tcW w:w="1167" w:type="dxa"/>
                  <w:tcBorders>
                    <w:top w:val="single" w:color="000000" w:sz="4" w:space="0"/>
                    <w:left w:val="single" w:color="000000" w:sz="6" w:space="0"/>
                    <w:bottom w:val="single" w:color="000000" w:sz="4" w:space="0"/>
                    <w:right w:val="single" w:color="000000" w:sz="6" w:space="0"/>
                  </w:tcBorders>
                  <w:noWrap w:val="0"/>
                  <w:vAlign w:val="top"/>
                </w:tcPr>
                <w:p>
                  <w:pPr>
                    <w:spacing w:before="31" w:after="0" w:line="241" w:lineRule="exact"/>
                    <w:ind w:left="466" w:right="444"/>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0"/>
                      <w:w w:val="99"/>
                      <w:sz w:val="21"/>
                      <w:szCs w:val="21"/>
                    </w:rPr>
                    <w:t>Y</w:t>
                  </w:r>
                </w:p>
              </w:tc>
              <w:tc>
                <w:tcPr>
                  <w:tcW w:w="1308" w:type="dxa"/>
                  <w:vMerge w:val="continue"/>
                  <w:tcBorders>
                    <w:left w:val="single" w:color="000000" w:sz="6" w:space="0"/>
                    <w:bottom w:val="single" w:color="000000" w:sz="4" w:space="0"/>
                    <w:right w:val="single" w:color="000000" w:sz="6" w:space="0"/>
                  </w:tcBorders>
                  <w:noWrap w:val="0"/>
                  <w:vAlign w:val="top"/>
                </w:tcPr>
                <w:p>
                  <w:pPr>
                    <w:rPr>
                      <w:color w:val="auto"/>
                    </w:rPr>
                  </w:pPr>
                </w:p>
              </w:tc>
              <w:tc>
                <w:tcPr>
                  <w:tcW w:w="1355" w:type="dxa"/>
                  <w:vMerge w:val="continue"/>
                  <w:tcBorders>
                    <w:left w:val="single" w:color="000000" w:sz="6" w:space="0"/>
                    <w:bottom w:val="single" w:color="000000" w:sz="4" w:space="0"/>
                    <w:right w:val="single" w:color="000000" w:sz="6" w:space="0"/>
                  </w:tcBorders>
                  <w:noWrap w:val="0"/>
                  <w:vAlign w:val="top"/>
                </w:tcPr>
                <w:p>
                  <w:pPr>
                    <w:rPr>
                      <w:color w:val="auto"/>
                    </w:rPr>
                  </w:pPr>
                </w:p>
              </w:tc>
              <w:tc>
                <w:tcPr>
                  <w:tcW w:w="1528" w:type="dxa"/>
                  <w:vMerge w:val="continue"/>
                  <w:tcBorders>
                    <w:left w:val="single" w:color="000000" w:sz="6" w:space="0"/>
                    <w:bottom w:val="single" w:color="000000" w:sz="4" w:space="0"/>
                    <w:right w:val="single" w:color="000000" w:sz="12" w:space="0"/>
                  </w:tcBorders>
                  <w:noWrap w:val="0"/>
                  <w:vAlign w:val="top"/>
                </w:tcPr>
                <w:p>
                  <w:pPr>
                    <w:rPr>
                      <w:color w:val="auto"/>
                    </w:rPr>
                  </w:pPr>
                </w:p>
              </w:tc>
            </w:tr>
            <w:tr>
              <w:tblPrEx>
                <w:tblCellMar>
                  <w:top w:w="0" w:type="dxa"/>
                  <w:left w:w="0" w:type="dxa"/>
                  <w:bottom w:w="0" w:type="dxa"/>
                  <w:right w:w="0" w:type="dxa"/>
                </w:tblCellMar>
              </w:tblPrEx>
              <w:trPr>
                <w:trHeight w:val="23" w:hRule="atLeast"/>
                <w:jc w:val="center"/>
              </w:trPr>
              <w:tc>
                <w:tcPr>
                  <w:tcW w:w="1620" w:type="dxa"/>
                  <w:tcBorders>
                    <w:top w:val="single" w:color="000000" w:sz="4" w:space="0"/>
                    <w:left w:val="single" w:color="000000" w:sz="12" w:space="0"/>
                    <w:bottom w:val="single" w:color="000000" w:sz="4" w:space="0"/>
                    <w:right w:val="single" w:color="000000" w:sz="6" w:space="0"/>
                  </w:tcBorders>
                  <w:noWrap w:val="0"/>
                  <w:vAlign w:val="top"/>
                </w:tcPr>
                <w:p>
                  <w:pPr>
                    <w:spacing w:before="0" w:after="0" w:line="292" w:lineRule="exact"/>
                    <w:ind w:left="0" w:leftChars="0" w:right="-20" w:firstLine="0" w:firstLineChars="0"/>
                    <w:jc w:val="left"/>
                    <w:rPr>
                      <w:rFonts w:ascii="宋体" w:hAnsi="宋体" w:eastAsia="宋体" w:cs="宋体"/>
                      <w:color w:val="auto"/>
                      <w:spacing w:val="2"/>
                      <w:w w:val="100"/>
                      <w:position w:val="0"/>
                      <w:sz w:val="21"/>
                      <w:szCs w:val="21"/>
                    </w:rPr>
                  </w:pPr>
                  <w:r>
                    <w:rPr>
                      <w:rFonts w:ascii="宋体" w:hAnsi="宋体" w:eastAsia="宋体" w:cs="宋体"/>
                      <w:color w:val="auto"/>
                      <w:spacing w:val="2"/>
                      <w:w w:val="100"/>
                      <w:position w:val="0"/>
                      <w:sz w:val="21"/>
                      <w:szCs w:val="21"/>
                    </w:rPr>
                    <w:t>G1</w:t>
                  </w:r>
                  <w:r>
                    <w:rPr>
                      <w:rFonts w:hint="eastAsia" w:ascii="宋体" w:hAnsi="宋体" w:eastAsia="宋体" w:cs="宋体"/>
                      <w:color w:val="auto"/>
                      <w:spacing w:val="2"/>
                      <w:w w:val="100"/>
                      <w:position w:val="0"/>
                      <w:sz w:val="21"/>
                      <w:szCs w:val="21"/>
                    </w:rPr>
                    <w:t>飞荣废旧塑料加工厂</w:t>
                  </w:r>
                  <w:r>
                    <w:rPr>
                      <w:rFonts w:ascii="宋体" w:hAnsi="宋体" w:eastAsia="宋体" w:cs="宋体"/>
                      <w:color w:val="auto"/>
                      <w:spacing w:val="2"/>
                      <w:w w:val="100"/>
                      <w:position w:val="0"/>
                      <w:sz w:val="21"/>
                      <w:szCs w:val="21"/>
                    </w:rPr>
                    <w:t xml:space="preserve"> 厂址中心</w:t>
                  </w:r>
                </w:p>
              </w:tc>
              <w:tc>
                <w:tcPr>
                  <w:tcW w:w="1165" w:type="dxa"/>
                  <w:tcBorders>
                    <w:top w:val="single" w:color="000000" w:sz="4" w:space="0"/>
                    <w:left w:val="single" w:color="000000" w:sz="6" w:space="0"/>
                    <w:bottom w:val="single" w:color="000000" w:sz="4" w:space="0"/>
                    <w:right w:val="single" w:color="000000" w:sz="6" w:space="0"/>
                  </w:tcBorders>
                  <w:noWrap w:val="0"/>
                  <w:vAlign w:val="top"/>
                </w:tcPr>
                <w:p>
                  <w:pPr>
                    <w:spacing w:before="75" w:after="0" w:line="240" w:lineRule="auto"/>
                    <w:ind w:left="78" w:right="-20"/>
                    <w:jc w:val="left"/>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w w:val="100"/>
                      <w:sz w:val="21"/>
                      <w:szCs w:val="21"/>
                    </w:rPr>
                    <w:t>57</w:t>
                  </w:r>
                  <w:r>
                    <w:rPr>
                      <w:rFonts w:ascii="Times New Roman" w:hAnsi="Times New Roman" w:eastAsia="Times New Roman" w:cs="Times New Roman"/>
                      <w:color w:val="auto"/>
                      <w:spacing w:val="-1"/>
                      <w:w w:val="100"/>
                      <w:sz w:val="21"/>
                      <w:szCs w:val="21"/>
                    </w:rPr>
                    <w:t>9</w:t>
                  </w:r>
                  <w:r>
                    <w:rPr>
                      <w:rFonts w:ascii="Times New Roman" w:hAnsi="Times New Roman" w:eastAsia="Times New Roman" w:cs="Times New Roman"/>
                      <w:color w:val="auto"/>
                      <w:spacing w:val="1"/>
                      <w:w w:val="100"/>
                      <w:sz w:val="21"/>
                      <w:szCs w:val="21"/>
                    </w:rPr>
                    <w:t>204</w:t>
                  </w:r>
                  <w:r>
                    <w:rPr>
                      <w:rFonts w:ascii="Times New Roman" w:hAnsi="Times New Roman" w:eastAsia="Times New Roman" w:cs="Times New Roman"/>
                      <w:color w:val="auto"/>
                      <w:spacing w:val="-2"/>
                      <w:w w:val="100"/>
                      <w:sz w:val="21"/>
                      <w:szCs w:val="21"/>
                    </w:rPr>
                    <w:t>.</w:t>
                  </w:r>
                  <w:r>
                    <w:rPr>
                      <w:rFonts w:ascii="Times New Roman" w:hAnsi="Times New Roman" w:eastAsia="Times New Roman" w:cs="Times New Roman"/>
                      <w:color w:val="auto"/>
                      <w:spacing w:val="1"/>
                      <w:w w:val="100"/>
                      <w:sz w:val="21"/>
                      <w:szCs w:val="21"/>
                    </w:rPr>
                    <w:t>09</w:t>
                  </w:r>
                  <w:r>
                    <w:rPr>
                      <w:rFonts w:ascii="Times New Roman" w:hAnsi="Times New Roman" w:eastAsia="Times New Roman" w:cs="Times New Roman"/>
                      <w:color w:val="auto"/>
                      <w:spacing w:val="0"/>
                      <w:w w:val="100"/>
                      <w:sz w:val="21"/>
                      <w:szCs w:val="21"/>
                    </w:rPr>
                    <w:t>3</w:t>
                  </w:r>
                </w:p>
              </w:tc>
              <w:tc>
                <w:tcPr>
                  <w:tcW w:w="1167" w:type="dxa"/>
                  <w:tcBorders>
                    <w:top w:val="single" w:color="000000" w:sz="4" w:space="0"/>
                    <w:left w:val="single" w:color="000000" w:sz="6" w:space="0"/>
                    <w:bottom w:val="single" w:color="000000" w:sz="4" w:space="0"/>
                    <w:right w:val="single" w:color="000000" w:sz="6" w:space="0"/>
                  </w:tcBorders>
                  <w:noWrap w:val="0"/>
                  <w:vAlign w:val="top"/>
                </w:tcPr>
                <w:p>
                  <w:pPr>
                    <w:spacing w:before="75" w:after="0" w:line="240" w:lineRule="auto"/>
                    <w:ind w:left="24" w:right="-46"/>
                    <w:jc w:val="left"/>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w w:val="100"/>
                      <w:sz w:val="21"/>
                      <w:szCs w:val="21"/>
                    </w:rPr>
                    <w:t>302</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365.</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1"/>
                      <w:w w:val="100"/>
                      <w:sz w:val="21"/>
                      <w:szCs w:val="21"/>
                    </w:rPr>
                    <w:t>2</w:t>
                  </w:r>
                  <w:r>
                    <w:rPr>
                      <w:rFonts w:ascii="Times New Roman" w:hAnsi="Times New Roman" w:eastAsia="Times New Roman" w:cs="Times New Roman"/>
                      <w:color w:val="auto"/>
                      <w:spacing w:val="0"/>
                      <w:w w:val="100"/>
                      <w:sz w:val="21"/>
                      <w:szCs w:val="21"/>
                    </w:rPr>
                    <w:t>3</w:t>
                  </w:r>
                </w:p>
              </w:tc>
              <w:tc>
                <w:tcPr>
                  <w:tcW w:w="1308" w:type="dxa"/>
                  <w:vMerge w:val="restart"/>
                  <w:tcBorders>
                    <w:top w:val="single" w:color="000000" w:sz="4" w:space="0"/>
                    <w:left w:val="single" w:color="000000" w:sz="6" w:space="0"/>
                    <w:right w:val="single" w:color="000000" w:sz="6" w:space="0"/>
                  </w:tcBorders>
                  <w:noWrap w:val="0"/>
                  <w:vAlign w:val="center"/>
                </w:tcPr>
                <w:p>
                  <w:pPr>
                    <w:spacing w:before="0" w:after="0" w:line="292" w:lineRule="exact"/>
                    <w:ind w:left="0" w:leftChars="0" w:right="-20" w:firstLine="0" w:firstLineChars="0"/>
                    <w:jc w:val="center"/>
                    <w:rPr>
                      <w:rFonts w:hint="eastAsia" w:ascii="宋体" w:hAnsi="宋体" w:eastAsia="宋体" w:cs="宋体"/>
                      <w:color w:val="auto"/>
                      <w:spacing w:val="2"/>
                      <w:w w:val="100"/>
                      <w:position w:val="0"/>
                      <w:sz w:val="21"/>
                      <w:szCs w:val="21"/>
                    </w:rPr>
                  </w:pPr>
                  <w:r>
                    <w:rPr>
                      <w:rFonts w:hint="eastAsia" w:ascii="宋体" w:hAnsi="宋体" w:eastAsia="宋体" w:cs="宋体"/>
                      <w:color w:val="auto"/>
                      <w:spacing w:val="2"/>
                      <w:w w:val="100"/>
                      <w:position w:val="0"/>
                      <w:sz w:val="21"/>
                      <w:szCs w:val="21"/>
                    </w:rPr>
                    <w:t>TSP、PM</w:t>
                  </w:r>
                  <w:r>
                    <w:rPr>
                      <w:rFonts w:hint="eastAsia" w:ascii="宋体" w:hAnsi="宋体" w:eastAsia="宋体" w:cs="宋体"/>
                      <w:color w:val="auto"/>
                      <w:spacing w:val="2"/>
                      <w:w w:val="100"/>
                      <w:position w:val="0"/>
                      <w:sz w:val="21"/>
                      <w:szCs w:val="21"/>
                      <w:vertAlign w:val="subscript"/>
                    </w:rPr>
                    <w:t>2.5</w:t>
                  </w:r>
                  <w:r>
                    <w:rPr>
                      <w:rFonts w:hint="eastAsia" w:ascii="宋体" w:hAnsi="宋体" w:eastAsia="宋体" w:cs="宋体"/>
                      <w:color w:val="auto"/>
                      <w:spacing w:val="2"/>
                      <w:w w:val="100"/>
                      <w:position w:val="0"/>
                      <w:sz w:val="21"/>
                      <w:szCs w:val="21"/>
                    </w:rPr>
                    <w:t>、</w:t>
                  </w:r>
                </w:p>
                <w:p>
                  <w:pPr>
                    <w:spacing w:before="0" w:after="0" w:line="292" w:lineRule="exact"/>
                    <w:ind w:left="0" w:leftChars="0" w:right="-20" w:firstLine="0" w:firstLineChars="0"/>
                    <w:jc w:val="center"/>
                    <w:rPr>
                      <w:rFonts w:hint="eastAsia" w:ascii="宋体" w:hAnsi="宋体" w:eastAsia="宋体" w:cs="宋体"/>
                      <w:color w:val="auto"/>
                      <w:spacing w:val="2"/>
                      <w:w w:val="100"/>
                      <w:position w:val="0"/>
                      <w:sz w:val="21"/>
                      <w:szCs w:val="21"/>
                    </w:rPr>
                  </w:pPr>
                  <w:r>
                    <w:rPr>
                      <w:rFonts w:hint="eastAsia" w:ascii="宋体" w:hAnsi="宋体" w:eastAsia="宋体" w:cs="宋体"/>
                      <w:color w:val="auto"/>
                      <w:spacing w:val="2"/>
                      <w:w w:val="100"/>
                      <w:position w:val="0"/>
                      <w:sz w:val="21"/>
                      <w:szCs w:val="21"/>
                    </w:rPr>
                    <w:t>TVOC、非甲烷总烃</w:t>
                  </w:r>
                </w:p>
              </w:tc>
              <w:tc>
                <w:tcPr>
                  <w:tcW w:w="1355" w:type="dxa"/>
                  <w:tcBorders>
                    <w:top w:val="single" w:color="000000" w:sz="4" w:space="0"/>
                    <w:left w:val="single" w:color="000000" w:sz="6" w:space="0"/>
                    <w:bottom w:val="single" w:color="000000" w:sz="4" w:space="0"/>
                    <w:right w:val="single" w:color="000000" w:sz="6" w:space="0"/>
                  </w:tcBorders>
                  <w:noWrap w:val="0"/>
                  <w:vAlign w:val="center"/>
                </w:tcPr>
                <w:p>
                  <w:pPr>
                    <w:spacing w:before="0" w:after="0" w:line="292" w:lineRule="exact"/>
                    <w:ind w:left="0" w:leftChars="0" w:right="-20" w:firstLine="0" w:firstLineChars="0"/>
                    <w:jc w:val="center"/>
                    <w:rPr>
                      <w:rFonts w:hint="eastAsia" w:ascii="宋体" w:hAnsi="宋体" w:eastAsia="宋体" w:cs="宋体"/>
                      <w:color w:val="auto"/>
                      <w:spacing w:val="2"/>
                      <w:w w:val="100"/>
                      <w:position w:val="0"/>
                      <w:sz w:val="21"/>
                      <w:szCs w:val="21"/>
                      <w:lang w:eastAsia="zh-CN"/>
                    </w:rPr>
                  </w:pPr>
                  <w:r>
                    <w:rPr>
                      <w:rFonts w:hint="eastAsia" w:ascii="宋体" w:hAnsi="宋体" w:eastAsia="宋体" w:cs="宋体"/>
                      <w:color w:val="auto"/>
                      <w:spacing w:val="2"/>
                      <w:w w:val="100"/>
                      <w:position w:val="0"/>
                      <w:sz w:val="21"/>
                      <w:szCs w:val="21"/>
                      <w:lang w:val="en-US" w:eastAsia="zh-CN"/>
                    </w:rPr>
                    <w:t>S</w:t>
                  </w:r>
                </w:p>
              </w:tc>
              <w:tc>
                <w:tcPr>
                  <w:tcW w:w="1528" w:type="dxa"/>
                  <w:tcBorders>
                    <w:top w:val="single" w:color="000000" w:sz="4" w:space="0"/>
                    <w:left w:val="single" w:color="000000" w:sz="6" w:space="0"/>
                    <w:bottom w:val="single" w:color="000000" w:sz="4" w:space="0"/>
                    <w:right w:val="single" w:color="000000" w:sz="12" w:space="0"/>
                  </w:tcBorders>
                  <w:noWrap w:val="0"/>
                  <w:vAlign w:val="center"/>
                </w:tcPr>
                <w:p>
                  <w:pPr>
                    <w:spacing w:before="0" w:after="0" w:line="292" w:lineRule="exact"/>
                    <w:ind w:left="0" w:leftChars="0" w:right="-20" w:firstLine="0" w:firstLineChars="0"/>
                    <w:jc w:val="center"/>
                    <w:rPr>
                      <w:rFonts w:hint="default" w:ascii="宋体" w:hAnsi="宋体" w:eastAsia="宋体" w:cs="宋体"/>
                      <w:color w:val="auto"/>
                      <w:spacing w:val="2"/>
                      <w:w w:val="100"/>
                      <w:position w:val="0"/>
                      <w:sz w:val="21"/>
                      <w:szCs w:val="21"/>
                      <w:lang w:val="en-US" w:eastAsia="zh-CN"/>
                    </w:rPr>
                  </w:pPr>
                  <w:r>
                    <w:rPr>
                      <w:rFonts w:hint="eastAsia" w:ascii="宋体" w:hAnsi="宋体" w:eastAsia="宋体" w:cs="宋体"/>
                      <w:color w:val="auto"/>
                      <w:spacing w:val="2"/>
                      <w:w w:val="100"/>
                      <w:position w:val="0"/>
                      <w:sz w:val="21"/>
                      <w:szCs w:val="21"/>
                      <w:lang w:val="en-US" w:eastAsia="zh-CN"/>
                    </w:rPr>
                    <w:t>70</w:t>
                  </w:r>
                </w:p>
              </w:tc>
            </w:tr>
            <w:tr>
              <w:tblPrEx>
                <w:tblCellMar>
                  <w:top w:w="0" w:type="dxa"/>
                  <w:left w:w="0" w:type="dxa"/>
                  <w:bottom w:w="0" w:type="dxa"/>
                  <w:right w:w="0" w:type="dxa"/>
                </w:tblCellMar>
              </w:tblPrEx>
              <w:trPr>
                <w:trHeight w:val="23" w:hRule="atLeast"/>
                <w:jc w:val="center"/>
              </w:trPr>
              <w:tc>
                <w:tcPr>
                  <w:tcW w:w="1620" w:type="dxa"/>
                  <w:tcBorders>
                    <w:top w:val="single" w:color="000000" w:sz="4" w:space="0"/>
                    <w:left w:val="single" w:color="000000" w:sz="12" w:space="0"/>
                    <w:bottom w:val="single" w:color="000000" w:sz="12" w:space="0"/>
                    <w:right w:val="single" w:color="000000" w:sz="6" w:space="0"/>
                  </w:tcBorders>
                  <w:noWrap w:val="0"/>
                  <w:vAlign w:val="top"/>
                </w:tcPr>
                <w:p>
                  <w:pPr>
                    <w:spacing w:before="0" w:after="0" w:line="292" w:lineRule="exact"/>
                    <w:ind w:left="0" w:leftChars="0" w:right="-20" w:firstLine="0" w:firstLineChars="0"/>
                    <w:jc w:val="left"/>
                    <w:rPr>
                      <w:rFonts w:ascii="宋体" w:hAnsi="宋体" w:eastAsia="宋体" w:cs="宋体"/>
                      <w:color w:val="auto"/>
                      <w:spacing w:val="2"/>
                      <w:w w:val="100"/>
                      <w:position w:val="0"/>
                      <w:sz w:val="21"/>
                      <w:szCs w:val="21"/>
                    </w:rPr>
                  </w:pPr>
                  <w:r>
                    <w:rPr>
                      <w:rFonts w:ascii="宋体" w:hAnsi="宋体" w:eastAsia="宋体" w:cs="宋体"/>
                      <w:color w:val="auto"/>
                      <w:spacing w:val="2"/>
                      <w:w w:val="100"/>
                      <w:position w:val="0"/>
                      <w:sz w:val="21"/>
                      <w:szCs w:val="21"/>
                    </w:rPr>
                    <w:t xml:space="preserve">G2 </w:t>
                  </w:r>
                  <w:r>
                    <w:rPr>
                      <w:rFonts w:hint="default" w:ascii="宋体" w:hAnsi="宋体" w:eastAsia="宋体" w:cs="宋体"/>
                      <w:color w:val="auto"/>
                      <w:spacing w:val="2"/>
                      <w:w w:val="100"/>
                      <w:position w:val="0"/>
                      <w:sz w:val="21"/>
                      <w:szCs w:val="21"/>
                    </w:rPr>
                    <w:t>飞荣废旧塑料加工厂</w:t>
                  </w:r>
                  <w:r>
                    <w:rPr>
                      <w:rFonts w:ascii="宋体" w:hAnsi="宋体" w:eastAsia="宋体" w:cs="宋体"/>
                      <w:color w:val="auto"/>
                      <w:spacing w:val="2"/>
                      <w:w w:val="100"/>
                      <w:position w:val="0"/>
                      <w:sz w:val="21"/>
                      <w:szCs w:val="21"/>
                    </w:rPr>
                    <w:t>下风向</w:t>
                  </w:r>
                </w:p>
              </w:tc>
              <w:tc>
                <w:tcPr>
                  <w:tcW w:w="1165" w:type="dxa"/>
                  <w:tcBorders>
                    <w:top w:val="single" w:color="000000" w:sz="4" w:space="0"/>
                    <w:left w:val="single" w:color="000000" w:sz="6" w:space="0"/>
                    <w:bottom w:val="single" w:color="000000" w:sz="12" w:space="0"/>
                    <w:right w:val="single" w:color="000000" w:sz="6" w:space="0"/>
                  </w:tcBorders>
                  <w:noWrap w:val="0"/>
                  <w:vAlign w:val="top"/>
                </w:tcPr>
                <w:p>
                  <w:pPr>
                    <w:spacing w:before="86" w:after="0" w:line="240" w:lineRule="auto"/>
                    <w:ind w:left="78" w:right="-20"/>
                    <w:jc w:val="left"/>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w w:val="100"/>
                      <w:sz w:val="21"/>
                      <w:szCs w:val="21"/>
                    </w:rPr>
                    <w:t>57</w:t>
                  </w:r>
                  <w:r>
                    <w:rPr>
                      <w:rFonts w:ascii="Times New Roman" w:hAnsi="Times New Roman" w:eastAsia="Times New Roman" w:cs="Times New Roman"/>
                      <w:color w:val="auto"/>
                      <w:spacing w:val="-1"/>
                      <w:w w:val="100"/>
                      <w:sz w:val="21"/>
                      <w:szCs w:val="21"/>
                    </w:rPr>
                    <w:t>9</w:t>
                  </w:r>
                  <w:r>
                    <w:rPr>
                      <w:rFonts w:ascii="Times New Roman" w:hAnsi="Times New Roman" w:eastAsia="Times New Roman" w:cs="Times New Roman"/>
                      <w:color w:val="auto"/>
                      <w:spacing w:val="1"/>
                      <w:w w:val="100"/>
                      <w:sz w:val="21"/>
                      <w:szCs w:val="21"/>
                    </w:rPr>
                    <w:t>138</w:t>
                  </w:r>
                  <w:r>
                    <w:rPr>
                      <w:rFonts w:ascii="Times New Roman" w:hAnsi="Times New Roman" w:eastAsia="Times New Roman" w:cs="Times New Roman"/>
                      <w:color w:val="auto"/>
                      <w:spacing w:val="-2"/>
                      <w:w w:val="100"/>
                      <w:sz w:val="21"/>
                      <w:szCs w:val="21"/>
                    </w:rPr>
                    <w:t>.</w:t>
                  </w:r>
                  <w:r>
                    <w:rPr>
                      <w:rFonts w:ascii="Times New Roman" w:hAnsi="Times New Roman" w:eastAsia="Times New Roman" w:cs="Times New Roman"/>
                      <w:color w:val="auto"/>
                      <w:spacing w:val="1"/>
                      <w:w w:val="100"/>
                      <w:sz w:val="21"/>
                      <w:szCs w:val="21"/>
                    </w:rPr>
                    <w:t>63</w:t>
                  </w:r>
                  <w:r>
                    <w:rPr>
                      <w:rFonts w:ascii="Times New Roman" w:hAnsi="Times New Roman" w:eastAsia="Times New Roman" w:cs="Times New Roman"/>
                      <w:color w:val="auto"/>
                      <w:spacing w:val="0"/>
                      <w:w w:val="100"/>
                      <w:sz w:val="21"/>
                      <w:szCs w:val="21"/>
                    </w:rPr>
                    <w:t>9</w:t>
                  </w:r>
                </w:p>
              </w:tc>
              <w:tc>
                <w:tcPr>
                  <w:tcW w:w="1167" w:type="dxa"/>
                  <w:tcBorders>
                    <w:top w:val="single" w:color="000000" w:sz="4" w:space="0"/>
                    <w:left w:val="single" w:color="000000" w:sz="6" w:space="0"/>
                    <w:bottom w:val="single" w:color="000000" w:sz="12" w:space="0"/>
                    <w:right w:val="single" w:color="000000" w:sz="6" w:space="0"/>
                  </w:tcBorders>
                  <w:noWrap w:val="0"/>
                  <w:vAlign w:val="top"/>
                </w:tcPr>
                <w:p>
                  <w:pPr>
                    <w:spacing w:before="86" w:after="0" w:line="240" w:lineRule="auto"/>
                    <w:ind w:left="24" w:right="-46"/>
                    <w:jc w:val="left"/>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w w:val="100"/>
                      <w:sz w:val="21"/>
                      <w:szCs w:val="21"/>
                    </w:rPr>
                    <w:t>302</w:t>
                  </w:r>
                  <w:r>
                    <w:rPr>
                      <w:rFonts w:ascii="Times New Roman" w:hAnsi="Times New Roman" w:eastAsia="Times New Roman" w:cs="Times New Roman"/>
                      <w:color w:val="auto"/>
                      <w:spacing w:val="-1"/>
                      <w:w w:val="100"/>
                      <w:sz w:val="21"/>
                      <w:szCs w:val="21"/>
                    </w:rPr>
                    <w:t>1</w:t>
                  </w:r>
                  <w:r>
                    <w:rPr>
                      <w:rFonts w:ascii="Times New Roman" w:hAnsi="Times New Roman" w:eastAsia="Times New Roman" w:cs="Times New Roman"/>
                      <w:color w:val="auto"/>
                      <w:spacing w:val="1"/>
                      <w:w w:val="100"/>
                      <w:sz w:val="21"/>
                      <w:szCs w:val="21"/>
                    </w:rPr>
                    <w:t>277.</w:t>
                  </w:r>
                  <w:r>
                    <w:rPr>
                      <w:rFonts w:ascii="Times New Roman" w:hAnsi="Times New Roman" w:eastAsia="Times New Roman" w:cs="Times New Roman"/>
                      <w:color w:val="auto"/>
                      <w:spacing w:val="-1"/>
                      <w:w w:val="100"/>
                      <w:sz w:val="21"/>
                      <w:szCs w:val="21"/>
                    </w:rPr>
                    <w:t>4</w:t>
                  </w:r>
                  <w:r>
                    <w:rPr>
                      <w:rFonts w:ascii="Times New Roman" w:hAnsi="Times New Roman" w:eastAsia="Times New Roman" w:cs="Times New Roman"/>
                      <w:color w:val="auto"/>
                      <w:spacing w:val="1"/>
                      <w:w w:val="100"/>
                      <w:sz w:val="21"/>
                      <w:szCs w:val="21"/>
                    </w:rPr>
                    <w:t>5</w:t>
                  </w:r>
                  <w:r>
                    <w:rPr>
                      <w:rFonts w:ascii="Times New Roman" w:hAnsi="Times New Roman" w:eastAsia="Times New Roman" w:cs="Times New Roman"/>
                      <w:color w:val="auto"/>
                      <w:spacing w:val="0"/>
                      <w:w w:val="100"/>
                      <w:sz w:val="21"/>
                      <w:szCs w:val="21"/>
                    </w:rPr>
                    <w:t>2</w:t>
                  </w:r>
                </w:p>
              </w:tc>
              <w:tc>
                <w:tcPr>
                  <w:tcW w:w="1308" w:type="dxa"/>
                  <w:vMerge w:val="continue"/>
                  <w:tcBorders>
                    <w:left w:val="single" w:color="000000" w:sz="6" w:space="0"/>
                    <w:bottom w:val="single" w:color="000000" w:sz="12" w:space="0"/>
                    <w:right w:val="single" w:color="000000" w:sz="6" w:space="0"/>
                  </w:tcBorders>
                  <w:noWrap w:val="0"/>
                  <w:vAlign w:val="center"/>
                </w:tcPr>
                <w:p>
                  <w:pPr>
                    <w:spacing w:before="0" w:after="0" w:line="292" w:lineRule="exact"/>
                    <w:ind w:left="0" w:leftChars="0" w:right="-20" w:firstLine="0" w:firstLineChars="0"/>
                    <w:jc w:val="center"/>
                    <w:rPr>
                      <w:rFonts w:hint="eastAsia" w:ascii="宋体" w:hAnsi="宋体" w:eastAsia="宋体" w:cs="宋体"/>
                      <w:color w:val="auto"/>
                      <w:spacing w:val="2"/>
                      <w:w w:val="100"/>
                      <w:position w:val="0"/>
                      <w:sz w:val="21"/>
                      <w:szCs w:val="21"/>
                    </w:rPr>
                  </w:pPr>
                </w:p>
              </w:tc>
              <w:tc>
                <w:tcPr>
                  <w:tcW w:w="1355" w:type="dxa"/>
                  <w:tcBorders>
                    <w:top w:val="single" w:color="000000" w:sz="4" w:space="0"/>
                    <w:left w:val="single" w:color="000000" w:sz="6" w:space="0"/>
                    <w:bottom w:val="single" w:color="000000" w:sz="12" w:space="0"/>
                    <w:right w:val="single" w:color="000000" w:sz="6" w:space="0"/>
                  </w:tcBorders>
                  <w:noWrap w:val="0"/>
                  <w:vAlign w:val="center"/>
                </w:tcPr>
                <w:p>
                  <w:pPr>
                    <w:spacing w:before="0" w:after="0" w:line="292" w:lineRule="exact"/>
                    <w:ind w:left="0" w:leftChars="0" w:right="-20" w:firstLine="0" w:firstLineChars="0"/>
                    <w:jc w:val="center"/>
                    <w:rPr>
                      <w:rFonts w:hint="eastAsia" w:ascii="宋体" w:hAnsi="宋体" w:eastAsia="宋体" w:cs="宋体"/>
                      <w:color w:val="auto"/>
                      <w:spacing w:val="2"/>
                      <w:w w:val="100"/>
                      <w:position w:val="0"/>
                      <w:sz w:val="21"/>
                      <w:szCs w:val="21"/>
                    </w:rPr>
                  </w:pPr>
                  <w:r>
                    <w:rPr>
                      <w:rFonts w:hint="eastAsia" w:ascii="宋体" w:hAnsi="宋体" w:eastAsia="宋体" w:cs="宋体"/>
                      <w:color w:val="auto"/>
                      <w:spacing w:val="2"/>
                      <w:w w:val="100"/>
                      <w:position w:val="0"/>
                      <w:sz w:val="21"/>
                      <w:szCs w:val="21"/>
                    </w:rPr>
                    <w:t>SW</w:t>
                  </w:r>
                </w:p>
              </w:tc>
              <w:tc>
                <w:tcPr>
                  <w:tcW w:w="1528" w:type="dxa"/>
                  <w:tcBorders>
                    <w:top w:val="single" w:color="000000" w:sz="4" w:space="0"/>
                    <w:left w:val="single" w:color="000000" w:sz="6" w:space="0"/>
                    <w:bottom w:val="single" w:color="000000" w:sz="12" w:space="0"/>
                    <w:right w:val="single" w:color="000000" w:sz="12" w:space="0"/>
                  </w:tcBorders>
                  <w:noWrap w:val="0"/>
                  <w:vAlign w:val="center"/>
                </w:tcPr>
                <w:p>
                  <w:pPr>
                    <w:spacing w:before="0" w:after="0" w:line="292" w:lineRule="exact"/>
                    <w:ind w:left="0" w:leftChars="0" w:right="-20" w:firstLine="0" w:firstLineChars="0"/>
                    <w:jc w:val="center"/>
                    <w:rPr>
                      <w:rFonts w:hint="eastAsia" w:ascii="宋体" w:hAnsi="宋体" w:eastAsia="宋体" w:cs="宋体"/>
                      <w:color w:val="auto"/>
                      <w:spacing w:val="2"/>
                      <w:w w:val="100"/>
                      <w:position w:val="0"/>
                      <w:sz w:val="21"/>
                      <w:szCs w:val="21"/>
                    </w:rPr>
                  </w:pPr>
                  <w:r>
                    <w:rPr>
                      <w:rFonts w:hint="eastAsia" w:ascii="宋体" w:hAnsi="宋体" w:eastAsia="宋体" w:cs="宋体"/>
                      <w:color w:val="auto"/>
                      <w:spacing w:val="2"/>
                      <w:w w:val="100"/>
                      <w:position w:val="0"/>
                      <w:sz w:val="21"/>
                      <w:szCs w:val="21"/>
                      <w:lang w:val="en-US" w:eastAsia="zh-CN"/>
                    </w:rPr>
                    <w:t>15</w:t>
                  </w:r>
                  <w:r>
                    <w:rPr>
                      <w:rFonts w:hint="eastAsia" w:ascii="宋体" w:hAnsi="宋体" w:eastAsia="宋体" w:cs="宋体"/>
                      <w:color w:val="auto"/>
                      <w:spacing w:val="2"/>
                      <w:w w:val="100"/>
                      <w:position w:val="0"/>
                      <w:sz w:val="21"/>
                      <w:szCs w:val="21"/>
                    </w:rPr>
                    <w:t>0</w:t>
                  </w:r>
                </w:p>
              </w:tc>
            </w:tr>
          </w:tbl>
          <w:p>
            <w:pPr>
              <w:pStyle w:val="186"/>
              <w:spacing w:line="360" w:lineRule="auto"/>
              <w:ind w:firstLine="420" w:firstLineChars="200"/>
              <w:jc w:val="both"/>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②监测结果</w:t>
            </w:r>
          </w:p>
          <w:p>
            <w:pPr>
              <w:pStyle w:val="186"/>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表3-3  其他污染物环境质量现状监测结果</w:t>
            </w:r>
          </w:p>
          <w:tbl>
            <w:tblPr>
              <w:tblStyle w:val="33"/>
              <w:tblW w:w="7995" w:type="dxa"/>
              <w:jc w:val="center"/>
              <w:tblLayout w:type="fixed"/>
              <w:tblCellMar>
                <w:top w:w="0" w:type="dxa"/>
                <w:left w:w="0" w:type="dxa"/>
                <w:bottom w:w="0" w:type="dxa"/>
                <w:right w:w="0" w:type="dxa"/>
              </w:tblCellMar>
            </w:tblPr>
            <w:tblGrid>
              <w:gridCol w:w="551"/>
              <w:gridCol w:w="568"/>
              <w:gridCol w:w="573"/>
              <w:gridCol w:w="652"/>
              <w:gridCol w:w="862"/>
              <w:gridCol w:w="947"/>
              <w:gridCol w:w="1500"/>
              <w:gridCol w:w="975"/>
              <w:gridCol w:w="633"/>
              <w:gridCol w:w="734"/>
            </w:tblGrid>
            <w:tr>
              <w:tblPrEx>
                <w:tblCellMar>
                  <w:top w:w="0" w:type="dxa"/>
                  <w:left w:w="0" w:type="dxa"/>
                  <w:bottom w:w="0" w:type="dxa"/>
                  <w:right w:w="0" w:type="dxa"/>
                </w:tblCellMar>
              </w:tblPrEx>
              <w:trPr>
                <w:trHeight w:val="23" w:hRule="atLeast"/>
                <w:jc w:val="center"/>
              </w:trPr>
              <w:tc>
                <w:tcPr>
                  <w:tcW w:w="551" w:type="dxa"/>
                  <w:vMerge w:val="restart"/>
                  <w:tcBorders>
                    <w:top w:val="single" w:color="000000" w:sz="12" w:space="0"/>
                    <w:left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监测 点位</w:t>
                  </w:r>
                </w:p>
              </w:tc>
              <w:tc>
                <w:tcPr>
                  <w:tcW w:w="1141" w:type="dxa"/>
                  <w:gridSpan w:val="2"/>
                  <w:tcBorders>
                    <w:top w:val="single" w:color="000000" w:sz="12"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监测点坐标/m</w:t>
                  </w:r>
                </w:p>
              </w:tc>
              <w:tc>
                <w:tcPr>
                  <w:tcW w:w="652" w:type="dxa"/>
                  <w:vMerge w:val="restart"/>
                  <w:tcBorders>
                    <w:top w:val="single" w:color="000000" w:sz="12"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污染物</w:t>
                  </w:r>
                </w:p>
              </w:tc>
              <w:tc>
                <w:tcPr>
                  <w:tcW w:w="862" w:type="dxa"/>
                  <w:vMerge w:val="restart"/>
                  <w:tcBorders>
                    <w:top w:val="single" w:color="000000" w:sz="12"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平均时间</w:t>
                  </w:r>
                </w:p>
              </w:tc>
              <w:tc>
                <w:tcPr>
                  <w:tcW w:w="947" w:type="dxa"/>
                  <w:vMerge w:val="restart"/>
                  <w:tcBorders>
                    <w:top w:val="single" w:color="000000" w:sz="12"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评价标准/</w:t>
                  </w: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（mg/m3）</w:t>
                  </w:r>
                </w:p>
              </w:tc>
              <w:tc>
                <w:tcPr>
                  <w:tcW w:w="1500" w:type="dxa"/>
                  <w:vMerge w:val="restart"/>
                  <w:tcBorders>
                    <w:top w:val="single" w:color="000000" w:sz="12"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监测浓度范围/</w:t>
                  </w: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（mg/m3）</w:t>
                  </w:r>
                </w:p>
              </w:tc>
              <w:tc>
                <w:tcPr>
                  <w:tcW w:w="975" w:type="dxa"/>
                  <w:vMerge w:val="restart"/>
                  <w:tcBorders>
                    <w:top w:val="single" w:color="000000" w:sz="12"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最大浓度占 标率（%）</w:t>
                  </w:r>
                </w:p>
              </w:tc>
              <w:tc>
                <w:tcPr>
                  <w:tcW w:w="633" w:type="dxa"/>
                  <w:vMerge w:val="restart"/>
                  <w:tcBorders>
                    <w:top w:val="single" w:color="000000" w:sz="12"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超标率</w:t>
                  </w: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w:t>
                  </w:r>
                </w:p>
              </w:tc>
              <w:tc>
                <w:tcPr>
                  <w:tcW w:w="734" w:type="dxa"/>
                  <w:vMerge w:val="restart"/>
                  <w:tcBorders>
                    <w:top w:val="single" w:color="000000" w:sz="12" w:space="0"/>
                    <w:left w:val="single" w:color="000000" w:sz="4" w:space="0"/>
                    <w:right w:val="single" w:color="000000" w:sz="12"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达标情 况</w:t>
                  </w:r>
                </w:p>
              </w:tc>
            </w:tr>
            <w:tr>
              <w:tblPrEx>
                <w:tblCellMar>
                  <w:top w:w="0" w:type="dxa"/>
                  <w:left w:w="0" w:type="dxa"/>
                  <w:bottom w:w="0" w:type="dxa"/>
                  <w:right w:w="0" w:type="dxa"/>
                </w:tblCellMar>
              </w:tblPrEx>
              <w:trPr>
                <w:trHeight w:val="23" w:hRule="atLeast"/>
                <w:jc w:val="center"/>
              </w:trPr>
              <w:tc>
                <w:tcPr>
                  <w:tcW w:w="551" w:type="dxa"/>
                  <w:vMerge w:val="continue"/>
                  <w:tcBorders>
                    <w:left w:val="single" w:color="000000" w:sz="12"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568"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X</w:t>
                  </w:r>
                </w:p>
              </w:tc>
              <w:tc>
                <w:tcPr>
                  <w:tcW w:w="573"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Y</w:t>
                  </w:r>
                </w:p>
              </w:tc>
              <w:tc>
                <w:tcPr>
                  <w:tcW w:w="652" w:type="dxa"/>
                  <w:vMerge w:val="continue"/>
                  <w:tcBorders>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862" w:type="dxa"/>
                  <w:vMerge w:val="continue"/>
                  <w:tcBorders>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947" w:type="dxa"/>
                  <w:vMerge w:val="continue"/>
                  <w:tcBorders>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1500" w:type="dxa"/>
                  <w:vMerge w:val="continue"/>
                  <w:tcBorders>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975" w:type="dxa"/>
                  <w:vMerge w:val="continue"/>
                  <w:tcBorders>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633" w:type="dxa"/>
                  <w:vMerge w:val="continue"/>
                  <w:tcBorders>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734" w:type="dxa"/>
                  <w:vMerge w:val="continue"/>
                  <w:tcBorders>
                    <w:left w:val="single" w:color="000000" w:sz="4" w:space="0"/>
                    <w:bottom w:val="single" w:color="000000" w:sz="4" w:space="0"/>
                    <w:right w:val="single" w:color="000000" w:sz="12"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r>
            <w:tr>
              <w:tblPrEx>
                <w:tblCellMar>
                  <w:top w:w="0" w:type="dxa"/>
                  <w:left w:w="0" w:type="dxa"/>
                  <w:bottom w:w="0" w:type="dxa"/>
                  <w:right w:w="0" w:type="dxa"/>
                </w:tblCellMar>
              </w:tblPrEx>
              <w:trPr>
                <w:trHeight w:val="23" w:hRule="atLeast"/>
                <w:jc w:val="center"/>
              </w:trPr>
              <w:tc>
                <w:tcPr>
                  <w:tcW w:w="551" w:type="dxa"/>
                  <w:vMerge w:val="restart"/>
                  <w:tcBorders>
                    <w:top w:val="single" w:color="000000" w:sz="4" w:space="0"/>
                    <w:left w:val="single" w:color="000000" w:sz="12" w:space="0"/>
                    <w:right w:val="single" w:color="000000" w:sz="4" w:space="0"/>
                  </w:tcBorders>
                  <w:noWrap w:val="0"/>
                  <w:vAlign w:val="center"/>
                </w:tcPr>
                <w:p>
                  <w:pPr>
                    <w:spacing w:before="0" w:after="0" w:line="292" w:lineRule="exact"/>
                    <w:ind w:left="0" w:leftChars="0" w:right="-20" w:rightChars="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G1飞荣废旧塑料加工厂 厂址中心</w:t>
                  </w:r>
                </w:p>
              </w:tc>
              <w:tc>
                <w:tcPr>
                  <w:tcW w:w="568" w:type="dxa"/>
                  <w:vMerge w:val="restart"/>
                  <w:tcBorders>
                    <w:top w:val="single" w:color="000000" w:sz="4"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579204</w:t>
                  </w: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.093</w:t>
                  </w:r>
                </w:p>
              </w:tc>
              <w:tc>
                <w:tcPr>
                  <w:tcW w:w="573" w:type="dxa"/>
                  <w:vMerge w:val="restart"/>
                  <w:tcBorders>
                    <w:top w:val="single" w:color="000000" w:sz="4"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302136</w:t>
                  </w: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5.523</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TSP</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24h</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0.30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0.126-0.128</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42.7</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w:t>
                  </w:r>
                </w:p>
              </w:tc>
              <w:tc>
                <w:tcPr>
                  <w:tcW w:w="734" w:type="dxa"/>
                  <w:tcBorders>
                    <w:top w:val="single" w:color="000000" w:sz="4" w:space="0"/>
                    <w:left w:val="single" w:color="000000" w:sz="4" w:space="0"/>
                    <w:bottom w:val="single" w:color="000000" w:sz="4" w:space="0"/>
                    <w:right w:val="single" w:color="000000" w:sz="12"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达标</w:t>
                  </w:r>
                </w:p>
              </w:tc>
            </w:tr>
            <w:tr>
              <w:tblPrEx>
                <w:tblCellMar>
                  <w:top w:w="0" w:type="dxa"/>
                  <w:left w:w="0" w:type="dxa"/>
                  <w:bottom w:w="0" w:type="dxa"/>
                  <w:right w:w="0" w:type="dxa"/>
                </w:tblCellMar>
              </w:tblPrEx>
              <w:trPr>
                <w:trHeight w:val="23" w:hRule="atLeast"/>
                <w:jc w:val="center"/>
              </w:trPr>
              <w:tc>
                <w:tcPr>
                  <w:tcW w:w="551" w:type="dxa"/>
                  <w:vMerge w:val="continue"/>
                  <w:tcBorders>
                    <w:left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568" w:type="dxa"/>
                  <w:vMerge w:val="continue"/>
                  <w:tcBorders>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573" w:type="dxa"/>
                  <w:vMerge w:val="continue"/>
                  <w:tcBorders>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PM2.5</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24h</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0.075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0.044-0.048</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64.0</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w:t>
                  </w:r>
                </w:p>
              </w:tc>
              <w:tc>
                <w:tcPr>
                  <w:tcW w:w="734" w:type="dxa"/>
                  <w:tcBorders>
                    <w:top w:val="single" w:color="000000" w:sz="4" w:space="0"/>
                    <w:left w:val="single" w:color="000000" w:sz="4" w:space="0"/>
                    <w:bottom w:val="single" w:color="000000" w:sz="4" w:space="0"/>
                    <w:right w:val="single" w:color="000000" w:sz="12"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达标</w:t>
                  </w:r>
                </w:p>
              </w:tc>
            </w:tr>
            <w:tr>
              <w:tblPrEx>
                <w:tblCellMar>
                  <w:top w:w="0" w:type="dxa"/>
                  <w:left w:w="0" w:type="dxa"/>
                  <w:bottom w:w="0" w:type="dxa"/>
                  <w:right w:w="0" w:type="dxa"/>
                </w:tblCellMar>
              </w:tblPrEx>
              <w:trPr>
                <w:trHeight w:val="23" w:hRule="atLeast"/>
                <w:jc w:val="center"/>
              </w:trPr>
              <w:tc>
                <w:tcPr>
                  <w:tcW w:w="551" w:type="dxa"/>
                  <w:vMerge w:val="continue"/>
                  <w:tcBorders>
                    <w:left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568" w:type="dxa"/>
                  <w:vMerge w:val="continue"/>
                  <w:tcBorders>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573" w:type="dxa"/>
                  <w:vMerge w:val="continue"/>
                  <w:tcBorders>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非甲烷</w:t>
                  </w: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总烃</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1h</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2.0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1.07-1.79</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89.5</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w:t>
                  </w:r>
                </w:p>
              </w:tc>
              <w:tc>
                <w:tcPr>
                  <w:tcW w:w="734" w:type="dxa"/>
                  <w:tcBorders>
                    <w:top w:val="single" w:color="000000" w:sz="4" w:space="0"/>
                    <w:left w:val="single" w:color="000000" w:sz="4" w:space="0"/>
                    <w:bottom w:val="single" w:color="000000" w:sz="4" w:space="0"/>
                    <w:right w:val="single" w:color="000000" w:sz="12"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达标</w:t>
                  </w:r>
                </w:p>
              </w:tc>
            </w:tr>
            <w:tr>
              <w:tblPrEx>
                <w:tblCellMar>
                  <w:top w:w="0" w:type="dxa"/>
                  <w:left w:w="0" w:type="dxa"/>
                  <w:bottom w:w="0" w:type="dxa"/>
                  <w:right w:w="0" w:type="dxa"/>
                </w:tblCellMar>
              </w:tblPrEx>
              <w:trPr>
                <w:trHeight w:val="23" w:hRule="atLeast"/>
                <w:jc w:val="center"/>
              </w:trPr>
              <w:tc>
                <w:tcPr>
                  <w:tcW w:w="551" w:type="dxa"/>
                  <w:vMerge w:val="continue"/>
                  <w:tcBorders>
                    <w:left w:val="single" w:color="000000" w:sz="12"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568" w:type="dxa"/>
                  <w:vMerge w:val="continue"/>
                  <w:tcBorders>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573" w:type="dxa"/>
                  <w:vMerge w:val="continue"/>
                  <w:tcBorders>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TVOC</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8h</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0.6</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ND</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w:t>
                  </w:r>
                </w:p>
              </w:tc>
              <w:tc>
                <w:tcPr>
                  <w:tcW w:w="734" w:type="dxa"/>
                  <w:tcBorders>
                    <w:top w:val="single" w:color="000000" w:sz="4" w:space="0"/>
                    <w:left w:val="single" w:color="000000" w:sz="4" w:space="0"/>
                    <w:bottom w:val="single" w:color="000000" w:sz="4" w:space="0"/>
                    <w:right w:val="single" w:color="000000" w:sz="12"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达标</w:t>
                  </w:r>
                </w:p>
              </w:tc>
            </w:tr>
            <w:tr>
              <w:tblPrEx>
                <w:tblCellMar>
                  <w:top w:w="0" w:type="dxa"/>
                  <w:left w:w="0" w:type="dxa"/>
                  <w:bottom w:w="0" w:type="dxa"/>
                  <w:right w:w="0" w:type="dxa"/>
                </w:tblCellMar>
              </w:tblPrEx>
              <w:trPr>
                <w:trHeight w:val="23" w:hRule="atLeast"/>
                <w:jc w:val="center"/>
              </w:trPr>
              <w:tc>
                <w:tcPr>
                  <w:tcW w:w="551" w:type="dxa"/>
                  <w:vMerge w:val="restart"/>
                  <w:tcBorders>
                    <w:top w:val="single" w:color="000000" w:sz="4" w:space="0"/>
                    <w:left w:val="single" w:color="000000" w:sz="12" w:space="0"/>
                    <w:right w:val="single" w:color="000000" w:sz="4" w:space="0"/>
                  </w:tcBorders>
                  <w:noWrap w:val="0"/>
                  <w:vAlign w:val="center"/>
                </w:tcPr>
                <w:p>
                  <w:pPr>
                    <w:spacing w:before="0" w:after="0" w:line="292" w:lineRule="exact"/>
                    <w:ind w:left="0" w:leftChars="0" w:right="-20" w:rightChars="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G2 飞荣废旧塑料加工厂下风向</w:t>
                  </w:r>
                </w:p>
              </w:tc>
              <w:tc>
                <w:tcPr>
                  <w:tcW w:w="568" w:type="dxa"/>
                  <w:vMerge w:val="restart"/>
                  <w:tcBorders>
                    <w:top w:val="single" w:color="000000" w:sz="4"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579138</w:t>
                  </w: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.639</w:t>
                  </w:r>
                </w:p>
              </w:tc>
              <w:tc>
                <w:tcPr>
                  <w:tcW w:w="573" w:type="dxa"/>
                  <w:vMerge w:val="restart"/>
                  <w:tcBorders>
                    <w:top w:val="single" w:color="000000" w:sz="4" w:space="0"/>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302127</w:t>
                  </w: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7.452</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TSP</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24h</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0.30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0.134-0.140</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46.7</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w:t>
                  </w:r>
                </w:p>
              </w:tc>
              <w:tc>
                <w:tcPr>
                  <w:tcW w:w="734" w:type="dxa"/>
                  <w:tcBorders>
                    <w:top w:val="single" w:color="000000" w:sz="4" w:space="0"/>
                    <w:left w:val="single" w:color="000000" w:sz="4" w:space="0"/>
                    <w:bottom w:val="single" w:color="000000" w:sz="4" w:space="0"/>
                    <w:right w:val="single" w:color="000000" w:sz="12"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达标</w:t>
                  </w:r>
                </w:p>
              </w:tc>
            </w:tr>
            <w:tr>
              <w:tblPrEx>
                <w:tblCellMar>
                  <w:top w:w="0" w:type="dxa"/>
                  <w:left w:w="0" w:type="dxa"/>
                  <w:bottom w:w="0" w:type="dxa"/>
                  <w:right w:w="0" w:type="dxa"/>
                </w:tblCellMar>
              </w:tblPrEx>
              <w:trPr>
                <w:trHeight w:val="23" w:hRule="atLeast"/>
                <w:jc w:val="center"/>
              </w:trPr>
              <w:tc>
                <w:tcPr>
                  <w:tcW w:w="551" w:type="dxa"/>
                  <w:vMerge w:val="continue"/>
                  <w:tcBorders>
                    <w:left w:val="single" w:color="000000" w:sz="12" w:space="0"/>
                    <w:right w:val="single" w:color="000000" w:sz="4" w:space="0"/>
                  </w:tcBorders>
                  <w:noWrap w:val="0"/>
                  <w:vAlign w:val="center"/>
                </w:tcPr>
                <w:p>
                  <w:pPr>
                    <w:jc w:val="center"/>
                    <w:rPr>
                      <w:rFonts w:hint="default" w:ascii="Times New Roman" w:hAnsi="Times New Roman" w:cs="Times New Roman"/>
                      <w:color w:val="auto"/>
                    </w:rPr>
                  </w:pPr>
                </w:p>
              </w:tc>
              <w:tc>
                <w:tcPr>
                  <w:tcW w:w="568" w:type="dxa"/>
                  <w:vMerge w:val="continue"/>
                  <w:tcBorders>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573" w:type="dxa"/>
                  <w:vMerge w:val="continue"/>
                  <w:tcBorders>
                    <w:left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PM2.5</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24h</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0.075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0.050-0.054</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72.0</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w:t>
                  </w:r>
                </w:p>
              </w:tc>
              <w:tc>
                <w:tcPr>
                  <w:tcW w:w="734" w:type="dxa"/>
                  <w:tcBorders>
                    <w:top w:val="single" w:color="000000" w:sz="4" w:space="0"/>
                    <w:left w:val="single" w:color="000000" w:sz="4" w:space="0"/>
                    <w:bottom w:val="single" w:color="000000" w:sz="4" w:space="0"/>
                    <w:right w:val="single" w:color="000000" w:sz="12"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达标</w:t>
                  </w:r>
                </w:p>
              </w:tc>
            </w:tr>
            <w:tr>
              <w:tblPrEx>
                <w:tblCellMar>
                  <w:top w:w="0" w:type="dxa"/>
                  <w:left w:w="0" w:type="dxa"/>
                  <w:bottom w:w="0" w:type="dxa"/>
                  <w:right w:w="0" w:type="dxa"/>
                </w:tblCellMar>
              </w:tblPrEx>
              <w:trPr>
                <w:trHeight w:val="23" w:hRule="atLeast"/>
                <w:jc w:val="center"/>
              </w:trPr>
              <w:tc>
                <w:tcPr>
                  <w:tcW w:w="551" w:type="dxa"/>
                  <w:vMerge w:val="continue"/>
                  <w:tcBorders>
                    <w:left w:val="single" w:color="000000" w:sz="12" w:space="0"/>
                    <w:bottom w:val="single" w:color="000000" w:sz="12" w:space="0"/>
                    <w:right w:val="single" w:color="000000" w:sz="4" w:space="0"/>
                  </w:tcBorders>
                  <w:noWrap w:val="0"/>
                  <w:vAlign w:val="center"/>
                </w:tcPr>
                <w:p>
                  <w:pPr>
                    <w:jc w:val="center"/>
                    <w:rPr>
                      <w:rFonts w:hint="default" w:ascii="Times New Roman" w:hAnsi="Times New Roman" w:cs="Times New Roman"/>
                      <w:color w:val="auto"/>
                    </w:rPr>
                  </w:pPr>
                </w:p>
              </w:tc>
              <w:tc>
                <w:tcPr>
                  <w:tcW w:w="568" w:type="dxa"/>
                  <w:vMerge w:val="continue"/>
                  <w:tcBorders>
                    <w:left w:val="single" w:color="000000" w:sz="4" w:space="0"/>
                    <w:bottom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573" w:type="dxa"/>
                  <w:vMerge w:val="continue"/>
                  <w:tcBorders>
                    <w:left w:val="single" w:color="000000" w:sz="4" w:space="0"/>
                    <w:bottom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tc>
              <w:tc>
                <w:tcPr>
                  <w:tcW w:w="652" w:type="dxa"/>
                  <w:tcBorders>
                    <w:top w:val="single" w:color="000000" w:sz="4" w:space="0"/>
                    <w:left w:val="single" w:color="000000" w:sz="4" w:space="0"/>
                    <w:bottom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非甲烷</w:t>
                  </w: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总烃</w:t>
                  </w:r>
                </w:p>
              </w:tc>
              <w:tc>
                <w:tcPr>
                  <w:tcW w:w="862" w:type="dxa"/>
                  <w:tcBorders>
                    <w:top w:val="single" w:color="000000" w:sz="4" w:space="0"/>
                    <w:left w:val="single" w:color="000000" w:sz="4" w:space="0"/>
                    <w:bottom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1h</w:t>
                  </w:r>
                </w:p>
              </w:tc>
              <w:tc>
                <w:tcPr>
                  <w:tcW w:w="947" w:type="dxa"/>
                  <w:tcBorders>
                    <w:top w:val="single" w:color="000000" w:sz="4" w:space="0"/>
                    <w:left w:val="single" w:color="000000" w:sz="4" w:space="0"/>
                    <w:bottom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2.0</w:t>
                  </w:r>
                </w:p>
              </w:tc>
              <w:tc>
                <w:tcPr>
                  <w:tcW w:w="1500" w:type="dxa"/>
                  <w:tcBorders>
                    <w:top w:val="single" w:color="000000" w:sz="4" w:space="0"/>
                    <w:left w:val="single" w:color="000000" w:sz="4" w:space="0"/>
                    <w:bottom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1.02-1.63</w:t>
                  </w:r>
                </w:p>
              </w:tc>
              <w:tc>
                <w:tcPr>
                  <w:tcW w:w="975" w:type="dxa"/>
                  <w:tcBorders>
                    <w:top w:val="single" w:color="000000" w:sz="4" w:space="0"/>
                    <w:left w:val="single" w:color="000000" w:sz="4" w:space="0"/>
                    <w:bottom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81.5</w:t>
                  </w:r>
                </w:p>
              </w:tc>
              <w:tc>
                <w:tcPr>
                  <w:tcW w:w="633" w:type="dxa"/>
                  <w:tcBorders>
                    <w:top w:val="single" w:color="000000" w:sz="4" w:space="0"/>
                    <w:left w:val="single" w:color="000000" w:sz="4" w:space="0"/>
                    <w:bottom w:val="single" w:color="000000" w:sz="12" w:space="0"/>
                    <w:right w:val="single" w:color="000000" w:sz="4"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p>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0</w:t>
                  </w:r>
                </w:p>
              </w:tc>
              <w:tc>
                <w:tcPr>
                  <w:tcW w:w="734" w:type="dxa"/>
                  <w:tcBorders>
                    <w:top w:val="single" w:color="000000" w:sz="4" w:space="0"/>
                    <w:left w:val="single" w:color="000000" w:sz="4" w:space="0"/>
                    <w:bottom w:val="single" w:color="000000" w:sz="12" w:space="0"/>
                    <w:right w:val="single" w:color="000000" w:sz="12" w:space="0"/>
                  </w:tcBorders>
                  <w:noWrap w:val="0"/>
                  <w:vAlign w:val="center"/>
                </w:tcPr>
                <w:p>
                  <w:pPr>
                    <w:spacing w:before="0" w:after="0" w:line="292" w:lineRule="exact"/>
                    <w:ind w:left="0" w:leftChars="0" w:right="-20" w:firstLine="0" w:firstLineChars="0"/>
                    <w:jc w:val="center"/>
                    <w:rPr>
                      <w:rFonts w:hint="default" w:ascii="Times New Roman" w:hAnsi="Times New Roman" w:eastAsia="宋体" w:cs="Times New Roman"/>
                      <w:color w:val="auto"/>
                      <w:spacing w:val="2"/>
                      <w:w w:val="100"/>
                      <w:position w:val="0"/>
                      <w:sz w:val="21"/>
                      <w:szCs w:val="21"/>
                    </w:rPr>
                  </w:pPr>
                  <w:r>
                    <w:rPr>
                      <w:rFonts w:hint="default" w:ascii="Times New Roman" w:hAnsi="Times New Roman" w:eastAsia="宋体" w:cs="Times New Roman"/>
                      <w:color w:val="auto"/>
                      <w:spacing w:val="2"/>
                      <w:w w:val="100"/>
                      <w:position w:val="0"/>
                      <w:sz w:val="21"/>
                      <w:szCs w:val="21"/>
                    </w:rPr>
                    <w:t>达标</w:t>
                  </w:r>
                </w:p>
              </w:tc>
            </w:tr>
          </w:tbl>
          <w:p>
            <w:pPr>
              <w:pStyle w:val="186"/>
              <w:jc w:val="center"/>
              <w:rPr>
                <w:rFonts w:ascii="Times New Roman" w:hAnsi="Times New Roman" w:cs="Times New Roman"/>
                <w:b/>
                <w:bCs/>
                <w:color w:val="auto"/>
                <w:sz w:val="21"/>
                <w:szCs w:val="21"/>
              </w:rPr>
            </w:pPr>
          </w:p>
          <w:p>
            <w:pPr>
              <w:pStyle w:val="72"/>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bCs/>
                <w:color w:val="auto"/>
                <w:sz w:val="24"/>
                <w:szCs w:val="24"/>
              </w:rPr>
              <w:t>监测结果表明：项目各监测点总悬浮颗粒物（TSP）及可吸入颗粒物（PM</w:t>
            </w:r>
            <w:r>
              <w:rPr>
                <w:rFonts w:hint="default" w:ascii="Times New Roman" w:hAnsi="Times New Roman" w:eastAsia="宋体" w:cs="Times New Roman"/>
                <w:bCs/>
                <w:color w:val="auto"/>
                <w:sz w:val="24"/>
                <w:szCs w:val="24"/>
                <w:vertAlign w:val="subscript"/>
              </w:rPr>
              <w:t>2.5</w:t>
            </w:r>
            <w:r>
              <w:rPr>
                <w:rFonts w:hint="default" w:ascii="Times New Roman" w:hAnsi="Times New Roman" w:eastAsia="宋体" w:cs="Times New Roman"/>
                <w:bCs/>
                <w:color w:val="auto"/>
                <w:sz w:val="24"/>
                <w:szCs w:val="24"/>
              </w:rPr>
              <w:t>）浓度符合《环境空气质量标准》（GB3095-2012）中二级标准要求，TVOC浓度符合《环境影响评价技术导则 大气环境》（HJ 2.2-2018）附录表 D.1中的相关标 准限值。非甲烷总烃浓度符合《大气污染物综合排放标准》详解中标准限值，评价区域大气环境质量现状良好</w:t>
            </w:r>
            <w:r>
              <w:rPr>
                <w:rFonts w:hint="eastAsia" w:ascii="Times New Roman" w:hAnsi="Times New Roman" w:cs="Times New Roman"/>
                <w:color w:val="auto"/>
                <w:sz w:val="24"/>
                <w:szCs w:val="24"/>
                <w:u w:val="none"/>
                <w:lang w:eastAsia="zh-CN"/>
              </w:rPr>
              <w:t>。</w:t>
            </w:r>
          </w:p>
          <w:p>
            <w:pPr>
              <w:adjustRightIn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2.地表水</w:t>
            </w:r>
          </w:p>
          <w:p>
            <w:pPr>
              <w:pStyle w:val="7"/>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b/>
                <w:bCs/>
                <w:color w:val="auto"/>
                <w:sz w:val="24"/>
                <w:szCs w:val="24"/>
                <w:lang w:eastAsia="zh-CN"/>
              </w:rPr>
            </w:pPr>
            <w:bookmarkStart w:id="7" w:name="_Toc3642"/>
            <w:r>
              <w:rPr>
                <w:rFonts w:hint="default" w:ascii="Times New Roman" w:hAnsi="Times New Roman" w:eastAsia="宋体" w:cs="Times New Roman"/>
                <w:b w:val="0"/>
                <w:bCs/>
                <w:color w:val="auto"/>
                <w:sz w:val="24"/>
                <w:szCs w:val="24"/>
                <w:u w:val="none"/>
              </w:rPr>
              <w:t>本项目无生产废水</w:t>
            </w:r>
            <w:r>
              <w:rPr>
                <w:rFonts w:hint="default" w:ascii="Times New Roman" w:hAnsi="Times New Roman" w:eastAsia="宋体" w:cs="Times New Roman"/>
                <w:b w:val="0"/>
                <w:bCs/>
                <w:color w:val="auto"/>
                <w:sz w:val="24"/>
                <w:szCs w:val="24"/>
                <w:u w:val="none"/>
                <w:lang w:eastAsia="zh-CN"/>
              </w:rPr>
              <w:t>外排</w:t>
            </w:r>
            <w:r>
              <w:rPr>
                <w:rFonts w:hint="default" w:ascii="Times New Roman" w:hAnsi="Times New Roman" w:eastAsia="宋体" w:cs="Times New Roman"/>
                <w:b w:val="0"/>
                <w:bCs/>
                <w:color w:val="auto"/>
                <w:sz w:val="24"/>
                <w:szCs w:val="24"/>
                <w:u w:val="none"/>
              </w:rPr>
              <w:t>，生活污水经化粪池处理后</w:t>
            </w:r>
            <w:r>
              <w:rPr>
                <w:rFonts w:hint="default" w:ascii="Times New Roman" w:hAnsi="Times New Roman" w:eastAsia="宋体" w:cs="Times New Roman"/>
                <w:b w:val="0"/>
                <w:bCs/>
                <w:color w:val="auto"/>
                <w:sz w:val="24"/>
                <w:szCs w:val="24"/>
                <w:u w:val="none"/>
                <w:lang w:eastAsia="zh-CN"/>
              </w:rPr>
              <w:t>用作农肥</w:t>
            </w:r>
            <w:r>
              <w:rPr>
                <w:rFonts w:hint="eastAsia" w:eastAsia="宋体" w:cs="Times New Roman"/>
                <w:b w:val="0"/>
                <w:bCs/>
                <w:color w:val="auto"/>
                <w:sz w:val="24"/>
                <w:szCs w:val="24"/>
                <w:u w:val="none"/>
                <w:lang w:eastAsia="zh-CN"/>
              </w:rPr>
              <w:t>。项目西侧</w:t>
            </w:r>
            <w:r>
              <w:rPr>
                <w:rFonts w:hint="eastAsia" w:eastAsia="宋体" w:cs="Times New Roman"/>
                <w:b w:val="0"/>
                <w:bCs/>
                <w:color w:val="auto"/>
                <w:sz w:val="24"/>
                <w:szCs w:val="24"/>
                <w:u w:val="none"/>
                <w:lang w:val="en-US" w:eastAsia="zh-CN"/>
              </w:rPr>
              <w:t>66</w:t>
            </w:r>
            <w:r>
              <w:rPr>
                <w:rFonts w:hint="eastAsia" w:eastAsia="宋体" w:cs="Times New Roman"/>
                <w:b w:val="0"/>
                <w:bCs/>
                <w:color w:val="auto"/>
                <w:sz w:val="24"/>
                <w:szCs w:val="24"/>
                <w:u w:val="none"/>
                <w:lang w:eastAsia="zh-CN"/>
              </w:rPr>
              <w:t>0m处</w:t>
            </w:r>
            <w:r>
              <w:rPr>
                <w:rFonts w:hint="eastAsia" w:eastAsia="宋体" w:cs="Times New Roman"/>
                <w:b w:val="0"/>
                <w:bCs/>
                <w:color w:val="auto"/>
                <w:sz w:val="24"/>
                <w:szCs w:val="24"/>
                <w:u w:val="none"/>
                <w:lang w:val="en-US" w:eastAsia="zh-CN"/>
              </w:rPr>
              <w:t>为天台山水，西侧有山体阻隔；项目东侧1000m处为朱家冲水，主要用于当地居民的农业灌溉用水，</w:t>
            </w:r>
            <w:r>
              <w:rPr>
                <w:rFonts w:hint="eastAsia" w:eastAsia="宋体" w:cs="Times New Roman"/>
                <w:b w:val="0"/>
                <w:bCs/>
                <w:color w:val="auto"/>
                <w:sz w:val="24"/>
                <w:szCs w:val="24"/>
                <w:u w:val="none"/>
                <w:lang w:val="en-US" w:eastAsia="zh-CN"/>
              </w:rPr>
              <w:t>朱家冲水往西南在黄陂桥处</w:t>
            </w:r>
            <w:r>
              <w:rPr>
                <w:rFonts w:hint="eastAsia" w:eastAsia="宋体" w:cs="Times New Roman"/>
                <w:b w:val="0"/>
                <w:bCs/>
                <w:color w:val="auto"/>
                <w:sz w:val="24"/>
                <w:szCs w:val="24"/>
                <w:u w:val="none"/>
                <w:lang w:val="en-US" w:eastAsia="zh-CN"/>
              </w:rPr>
              <w:t>与桐江交汇，位于</w:t>
            </w:r>
            <w:r>
              <w:rPr>
                <w:rFonts w:hint="default" w:ascii="Times New Roman" w:hAnsi="Times New Roman" w:eastAsia="宋体" w:cs="Times New Roman"/>
                <w:b w:val="0"/>
                <w:bCs/>
                <w:color w:val="auto"/>
                <w:sz w:val="24"/>
                <w:szCs w:val="24"/>
              </w:rPr>
              <w:t>邵东市桐江兴隆水厂省控断面</w:t>
            </w:r>
            <w:r>
              <w:rPr>
                <w:rFonts w:hint="eastAsia" w:eastAsia="宋体" w:cs="Times New Roman"/>
                <w:b w:val="0"/>
                <w:bCs/>
                <w:color w:val="auto"/>
                <w:sz w:val="24"/>
                <w:szCs w:val="24"/>
                <w:lang w:val="en-US" w:eastAsia="zh-CN"/>
              </w:rPr>
              <w:t>上游53</w:t>
            </w:r>
            <w:r>
              <w:rPr>
                <w:rFonts w:hint="eastAsia" w:ascii="Times New Roman" w:hAnsi="Times New Roman" w:eastAsia="宋体" w:cs="Times New Roman"/>
                <w:b w:val="0"/>
                <w:bCs/>
                <w:color w:val="auto"/>
                <w:sz w:val="24"/>
                <w:szCs w:val="24"/>
                <w:lang w:val="en-US" w:eastAsia="zh-CN"/>
              </w:rPr>
              <w:t>00m。</w:t>
            </w:r>
            <w:r>
              <w:rPr>
                <w:rFonts w:hint="eastAsia" w:eastAsia="宋体" w:cs="Times New Roman"/>
                <w:b w:val="0"/>
                <w:bCs/>
                <w:color w:val="auto"/>
                <w:sz w:val="24"/>
                <w:szCs w:val="24"/>
                <w:u w:val="none"/>
                <w:lang w:val="en-US" w:eastAsia="zh-CN"/>
              </w:rPr>
              <w:t>在</w:t>
            </w:r>
            <w:r>
              <w:rPr>
                <w:rFonts w:hint="default" w:ascii="Times New Roman" w:hAnsi="Times New Roman" w:eastAsia="宋体" w:cs="Times New Roman"/>
                <w:b w:val="0"/>
                <w:bCs/>
                <w:color w:val="auto"/>
                <w:sz w:val="24"/>
                <w:szCs w:val="24"/>
                <w:u w:val="none"/>
              </w:rPr>
              <w:t>本次环评根据《环境影响评价技术导则 地表水环境》（HJ2.3-2018）的要求调查项目所在区</w:t>
            </w:r>
            <w:r>
              <w:rPr>
                <w:rFonts w:hint="default" w:ascii="Times New Roman" w:hAnsi="Times New Roman" w:eastAsia="宋体" w:cs="Times New Roman"/>
                <w:b w:val="0"/>
                <w:bCs/>
                <w:color w:val="auto"/>
                <w:sz w:val="24"/>
                <w:szCs w:val="24"/>
              </w:rPr>
              <w:t>域</w:t>
            </w:r>
            <w:r>
              <w:rPr>
                <w:rFonts w:hint="eastAsia" w:eastAsia="宋体" w:cs="Times New Roman"/>
                <w:b w:val="0"/>
                <w:bCs/>
                <w:color w:val="auto"/>
                <w:sz w:val="24"/>
                <w:szCs w:val="24"/>
                <w:lang w:eastAsia="zh-CN"/>
              </w:rPr>
              <w:t>水</w:t>
            </w:r>
            <w:r>
              <w:rPr>
                <w:rFonts w:hint="default" w:ascii="Times New Roman" w:hAnsi="Times New Roman" w:eastAsia="宋体" w:cs="Times New Roman"/>
                <w:b w:val="0"/>
                <w:bCs/>
                <w:color w:val="auto"/>
                <w:sz w:val="24"/>
                <w:szCs w:val="24"/>
              </w:rPr>
              <w:t>环境质量达标情况，收集了邵阳市生态环境局公布的邵东市桐江兴隆水厂省控断面202</w:t>
            </w:r>
            <w:r>
              <w:rPr>
                <w:rFonts w:hint="eastAsia" w:eastAsia="宋体"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rPr>
              <w:t>年的水质情况，兴隆水厂省控断面所在河段执行《地表水环境质量标准》（GB3838-2002）Ⅲ类标准，水质监测数据详见表3</w:t>
            </w:r>
            <w:r>
              <w:rPr>
                <w:rFonts w:hint="default" w:ascii="Times New Roman" w:hAnsi="Times New Roman" w:eastAsia="宋体" w:cs="Times New Roman"/>
                <w:b w:val="0"/>
                <w:bCs/>
                <w:color w:val="auto"/>
                <w:sz w:val="24"/>
                <w:szCs w:val="24"/>
                <w:lang w:val="en-US" w:eastAsia="zh-CN"/>
              </w:rPr>
              <w:t>-</w:t>
            </w:r>
            <w:r>
              <w:rPr>
                <w:rFonts w:hint="eastAsia" w:eastAsia="宋体"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rPr>
              <w:t>。</w:t>
            </w:r>
            <w:bookmarkEnd w:id="7"/>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2"/>
                <w:sz w:val="24"/>
                <w:szCs w:val="24"/>
              </w:rPr>
              <w:t>根据邵东市环境监测站邵东市环境质量月报(202</w:t>
            </w:r>
            <w:r>
              <w:rPr>
                <w:rFonts w:hint="eastAsia" w:ascii="Times New Roman" w:hAnsi="Times New Roman" w:cs="Times New Roman"/>
                <w:color w:val="auto"/>
                <w:kern w:val="2"/>
                <w:sz w:val="24"/>
                <w:szCs w:val="24"/>
                <w:lang w:val="en-US" w:eastAsia="zh-CN"/>
              </w:rPr>
              <w:t>1</w:t>
            </w:r>
            <w:r>
              <w:rPr>
                <w:rFonts w:hint="default" w:ascii="Times New Roman" w:hAnsi="Times New Roman" w:cs="Times New Roman"/>
                <w:color w:val="auto"/>
                <w:kern w:val="2"/>
                <w:sz w:val="24"/>
                <w:szCs w:val="24"/>
              </w:rPr>
              <w:t>年</w:t>
            </w:r>
            <w:r>
              <w:rPr>
                <w:rFonts w:hint="eastAsia" w:ascii="Times New Roman" w:hAnsi="Times New Roman" w:cs="Times New Roman"/>
                <w:color w:val="auto"/>
                <w:kern w:val="2"/>
                <w:sz w:val="24"/>
                <w:szCs w:val="24"/>
                <w:lang w:val="en-US" w:eastAsia="zh-CN"/>
              </w:rPr>
              <w:t>1-12</w:t>
            </w:r>
            <w:r>
              <w:rPr>
                <w:rFonts w:hint="default" w:ascii="Times New Roman" w:hAnsi="Times New Roman" w:cs="Times New Roman"/>
                <w:color w:val="auto"/>
                <w:kern w:val="2"/>
                <w:sz w:val="24"/>
                <w:szCs w:val="24"/>
              </w:rPr>
              <w:t>月)，邵东市地表水总体情况数据见下表3-</w:t>
            </w:r>
            <w:r>
              <w:rPr>
                <w:rFonts w:hint="eastAsia" w:ascii="Times New Roman" w:hAnsi="Times New Roman" w:cs="Times New Roman"/>
                <w:color w:val="auto"/>
                <w:kern w:val="2"/>
                <w:sz w:val="24"/>
                <w:szCs w:val="24"/>
                <w:lang w:val="en-US" w:eastAsia="zh-CN"/>
              </w:rPr>
              <w:t>4</w:t>
            </w:r>
            <w:r>
              <w:rPr>
                <w:rFonts w:hint="default" w:ascii="Times New Roman" w:hAnsi="Times New Roman" w:cs="Times New Roman"/>
                <w:color w:val="auto"/>
                <w:kern w:val="2"/>
                <w:sz w:val="24"/>
                <w:szCs w:val="24"/>
              </w:rPr>
              <w:t>：</w:t>
            </w:r>
          </w:p>
          <w:p>
            <w:pPr>
              <w:spacing w:line="360" w:lineRule="auto"/>
              <w:ind w:firstLine="482" w:firstLineChars="200"/>
              <w:jc w:val="center"/>
              <w:rPr>
                <w:rFonts w:hint="default" w:ascii="Times New Roman" w:hAnsi="Times New Roman" w:cs="Times New Roman"/>
                <w:snapToGrid w:val="0"/>
                <w:color w:val="auto"/>
                <w:sz w:val="24"/>
                <w:szCs w:val="24"/>
                <w:shd w:val="clear" w:color="auto" w:fill="FFFFFF"/>
              </w:rPr>
            </w:pPr>
            <w:r>
              <w:rPr>
                <w:rStyle w:val="39"/>
                <w:rFonts w:hint="default" w:ascii="Times New Roman" w:hAnsi="Times New Roman" w:cs="Times New Roman"/>
                <w:snapToGrid w:val="0"/>
                <w:color w:val="auto"/>
                <w:kern w:val="2"/>
                <w:sz w:val="24"/>
                <w:szCs w:val="24"/>
                <w:shd w:val="clear" w:color="auto" w:fill="FFFFFF"/>
              </w:rPr>
              <w:t>表3-</w:t>
            </w:r>
            <w:r>
              <w:rPr>
                <w:rStyle w:val="39"/>
                <w:rFonts w:hint="eastAsia" w:ascii="Times New Roman" w:hAnsi="Times New Roman" w:cs="Times New Roman"/>
                <w:snapToGrid w:val="0"/>
                <w:color w:val="auto"/>
                <w:kern w:val="2"/>
                <w:sz w:val="24"/>
                <w:szCs w:val="24"/>
                <w:shd w:val="clear" w:color="auto" w:fill="FFFFFF"/>
                <w:lang w:val="en-US" w:eastAsia="zh-CN"/>
              </w:rPr>
              <w:t xml:space="preserve">4  </w:t>
            </w:r>
            <w:r>
              <w:rPr>
                <w:rStyle w:val="39"/>
                <w:rFonts w:hint="default" w:ascii="Times New Roman" w:hAnsi="Times New Roman" w:cs="Times New Roman"/>
                <w:snapToGrid w:val="0"/>
                <w:color w:val="auto"/>
                <w:kern w:val="2"/>
                <w:sz w:val="24"/>
                <w:szCs w:val="24"/>
                <w:shd w:val="clear" w:color="auto" w:fill="FFFFFF"/>
              </w:rPr>
              <w:t xml:space="preserve"> 202</w:t>
            </w:r>
            <w:r>
              <w:rPr>
                <w:rStyle w:val="39"/>
                <w:rFonts w:hint="eastAsia" w:ascii="Times New Roman" w:hAnsi="Times New Roman" w:cs="Times New Roman"/>
                <w:snapToGrid w:val="0"/>
                <w:color w:val="auto"/>
                <w:kern w:val="2"/>
                <w:sz w:val="24"/>
                <w:szCs w:val="24"/>
                <w:shd w:val="clear" w:color="auto" w:fill="FFFFFF"/>
                <w:lang w:val="en-US" w:eastAsia="zh-CN"/>
              </w:rPr>
              <w:t>1</w:t>
            </w:r>
            <w:r>
              <w:rPr>
                <w:rStyle w:val="39"/>
                <w:rFonts w:hint="default" w:ascii="Times New Roman" w:hAnsi="Times New Roman" w:cs="Times New Roman"/>
                <w:snapToGrid w:val="0"/>
                <w:color w:val="auto"/>
                <w:kern w:val="2"/>
                <w:sz w:val="24"/>
                <w:szCs w:val="24"/>
                <w:shd w:val="clear" w:color="auto" w:fill="FFFFFF"/>
              </w:rPr>
              <w:t>年</w:t>
            </w:r>
            <w:r>
              <w:rPr>
                <w:rStyle w:val="39"/>
                <w:rFonts w:hint="eastAsia" w:ascii="Times New Roman" w:hAnsi="Times New Roman" w:cs="Times New Roman"/>
                <w:snapToGrid w:val="0"/>
                <w:color w:val="auto"/>
                <w:kern w:val="2"/>
                <w:sz w:val="24"/>
                <w:szCs w:val="24"/>
                <w:shd w:val="clear" w:color="auto" w:fill="FFFFFF"/>
                <w:lang w:val="en-US" w:eastAsia="zh-CN"/>
              </w:rPr>
              <w:t>1-12</w:t>
            </w:r>
            <w:r>
              <w:rPr>
                <w:rStyle w:val="39"/>
                <w:rFonts w:hint="default" w:ascii="Times New Roman" w:hAnsi="Times New Roman" w:cs="Times New Roman"/>
                <w:snapToGrid w:val="0"/>
                <w:color w:val="auto"/>
                <w:kern w:val="2"/>
                <w:sz w:val="24"/>
                <w:szCs w:val="24"/>
                <w:shd w:val="clear" w:color="auto" w:fill="FFFFFF"/>
              </w:rPr>
              <w:t>月邵东市地表水水质状况</w:t>
            </w:r>
          </w:p>
          <w:tbl>
            <w:tblPr>
              <w:tblStyle w:val="33"/>
              <w:tblW w:w="7404" w:type="dxa"/>
              <w:jc w:val="center"/>
              <w:tblLayout w:type="fixed"/>
              <w:tblCellMar>
                <w:top w:w="0" w:type="dxa"/>
                <w:left w:w="108" w:type="dxa"/>
                <w:bottom w:w="0" w:type="dxa"/>
                <w:right w:w="108" w:type="dxa"/>
              </w:tblCellMar>
            </w:tblPr>
            <w:tblGrid>
              <w:gridCol w:w="815"/>
              <w:gridCol w:w="1030"/>
              <w:gridCol w:w="1635"/>
              <w:gridCol w:w="915"/>
              <w:gridCol w:w="1020"/>
              <w:gridCol w:w="1005"/>
              <w:gridCol w:w="984"/>
            </w:tblGrid>
            <w:tr>
              <w:tblPrEx>
                <w:tblCellMar>
                  <w:top w:w="0" w:type="dxa"/>
                  <w:left w:w="108" w:type="dxa"/>
                  <w:bottom w:w="0" w:type="dxa"/>
                  <w:right w:w="108" w:type="dxa"/>
                </w:tblCellMar>
              </w:tblPrEx>
              <w:trPr>
                <w:trHeight w:val="474" w:hRule="atLeast"/>
                <w:jc w:val="center"/>
              </w:trPr>
              <w:tc>
                <w:tcPr>
                  <w:tcW w:w="1845" w:type="dxa"/>
                  <w:gridSpan w:val="2"/>
                  <w:tcBorders>
                    <w:top w:val="single" w:color="auto" w:sz="8" w:space="0"/>
                    <w:left w:val="single" w:color="auto" w:sz="8" w:space="0"/>
                    <w:bottom w:val="single" w:color="auto" w:sz="8" w:space="0"/>
                    <w:right w:val="single" w:color="auto" w:sz="8" w:space="0"/>
                  </w:tcBorders>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河流名称</w:t>
                  </w:r>
                </w:p>
              </w:tc>
              <w:tc>
                <w:tcPr>
                  <w:tcW w:w="1635" w:type="dxa"/>
                  <w:vMerge w:val="restart"/>
                  <w:tcBorders>
                    <w:top w:val="single" w:color="auto" w:sz="8" w:space="0"/>
                    <w:left w:val="single" w:color="auto" w:sz="0" w:space="0"/>
                    <w:bottom w:val="single" w:color="auto" w:sz="8" w:space="0"/>
                    <w:right w:val="single" w:color="auto" w:sz="8" w:space="0"/>
                  </w:tcBorders>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断面</w:t>
                  </w:r>
                </w:p>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名称</w:t>
                  </w:r>
                </w:p>
              </w:tc>
              <w:tc>
                <w:tcPr>
                  <w:tcW w:w="915" w:type="dxa"/>
                  <w:vMerge w:val="restart"/>
                  <w:tcBorders>
                    <w:top w:val="single" w:color="auto" w:sz="8" w:space="0"/>
                    <w:left w:val="single" w:color="auto" w:sz="0" w:space="0"/>
                    <w:bottom w:val="single" w:color="auto" w:sz="8" w:space="0"/>
                    <w:right w:val="single" w:color="auto" w:sz="8" w:space="0"/>
                  </w:tcBorders>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断面</w:t>
                  </w:r>
                </w:p>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属性</w:t>
                  </w:r>
                </w:p>
              </w:tc>
              <w:tc>
                <w:tcPr>
                  <w:tcW w:w="1020" w:type="dxa"/>
                  <w:vMerge w:val="restart"/>
                  <w:tcBorders>
                    <w:top w:val="single" w:color="auto" w:sz="8" w:space="0"/>
                    <w:left w:val="single" w:color="auto" w:sz="0" w:space="0"/>
                    <w:bottom w:val="single" w:color="auto" w:sz="8" w:space="0"/>
                    <w:right w:val="single" w:color="auto" w:sz="8" w:space="0"/>
                  </w:tcBorders>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超标项目（超标倍数）</w:t>
                  </w:r>
                </w:p>
              </w:tc>
              <w:tc>
                <w:tcPr>
                  <w:tcW w:w="1005" w:type="dxa"/>
                  <w:vMerge w:val="restart"/>
                  <w:tcBorders>
                    <w:top w:val="single" w:color="auto" w:sz="8" w:space="0"/>
                    <w:left w:val="single" w:color="auto" w:sz="0" w:space="0"/>
                    <w:bottom w:val="single" w:color="auto" w:sz="8" w:space="0"/>
                    <w:right w:val="single" w:color="auto" w:sz="8" w:space="0"/>
                  </w:tcBorders>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p>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水质状况</w:t>
                  </w:r>
                </w:p>
              </w:tc>
              <w:tc>
                <w:tcPr>
                  <w:tcW w:w="984" w:type="dxa"/>
                  <w:vMerge w:val="restart"/>
                  <w:tcBorders>
                    <w:top w:val="single" w:color="auto" w:sz="8" w:space="0"/>
                    <w:left w:val="single" w:color="auto" w:sz="0" w:space="0"/>
                    <w:bottom w:val="single" w:color="auto" w:sz="8" w:space="0"/>
                    <w:right w:val="single" w:color="auto" w:sz="8" w:space="0"/>
                  </w:tcBorders>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p>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水质类别</w:t>
                  </w:r>
                </w:p>
              </w:tc>
            </w:tr>
            <w:tr>
              <w:tblPrEx>
                <w:tblCellMar>
                  <w:top w:w="0" w:type="dxa"/>
                  <w:left w:w="108" w:type="dxa"/>
                  <w:bottom w:w="0" w:type="dxa"/>
                  <w:right w:w="108" w:type="dxa"/>
                </w:tblCellMar>
              </w:tblPrEx>
              <w:trPr>
                <w:trHeight w:val="474" w:hRule="atLeast"/>
                <w:jc w:val="center"/>
              </w:trPr>
              <w:tc>
                <w:tcPr>
                  <w:tcW w:w="815" w:type="dxa"/>
                  <w:tcBorders>
                    <w:top w:val="single" w:color="auto" w:sz="0" w:space="0"/>
                    <w:left w:val="single" w:color="auto" w:sz="8" w:space="0"/>
                    <w:bottom w:val="single" w:color="auto" w:sz="8" w:space="0"/>
                    <w:right w:val="single" w:color="auto" w:sz="8" w:space="0"/>
                  </w:tcBorders>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干流</w:t>
                  </w:r>
                </w:p>
              </w:tc>
              <w:tc>
                <w:tcPr>
                  <w:tcW w:w="1030" w:type="dxa"/>
                  <w:tcBorders>
                    <w:top w:val="single" w:color="auto" w:sz="0" w:space="0"/>
                    <w:left w:val="single" w:color="auto" w:sz="0" w:space="0"/>
                    <w:bottom w:val="single" w:color="auto" w:sz="8" w:space="0"/>
                    <w:right w:val="single" w:color="auto" w:sz="8" w:space="0"/>
                  </w:tcBorders>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支流</w:t>
                  </w:r>
                </w:p>
              </w:tc>
              <w:tc>
                <w:tcPr>
                  <w:tcW w:w="1635" w:type="dxa"/>
                  <w:vMerge w:val="continue"/>
                  <w:tcBorders>
                    <w:top w:val="single" w:color="auto" w:sz="8" w:space="0"/>
                    <w:left w:val="single" w:color="auto" w:sz="0" w:space="0"/>
                    <w:bottom w:val="single" w:color="auto" w:sz="8" w:space="0"/>
                    <w:right w:val="single" w:color="auto" w:sz="8" w:space="0"/>
                  </w:tcBorders>
                  <w:noWrap w:val="0"/>
                  <w:vAlign w:val="center"/>
                </w:tcPr>
                <w:p>
                  <w:pPr>
                    <w:rPr>
                      <w:rFonts w:hint="default" w:ascii="Times New Roman" w:hAnsi="Times New Roman" w:cs="Times New Roman"/>
                      <w:color w:val="auto"/>
                      <w:sz w:val="20"/>
                    </w:rPr>
                  </w:pPr>
                </w:p>
              </w:tc>
              <w:tc>
                <w:tcPr>
                  <w:tcW w:w="915" w:type="dxa"/>
                  <w:vMerge w:val="continue"/>
                  <w:tcBorders>
                    <w:top w:val="single" w:color="auto" w:sz="8" w:space="0"/>
                    <w:left w:val="single" w:color="auto" w:sz="0" w:space="0"/>
                    <w:bottom w:val="single" w:color="auto" w:sz="8" w:space="0"/>
                    <w:right w:val="single" w:color="auto" w:sz="8" w:space="0"/>
                  </w:tcBorders>
                  <w:noWrap w:val="0"/>
                  <w:vAlign w:val="center"/>
                </w:tcPr>
                <w:p>
                  <w:pPr>
                    <w:rPr>
                      <w:rFonts w:hint="default" w:ascii="Times New Roman" w:hAnsi="Times New Roman" w:cs="Times New Roman"/>
                      <w:color w:val="auto"/>
                      <w:sz w:val="20"/>
                    </w:rPr>
                  </w:pPr>
                </w:p>
              </w:tc>
              <w:tc>
                <w:tcPr>
                  <w:tcW w:w="1020" w:type="dxa"/>
                  <w:vMerge w:val="continue"/>
                  <w:tcBorders>
                    <w:top w:val="single" w:color="auto" w:sz="8" w:space="0"/>
                    <w:left w:val="single" w:color="auto" w:sz="0" w:space="0"/>
                    <w:bottom w:val="single" w:color="auto" w:sz="8" w:space="0"/>
                    <w:right w:val="single" w:color="auto" w:sz="8" w:space="0"/>
                  </w:tcBorders>
                  <w:noWrap w:val="0"/>
                  <w:vAlign w:val="center"/>
                </w:tcPr>
                <w:p>
                  <w:pPr>
                    <w:rPr>
                      <w:rFonts w:hint="default" w:ascii="Times New Roman" w:hAnsi="Times New Roman" w:cs="Times New Roman"/>
                      <w:color w:val="auto"/>
                      <w:sz w:val="20"/>
                    </w:rPr>
                  </w:pPr>
                </w:p>
              </w:tc>
              <w:tc>
                <w:tcPr>
                  <w:tcW w:w="1005" w:type="dxa"/>
                  <w:vMerge w:val="continue"/>
                  <w:tcBorders>
                    <w:top w:val="single" w:color="auto" w:sz="8" w:space="0"/>
                    <w:left w:val="single" w:color="auto" w:sz="0" w:space="0"/>
                    <w:bottom w:val="single" w:color="auto" w:sz="8" w:space="0"/>
                    <w:right w:val="single" w:color="auto" w:sz="8" w:space="0"/>
                  </w:tcBorders>
                  <w:noWrap w:val="0"/>
                  <w:vAlign w:val="center"/>
                </w:tcPr>
                <w:p>
                  <w:pPr>
                    <w:rPr>
                      <w:rFonts w:hint="default" w:ascii="Times New Roman" w:hAnsi="Times New Roman" w:cs="Times New Roman"/>
                      <w:color w:val="auto"/>
                      <w:sz w:val="20"/>
                    </w:rPr>
                  </w:pPr>
                </w:p>
              </w:tc>
              <w:tc>
                <w:tcPr>
                  <w:tcW w:w="984" w:type="dxa"/>
                  <w:vMerge w:val="continue"/>
                  <w:tcBorders>
                    <w:top w:val="single" w:color="auto" w:sz="8" w:space="0"/>
                    <w:left w:val="single" w:color="auto" w:sz="0" w:space="0"/>
                    <w:bottom w:val="single" w:color="auto" w:sz="8" w:space="0"/>
                    <w:right w:val="single" w:color="auto" w:sz="8" w:space="0"/>
                  </w:tcBorders>
                  <w:noWrap w:val="0"/>
                  <w:vAlign w:val="center"/>
                </w:tcPr>
                <w:p>
                  <w:pPr>
                    <w:rPr>
                      <w:rFonts w:hint="default" w:ascii="Times New Roman" w:hAnsi="Times New Roman" w:cs="Times New Roman"/>
                      <w:color w:val="auto"/>
                      <w:sz w:val="20"/>
                    </w:rPr>
                  </w:pPr>
                </w:p>
              </w:tc>
            </w:tr>
            <w:tr>
              <w:tblPrEx>
                <w:tblCellMar>
                  <w:top w:w="0" w:type="dxa"/>
                  <w:left w:w="108" w:type="dxa"/>
                  <w:bottom w:w="0" w:type="dxa"/>
                  <w:right w:w="108" w:type="dxa"/>
                </w:tblCellMar>
              </w:tblPrEx>
              <w:trPr>
                <w:trHeight w:val="474" w:hRule="atLeast"/>
                <w:jc w:val="center"/>
              </w:trPr>
              <w:tc>
                <w:tcPr>
                  <w:tcW w:w="815" w:type="dxa"/>
                  <w:tcBorders>
                    <w:top w:val="nil"/>
                    <w:left w:val="single" w:color="auto" w:sz="8" w:space="0"/>
                    <w:bottom w:val="single" w:color="auto" w:sz="8" w:space="0"/>
                    <w:right w:val="single" w:color="auto" w:sz="8" w:space="0"/>
                  </w:tcBorders>
                  <w:shd w:val="clear" w:color="auto" w:fill="auto"/>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湘江</w:t>
                  </w:r>
                </w:p>
              </w:tc>
              <w:tc>
                <w:tcPr>
                  <w:tcW w:w="1030" w:type="dxa"/>
                  <w:tcBorders>
                    <w:top w:val="nil"/>
                    <w:left w:val="nil"/>
                    <w:bottom w:val="single" w:color="auto" w:sz="8" w:space="0"/>
                    <w:right w:val="single" w:color="auto" w:sz="8" w:space="0"/>
                  </w:tcBorders>
                  <w:shd w:val="clear" w:color="auto" w:fill="auto"/>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蒸水河</w:t>
                  </w:r>
                </w:p>
              </w:tc>
              <w:tc>
                <w:tcPr>
                  <w:tcW w:w="163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联江村</w:t>
                  </w:r>
                </w:p>
              </w:tc>
              <w:tc>
                <w:tcPr>
                  <w:tcW w:w="91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国控</w:t>
                  </w:r>
                </w:p>
              </w:tc>
              <w:tc>
                <w:tcPr>
                  <w:tcW w:w="1020"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w:t>
                  </w:r>
                </w:p>
              </w:tc>
              <w:tc>
                <w:tcPr>
                  <w:tcW w:w="100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良好</w:t>
                  </w:r>
                </w:p>
              </w:tc>
              <w:tc>
                <w:tcPr>
                  <w:tcW w:w="984"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r>
            <w:tr>
              <w:tblPrEx>
                <w:tblCellMar>
                  <w:top w:w="0" w:type="dxa"/>
                  <w:left w:w="108" w:type="dxa"/>
                  <w:bottom w:w="0" w:type="dxa"/>
                  <w:right w:w="108" w:type="dxa"/>
                </w:tblCellMar>
              </w:tblPrEx>
              <w:trPr>
                <w:trHeight w:val="474" w:hRule="atLeast"/>
                <w:jc w:val="center"/>
              </w:trPr>
              <w:tc>
                <w:tcPr>
                  <w:tcW w:w="815" w:type="dxa"/>
                  <w:tcBorders>
                    <w:top w:val="nil"/>
                    <w:left w:val="single" w:color="auto" w:sz="8" w:space="0"/>
                    <w:bottom w:val="single" w:color="auto" w:sz="8" w:space="0"/>
                    <w:right w:val="single" w:color="auto" w:sz="8" w:space="0"/>
                  </w:tcBorders>
                  <w:shd w:val="clear" w:color="auto" w:fill="auto"/>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邵水</w:t>
                  </w:r>
                </w:p>
              </w:tc>
              <w:tc>
                <w:tcPr>
                  <w:tcW w:w="1030" w:type="dxa"/>
                  <w:tcBorders>
                    <w:top w:val="nil"/>
                    <w:left w:val="nil"/>
                    <w:bottom w:val="single" w:color="auto" w:sz="8" w:space="0"/>
                    <w:right w:val="single" w:color="auto" w:sz="8" w:space="0"/>
                  </w:tcBorders>
                  <w:shd w:val="clear" w:color="auto" w:fill="auto"/>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63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邵水梅子坝</w:t>
                  </w:r>
                </w:p>
              </w:tc>
              <w:tc>
                <w:tcPr>
                  <w:tcW w:w="91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省控</w:t>
                  </w:r>
                </w:p>
              </w:tc>
              <w:tc>
                <w:tcPr>
                  <w:tcW w:w="1020"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w:t>
                  </w:r>
                </w:p>
              </w:tc>
              <w:tc>
                <w:tcPr>
                  <w:tcW w:w="100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良好</w:t>
                  </w:r>
                </w:p>
              </w:tc>
              <w:tc>
                <w:tcPr>
                  <w:tcW w:w="984"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r>
            <w:tr>
              <w:tblPrEx>
                <w:tblCellMar>
                  <w:top w:w="0" w:type="dxa"/>
                  <w:left w:w="108" w:type="dxa"/>
                  <w:bottom w:w="0" w:type="dxa"/>
                  <w:right w:w="108" w:type="dxa"/>
                </w:tblCellMar>
              </w:tblPrEx>
              <w:trPr>
                <w:trHeight w:val="474" w:hRule="atLeast"/>
                <w:jc w:val="center"/>
              </w:trPr>
              <w:tc>
                <w:tcPr>
                  <w:tcW w:w="815" w:type="dxa"/>
                  <w:tcBorders>
                    <w:top w:val="nil"/>
                    <w:left w:val="single" w:color="auto" w:sz="8" w:space="0"/>
                    <w:bottom w:val="single" w:color="auto" w:sz="8" w:space="0"/>
                    <w:right w:val="single" w:color="auto" w:sz="8" w:space="0"/>
                  </w:tcBorders>
                  <w:shd w:val="clear" w:color="auto" w:fill="auto"/>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邵水</w:t>
                  </w:r>
                </w:p>
              </w:tc>
              <w:tc>
                <w:tcPr>
                  <w:tcW w:w="1030" w:type="dxa"/>
                  <w:tcBorders>
                    <w:top w:val="nil"/>
                    <w:left w:val="nil"/>
                    <w:bottom w:val="single" w:color="auto" w:sz="8" w:space="0"/>
                    <w:right w:val="single" w:color="auto" w:sz="8" w:space="0"/>
                  </w:tcBorders>
                  <w:shd w:val="clear" w:color="auto" w:fill="auto"/>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桐江</w:t>
                  </w:r>
                </w:p>
              </w:tc>
              <w:tc>
                <w:tcPr>
                  <w:tcW w:w="163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桐江兴隆</w:t>
                  </w:r>
                </w:p>
              </w:tc>
              <w:tc>
                <w:tcPr>
                  <w:tcW w:w="91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省控</w:t>
                  </w:r>
                </w:p>
              </w:tc>
              <w:tc>
                <w:tcPr>
                  <w:tcW w:w="1020"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w:t>
                  </w:r>
                </w:p>
              </w:tc>
              <w:tc>
                <w:tcPr>
                  <w:tcW w:w="100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良好</w:t>
                  </w:r>
                </w:p>
              </w:tc>
              <w:tc>
                <w:tcPr>
                  <w:tcW w:w="984"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r>
            <w:tr>
              <w:tblPrEx>
                <w:tblCellMar>
                  <w:top w:w="0" w:type="dxa"/>
                  <w:left w:w="108" w:type="dxa"/>
                  <w:bottom w:w="0" w:type="dxa"/>
                  <w:right w:w="108" w:type="dxa"/>
                </w:tblCellMar>
              </w:tblPrEx>
              <w:trPr>
                <w:trHeight w:val="576" w:hRule="atLeast"/>
                <w:jc w:val="center"/>
              </w:trPr>
              <w:tc>
                <w:tcPr>
                  <w:tcW w:w="815" w:type="dxa"/>
                  <w:tcBorders>
                    <w:top w:val="nil"/>
                    <w:left w:val="single" w:color="auto" w:sz="8" w:space="0"/>
                    <w:bottom w:val="single" w:color="auto" w:sz="8" w:space="0"/>
                    <w:right w:val="single" w:color="auto" w:sz="8" w:space="0"/>
                  </w:tcBorders>
                  <w:shd w:val="clear" w:color="auto" w:fill="auto"/>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邵水</w:t>
                  </w:r>
                </w:p>
              </w:tc>
              <w:tc>
                <w:tcPr>
                  <w:tcW w:w="1030" w:type="dxa"/>
                  <w:tcBorders>
                    <w:top w:val="nil"/>
                    <w:left w:val="nil"/>
                    <w:bottom w:val="single" w:color="auto" w:sz="8" w:space="0"/>
                    <w:right w:val="single" w:color="auto" w:sz="8" w:space="0"/>
                  </w:tcBorders>
                  <w:shd w:val="clear" w:color="auto" w:fill="auto"/>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63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渡头桥镇光辉村</w:t>
                  </w:r>
                </w:p>
              </w:tc>
              <w:tc>
                <w:tcPr>
                  <w:tcW w:w="91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省控</w:t>
                  </w:r>
                </w:p>
              </w:tc>
              <w:tc>
                <w:tcPr>
                  <w:tcW w:w="1020"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w:t>
                  </w:r>
                </w:p>
              </w:tc>
              <w:tc>
                <w:tcPr>
                  <w:tcW w:w="1005"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良好</w:t>
                  </w:r>
                </w:p>
              </w:tc>
              <w:tc>
                <w:tcPr>
                  <w:tcW w:w="984" w:type="dxa"/>
                  <w:tcBorders>
                    <w:top w:val="nil"/>
                    <w:left w:val="nil"/>
                    <w:bottom w:val="single" w:color="auto" w:sz="8" w:space="0"/>
                    <w:right w:val="single" w:color="auto" w:sz="8" w:space="0"/>
                  </w:tcBorders>
                  <w:shd w:val="clear" w:color="auto" w:fill="FFFFFF"/>
                  <w:noWrap w:val="0"/>
                  <w:vAlign w:val="center"/>
                </w:tcPr>
                <w:p>
                  <w:pPr>
                    <w:pStyle w:val="28"/>
                    <w:widowControl w:val="0"/>
                    <w:autoSpaceDE w:val="0"/>
                    <w:autoSpaceDN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r>
          </w:tbl>
          <w:p>
            <w:pPr>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kern w:val="2"/>
                <w:sz w:val="24"/>
                <w:szCs w:val="24"/>
              </w:rPr>
              <w:t>202</w:t>
            </w:r>
            <w:r>
              <w:rPr>
                <w:rFonts w:hint="eastAsia" w:ascii="Times New Roman" w:hAnsi="Times New Roman" w:cs="Times New Roman"/>
                <w:color w:val="auto"/>
                <w:kern w:val="2"/>
                <w:sz w:val="24"/>
                <w:szCs w:val="24"/>
                <w:lang w:val="en-US" w:eastAsia="zh-CN"/>
              </w:rPr>
              <w:t>1</w:t>
            </w:r>
            <w:r>
              <w:rPr>
                <w:rFonts w:hint="default" w:ascii="Times New Roman" w:hAnsi="Times New Roman" w:cs="Times New Roman"/>
                <w:color w:val="auto"/>
                <w:kern w:val="2"/>
                <w:sz w:val="24"/>
                <w:szCs w:val="24"/>
              </w:rPr>
              <w:t>年</w:t>
            </w:r>
            <w:r>
              <w:rPr>
                <w:rFonts w:hint="eastAsia" w:ascii="Times New Roman" w:hAnsi="Times New Roman" w:cs="Times New Roman"/>
                <w:color w:val="auto"/>
                <w:kern w:val="2"/>
                <w:sz w:val="24"/>
                <w:szCs w:val="24"/>
                <w:lang w:val="en-US" w:eastAsia="zh-CN"/>
              </w:rPr>
              <w:t>1-12</w:t>
            </w:r>
            <w:r>
              <w:rPr>
                <w:rFonts w:hint="default" w:ascii="Times New Roman" w:hAnsi="Times New Roman" w:cs="Times New Roman"/>
                <w:color w:val="auto"/>
                <w:kern w:val="2"/>
                <w:sz w:val="24"/>
                <w:szCs w:val="24"/>
              </w:rPr>
              <w:t>月，邵东市监测地表水断面4个：渡头桥镇光辉村、联江村、桐江兴隆和邵水梅子坝断面。渡头桥镇光辉村、联江村、桐江兴隆和邵水梅子坝断面监测项目24个。联江村、邵水梅子坝、桐江兴隆和渡头桥镇光辉村四个断面水质符合地表水环境质量Ⅲ类水质标准，</w:t>
            </w:r>
            <w:r>
              <w:rPr>
                <w:rFonts w:hint="eastAsia" w:ascii="Times New Roman" w:hAnsi="Times New Roman" w:cs="Times New Roman"/>
                <w:color w:val="auto"/>
                <w:kern w:val="2"/>
                <w:sz w:val="24"/>
                <w:szCs w:val="24"/>
                <w:lang w:val="en-US" w:eastAsia="zh-CN"/>
              </w:rPr>
              <w:t>表明</w:t>
            </w:r>
            <w:r>
              <w:rPr>
                <w:rFonts w:hint="default" w:ascii="Times New Roman" w:hAnsi="Times New Roman" w:cs="Times New Roman"/>
                <w:color w:val="auto"/>
                <w:kern w:val="2"/>
                <w:sz w:val="24"/>
                <w:szCs w:val="24"/>
              </w:rPr>
              <w:t>项目区域</w:t>
            </w:r>
            <w:r>
              <w:rPr>
                <w:rFonts w:hint="eastAsia" w:ascii="Times New Roman" w:hAnsi="Times New Roman" w:cs="Times New Roman"/>
                <w:color w:val="auto"/>
                <w:kern w:val="2"/>
                <w:sz w:val="24"/>
                <w:szCs w:val="24"/>
                <w:lang w:val="en-US" w:eastAsia="zh-CN"/>
              </w:rPr>
              <w:t>地表水</w:t>
            </w:r>
            <w:r>
              <w:rPr>
                <w:rFonts w:hint="default" w:ascii="Times New Roman" w:hAnsi="Times New Roman" w:cs="Times New Roman"/>
                <w:color w:val="auto"/>
                <w:kern w:val="2"/>
                <w:sz w:val="24"/>
                <w:szCs w:val="24"/>
              </w:rPr>
              <w:t>现状质量良好，符合功能区划要求。</w:t>
            </w:r>
          </w:p>
          <w:p>
            <w:pPr>
              <w:adjustRightIn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3.声环境</w:t>
            </w:r>
          </w:p>
          <w:p>
            <w:pPr>
              <w:pStyle w:val="179"/>
              <w:pageBreakBefore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u w:val="none"/>
                <w:lang w:val="en-US" w:eastAsia="zh-CN" w:bidi="ar"/>
              </w:rPr>
            </w:pPr>
            <w:r>
              <w:rPr>
                <w:rFonts w:hint="default" w:ascii="Times New Roman" w:hAnsi="Times New Roman" w:eastAsia="宋体" w:cs="Times New Roman"/>
                <w:color w:val="auto"/>
                <w:sz w:val="24"/>
                <w:szCs w:val="24"/>
                <w:u w:val="none"/>
                <w:lang w:val="en-US" w:eastAsia="zh-CN"/>
              </w:rPr>
              <w:t>本项目委托</w:t>
            </w:r>
            <w:r>
              <w:rPr>
                <w:rFonts w:hint="eastAsia" w:ascii="Times New Roman" w:hAnsi="Times New Roman" w:eastAsia="宋体" w:cs="Times New Roman"/>
                <w:color w:val="auto"/>
                <w:sz w:val="24"/>
                <w:szCs w:val="24"/>
                <w:u w:val="none"/>
                <w:lang w:val="en-US" w:eastAsia="zh-CN"/>
              </w:rPr>
              <w:t>湖南中额环保科技有限公司</w:t>
            </w:r>
            <w:r>
              <w:rPr>
                <w:rFonts w:hint="default" w:ascii="Times New Roman" w:hAnsi="Times New Roman" w:eastAsia="宋体" w:cs="Times New Roman"/>
                <w:color w:val="auto"/>
                <w:sz w:val="24"/>
                <w:szCs w:val="24"/>
                <w:u w:val="none"/>
                <w:lang w:val="en-US" w:eastAsia="zh-CN"/>
              </w:rPr>
              <w:t>对</w:t>
            </w:r>
            <w:r>
              <w:rPr>
                <w:rFonts w:hint="default" w:ascii="Times New Roman" w:hAnsi="Times New Roman" w:eastAsia="宋体" w:cs="Times New Roman"/>
                <w:color w:val="auto"/>
                <w:sz w:val="24"/>
                <w:szCs w:val="24"/>
                <w:u w:val="none"/>
                <w:lang w:val="en-US" w:eastAsia="zh-CN" w:bidi="ar"/>
              </w:rPr>
              <w:t>项目所在地进行声环境质量现状监测，</w:t>
            </w:r>
            <w:r>
              <w:rPr>
                <w:rFonts w:hint="default" w:ascii="Times New Roman" w:hAnsi="Times New Roman" w:eastAsia="宋体" w:cs="Times New Roman"/>
                <w:color w:val="auto"/>
                <w:sz w:val="24"/>
                <w:szCs w:val="24"/>
                <w:u w:val="none"/>
                <w:lang w:val="en-US" w:eastAsia="zh-CN"/>
              </w:rPr>
              <w:t>监测时间为202</w:t>
            </w:r>
            <w:r>
              <w:rPr>
                <w:rFonts w:hint="eastAsia"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lang w:val="en-US" w:eastAsia="zh-CN"/>
              </w:rPr>
              <w:t>年</w:t>
            </w:r>
            <w:r>
              <w:rPr>
                <w:rFonts w:hint="eastAsia"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lang w:val="en-US" w:eastAsia="zh-CN"/>
              </w:rPr>
              <w:t>月</w:t>
            </w:r>
            <w:r>
              <w:rPr>
                <w:rFonts w:hint="eastAsia" w:ascii="Times New Roman" w:hAnsi="Times New Roman" w:eastAsia="宋体" w:cs="Times New Roman"/>
                <w:color w:val="auto"/>
                <w:sz w:val="24"/>
                <w:szCs w:val="24"/>
                <w:u w:val="none"/>
                <w:lang w:val="en-US" w:eastAsia="zh-CN"/>
              </w:rPr>
              <w:t>7</w:t>
            </w:r>
            <w:r>
              <w:rPr>
                <w:rFonts w:hint="default" w:ascii="Times New Roman" w:hAnsi="Times New Roman" w:eastAsia="宋体" w:cs="Times New Roman"/>
                <w:color w:val="auto"/>
                <w:sz w:val="24"/>
                <w:szCs w:val="24"/>
                <w:u w:val="none"/>
                <w:lang w:val="en-US" w:eastAsia="zh-CN"/>
              </w:rPr>
              <w:t>日~</w:t>
            </w:r>
            <w:r>
              <w:rPr>
                <w:rFonts w:hint="eastAsia" w:ascii="Times New Roman" w:hAnsi="Times New Roman" w:eastAsia="宋体" w:cs="Times New Roman"/>
                <w:color w:val="auto"/>
                <w:sz w:val="24"/>
                <w:szCs w:val="24"/>
                <w:u w:val="none"/>
                <w:lang w:val="en-US" w:eastAsia="zh-CN"/>
              </w:rPr>
              <w:t>8</w:t>
            </w:r>
            <w:r>
              <w:rPr>
                <w:rFonts w:hint="default" w:ascii="Times New Roman" w:hAnsi="Times New Roman" w:eastAsia="宋体" w:cs="Times New Roman"/>
                <w:color w:val="auto"/>
                <w:sz w:val="24"/>
                <w:szCs w:val="24"/>
                <w:u w:val="none"/>
                <w:lang w:val="en-US" w:eastAsia="zh-CN"/>
              </w:rPr>
              <w:t>日，在项目</w:t>
            </w:r>
            <w:r>
              <w:rPr>
                <w:rFonts w:hint="eastAsia" w:ascii="Times New Roman" w:hAnsi="Times New Roman" w:eastAsia="宋体" w:cs="Times New Roman"/>
                <w:color w:val="auto"/>
                <w:sz w:val="24"/>
                <w:szCs w:val="24"/>
                <w:u w:val="none"/>
                <w:lang w:val="en-US" w:eastAsia="zh-CN"/>
              </w:rPr>
              <w:t>厂界西侧15m处兔子坪村居民点</w:t>
            </w:r>
            <w:r>
              <w:rPr>
                <w:rFonts w:hint="default" w:ascii="Times New Roman" w:hAnsi="Times New Roman" w:eastAsia="宋体" w:cs="Times New Roman"/>
                <w:color w:val="auto"/>
                <w:sz w:val="24"/>
                <w:szCs w:val="24"/>
                <w:u w:val="none"/>
                <w:lang w:val="en-US" w:eastAsia="zh-CN"/>
              </w:rPr>
              <w:t>设</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val="en-US" w:eastAsia="zh-CN"/>
              </w:rPr>
              <w:t>个监测点，现状监测布点见附图。监测结果见表3-</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lang w:val="en-US" w:eastAsia="zh-CN" w:bidi="ar"/>
              </w:rPr>
              <w:t>。</w:t>
            </w:r>
          </w:p>
          <w:p>
            <w:pPr>
              <w:pageBreakBefore w:val="0"/>
              <w:widowControl/>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Cs w:val="21"/>
                <w:u w:val="none"/>
              </w:rPr>
            </w:pPr>
            <w:r>
              <w:rPr>
                <w:rFonts w:hint="default" w:ascii="Times New Roman" w:hAnsi="Times New Roman" w:eastAsia="宋体" w:cs="Times New Roman"/>
                <w:b/>
                <w:color w:val="auto"/>
                <w:szCs w:val="21"/>
                <w:u w:val="none"/>
              </w:rPr>
              <w:t>表3-</w:t>
            </w:r>
            <w:r>
              <w:rPr>
                <w:rFonts w:hint="eastAsia" w:ascii="Times New Roman" w:hAnsi="Times New Roman" w:eastAsia="宋体" w:cs="Times New Roman"/>
                <w:b/>
                <w:color w:val="auto"/>
                <w:szCs w:val="21"/>
                <w:u w:val="none"/>
                <w:lang w:val="en-US" w:eastAsia="zh-CN"/>
              </w:rPr>
              <w:t>5</w:t>
            </w:r>
            <w:r>
              <w:rPr>
                <w:rFonts w:hint="default" w:ascii="Times New Roman" w:hAnsi="Times New Roman" w:eastAsia="宋体" w:cs="Times New Roman"/>
                <w:b/>
                <w:color w:val="auto"/>
                <w:szCs w:val="21"/>
                <w:u w:val="none"/>
              </w:rPr>
              <w:t xml:space="preserve">  声环境质量现状监测结果一览表 单位：dB(A)</w:t>
            </w:r>
          </w:p>
          <w:tbl>
            <w:tblPr>
              <w:tblStyle w:val="33"/>
              <w:tblW w:w="79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271"/>
              <w:gridCol w:w="947"/>
              <w:gridCol w:w="947"/>
              <w:gridCol w:w="1631"/>
              <w:gridCol w:w="1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dxa"/>
                  <w:vMerge w:val="restart"/>
                  <w:tcBorders>
                    <w:tl2br w:val="nil"/>
                    <w:tr2bl w:val="nil"/>
                  </w:tcBorders>
                  <w:noWrap w:val="0"/>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1271" w:type="dxa"/>
                  <w:vMerge w:val="restart"/>
                  <w:tcBorders>
                    <w:tl2br w:val="nil"/>
                    <w:tr2bl w:val="nil"/>
                  </w:tcBorders>
                  <w:noWrap w:val="0"/>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监测日期</w:t>
                  </w:r>
                </w:p>
              </w:tc>
              <w:tc>
                <w:tcPr>
                  <w:tcW w:w="1894" w:type="dxa"/>
                  <w:gridSpan w:val="2"/>
                  <w:tcBorders>
                    <w:tl2br w:val="nil"/>
                    <w:tr2bl w:val="nil"/>
                  </w:tcBorders>
                  <w:noWrap w:val="0"/>
                  <w:vAlign w:val="center"/>
                </w:tcPr>
                <w:p>
                  <w:pPr>
                    <w:spacing w:line="32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监测值</w:t>
                  </w:r>
                </w:p>
              </w:tc>
              <w:tc>
                <w:tcPr>
                  <w:tcW w:w="3162" w:type="dxa"/>
                  <w:gridSpan w:val="2"/>
                  <w:vMerge w:val="restart"/>
                  <w:tcBorders>
                    <w:tl2br w:val="nil"/>
                    <w:tr2bl w:val="nil"/>
                  </w:tcBorders>
                  <w:noWrap w:val="0"/>
                  <w:vAlign w:val="center"/>
                </w:tcPr>
                <w:p>
                  <w:pPr>
                    <w:spacing w:line="320" w:lineRule="exac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《声环境质量标准》（GB3096--2008）</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类</w:t>
                  </w:r>
                  <w:r>
                    <w:rPr>
                      <w:rFonts w:hint="eastAsia" w:ascii="Times New Roman" w:hAnsi="Times New Roman" w:cs="Times New Roman"/>
                      <w:color w:val="auto"/>
                      <w:sz w:val="21"/>
                      <w:szCs w:val="21"/>
                      <w:lang w:val="en-US" w:eastAsia="zh-CN"/>
                    </w:rPr>
                    <w:t>类</w:t>
                  </w:r>
                  <w:r>
                    <w:rPr>
                      <w:rFonts w:hint="default" w:ascii="Times New Roman" w:hAnsi="Times New Roman" w:cs="Times New Roman"/>
                      <w:color w:val="auto"/>
                      <w:sz w:val="21"/>
                      <w:szCs w:val="21"/>
                      <w:lang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dxa"/>
                  <w:vMerge w:val="continue"/>
                  <w:tcBorders>
                    <w:tl2br w:val="nil"/>
                    <w:tr2bl w:val="nil"/>
                  </w:tcBorders>
                  <w:noWrap w:val="0"/>
                  <w:vAlign w:val="center"/>
                </w:tcPr>
                <w:p>
                  <w:pPr>
                    <w:spacing w:line="320" w:lineRule="exact"/>
                    <w:jc w:val="center"/>
                    <w:rPr>
                      <w:rFonts w:hint="default" w:ascii="Times New Roman" w:hAnsi="Times New Roman" w:cs="Times New Roman"/>
                      <w:color w:val="auto"/>
                      <w:sz w:val="21"/>
                      <w:szCs w:val="21"/>
                      <w:lang w:eastAsia="zh-CN"/>
                    </w:rPr>
                  </w:pPr>
                </w:p>
              </w:tc>
              <w:tc>
                <w:tcPr>
                  <w:tcW w:w="1271" w:type="dxa"/>
                  <w:vMerge w:val="continue"/>
                  <w:tcBorders>
                    <w:tl2br w:val="nil"/>
                    <w:tr2bl w:val="nil"/>
                  </w:tcBorders>
                  <w:noWrap w:val="0"/>
                  <w:vAlign w:val="center"/>
                </w:tcPr>
                <w:p>
                  <w:pPr>
                    <w:spacing w:line="320" w:lineRule="exact"/>
                    <w:jc w:val="center"/>
                    <w:rPr>
                      <w:rFonts w:hint="default" w:ascii="Times New Roman" w:hAnsi="Times New Roman" w:cs="Times New Roman"/>
                      <w:color w:val="auto"/>
                      <w:sz w:val="21"/>
                      <w:szCs w:val="21"/>
                      <w:lang w:eastAsia="zh-CN"/>
                    </w:rPr>
                  </w:pPr>
                </w:p>
              </w:tc>
              <w:tc>
                <w:tcPr>
                  <w:tcW w:w="947" w:type="dxa"/>
                  <w:tcBorders>
                    <w:tl2br w:val="nil"/>
                    <w:tr2bl w:val="nil"/>
                  </w:tcBorders>
                  <w:noWrap w:val="0"/>
                  <w:vAlign w:val="center"/>
                </w:tcPr>
                <w:p>
                  <w:pPr>
                    <w:adjustRightInd w:val="0"/>
                    <w:snapToGrid w:val="0"/>
                    <w:spacing w:line="320" w:lineRule="exac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 昼间</w:t>
                  </w:r>
                </w:p>
              </w:tc>
              <w:tc>
                <w:tcPr>
                  <w:tcW w:w="947" w:type="dxa"/>
                  <w:tcBorders>
                    <w:tl2br w:val="nil"/>
                    <w:tr2bl w:val="nil"/>
                  </w:tcBorders>
                  <w:noWrap w:val="0"/>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夜间</w:t>
                  </w:r>
                </w:p>
              </w:tc>
              <w:tc>
                <w:tcPr>
                  <w:tcW w:w="3162" w:type="dxa"/>
                  <w:gridSpan w:val="2"/>
                  <w:vMerge w:val="continue"/>
                  <w:tcBorders>
                    <w:tl2br w:val="nil"/>
                    <w:tr2bl w:val="nil"/>
                  </w:tcBorders>
                  <w:noWrap w:val="0"/>
                  <w:vAlign w:val="center"/>
                </w:tcPr>
                <w:p>
                  <w:pPr>
                    <w:spacing w:line="320" w:lineRule="exact"/>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dxa"/>
                  <w:vMerge w:val="restart"/>
                  <w:tcBorders>
                    <w:tl2br w:val="nil"/>
                    <w:tr2bl w:val="nil"/>
                  </w:tcBorders>
                  <w:noWrap w:val="0"/>
                  <w:vAlign w:val="center"/>
                </w:tcPr>
                <w:p>
                  <w:pPr>
                    <w:pStyle w:val="181"/>
                    <w:widowControl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项目所在地</w:t>
                  </w:r>
                </w:p>
                <w:p>
                  <w:pPr>
                    <w:pStyle w:val="181"/>
                    <w:widowControl w:val="0"/>
                    <w:rPr>
                      <w:rFonts w:hint="default" w:ascii="Times New Roman" w:hAnsi="Times New Roman" w:cs="Times New Roman"/>
                      <w:color w:val="auto"/>
                      <w:sz w:val="21"/>
                      <w:szCs w:val="21"/>
                    </w:rPr>
                  </w:pPr>
                  <w:r>
                    <w:rPr>
                      <w:rFonts w:hint="eastAsia" w:cs="Times New Roman"/>
                      <w:b w:val="0"/>
                      <w:bCs/>
                      <w:color w:val="auto"/>
                      <w:sz w:val="21"/>
                      <w:szCs w:val="21"/>
                      <w:lang w:val="en-US" w:eastAsia="zh-CN"/>
                    </w:rPr>
                    <w:t>西</w:t>
                  </w:r>
                  <w:r>
                    <w:rPr>
                      <w:rFonts w:hint="default" w:ascii="Times New Roman" w:hAnsi="Times New Roman" w:cs="Times New Roman"/>
                      <w:b w:val="0"/>
                      <w:bCs/>
                      <w:color w:val="auto"/>
                      <w:sz w:val="21"/>
                      <w:szCs w:val="21"/>
                      <w:lang w:val="en-US" w:eastAsia="zh-CN"/>
                    </w:rPr>
                    <w:t>面</w:t>
                  </w:r>
                  <w:r>
                    <w:rPr>
                      <w:rFonts w:hint="eastAsia" w:cs="Times New Roman"/>
                      <w:b w:val="0"/>
                      <w:bCs/>
                      <w:color w:val="auto"/>
                      <w:sz w:val="21"/>
                      <w:szCs w:val="21"/>
                      <w:lang w:val="en-US" w:eastAsia="zh-CN"/>
                    </w:rPr>
                    <w:t>15</w:t>
                  </w:r>
                  <w:r>
                    <w:rPr>
                      <w:rFonts w:hint="default" w:ascii="Times New Roman" w:hAnsi="Times New Roman" w:cs="Times New Roman"/>
                      <w:b w:val="0"/>
                      <w:bCs/>
                      <w:color w:val="auto"/>
                      <w:sz w:val="21"/>
                      <w:szCs w:val="21"/>
                    </w:rPr>
                    <w:t>米处兔子坪村居民点</w:t>
                  </w: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日</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r>
                    <w:rPr>
                      <w:rFonts w:hint="eastAsia" w:ascii="Times New Roman" w:hAnsi="Times New Roman" w:eastAsia="宋体" w:cs="Times New Roman"/>
                      <w:color w:val="auto"/>
                      <w:sz w:val="21"/>
                      <w:szCs w:val="21"/>
                      <w:lang w:val="en-US" w:eastAsia="zh-CN"/>
                    </w:rPr>
                    <w:t>3</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.1</w:t>
                  </w:r>
                </w:p>
              </w:tc>
              <w:tc>
                <w:tcPr>
                  <w:tcW w:w="16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5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dxa"/>
                  <w:vMerge w:val="continue"/>
                  <w:tcBorders>
                    <w:tl2br w:val="nil"/>
                    <w:tr2bl w:val="nil"/>
                  </w:tcBorders>
                  <w:noWrap w:val="0"/>
                  <w:vAlign w:val="center"/>
                </w:tcPr>
                <w:p>
                  <w:pPr>
                    <w:pStyle w:val="181"/>
                    <w:widowControl w:val="0"/>
                    <w:rPr>
                      <w:rFonts w:hint="default" w:ascii="Times New Roman" w:hAnsi="Times New Roman" w:cs="Times New Roman"/>
                      <w:color w:val="auto"/>
                      <w:sz w:val="21"/>
                      <w:szCs w:val="21"/>
                    </w:rPr>
                  </w:pP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日</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r>
                    <w:rPr>
                      <w:rFonts w:hint="eastAsia" w:ascii="Times New Roman" w:hAnsi="Times New Roman" w:eastAsia="宋体" w:cs="Times New Roman"/>
                      <w:color w:val="auto"/>
                      <w:sz w:val="21"/>
                      <w:szCs w:val="21"/>
                      <w:lang w:val="en-US" w:eastAsia="zh-CN"/>
                    </w:rPr>
                    <w:t>5</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w:t>
                  </w:r>
                </w:p>
              </w:tc>
              <w:tc>
                <w:tcPr>
                  <w:tcW w:w="1631" w:type="dxa"/>
                  <w:vMerge w:val="continue"/>
                  <w:tcBorders>
                    <w:tl2br w:val="nil"/>
                    <w:tr2bl w:val="nil"/>
                  </w:tcBorders>
                  <w:noWrap w:val="0"/>
                  <w:vAlign w:val="center"/>
                </w:tcPr>
                <w:p>
                  <w:pPr>
                    <w:spacing w:line="320" w:lineRule="exact"/>
                    <w:ind w:firstLine="315" w:firstLineChars="150"/>
                    <w:jc w:val="center"/>
                    <w:rPr>
                      <w:rFonts w:hint="default" w:ascii="Times New Roman" w:hAnsi="Times New Roman" w:cs="Times New Roman"/>
                      <w:color w:val="auto"/>
                      <w:sz w:val="21"/>
                      <w:szCs w:val="21"/>
                    </w:rPr>
                  </w:pPr>
                </w:p>
              </w:tc>
              <w:tc>
                <w:tcPr>
                  <w:tcW w:w="1531" w:type="dxa"/>
                  <w:vMerge w:val="continue"/>
                  <w:tcBorders>
                    <w:tl2br w:val="nil"/>
                    <w:tr2bl w:val="nil"/>
                  </w:tcBorders>
                  <w:noWrap w:val="0"/>
                  <w:vAlign w:val="center"/>
                </w:tcPr>
                <w:p>
                  <w:pPr>
                    <w:spacing w:line="320" w:lineRule="exact"/>
                    <w:ind w:firstLine="315" w:firstLineChars="150"/>
                    <w:jc w:val="center"/>
                    <w:rPr>
                      <w:rFonts w:hint="default" w:ascii="Times New Roman" w:hAnsi="Times New Roman" w:cs="Times New Roman"/>
                      <w:color w:val="auto"/>
                      <w:sz w:val="21"/>
                      <w:szCs w:val="21"/>
                    </w:rPr>
                  </w:pPr>
                </w:p>
              </w:tc>
            </w:tr>
          </w:tbl>
          <w:p>
            <w:pPr>
              <w:widowControl w:val="0"/>
              <w:spacing w:line="360" w:lineRule="auto"/>
              <w:ind w:firstLine="480" w:firstLineChars="200"/>
              <w:jc w:val="both"/>
              <w:rPr>
                <w:rFonts w:hint="default" w:ascii="Times New Roman" w:hAnsi="Times New Roman" w:cs="Times New Roman"/>
                <w:color w:val="auto"/>
                <w:kern w:val="0"/>
                <w:szCs w:val="21"/>
              </w:rPr>
            </w:pPr>
            <w:r>
              <w:rPr>
                <w:rFonts w:hint="default" w:ascii="Times New Roman" w:hAnsi="Times New Roman" w:eastAsia="宋体" w:cs="Times New Roman"/>
                <w:color w:val="auto"/>
                <w:sz w:val="24"/>
                <w:szCs w:val="24"/>
                <w:lang w:val="en-US" w:eastAsia="zh-CN"/>
              </w:rPr>
              <w:t>由上表</w:t>
            </w:r>
            <w:r>
              <w:rPr>
                <w:rFonts w:hint="eastAsia" w:ascii="Times New Roman" w:hAnsi="Times New Roman" w:eastAsia="宋体" w:cs="Times New Roman"/>
                <w:color w:val="auto"/>
                <w:sz w:val="24"/>
                <w:szCs w:val="24"/>
                <w:lang w:val="en-US" w:eastAsia="zh-CN"/>
              </w:rPr>
              <w:t>噪声监测数据</w:t>
            </w:r>
            <w:r>
              <w:rPr>
                <w:rFonts w:hint="default" w:ascii="Times New Roman" w:hAnsi="Times New Roman" w:eastAsia="宋体" w:cs="Times New Roman"/>
                <w:color w:val="auto"/>
                <w:sz w:val="24"/>
                <w:szCs w:val="24"/>
                <w:lang w:val="en-US" w:eastAsia="zh-CN"/>
              </w:rPr>
              <w:t>可知，项目西面15米处兔子坪村</w:t>
            </w:r>
            <w:r>
              <w:rPr>
                <w:rFonts w:hint="eastAsia" w:ascii="Times New Roman" w:hAnsi="Times New Roman" w:eastAsia="宋体" w:cs="Times New Roman"/>
                <w:color w:val="auto"/>
                <w:sz w:val="24"/>
                <w:szCs w:val="24"/>
                <w:lang w:val="en-US" w:eastAsia="zh-CN"/>
              </w:rPr>
              <w:t>居民点噪声</w:t>
            </w:r>
            <w:r>
              <w:rPr>
                <w:rFonts w:hint="default" w:ascii="Times New Roman" w:hAnsi="Times New Roman" w:eastAsia="宋体" w:cs="Times New Roman"/>
                <w:color w:val="auto"/>
                <w:sz w:val="24"/>
                <w:szCs w:val="24"/>
                <w:lang w:val="en-US" w:eastAsia="zh-CN"/>
              </w:rPr>
              <w:t>均达到《声环境质量标准》（GB3096-2008）2类标准，项目区域</w:t>
            </w:r>
            <w:r>
              <w:rPr>
                <w:rFonts w:hint="eastAsia" w:ascii="Times New Roman" w:hAnsi="Times New Roman" w:eastAsia="宋体" w:cs="Times New Roman"/>
                <w:color w:val="auto"/>
                <w:sz w:val="24"/>
                <w:szCs w:val="24"/>
                <w:lang w:val="en-US" w:eastAsia="zh-CN"/>
              </w:rPr>
              <w:t>周边</w:t>
            </w:r>
            <w:r>
              <w:rPr>
                <w:rFonts w:hint="default" w:ascii="Times New Roman" w:hAnsi="Times New Roman" w:eastAsia="宋体" w:cs="Times New Roman"/>
                <w:color w:val="auto"/>
                <w:sz w:val="24"/>
                <w:szCs w:val="24"/>
                <w:lang w:val="en-US" w:eastAsia="zh-CN"/>
              </w:rPr>
              <w:t>的声环境质量现状</w:t>
            </w:r>
            <w:r>
              <w:rPr>
                <w:rFonts w:hint="eastAsia" w:ascii="Times New Roman" w:hAnsi="Times New Roman" w:eastAsia="宋体" w:cs="Times New Roman"/>
                <w:color w:val="auto"/>
                <w:sz w:val="24"/>
                <w:szCs w:val="24"/>
                <w:lang w:val="en-US" w:eastAsia="zh-CN"/>
              </w:rPr>
              <w:t>良好</w:t>
            </w: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91" w:hRule="atLeast"/>
          <w:jc w:val="center"/>
        </w:trPr>
        <w:tc>
          <w:tcPr>
            <w:tcW w:w="800" w:type="dxa"/>
            <w:noWrap w:val="0"/>
            <w:vAlign w:val="center"/>
          </w:tcPr>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保护</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目标</w:t>
            </w:r>
          </w:p>
        </w:tc>
        <w:tc>
          <w:tcPr>
            <w:tcW w:w="8190" w:type="dxa"/>
            <w:noWrap w:val="0"/>
            <w:vAlign w:val="center"/>
          </w:tcPr>
          <w:p>
            <w:pPr>
              <w:pStyle w:val="7"/>
              <w:pageBreakBefore w:val="0"/>
              <w:widowControl w:val="0"/>
              <w:kinsoku/>
              <w:wordWrap/>
              <w:overflowPunct/>
              <w:topLinePunct w:val="0"/>
              <w:autoSpaceDE/>
              <w:autoSpaceDN/>
              <w:bidi w:val="0"/>
              <w:spacing w:beforeLines="0" w:afterLines="0" w:line="480" w:lineRule="exact"/>
              <w:textAlignment w:val="auto"/>
              <w:rPr>
                <w:rFonts w:hint="default" w:ascii="Times New Roman" w:hAnsi="Times New Roman" w:eastAsia="宋体" w:cs="Times New Roman"/>
                <w:b/>
                <w:bCs/>
                <w:color w:val="auto"/>
                <w:sz w:val="24"/>
                <w:szCs w:val="24"/>
              </w:rPr>
            </w:pPr>
            <w:bookmarkStart w:id="8" w:name="_Toc19580"/>
            <w:r>
              <w:rPr>
                <w:rFonts w:hint="eastAsia" w:eastAsia="宋体" w:cs="Times New Roman"/>
                <w:b w:val="0"/>
                <w:bCs/>
                <w:color w:val="auto"/>
                <w:sz w:val="24"/>
                <w:szCs w:val="24"/>
                <w:lang w:val="en-US" w:eastAsia="zh-CN"/>
              </w:rPr>
              <w:t>本</w:t>
            </w:r>
            <w:r>
              <w:rPr>
                <w:rFonts w:hint="default" w:ascii="Times New Roman" w:hAnsi="Times New Roman" w:eastAsia="宋体" w:cs="Times New Roman"/>
                <w:b w:val="0"/>
                <w:bCs/>
                <w:color w:val="auto"/>
                <w:sz w:val="24"/>
                <w:szCs w:val="24"/>
                <w:lang w:val="en-US" w:eastAsia="zh-CN"/>
              </w:rPr>
              <w:t>项目</w:t>
            </w:r>
            <w:r>
              <w:rPr>
                <w:rFonts w:hint="eastAsia" w:eastAsia="宋体" w:cs="Times New Roman"/>
                <w:b w:val="0"/>
                <w:bCs/>
                <w:color w:val="auto"/>
                <w:sz w:val="24"/>
                <w:szCs w:val="24"/>
                <w:lang w:val="en-US" w:eastAsia="zh-CN"/>
              </w:rPr>
              <w:t>厂界500m</w:t>
            </w:r>
            <w:r>
              <w:rPr>
                <w:rFonts w:hint="default" w:ascii="Times New Roman" w:hAnsi="Times New Roman" w:eastAsia="宋体" w:cs="Times New Roman"/>
                <w:b w:val="0"/>
                <w:bCs/>
                <w:color w:val="auto"/>
                <w:sz w:val="24"/>
                <w:szCs w:val="24"/>
                <w:lang w:val="en-US" w:eastAsia="zh-CN"/>
              </w:rPr>
              <w:t>评价范围内无名胜古迹、风景名胜区、自然保护区、生态功能保护区和生活饮用水水源地保护区等环境敏感区。本项目位于邵东县</w:t>
            </w:r>
            <w:r>
              <w:rPr>
                <w:rFonts w:hint="eastAsia" w:eastAsia="宋体" w:cs="Times New Roman"/>
                <w:b w:val="0"/>
                <w:bCs/>
                <w:color w:val="auto"/>
                <w:sz w:val="24"/>
                <w:szCs w:val="24"/>
                <w:lang w:val="en-US" w:eastAsia="zh-CN"/>
              </w:rPr>
              <w:t>大禾塘办事处兔子坪村</w:t>
            </w:r>
            <w:r>
              <w:rPr>
                <w:rFonts w:hint="default" w:ascii="Times New Roman" w:hAnsi="Times New Roman" w:eastAsia="宋体" w:cs="Times New Roman"/>
                <w:b w:val="0"/>
                <w:bCs/>
                <w:color w:val="auto"/>
                <w:sz w:val="24"/>
                <w:szCs w:val="24"/>
                <w:lang w:val="en-US" w:eastAsia="zh-CN"/>
              </w:rPr>
              <w:t>，项目大气环境保护目标见表3-</w:t>
            </w:r>
            <w:r>
              <w:rPr>
                <w:rFonts w:hint="eastAsia" w:eastAsia="宋体" w:cs="Times New Roman"/>
                <w:b w:val="0"/>
                <w:bCs/>
                <w:color w:val="auto"/>
                <w:sz w:val="24"/>
                <w:szCs w:val="24"/>
                <w:lang w:val="en-US" w:eastAsia="zh-CN"/>
              </w:rPr>
              <w:t>6</w:t>
            </w:r>
            <w:r>
              <w:rPr>
                <w:rFonts w:hint="default" w:ascii="Times New Roman" w:hAnsi="Times New Roman" w:eastAsia="宋体" w:cs="Times New Roman"/>
                <w:b w:val="0"/>
                <w:bCs/>
                <w:color w:val="auto"/>
                <w:sz w:val="24"/>
                <w:szCs w:val="24"/>
                <w:lang w:val="en-US" w:eastAsia="zh-CN"/>
              </w:rPr>
              <w:t>，声环境、地下水环境、生态环境保护目标见表3-</w:t>
            </w:r>
            <w:r>
              <w:rPr>
                <w:rFonts w:hint="eastAsia" w:eastAsia="宋体" w:cs="Times New Roman"/>
                <w:b w:val="0"/>
                <w:bCs/>
                <w:color w:val="auto"/>
                <w:sz w:val="24"/>
                <w:szCs w:val="24"/>
                <w:lang w:val="en-US" w:eastAsia="zh-CN"/>
              </w:rPr>
              <w:t>7</w:t>
            </w:r>
            <w:r>
              <w:rPr>
                <w:rFonts w:hint="default" w:ascii="Times New Roman" w:hAnsi="Times New Roman" w:eastAsia="宋体" w:cs="Times New Roman"/>
                <w:b w:val="0"/>
                <w:bCs/>
                <w:color w:val="auto"/>
                <w:sz w:val="24"/>
                <w:szCs w:val="24"/>
                <w:lang w:val="en-US" w:eastAsia="zh-CN"/>
              </w:rPr>
              <w:t>：</w:t>
            </w:r>
            <w:bookmarkEnd w:id="8"/>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rPr>
            </w:pPr>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rPr>
            </w:pPr>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rPr>
            </w:pPr>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rPr>
            </w:pPr>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rPr>
            </w:pPr>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rPr>
            </w:pPr>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rPr>
            </w:pPr>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rPr>
            </w:pPr>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表3-</w:t>
            </w: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rPr>
              <w:t xml:space="preserve">  环境空气保护目标一览表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68"/>
              <w:gridCol w:w="872"/>
              <w:gridCol w:w="1209"/>
              <w:gridCol w:w="1358"/>
              <w:gridCol w:w="1418"/>
              <w:gridCol w:w="695"/>
              <w:gridCol w:w="11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8" w:type="pct"/>
                  <w:vMerge w:val="restar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1091" w:type="pct"/>
                  <w:gridSpan w:val="2"/>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坐标</w:t>
                  </w:r>
                </w:p>
              </w:tc>
              <w:tc>
                <w:tcPr>
                  <w:tcW w:w="758" w:type="pct"/>
                  <w:vMerge w:val="restar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保护对象</w:t>
                  </w:r>
                </w:p>
              </w:tc>
              <w:tc>
                <w:tcPr>
                  <w:tcW w:w="851" w:type="pct"/>
                  <w:vMerge w:val="restar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保护内容</w:t>
                  </w:r>
                </w:p>
              </w:tc>
              <w:tc>
                <w:tcPr>
                  <w:tcW w:w="889" w:type="pct"/>
                  <w:vMerge w:val="restar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环境功能区</w:t>
                  </w:r>
                </w:p>
              </w:tc>
              <w:tc>
                <w:tcPr>
                  <w:tcW w:w="435" w:type="pct"/>
                  <w:vMerge w:val="restar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相对厂址方位</w:t>
                  </w:r>
                </w:p>
              </w:tc>
              <w:tc>
                <w:tcPr>
                  <w:tcW w:w="705" w:type="pct"/>
                  <w:vMerge w:val="restar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68" w:type="pct"/>
                  <w:vMerge w:val="continue"/>
                  <w:noWrap w:val="0"/>
                  <w:vAlign w:val="center"/>
                </w:tcPr>
                <w:p>
                  <w:pPr>
                    <w:widowControl/>
                    <w:jc w:val="center"/>
                    <w:rPr>
                      <w:rFonts w:hint="default" w:ascii="Times New Roman" w:hAnsi="Times New Roman" w:eastAsia="宋体" w:cs="Times New Roman"/>
                      <w:color w:val="auto"/>
                    </w:rPr>
                  </w:pPr>
                </w:p>
              </w:tc>
              <w:tc>
                <w:tcPr>
                  <w:tcW w:w="544" w:type="pct"/>
                  <w:noWrap w:val="0"/>
                  <w:vAlign w:val="center"/>
                </w:tcPr>
                <w:p>
                  <w:pPr>
                    <w:kinsoku w:val="0"/>
                    <w:overflowPunct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X</w:t>
                  </w:r>
                </w:p>
              </w:tc>
              <w:tc>
                <w:tcPr>
                  <w:tcW w:w="546" w:type="pct"/>
                  <w:noWrap w:val="0"/>
                  <w:vAlign w:val="center"/>
                </w:tcPr>
                <w:p>
                  <w:pPr>
                    <w:kinsoku w:val="0"/>
                    <w:overflowPunct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Y</w:t>
                  </w:r>
                </w:p>
              </w:tc>
              <w:tc>
                <w:tcPr>
                  <w:tcW w:w="758" w:type="pct"/>
                  <w:vMerge w:val="continue"/>
                  <w:noWrap w:val="0"/>
                  <w:vAlign w:val="center"/>
                </w:tcPr>
                <w:p>
                  <w:pPr>
                    <w:widowControl/>
                    <w:jc w:val="center"/>
                    <w:rPr>
                      <w:rFonts w:hint="default" w:ascii="Times New Roman" w:hAnsi="Times New Roman" w:eastAsia="宋体" w:cs="Times New Roman"/>
                      <w:color w:val="auto"/>
                    </w:rPr>
                  </w:pPr>
                </w:p>
              </w:tc>
              <w:tc>
                <w:tcPr>
                  <w:tcW w:w="851" w:type="pct"/>
                  <w:vMerge w:val="continue"/>
                  <w:noWrap w:val="0"/>
                  <w:vAlign w:val="center"/>
                </w:tcPr>
                <w:p>
                  <w:pPr>
                    <w:widowControl/>
                    <w:jc w:val="center"/>
                    <w:rPr>
                      <w:rFonts w:hint="default" w:ascii="Times New Roman" w:hAnsi="Times New Roman" w:eastAsia="宋体" w:cs="Times New Roman"/>
                      <w:color w:val="auto"/>
                    </w:rPr>
                  </w:pPr>
                </w:p>
              </w:tc>
              <w:tc>
                <w:tcPr>
                  <w:tcW w:w="889" w:type="pct"/>
                  <w:vMerge w:val="continue"/>
                  <w:noWrap w:val="0"/>
                  <w:vAlign w:val="center"/>
                </w:tcPr>
                <w:p>
                  <w:pPr>
                    <w:widowControl/>
                    <w:jc w:val="center"/>
                    <w:rPr>
                      <w:rFonts w:hint="default" w:ascii="Times New Roman" w:hAnsi="Times New Roman" w:eastAsia="宋体" w:cs="Times New Roman"/>
                      <w:color w:val="auto"/>
                    </w:rPr>
                  </w:pPr>
                </w:p>
              </w:tc>
              <w:tc>
                <w:tcPr>
                  <w:tcW w:w="435" w:type="pct"/>
                  <w:vMerge w:val="continue"/>
                  <w:noWrap w:val="0"/>
                  <w:vAlign w:val="center"/>
                </w:tcPr>
                <w:p>
                  <w:pPr>
                    <w:widowControl/>
                    <w:jc w:val="center"/>
                    <w:rPr>
                      <w:rFonts w:hint="default" w:ascii="Times New Roman" w:hAnsi="Times New Roman" w:eastAsia="宋体" w:cs="Times New Roman"/>
                      <w:color w:val="auto"/>
                    </w:rPr>
                  </w:pPr>
                </w:p>
              </w:tc>
              <w:tc>
                <w:tcPr>
                  <w:tcW w:w="705" w:type="pct"/>
                  <w:vMerge w:val="continue"/>
                  <w:noWrap w:val="0"/>
                  <w:vAlign w:val="center"/>
                </w:tcPr>
                <w:p>
                  <w:pPr>
                    <w:widowControl/>
                    <w:jc w:val="center"/>
                    <w:rPr>
                      <w:rFonts w:hint="default"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8" w:type="pct"/>
                  <w:vMerge w:val="restar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大气 环境</w:t>
                  </w:r>
                </w:p>
              </w:tc>
              <w:tc>
                <w:tcPr>
                  <w:tcW w:w="544" w:type="pct"/>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590</w:t>
                  </w:r>
                </w:p>
              </w:tc>
              <w:tc>
                <w:tcPr>
                  <w:tcW w:w="546" w:type="pct"/>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-110</w:t>
                  </w:r>
                </w:p>
              </w:tc>
              <w:tc>
                <w:tcPr>
                  <w:tcW w:w="758" w:type="pct"/>
                  <w:noWrap w:val="0"/>
                  <w:vAlign w:val="center"/>
                </w:tcPr>
                <w:p>
                  <w:pPr>
                    <w:kinsoku w:val="0"/>
                    <w:overflowPunct w:val="0"/>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兔子坪村</w:t>
                  </w:r>
                  <w:r>
                    <w:rPr>
                      <w:rFonts w:hint="eastAsia" w:ascii="Times New Roman" w:hAnsi="Times New Roman" w:eastAsia="宋体" w:cs="Times New Roman"/>
                      <w:color w:val="auto"/>
                      <w:lang w:eastAsia="zh-CN"/>
                    </w:rPr>
                    <w:t>居民点</w:t>
                  </w:r>
                </w:p>
              </w:tc>
              <w:tc>
                <w:tcPr>
                  <w:tcW w:w="851" w:type="pc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约</w:t>
                  </w:r>
                  <w:r>
                    <w:rPr>
                      <w:rFonts w:hint="eastAsia" w:ascii="Times New Roman" w:hAnsi="Times New Roman" w:eastAsia="宋体" w:cs="Times New Roman"/>
                      <w:color w:val="auto"/>
                      <w:lang w:val="en-US" w:eastAsia="zh-CN"/>
                    </w:rPr>
                    <w:t>20</w:t>
                  </w:r>
                  <w:r>
                    <w:rPr>
                      <w:rFonts w:hint="default" w:ascii="Times New Roman" w:hAnsi="Times New Roman" w:eastAsia="宋体" w:cs="Times New Roman"/>
                      <w:color w:val="auto"/>
                    </w:rPr>
                    <w:t>户，</w:t>
                  </w:r>
                  <w:r>
                    <w:rPr>
                      <w:rFonts w:hint="eastAsia" w:ascii="Times New Roman" w:hAnsi="Times New Roman" w:eastAsia="宋体" w:cs="Times New Roman"/>
                      <w:color w:val="auto"/>
                      <w:lang w:val="en-US" w:eastAsia="zh-CN"/>
                    </w:rPr>
                    <w:t>80</w:t>
                  </w:r>
                  <w:r>
                    <w:rPr>
                      <w:rFonts w:hint="default" w:ascii="Times New Roman" w:hAnsi="Times New Roman" w:eastAsia="宋体" w:cs="Times New Roman"/>
                      <w:color w:val="auto"/>
                    </w:rPr>
                    <w:t>人</w:t>
                  </w:r>
                </w:p>
              </w:tc>
              <w:tc>
                <w:tcPr>
                  <w:tcW w:w="889" w:type="pct"/>
                  <w:vMerge w:val="restar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《环境空气质量标准》</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（GB3095-2012）二级标准，二类区</w:t>
                  </w:r>
                </w:p>
              </w:tc>
              <w:tc>
                <w:tcPr>
                  <w:tcW w:w="435" w:type="pct"/>
                  <w:noWrap w:val="0"/>
                  <w:vAlign w:val="center"/>
                </w:tcPr>
                <w:p>
                  <w:pPr>
                    <w:kinsoku w:val="0"/>
                    <w:overflowPunct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w:t>
                  </w:r>
                </w:p>
              </w:tc>
              <w:tc>
                <w:tcPr>
                  <w:tcW w:w="705" w:type="pct"/>
                  <w:noWrap w:val="0"/>
                  <w:vAlign w:val="center"/>
                </w:tcPr>
                <w:p>
                  <w:pPr>
                    <w:kinsoku w:val="0"/>
                    <w:overflowPunct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8" w:type="pct"/>
                  <w:vMerge w:val="continue"/>
                  <w:noWrap w:val="0"/>
                  <w:vAlign w:val="center"/>
                </w:tcPr>
                <w:p>
                  <w:pPr>
                    <w:kinsoku w:val="0"/>
                    <w:overflowPunct w:val="0"/>
                    <w:jc w:val="center"/>
                    <w:rPr>
                      <w:rFonts w:hint="default" w:ascii="Times New Roman" w:hAnsi="Times New Roman" w:eastAsia="宋体" w:cs="Times New Roman"/>
                      <w:color w:val="auto"/>
                    </w:rPr>
                  </w:pPr>
                </w:p>
              </w:tc>
              <w:tc>
                <w:tcPr>
                  <w:tcW w:w="544" w:type="pct"/>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546" w:type="pct"/>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-190</w:t>
                  </w:r>
                </w:p>
              </w:tc>
              <w:tc>
                <w:tcPr>
                  <w:tcW w:w="758" w:type="pct"/>
                  <w:noWrap w:val="0"/>
                  <w:vAlign w:val="center"/>
                </w:tcPr>
                <w:p>
                  <w:pPr>
                    <w:kinsoku w:val="0"/>
                    <w:overflowPunct w:val="0"/>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兔子坪村</w:t>
                  </w:r>
                  <w:r>
                    <w:rPr>
                      <w:rFonts w:hint="eastAsia" w:ascii="Times New Roman" w:hAnsi="Times New Roman" w:eastAsia="宋体" w:cs="Times New Roman"/>
                      <w:color w:val="auto"/>
                      <w:lang w:eastAsia="zh-CN"/>
                    </w:rPr>
                    <w:t>居民点</w:t>
                  </w:r>
                </w:p>
              </w:tc>
              <w:tc>
                <w:tcPr>
                  <w:tcW w:w="851" w:type="pct"/>
                  <w:noWrap w:val="0"/>
                  <w:vAlign w:val="center"/>
                </w:tcPr>
                <w:p>
                  <w:pPr>
                    <w:kinsoku w:val="0"/>
                    <w:overflowPunct w:val="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rPr>
                    <w:t>户，</w:t>
                  </w:r>
                  <w:r>
                    <w:rPr>
                      <w:rFonts w:hint="eastAsia" w:ascii="Times New Roman" w:hAnsi="Times New Roman" w:eastAsia="宋体" w:cs="Times New Roman"/>
                      <w:color w:val="auto"/>
                      <w:lang w:eastAsia="zh-CN"/>
                    </w:rPr>
                    <w:t>约</w:t>
                  </w:r>
                  <w:r>
                    <w:rPr>
                      <w:rFonts w:hint="eastAsia" w:ascii="Times New Roman" w:hAnsi="Times New Roman" w:eastAsia="宋体" w:cs="Times New Roman"/>
                      <w:color w:val="auto"/>
                      <w:lang w:val="en-US" w:eastAsia="zh-CN"/>
                    </w:rPr>
                    <w:t>40</w:t>
                  </w:r>
                  <w:r>
                    <w:rPr>
                      <w:rFonts w:hint="default" w:ascii="Times New Roman" w:hAnsi="Times New Roman" w:eastAsia="宋体" w:cs="Times New Roman"/>
                      <w:color w:val="auto"/>
                    </w:rPr>
                    <w:t>人</w:t>
                  </w:r>
                </w:p>
              </w:tc>
              <w:tc>
                <w:tcPr>
                  <w:tcW w:w="889" w:type="pct"/>
                  <w:vMerge w:val="continue"/>
                  <w:noWrap w:val="0"/>
                  <w:vAlign w:val="center"/>
                </w:tcPr>
                <w:p>
                  <w:pPr>
                    <w:kinsoku w:val="0"/>
                    <w:overflowPunct w:val="0"/>
                    <w:jc w:val="center"/>
                    <w:rPr>
                      <w:rFonts w:hint="default" w:ascii="Times New Roman" w:hAnsi="Times New Roman" w:eastAsia="宋体" w:cs="Times New Roman"/>
                      <w:color w:val="auto"/>
                    </w:rPr>
                  </w:pPr>
                </w:p>
              </w:tc>
              <w:tc>
                <w:tcPr>
                  <w:tcW w:w="435" w:type="pct"/>
                  <w:noWrap w:val="0"/>
                  <w:vAlign w:val="center"/>
                </w:tcPr>
                <w:p>
                  <w:pPr>
                    <w:kinsoku w:val="0"/>
                    <w:overflowPunct w:val="0"/>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南</w:t>
                  </w:r>
                </w:p>
              </w:tc>
              <w:tc>
                <w:tcPr>
                  <w:tcW w:w="705" w:type="pct"/>
                  <w:noWrap w:val="0"/>
                  <w:vAlign w:val="center"/>
                </w:tcPr>
                <w:p>
                  <w:pPr>
                    <w:kinsoku w:val="0"/>
                    <w:overflowPunct w:val="0"/>
                    <w:jc w:val="center"/>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8" w:type="pct"/>
                  <w:vMerge w:val="continue"/>
                  <w:noWrap w:val="0"/>
                  <w:vAlign w:val="center"/>
                </w:tcPr>
                <w:p>
                  <w:pPr>
                    <w:kinsoku w:val="0"/>
                    <w:overflowPunct w:val="0"/>
                    <w:jc w:val="center"/>
                    <w:rPr>
                      <w:rFonts w:hint="default" w:ascii="Times New Roman" w:hAnsi="Times New Roman" w:eastAsia="宋体" w:cs="Times New Roman"/>
                      <w:color w:val="auto"/>
                    </w:rPr>
                  </w:pPr>
                </w:p>
              </w:tc>
              <w:tc>
                <w:tcPr>
                  <w:tcW w:w="868" w:type="dxa"/>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-210</w:t>
                  </w:r>
                </w:p>
              </w:tc>
              <w:tc>
                <w:tcPr>
                  <w:tcW w:w="872" w:type="dxa"/>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-410</w:t>
                  </w:r>
                </w:p>
              </w:tc>
              <w:tc>
                <w:tcPr>
                  <w:tcW w:w="1209" w:type="dxa"/>
                  <w:noWrap w:val="0"/>
                  <w:vAlign w:val="center"/>
                </w:tcPr>
                <w:p>
                  <w:pPr>
                    <w:kinsoku w:val="0"/>
                    <w:overflowPunct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铁芦冲居民</w:t>
                  </w:r>
                </w:p>
              </w:tc>
              <w:tc>
                <w:tcPr>
                  <w:tcW w:w="1358" w:type="dxa"/>
                  <w:noWrap w:val="0"/>
                  <w:vAlign w:val="center"/>
                </w:tcPr>
                <w:p>
                  <w:pPr>
                    <w:kinsoku w:val="0"/>
                    <w:overflowPunct w:val="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约</w:t>
                  </w:r>
                  <w:r>
                    <w:rPr>
                      <w:rFonts w:hint="eastAsia" w:ascii="Times New Roman" w:hAnsi="Times New Roman" w:eastAsia="宋体" w:cs="Times New Roman"/>
                      <w:color w:val="auto"/>
                      <w:lang w:val="en-US" w:eastAsia="zh-CN"/>
                    </w:rPr>
                    <w:t>20</w:t>
                  </w:r>
                  <w:r>
                    <w:rPr>
                      <w:rFonts w:hint="default" w:ascii="Times New Roman" w:hAnsi="Times New Roman" w:eastAsia="宋体" w:cs="Times New Roman"/>
                      <w:color w:val="auto"/>
                    </w:rPr>
                    <w:t>户，</w:t>
                  </w:r>
                  <w:r>
                    <w:rPr>
                      <w:rFonts w:hint="eastAsia" w:ascii="Times New Roman" w:hAnsi="Times New Roman" w:eastAsia="宋体" w:cs="Times New Roman"/>
                      <w:color w:val="auto"/>
                      <w:lang w:val="en-US" w:eastAsia="zh-CN"/>
                    </w:rPr>
                    <w:t>80</w:t>
                  </w:r>
                  <w:r>
                    <w:rPr>
                      <w:rFonts w:hint="default" w:ascii="Times New Roman" w:hAnsi="Times New Roman" w:eastAsia="宋体" w:cs="Times New Roman"/>
                      <w:color w:val="auto"/>
                    </w:rPr>
                    <w:t>人</w:t>
                  </w:r>
                </w:p>
              </w:tc>
              <w:tc>
                <w:tcPr>
                  <w:tcW w:w="889" w:type="pct"/>
                  <w:vMerge w:val="continue"/>
                  <w:noWrap w:val="0"/>
                  <w:vAlign w:val="center"/>
                </w:tcPr>
                <w:p>
                  <w:pPr>
                    <w:kinsoku w:val="0"/>
                    <w:overflowPunct w:val="0"/>
                    <w:jc w:val="center"/>
                    <w:rPr>
                      <w:rFonts w:hint="default" w:ascii="Times New Roman" w:hAnsi="Times New Roman" w:eastAsia="宋体" w:cs="Times New Roman"/>
                      <w:color w:val="auto"/>
                    </w:rPr>
                  </w:pPr>
                </w:p>
              </w:tc>
              <w:tc>
                <w:tcPr>
                  <w:tcW w:w="435" w:type="pct"/>
                  <w:noWrap w:val="0"/>
                  <w:vAlign w:val="center"/>
                </w:tcPr>
                <w:p>
                  <w:pPr>
                    <w:kinsoku w:val="0"/>
                    <w:overflowPunct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西南</w:t>
                  </w:r>
                </w:p>
              </w:tc>
              <w:tc>
                <w:tcPr>
                  <w:tcW w:w="705" w:type="pct"/>
                  <w:noWrap w:val="0"/>
                  <w:vAlign w:val="center"/>
                </w:tcPr>
                <w:p>
                  <w:pPr>
                    <w:kinsoku w:val="0"/>
                    <w:overflowPunct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8" w:type="pct"/>
                  <w:vMerge w:val="continue"/>
                  <w:noWrap w:val="0"/>
                  <w:vAlign w:val="center"/>
                </w:tcPr>
                <w:p>
                  <w:pPr>
                    <w:kinsoku w:val="0"/>
                    <w:overflowPunct w:val="0"/>
                    <w:jc w:val="center"/>
                    <w:rPr>
                      <w:rFonts w:hint="default" w:ascii="Times New Roman" w:hAnsi="Times New Roman" w:eastAsia="宋体" w:cs="Times New Roman"/>
                      <w:color w:val="auto"/>
                    </w:rPr>
                  </w:pPr>
                </w:p>
              </w:tc>
              <w:tc>
                <w:tcPr>
                  <w:tcW w:w="868" w:type="dxa"/>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w:t>
                  </w:r>
                </w:p>
              </w:tc>
              <w:tc>
                <w:tcPr>
                  <w:tcW w:w="872" w:type="dxa"/>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1209" w:type="dxa"/>
                  <w:noWrap w:val="0"/>
                  <w:vAlign w:val="center"/>
                </w:tcPr>
                <w:p>
                  <w:pPr>
                    <w:kinsoku w:val="0"/>
                    <w:overflowPunct w:val="0"/>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兔子坪村</w:t>
                  </w:r>
                  <w:r>
                    <w:rPr>
                      <w:rFonts w:hint="eastAsia" w:ascii="Times New Roman" w:hAnsi="Times New Roman" w:eastAsia="宋体" w:cs="Times New Roman"/>
                      <w:color w:val="auto"/>
                      <w:lang w:eastAsia="zh-CN"/>
                    </w:rPr>
                    <w:t>居民点</w:t>
                  </w:r>
                </w:p>
              </w:tc>
              <w:tc>
                <w:tcPr>
                  <w:tcW w:w="1358" w:type="dxa"/>
                  <w:noWrap w:val="0"/>
                  <w:vAlign w:val="center"/>
                </w:tcPr>
                <w:p>
                  <w:pPr>
                    <w:kinsoku w:val="0"/>
                    <w:overflowPunct w:val="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户，</w:t>
                  </w:r>
                  <w:r>
                    <w:rPr>
                      <w:rFonts w:hint="eastAsia" w:ascii="Times New Roman" w:hAnsi="Times New Roman" w:eastAsia="宋体" w:cs="Times New Roman"/>
                      <w:color w:val="auto"/>
                      <w:lang w:eastAsia="zh-CN"/>
                    </w:rPr>
                    <w:t>约</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rPr>
                    <w:t>人</w:t>
                  </w:r>
                </w:p>
              </w:tc>
              <w:tc>
                <w:tcPr>
                  <w:tcW w:w="889" w:type="pct"/>
                  <w:vMerge w:val="continue"/>
                  <w:noWrap w:val="0"/>
                  <w:vAlign w:val="center"/>
                </w:tcPr>
                <w:p>
                  <w:pPr>
                    <w:kinsoku w:val="0"/>
                    <w:overflowPunct w:val="0"/>
                    <w:jc w:val="center"/>
                    <w:rPr>
                      <w:rFonts w:hint="default" w:ascii="Times New Roman" w:hAnsi="Times New Roman" w:eastAsia="宋体" w:cs="Times New Roman"/>
                      <w:color w:val="auto"/>
                    </w:rPr>
                  </w:pPr>
                </w:p>
              </w:tc>
              <w:tc>
                <w:tcPr>
                  <w:tcW w:w="435" w:type="pct"/>
                  <w:noWrap w:val="0"/>
                  <w:vAlign w:val="center"/>
                </w:tcPr>
                <w:p>
                  <w:pPr>
                    <w:kinsoku w:val="0"/>
                    <w:overflowPunct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西</w:t>
                  </w:r>
                </w:p>
              </w:tc>
              <w:tc>
                <w:tcPr>
                  <w:tcW w:w="705" w:type="pct"/>
                  <w:noWrap w:val="0"/>
                  <w:vAlign w:val="center"/>
                </w:tcPr>
                <w:p>
                  <w:pPr>
                    <w:kinsoku w:val="0"/>
                    <w:overflowPunct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8" w:type="pct"/>
                  <w:vMerge w:val="continue"/>
                  <w:noWrap w:val="0"/>
                  <w:vAlign w:val="center"/>
                </w:tcPr>
                <w:p>
                  <w:pPr>
                    <w:kinsoku w:val="0"/>
                    <w:overflowPunct w:val="0"/>
                    <w:jc w:val="center"/>
                    <w:rPr>
                      <w:rFonts w:hint="default" w:ascii="Times New Roman" w:hAnsi="Times New Roman" w:eastAsia="宋体" w:cs="Times New Roman"/>
                      <w:color w:val="auto"/>
                    </w:rPr>
                  </w:pPr>
                </w:p>
              </w:tc>
              <w:tc>
                <w:tcPr>
                  <w:tcW w:w="868" w:type="dxa"/>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-320</w:t>
                  </w:r>
                </w:p>
              </w:tc>
              <w:tc>
                <w:tcPr>
                  <w:tcW w:w="872" w:type="dxa"/>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1209" w:type="dxa"/>
                  <w:noWrap w:val="0"/>
                  <w:vAlign w:val="center"/>
                </w:tcPr>
                <w:p>
                  <w:pPr>
                    <w:kinsoku w:val="0"/>
                    <w:overflowPunct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车公塘居民</w:t>
                  </w:r>
                </w:p>
              </w:tc>
              <w:tc>
                <w:tcPr>
                  <w:tcW w:w="1358" w:type="dxa"/>
                  <w:noWrap w:val="0"/>
                  <w:vAlign w:val="center"/>
                </w:tcPr>
                <w:p>
                  <w:pPr>
                    <w:kinsoku w:val="0"/>
                    <w:overflowPunct w:val="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约</w:t>
                  </w:r>
                  <w:r>
                    <w:rPr>
                      <w:rFonts w:hint="eastAsia" w:ascii="Times New Roman" w:hAnsi="Times New Roman" w:eastAsia="宋体" w:cs="Times New Roman"/>
                      <w:color w:val="auto"/>
                      <w:lang w:val="en-US" w:eastAsia="zh-CN"/>
                    </w:rPr>
                    <w:t>30</w:t>
                  </w:r>
                  <w:r>
                    <w:rPr>
                      <w:rFonts w:hint="default" w:ascii="Times New Roman" w:hAnsi="Times New Roman" w:eastAsia="宋体" w:cs="Times New Roman"/>
                      <w:color w:val="auto"/>
                    </w:rPr>
                    <w:t>户，</w:t>
                  </w:r>
                  <w:r>
                    <w:rPr>
                      <w:rFonts w:hint="eastAsia" w:ascii="Times New Roman" w:hAnsi="Times New Roman" w:eastAsia="宋体" w:cs="Times New Roman"/>
                      <w:color w:val="auto"/>
                      <w:lang w:val="en-US" w:eastAsia="zh-CN"/>
                    </w:rPr>
                    <w:t>100</w:t>
                  </w:r>
                  <w:r>
                    <w:rPr>
                      <w:rFonts w:hint="default" w:ascii="Times New Roman" w:hAnsi="Times New Roman" w:eastAsia="宋体" w:cs="Times New Roman"/>
                      <w:color w:val="auto"/>
                    </w:rPr>
                    <w:t>人</w:t>
                  </w:r>
                </w:p>
              </w:tc>
              <w:tc>
                <w:tcPr>
                  <w:tcW w:w="889" w:type="pct"/>
                  <w:vMerge w:val="continue"/>
                  <w:noWrap w:val="0"/>
                  <w:vAlign w:val="center"/>
                </w:tcPr>
                <w:p>
                  <w:pPr>
                    <w:kinsoku w:val="0"/>
                    <w:overflowPunct w:val="0"/>
                    <w:jc w:val="center"/>
                    <w:rPr>
                      <w:rFonts w:hint="default" w:ascii="Times New Roman" w:hAnsi="Times New Roman" w:eastAsia="宋体" w:cs="Times New Roman"/>
                      <w:color w:val="auto"/>
                    </w:rPr>
                  </w:pPr>
                </w:p>
              </w:tc>
              <w:tc>
                <w:tcPr>
                  <w:tcW w:w="435" w:type="pct"/>
                  <w:noWrap w:val="0"/>
                  <w:vAlign w:val="center"/>
                </w:tcPr>
                <w:p>
                  <w:pPr>
                    <w:kinsoku w:val="0"/>
                    <w:overflowPunct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西</w:t>
                  </w:r>
                </w:p>
              </w:tc>
              <w:tc>
                <w:tcPr>
                  <w:tcW w:w="705" w:type="pct"/>
                  <w:noWrap w:val="0"/>
                  <w:vAlign w:val="center"/>
                </w:tcPr>
                <w:p>
                  <w:pPr>
                    <w:kinsoku w:val="0"/>
                    <w:overflowPunct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8" w:type="pct"/>
                  <w:vMerge w:val="continue"/>
                  <w:noWrap w:val="0"/>
                  <w:vAlign w:val="center"/>
                </w:tcPr>
                <w:p>
                  <w:pPr>
                    <w:widowControl/>
                    <w:jc w:val="center"/>
                    <w:rPr>
                      <w:rFonts w:hint="default" w:ascii="Times New Roman" w:hAnsi="Times New Roman" w:eastAsia="宋体" w:cs="Times New Roman"/>
                      <w:color w:val="auto"/>
                    </w:rPr>
                  </w:pPr>
                </w:p>
              </w:tc>
              <w:tc>
                <w:tcPr>
                  <w:tcW w:w="544" w:type="pct"/>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w:t>
                  </w:r>
                </w:p>
              </w:tc>
              <w:tc>
                <w:tcPr>
                  <w:tcW w:w="546" w:type="pct"/>
                  <w:noWrap w:val="0"/>
                  <w:vAlign w:val="center"/>
                </w:tcPr>
                <w:p>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320</w:t>
                  </w:r>
                </w:p>
              </w:tc>
              <w:tc>
                <w:tcPr>
                  <w:tcW w:w="758" w:type="pct"/>
                  <w:noWrap w:val="0"/>
                  <w:vAlign w:val="center"/>
                </w:tcPr>
                <w:p>
                  <w:pPr>
                    <w:kinsoku w:val="0"/>
                    <w:overflowPunct w:val="0"/>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兔子坪村</w:t>
                  </w:r>
                  <w:r>
                    <w:rPr>
                      <w:rFonts w:hint="eastAsia" w:ascii="Times New Roman" w:hAnsi="Times New Roman" w:eastAsia="宋体" w:cs="Times New Roman"/>
                      <w:color w:val="auto"/>
                      <w:lang w:eastAsia="zh-CN"/>
                    </w:rPr>
                    <w:t>居民点</w:t>
                  </w:r>
                </w:p>
              </w:tc>
              <w:tc>
                <w:tcPr>
                  <w:tcW w:w="851" w:type="pct"/>
                  <w:noWrap w:val="0"/>
                  <w:vAlign w:val="center"/>
                </w:tcPr>
                <w:p>
                  <w:pPr>
                    <w:kinsoku w:val="0"/>
                    <w:overflowPunct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约</w:t>
                  </w:r>
                  <w:r>
                    <w:rPr>
                      <w:rFonts w:hint="eastAsia" w:ascii="Times New Roman" w:hAnsi="Times New Roman" w:eastAsia="宋体" w:cs="Times New Roman"/>
                      <w:color w:val="auto"/>
                      <w:lang w:val="en-US" w:eastAsia="zh-CN"/>
                    </w:rPr>
                    <w:t>30</w:t>
                  </w:r>
                  <w:r>
                    <w:rPr>
                      <w:rFonts w:hint="default" w:ascii="Times New Roman" w:hAnsi="Times New Roman" w:eastAsia="宋体" w:cs="Times New Roman"/>
                      <w:color w:val="auto"/>
                    </w:rPr>
                    <w:t>户，</w:t>
                  </w:r>
                  <w:r>
                    <w:rPr>
                      <w:rFonts w:hint="eastAsia" w:ascii="Times New Roman" w:hAnsi="Times New Roman" w:eastAsia="宋体" w:cs="Times New Roman"/>
                      <w:color w:val="auto"/>
                      <w:lang w:val="en-US" w:eastAsia="zh-CN"/>
                    </w:rPr>
                    <w:t>100</w:t>
                  </w:r>
                  <w:r>
                    <w:rPr>
                      <w:rFonts w:hint="default" w:ascii="Times New Roman" w:hAnsi="Times New Roman" w:eastAsia="宋体" w:cs="Times New Roman"/>
                      <w:color w:val="auto"/>
                    </w:rPr>
                    <w:t>人</w:t>
                  </w:r>
                </w:p>
              </w:tc>
              <w:tc>
                <w:tcPr>
                  <w:tcW w:w="889" w:type="pct"/>
                  <w:vMerge w:val="continue"/>
                  <w:noWrap w:val="0"/>
                  <w:vAlign w:val="center"/>
                </w:tcPr>
                <w:p>
                  <w:pPr>
                    <w:kinsoku w:val="0"/>
                    <w:overflowPunct w:val="0"/>
                    <w:jc w:val="center"/>
                    <w:rPr>
                      <w:rFonts w:hint="default" w:ascii="Times New Roman" w:hAnsi="Times New Roman" w:eastAsia="宋体" w:cs="Times New Roman"/>
                      <w:color w:val="auto"/>
                    </w:rPr>
                  </w:pPr>
                </w:p>
              </w:tc>
              <w:tc>
                <w:tcPr>
                  <w:tcW w:w="435" w:type="pct"/>
                  <w:noWrap w:val="0"/>
                  <w:vAlign w:val="center"/>
                </w:tcPr>
                <w:p>
                  <w:pPr>
                    <w:kinsoku w:val="0"/>
                    <w:overflowPunct w:val="0"/>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北</w:t>
                  </w:r>
                </w:p>
              </w:tc>
              <w:tc>
                <w:tcPr>
                  <w:tcW w:w="705" w:type="pct"/>
                  <w:noWrap w:val="0"/>
                  <w:vAlign w:val="center"/>
                </w:tcPr>
                <w:p>
                  <w:pPr>
                    <w:kinsoku w:val="0"/>
                    <w:overflowPunct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280</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表3-</w:t>
            </w:r>
            <w:r>
              <w:rPr>
                <w:rFonts w:hint="eastAsia" w:ascii="Times New Roman" w:hAnsi="Times New Roman" w:eastAsia="宋体" w:cs="Times New Roman"/>
                <w:b/>
                <w:bCs/>
                <w:color w:val="auto"/>
                <w:lang w:val="en-US" w:eastAsia="zh-CN"/>
              </w:rPr>
              <w:t>7</w:t>
            </w:r>
            <w:r>
              <w:rPr>
                <w:rFonts w:hint="default" w:ascii="Times New Roman" w:hAnsi="Times New Roman" w:eastAsia="宋体" w:cs="Times New Roman"/>
                <w:b/>
                <w:bCs/>
                <w:color w:val="auto"/>
              </w:rPr>
              <w:t xml:space="preserve">  声环境、地下水环境、生态环境保护目标一览表</w:t>
            </w:r>
          </w:p>
          <w:tbl>
            <w:tblPr>
              <w:tblStyle w:val="33"/>
              <w:tblW w:w="505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118"/>
              <w:gridCol w:w="1155"/>
              <w:gridCol w:w="1095"/>
              <w:gridCol w:w="1230"/>
              <w:gridCol w:w="2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noWrap w:val="0"/>
                  <w:vAlign w:val="center"/>
                </w:tcPr>
                <w:p>
                  <w:pPr>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693" w:type="pct"/>
                  <w:noWrap w:val="0"/>
                  <w:vAlign w:val="center"/>
                </w:tcPr>
                <w:p>
                  <w:pPr>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保护对象</w:t>
                  </w:r>
                </w:p>
              </w:tc>
              <w:tc>
                <w:tcPr>
                  <w:tcW w:w="716" w:type="pct"/>
                  <w:noWrap w:val="0"/>
                  <w:vAlign w:val="center"/>
                </w:tcPr>
                <w:p>
                  <w:pPr>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保护内容</w:t>
                  </w:r>
                </w:p>
              </w:tc>
              <w:tc>
                <w:tcPr>
                  <w:tcW w:w="679" w:type="pct"/>
                  <w:noWrap w:val="0"/>
                  <w:vAlign w:val="center"/>
                </w:tcPr>
                <w:p>
                  <w:pPr>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相对厂址方位</w:t>
                  </w:r>
                </w:p>
              </w:tc>
              <w:tc>
                <w:tcPr>
                  <w:tcW w:w="763" w:type="pct"/>
                  <w:noWrap w:val="0"/>
                  <w:vAlign w:val="center"/>
                </w:tcPr>
                <w:p>
                  <w:pPr>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相对厂界距离/m</w:t>
                  </w:r>
                </w:p>
              </w:tc>
              <w:tc>
                <w:tcPr>
                  <w:tcW w:w="1517" w:type="pct"/>
                  <w:noWrap w:val="0"/>
                  <w:vAlign w:val="center"/>
                </w:tcPr>
                <w:p>
                  <w:pPr>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noWrap w:val="0"/>
                  <w:vAlign w:val="center"/>
                </w:tcPr>
                <w:p>
                  <w:pPr>
                    <w:snapToGrid w:val="0"/>
                    <w:jc w:val="center"/>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声环境</w:t>
                  </w:r>
                </w:p>
              </w:tc>
              <w:tc>
                <w:tcPr>
                  <w:tcW w:w="693" w:type="pct"/>
                  <w:noWrap w:val="0"/>
                  <w:vAlign w:val="center"/>
                </w:tcPr>
                <w:p>
                  <w:pPr>
                    <w:snapToGrid w:val="0"/>
                    <w:jc w:val="center"/>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西侧15m处居民点</w:t>
                  </w:r>
                </w:p>
              </w:tc>
              <w:tc>
                <w:tcPr>
                  <w:tcW w:w="716" w:type="pct"/>
                  <w:noWrap w:val="0"/>
                  <w:vAlign w:val="center"/>
                </w:tcPr>
                <w:p>
                  <w:pPr>
                    <w:snapToGrid w:val="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户，</w:t>
                  </w:r>
                  <w:r>
                    <w:rPr>
                      <w:rFonts w:hint="eastAsia" w:ascii="Times New Roman" w:hAnsi="Times New Roman" w:eastAsia="宋体" w:cs="Times New Roman"/>
                      <w:color w:val="auto"/>
                      <w:lang w:eastAsia="zh-CN"/>
                    </w:rPr>
                    <w:t>约</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rPr>
                    <w:t>人</w:t>
                  </w:r>
                </w:p>
              </w:tc>
              <w:tc>
                <w:tcPr>
                  <w:tcW w:w="679" w:type="pct"/>
                  <w:noWrap w:val="0"/>
                  <w:vAlign w:val="center"/>
                </w:tcPr>
                <w:p>
                  <w:pPr>
                    <w:snapToGrid w:val="0"/>
                    <w:jc w:val="center"/>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w:t>
                  </w:r>
                </w:p>
              </w:tc>
              <w:tc>
                <w:tcPr>
                  <w:tcW w:w="763" w:type="pct"/>
                  <w:noWrap w:val="0"/>
                  <w:vAlign w:val="center"/>
                </w:tcPr>
                <w:p>
                  <w:pPr>
                    <w:snapToGrid w:val="0"/>
                    <w:jc w:val="center"/>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15</w:t>
                  </w:r>
                </w:p>
              </w:tc>
              <w:tc>
                <w:tcPr>
                  <w:tcW w:w="1517" w:type="pct"/>
                  <w:noWrap w:val="0"/>
                  <w:vAlign w:val="center"/>
                </w:tcPr>
                <w:p>
                  <w:pPr>
                    <w:snapToGrid w:val="0"/>
                    <w:jc w:val="center"/>
                    <w:rPr>
                      <w:color w:val="auto"/>
                      <w:u w:val="none"/>
                    </w:rPr>
                  </w:pPr>
                  <w:r>
                    <w:rPr>
                      <w:rFonts w:hint="eastAsia"/>
                      <w:color w:val="auto"/>
                      <w:u w:val="none"/>
                    </w:rPr>
                    <w:t>《声环境质量标准》（GB3096--2008）2类类标准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noWrap w:val="0"/>
                  <w:vAlign w:val="center"/>
                </w:tcPr>
                <w:p>
                  <w:pPr>
                    <w:snapToGrid w:val="0"/>
                    <w:jc w:val="center"/>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地表水环境</w:t>
                  </w:r>
                </w:p>
              </w:tc>
              <w:tc>
                <w:tcPr>
                  <w:tcW w:w="693" w:type="pct"/>
                  <w:noWrap w:val="0"/>
                  <w:vAlign w:val="center"/>
                </w:tcPr>
                <w:p>
                  <w:pPr>
                    <w:snapToGrid w:val="0"/>
                    <w:jc w:val="center"/>
                    <w:rPr>
                      <w:rFonts w:hint="default" w:ascii="Times New Roman" w:hAnsi="Times New Roman" w:eastAsia="宋体" w:cs="Times New Roman"/>
                      <w:color w:val="auto"/>
                      <w:u w:val="none"/>
                    </w:rPr>
                  </w:pPr>
                  <w:r>
                    <w:rPr>
                      <w:rFonts w:hint="eastAsia" w:eastAsia="宋体" w:cs="Times New Roman"/>
                      <w:b w:val="0"/>
                      <w:bCs/>
                      <w:color w:val="auto"/>
                      <w:sz w:val="21"/>
                      <w:szCs w:val="21"/>
                      <w:u w:val="none"/>
                      <w:lang w:val="en-US" w:eastAsia="zh-CN"/>
                    </w:rPr>
                    <w:t>朱家冲水</w:t>
                  </w:r>
                </w:p>
              </w:tc>
              <w:tc>
                <w:tcPr>
                  <w:tcW w:w="716" w:type="pct"/>
                  <w:noWrap w:val="0"/>
                  <w:vAlign w:val="center"/>
                </w:tcPr>
                <w:p>
                  <w:pPr>
                    <w:snapToGrid w:val="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679" w:type="pct"/>
                  <w:noWrap w:val="0"/>
                  <w:vAlign w:val="center"/>
                </w:tcPr>
                <w:p>
                  <w:pPr>
                    <w:snapToGrid w:val="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E</w:t>
                  </w:r>
                </w:p>
              </w:tc>
              <w:tc>
                <w:tcPr>
                  <w:tcW w:w="763" w:type="pct"/>
                  <w:noWrap w:val="0"/>
                  <w:vAlign w:val="center"/>
                </w:tcPr>
                <w:p>
                  <w:pPr>
                    <w:snapToGrid w:val="0"/>
                    <w:jc w:val="center"/>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1000</w:t>
                  </w:r>
                </w:p>
              </w:tc>
              <w:tc>
                <w:tcPr>
                  <w:tcW w:w="1517" w:type="pct"/>
                  <w:noWrap w:val="0"/>
                  <w:vAlign w:val="center"/>
                </w:tcPr>
                <w:p>
                  <w:pPr>
                    <w:snapToGrid w:val="0"/>
                    <w:jc w:val="center"/>
                    <w:rPr>
                      <w:rFonts w:hint="default" w:ascii="Times New Roman" w:hAnsi="Times New Roman" w:eastAsia="宋体" w:cs="Times New Roman"/>
                      <w:color w:val="auto"/>
                      <w:u w:val="none"/>
                    </w:rPr>
                  </w:pPr>
                  <w:r>
                    <w:rPr>
                      <w:color w:val="auto"/>
                      <w:u w:val="none"/>
                    </w:rPr>
                    <w:t>《地表水环境质量标准》（GB3838-2002）中</w:t>
                  </w:r>
                  <w:r>
                    <w:rPr>
                      <w:rFonts w:hint="default" w:ascii="Times New Roman" w:hAnsi="Times New Roman" w:eastAsia="宋体" w:cs="Times New Roman"/>
                      <w:color w:val="auto"/>
                      <w:sz w:val="24"/>
                      <w:szCs w:val="24"/>
                    </w:rPr>
                    <w:t>Ⅲ</w:t>
                  </w:r>
                  <w:r>
                    <w:rPr>
                      <w:color w:val="auto"/>
                      <w:u w:val="none"/>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noWrap w:val="0"/>
                  <w:vAlign w:val="center"/>
                </w:tcPr>
                <w:p>
                  <w:pPr>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生态环境</w:t>
                  </w:r>
                </w:p>
              </w:tc>
              <w:tc>
                <w:tcPr>
                  <w:tcW w:w="2852" w:type="pct"/>
                  <w:gridSpan w:val="4"/>
                  <w:noWrap w:val="0"/>
                  <w:vAlign w:val="center"/>
                </w:tcPr>
                <w:p>
                  <w:pPr>
                    <w:kinsoku w:val="0"/>
                    <w:overflowPunct w:val="0"/>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项目厂址内及周边200m的范围内的生态环境</w:t>
                  </w:r>
                  <w:r>
                    <w:rPr>
                      <w:rFonts w:hint="default" w:ascii="Times New Roman" w:hAnsi="Times New Roman" w:eastAsia="宋体" w:cs="Times New Roman"/>
                      <w:color w:val="auto"/>
                      <w:lang w:eastAsia="zh-CN"/>
                    </w:rPr>
                    <w:t>以灌木、林叶植被为主</w:t>
                  </w:r>
                </w:p>
              </w:tc>
              <w:tc>
                <w:tcPr>
                  <w:tcW w:w="1517" w:type="pct"/>
                  <w:noWrap w:val="0"/>
                  <w:vAlign w:val="center"/>
                </w:tcPr>
                <w:p>
                  <w:pPr>
                    <w:kinsoku w:val="0"/>
                    <w:overflowPunct w:val="0"/>
                    <w:spacing w:line="240" w:lineRule="atLeas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保护生态系统的完整性，防止水土流失，保持区域生态环境的原貌</w:t>
                  </w:r>
                </w:p>
              </w:tc>
            </w:tr>
          </w:tbl>
          <w:p>
            <w:pPr>
              <w:spacing w:line="360" w:lineRule="auto"/>
              <w:ind w:firstLine="420" w:firstLineChars="200"/>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8"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污染</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物排</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放控</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制标</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准</w:t>
            </w:r>
          </w:p>
        </w:tc>
        <w:tc>
          <w:tcPr>
            <w:tcW w:w="8190" w:type="dxa"/>
            <w:noWrap w:val="0"/>
            <w:vAlign w:val="center"/>
          </w:tcPr>
          <w:p>
            <w:pPr>
              <w:spacing w:line="360" w:lineRule="auto"/>
              <w:ind w:firstLine="482" w:firstLineChars="200"/>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、废气</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本项目废气主要为吹膜工序以及造粒工序产生的有机废气，其中有机废气</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以</w:t>
            </w:r>
            <w:r>
              <w:rPr>
                <w:rFonts w:hint="default" w:ascii="Times New Roman" w:hAnsi="Times New Roman" w:eastAsia="宋体" w:cs="Times New Roman"/>
                <w:color w:val="auto"/>
                <w:sz w:val="24"/>
                <w:lang w:val="en-US" w:eastAsia="zh-CN"/>
              </w:rPr>
              <w:t>非甲烷总烃</w:t>
            </w:r>
            <w:r>
              <w:rPr>
                <w:rFonts w:hint="eastAsia" w:ascii="Times New Roman" w:hAnsi="Times New Roman" w:eastAsia="宋体" w:cs="Times New Roman"/>
                <w:color w:val="auto"/>
                <w:sz w:val="24"/>
                <w:lang w:val="en-US" w:eastAsia="zh-CN"/>
              </w:rPr>
              <w:t>计</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执行</w:t>
            </w:r>
            <w:r>
              <w:rPr>
                <w:rFonts w:hint="default" w:ascii="Times New Roman" w:hAnsi="Times New Roman" w:eastAsia="宋体" w:cs="Times New Roman"/>
                <w:color w:val="auto"/>
                <w:sz w:val="24"/>
                <w:lang w:val="en-US" w:eastAsia="zh-CN"/>
              </w:rPr>
              <w:t>《合成树脂工业污染物排放标准》（GB31572-2015）</w:t>
            </w:r>
            <w:r>
              <w:rPr>
                <w:rFonts w:hint="eastAsia" w:ascii="Times New Roman" w:hAnsi="Times New Roman" w:eastAsia="宋体" w:cs="Times New Roman"/>
                <w:color w:val="auto"/>
                <w:sz w:val="24"/>
                <w:lang w:val="en-US" w:eastAsia="zh-CN"/>
              </w:rPr>
              <w:t>表5</w:t>
            </w:r>
            <w:r>
              <w:rPr>
                <w:rFonts w:hint="default" w:ascii="Times New Roman" w:hAnsi="Times New Roman" w:eastAsia="宋体" w:cs="Times New Roman"/>
                <w:color w:val="auto"/>
                <w:sz w:val="24"/>
                <w:lang w:val="en-US" w:eastAsia="zh-CN"/>
              </w:rPr>
              <w:t>中</w:t>
            </w:r>
            <w:r>
              <w:rPr>
                <w:rFonts w:hint="eastAsia" w:ascii="Times New Roman" w:hAnsi="Times New Roman" w:eastAsia="宋体" w:cs="Times New Roman"/>
                <w:color w:val="auto"/>
                <w:sz w:val="24"/>
                <w:lang w:val="en-US" w:eastAsia="zh-CN"/>
              </w:rPr>
              <w:t>大气污染物特别排放</w:t>
            </w:r>
            <w:r>
              <w:rPr>
                <w:rFonts w:hint="default" w:ascii="Times New Roman" w:hAnsi="Times New Roman" w:eastAsia="宋体" w:cs="Times New Roman"/>
                <w:color w:val="auto"/>
                <w:sz w:val="24"/>
                <w:lang w:val="en-US" w:eastAsia="zh-CN"/>
              </w:rPr>
              <w:t>限值要求及表9无组织排放限值；</w:t>
            </w:r>
            <w:r>
              <w:rPr>
                <w:rFonts w:hint="eastAsia" w:ascii="Times New Roman" w:hAnsi="Times New Roman" w:eastAsia="宋体" w:cs="Times New Roman"/>
                <w:color w:val="auto"/>
                <w:sz w:val="24"/>
                <w:lang w:val="en-US" w:eastAsia="zh-CN"/>
              </w:rPr>
              <w:t>其厂区内无组织排放执行</w:t>
            </w:r>
            <w:r>
              <w:rPr>
                <w:rFonts w:hint="default" w:ascii="Times New Roman" w:hAnsi="Times New Roman" w:eastAsia="宋体" w:cs="Times New Roman"/>
                <w:color w:val="auto"/>
                <w:sz w:val="24"/>
                <w:lang w:val="en-US" w:eastAsia="zh-CN"/>
              </w:rPr>
              <w:t>《挥发性有机物无组织排放控制标准》（GB37822—2019）中表A.1的</w:t>
            </w:r>
            <w:r>
              <w:rPr>
                <w:rFonts w:hint="eastAsia" w:ascii="Times New Roman" w:hAnsi="Times New Roman" w:eastAsia="宋体" w:cs="Times New Roman"/>
                <w:color w:val="auto"/>
                <w:sz w:val="24"/>
                <w:lang w:val="en-US" w:eastAsia="zh-CN"/>
              </w:rPr>
              <w:t>特别排放</w:t>
            </w:r>
            <w:r>
              <w:rPr>
                <w:rFonts w:hint="default" w:ascii="Times New Roman" w:hAnsi="Times New Roman" w:eastAsia="宋体" w:cs="Times New Roman"/>
                <w:color w:val="auto"/>
                <w:sz w:val="24"/>
                <w:lang w:val="en-US" w:eastAsia="zh-CN"/>
              </w:rPr>
              <w:t>限值要求</w:t>
            </w:r>
            <w:r>
              <w:rPr>
                <w:rFonts w:hint="eastAsia" w:ascii="Times New Roman" w:hAnsi="Times New Roman" w:eastAsia="宋体" w:cs="Times New Roman"/>
                <w:color w:val="auto"/>
                <w:sz w:val="24"/>
                <w:lang w:val="en-US" w:eastAsia="zh-CN"/>
              </w:rPr>
              <w:t>。</w:t>
            </w:r>
          </w:p>
          <w:p>
            <w:pPr>
              <w:widowControl/>
              <w:autoSpaceDE w:val="0"/>
              <w:autoSpaceDN w:val="0"/>
              <w:adjustRightInd w:val="0"/>
              <w:spacing w:line="320" w:lineRule="exact"/>
              <w:ind w:right="105" w:rightChars="50" w:firstLine="0" w:firstLineChars="0"/>
              <w:jc w:val="center"/>
              <w:rPr>
                <w:b/>
                <w:bCs/>
                <w:color w:val="auto"/>
                <w:sz w:val="24"/>
                <w:szCs w:val="32"/>
              </w:rPr>
            </w:pPr>
            <w:r>
              <w:rPr>
                <w:b/>
                <w:bCs/>
                <w:color w:val="auto"/>
                <w:sz w:val="24"/>
                <w:szCs w:val="32"/>
                <w:lang w:val="zh-CN"/>
              </w:rPr>
              <w:t>表</w:t>
            </w:r>
            <w:r>
              <w:rPr>
                <w:rFonts w:hint="eastAsia"/>
                <w:b/>
                <w:bCs/>
                <w:color w:val="auto"/>
                <w:sz w:val="24"/>
                <w:szCs w:val="32"/>
                <w:lang w:val="en-US" w:eastAsia="zh-CN"/>
              </w:rPr>
              <w:t xml:space="preserve">3-6  </w:t>
            </w:r>
            <w:r>
              <w:rPr>
                <w:rFonts w:hint="eastAsia"/>
                <w:b/>
                <w:bCs/>
                <w:color w:val="auto"/>
                <w:sz w:val="24"/>
                <w:szCs w:val="32"/>
                <w:lang w:eastAsia="zh-CN"/>
              </w:rPr>
              <w:t>有机</w:t>
            </w:r>
            <w:r>
              <w:rPr>
                <w:rFonts w:hint="eastAsia"/>
                <w:b/>
                <w:bCs/>
                <w:color w:val="auto"/>
                <w:sz w:val="24"/>
                <w:szCs w:val="32"/>
              </w:rPr>
              <w:t>废气排放标准</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441"/>
              <w:gridCol w:w="1398"/>
              <w:gridCol w:w="1600"/>
              <w:gridCol w:w="1717"/>
              <w:gridCol w:w="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30" w:type="pct"/>
                  <w:tcBorders>
                    <w:tl2br w:val="nil"/>
                    <w:tr2bl w:val="nil"/>
                  </w:tcBorders>
                  <w:noWrap w:val="0"/>
                  <w:vAlign w:val="center"/>
                </w:tcPr>
                <w:p>
                  <w:pPr>
                    <w:spacing w:line="240" w:lineRule="auto"/>
                    <w:ind w:firstLine="0" w:firstLineChars="0"/>
                    <w:jc w:val="center"/>
                    <w:textAlignment w:val="baseline"/>
                    <w:rPr>
                      <w:b/>
                      <w:bCs/>
                      <w:color w:val="auto"/>
                      <w:sz w:val="21"/>
                      <w:szCs w:val="21"/>
                    </w:rPr>
                  </w:pPr>
                  <w:r>
                    <w:rPr>
                      <w:b/>
                      <w:bCs/>
                      <w:color w:val="auto"/>
                      <w:sz w:val="21"/>
                      <w:szCs w:val="21"/>
                    </w:rPr>
                    <w:t>标准名称</w:t>
                  </w:r>
                </w:p>
              </w:tc>
              <w:tc>
                <w:tcPr>
                  <w:tcW w:w="876" w:type="pct"/>
                  <w:tcBorders>
                    <w:tl2br w:val="nil"/>
                    <w:tr2bl w:val="nil"/>
                  </w:tcBorders>
                  <w:noWrap w:val="0"/>
                  <w:vAlign w:val="center"/>
                </w:tcPr>
                <w:p>
                  <w:pPr>
                    <w:spacing w:line="240" w:lineRule="auto"/>
                    <w:ind w:firstLine="0" w:firstLineChars="0"/>
                    <w:jc w:val="center"/>
                    <w:textAlignment w:val="baseline"/>
                    <w:rPr>
                      <w:b/>
                      <w:bCs/>
                      <w:color w:val="auto"/>
                      <w:sz w:val="21"/>
                      <w:szCs w:val="21"/>
                    </w:rPr>
                  </w:pPr>
                  <w:r>
                    <w:rPr>
                      <w:b/>
                      <w:bCs/>
                      <w:color w:val="auto"/>
                      <w:sz w:val="21"/>
                      <w:szCs w:val="21"/>
                    </w:rPr>
                    <w:t>污染物</w:t>
                  </w:r>
                </w:p>
              </w:tc>
              <w:tc>
                <w:tcPr>
                  <w:tcW w:w="1003" w:type="pct"/>
                  <w:tcBorders>
                    <w:tl2br w:val="nil"/>
                    <w:tr2bl w:val="nil"/>
                  </w:tcBorders>
                  <w:noWrap w:val="0"/>
                  <w:vAlign w:val="center"/>
                </w:tcPr>
                <w:p>
                  <w:pPr>
                    <w:spacing w:line="240" w:lineRule="auto"/>
                    <w:ind w:firstLine="0" w:firstLineChars="0"/>
                    <w:jc w:val="center"/>
                    <w:textAlignment w:val="baseline"/>
                    <w:rPr>
                      <w:b/>
                      <w:bCs/>
                      <w:color w:val="auto"/>
                      <w:sz w:val="21"/>
                      <w:szCs w:val="21"/>
                    </w:rPr>
                  </w:pPr>
                  <w:r>
                    <w:rPr>
                      <w:b/>
                      <w:bCs/>
                      <w:color w:val="auto"/>
                      <w:sz w:val="21"/>
                      <w:szCs w:val="21"/>
                    </w:rPr>
                    <w:t>浓度排放限值（mg/m</w:t>
                  </w:r>
                  <w:r>
                    <w:rPr>
                      <w:b/>
                      <w:bCs/>
                      <w:color w:val="auto"/>
                      <w:sz w:val="21"/>
                      <w:szCs w:val="21"/>
                      <w:vertAlign w:val="superscript"/>
                    </w:rPr>
                    <w:t>3</w:t>
                  </w:r>
                  <w:r>
                    <w:rPr>
                      <w:b/>
                      <w:bCs/>
                      <w:color w:val="auto"/>
                      <w:sz w:val="21"/>
                      <w:szCs w:val="21"/>
                    </w:rPr>
                    <w:t>）</w:t>
                  </w:r>
                </w:p>
              </w:tc>
              <w:tc>
                <w:tcPr>
                  <w:tcW w:w="1589" w:type="pct"/>
                  <w:gridSpan w:val="2"/>
                  <w:tcBorders>
                    <w:tl2br w:val="nil"/>
                    <w:tr2bl w:val="nil"/>
                  </w:tcBorders>
                  <w:noWrap w:val="0"/>
                  <w:vAlign w:val="center"/>
                </w:tcPr>
                <w:p>
                  <w:pPr>
                    <w:spacing w:line="240" w:lineRule="auto"/>
                    <w:ind w:firstLine="0" w:firstLineChars="0"/>
                    <w:jc w:val="center"/>
                    <w:textAlignment w:val="baseline"/>
                    <w:rPr>
                      <w:b/>
                      <w:bCs/>
                      <w:color w:val="auto"/>
                      <w:sz w:val="21"/>
                      <w:szCs w:val="21"/>
                    </w:rPr>
                  </w:pPr>
                  <w:r>
                    <w:rPr>
                      <w:b/>
                      <w:bCs/>
                      <w:color w:val="auto"/>
                      <w:sz w:val="21"/>
                      <w:szCs w:val="21"/>
                    </w:rPr>
                    <w:t>无组织排放限值（mg/m</w:t>
                  </w:r>
                  <w:r>
                    <w:rPr>
                      <w:b/>
                      <w:bCs/>
                      <w:color w:val="auto"/>
                      <w:sz w:val="21"/>
                      <w:szCs w:val="21"/>
                      <w:vertAlign w:val="superscript"/>
                    </w:rPr>
                    <w:t>3</w:t>
                  </w:r>
                  <w:r>
                    <w:rPr>
                      <w:b/>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30" w:type="pct"/>
                  <w:tcBorders>
                    <w:tl2br w:val="nil"/>
                    <w:tr2bl w:val="nil"/>
                  </w:tcBorders>
                  <w:noWrap w:val="0"/>
                  <w:vAlign w:val="center"/>
                </w:tcPr>
                <w:p>
                  <w:pPr>
                    <w:spacing w:line="240" w:lineRule="auto"/>
                    <w:ind w:firstLine="0" w:firstLineChars="0"/>
                    <w:jc w:val="center"/>
                    <w:textAlignment w:val="baseline"/>
                    <w:rPr>
                      <w:color w:val="auto"/>
                      <w:sz w:val="21"/>
                      <w:szCs w:val="21"/>
                    </w:rPr>
                  </w:pPr>
                  <w:r>
                    <w:rPr>
                      <w:color w:val="auto"/>
                      <w:sz w:val="21"/>
                      <w:szCs w:val="21"/>
                    </w:rPr>
                    <w:t>《合成树脂工业污染物排放标准》（GB31572-2015）</w:t>
                  </w:r>
                </w:p>
              </w:tc>
              <w:tc>
                <w:tcPr>
                  <w:tcW w:w="876" w:type="pct"/>
                  <w:tcBorders>
                    <w:tl2br w:val="nil"/>
                    <w:tr2bl w:val="nil"/>
                  </w:tcBorders>
                  <w:noWrap w:val="0"/>
                  <w:vAlign w:val="center"/>
                </w:tcPr>
                <w:p>
                  <w:pPr>
                    <w:spacing w:line="240" w:lineRule="auto"/>
                    <w:ind w:firstLine="0" w:firstLineChars="0"/>
                    <w:jc w:val="center"/>
                    <w:textAlignment w:val="baseline"/>
                    <w:rPr>
                      <w:color w:val="auto"/>
                      <w:sz w:val="21"/>
                      <w:szCs w:val="21"/>
                    </w:rPr>
                  </w:pPr>
                  <w:r>
                    <w:rPr>
                      <w:color w:val="auto"/>
                      <w:sz w:val="21"/>
                      <w:szCs w:val="21"/>
                    </w:rPr>
                    <w:t>非甲烷总烃</w:t>
                  </w:r>
                </w:p>
              </w:tc>
              <w:tc>
                <w:tcPr>
                  <w:tcW w:w="1003" w:type="pct"/>
                  <w:tcBorders>
                    <w:tl2br w:val="nil"/>
                    <w:tr2bl w:val="nil"/>
                  </w:tcBorders>
                  <w:noWrap w:val="0"/>
                  <w:vAlign w:val="center"/>
                </w:tcPr>
                <w:p>
                  <w:pPr>
                    <w:spacing w:line="240" w:lineRule="auto"/>
                    <w:ind w:firstLine="0" w:firstLineChars="0"/>
                    <w:jc w:val="center"/>
                    <w:textAlignment w:val="baseline"/>
                    <w:rPr>
                      <w:color w:val="auto"/>
                      <w:sz w:val="21"/>
                      <w:szCs w:val="21"/>
                    </w:rPr>
                  </w:pPr>
                  <w:r>
                    <w:rPr>
                      <w:color w:val="auto"/>
                      <w:sz w:val="21"/>
                      <w:szCs w:val="21"/>
                    </w:rPr>
                    <w:t>60</w:t>
                  </w:r>
                </w:p>
              </w:tc>
              <w:tc>
                <w:tcPr>
                  <w:tcW w:w="1076" w:type="pct"/>
                  <w:tcBorders>
                    <w:tl2br w:val="nil"/>
                    <w:tr2bl w:val="nil"/>
                  </w:tcBorders>
                  <w:noWrap w:val="0"/>
                  <w:vAlign w:val="center"/>
                </w:tcPr>
                <w:p>
                  <w:pPr>
                    <w:spacing w:line="240" w:lineRule="auto"/>
                    <w:ind w:firstLine="0" w:firstLineChars="0"/>
                    <w:jc w:val="center"/>
                    <w:textAlignment w:val="baseline"/>
                    <w:rPr>
                      <w:color w:val="auto"/>
                      <w:sz w:val="21"/>
                      <w:szCs w:val="21"/>
                    </w:rPr>
                  </w:pPr>
                  <w:r>
                    <w:rPr>
                      <w:color w:val="auto"/>
                      <w:sz w:val="21"/>
                      <w:szCs w:val="21"/>
                    </w:rPr>
                    <w:t>周界外</w:t>
                  </w:r>
                  <w:r>
                    <w:rPr>
                      <w:rFonts w:hint="eastAsia"/>
                      <w:color w:val="auto"/>
                      <w:sz w:val="21"/>
                      <w:szCs w:val="21"/>
                      <w:lang w:eastAsia="zh-CN"/>
                    </w:rPr>
                    <w:t>浓</w:t>
                  </w:r>
                  <w:r>
                    <w:rPr>
                      <w:color w:val="auto"/>
                      <w:sz w:val="21"/>
                      <w:szCs w:val="21"/>
                    </w:rPr>
                    <w:t>度最高点</w:t>
                  </w:r>
                </w:p>
              </w:tc>
              <w:tc>
                <w:tcPr>
                  <w:tcW w:w="512" w:type="pct"/>
                  <w:tcBorders>
                    <w:tl2br w:val="nil"/>
                    <w:tr2bl w:val="nil"/>
                  </w:tcBorders>
                  <w:noWrap w:val="0"/>
                  <w:vAlign w:val="center"/>
                </w:tcPr>
                <w:p>
                  <w:pPr>
                    <w:spacing w:line="240" w:lineRule="auto"/>
                    <w:ind w:firstLine="0" w:firstLineChars="0"/>
                    <w:jc w:val="center"/>
                    <w:textAlignment w:val="baseline"/>
                    <w:rPr>
                      <w:color w:val="auto"/>
                      <w:sz w:val="21"/>
                      <w:szCs w:val="21"/>
                    </w:rPr>
                  </w:pPr>
                  <w:r>
                    <w:rPr>
                      <w:color w:val="auto"/>
                      <w:sz w:val="21"/>
                      <w:szCs w:val="21"/>
                    </w:rPr>
                    <w:t>4.0</w:t>
                  </w:r>
                </w:p>
              </w:tc>
            </w:tr>
          </w:tbl>
          <w:p>
            <w:pPr>
              <w:spacing w:line="320" w:lineRule="exact"/>
              <w:ind w:firstLine="0" w:firstLineChars="0"/>
              <w:jc w:val="center"/>
              <w:rPr>
                <w:b/>
                <w:color w:val="auto"/>
                <w:sz w:val="24"/>
                <w:szCs w:val="32"/>
              </w:rPr>
            </w:pPr>
            <w:r>
              <w:rPr>
                <w:b/>
                <w:color w:val="auto"/>
                <w:sz w:val="24"/>
                <w:szCs w:val="32"/>
              </w:rPr>
              <w:t>表</w:t>
            </w:r>
            <w:r>
              <w:rPr>
                <w:rFonts w:hint="eastAsia"/>
                <w:b/>
                <w:color w:val="auto"/>
                <w:sz w:val="24"/>
                <w:szCs w:val="32"/>
                <w:lang w:val="en-US" w:eastAsia="zh-CN"/>
              </w:rPr>
              <w:t xml:space="preserve">3-7  </w:t>
            </w:r>
            <w:r>
              <w:rPr>
                <w:b/>
                <w:color w:val="auto"/>
                <w:sz w:val="24"/>
                <w:szCs w:val="32"/>
              </w:rPr>
              <w:t>挥发性有机物无组织排放控制标准一览表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596"/>
              <w:gridCol w:w="2665"/>
              <w:gridCol w:w="22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9" w:type="pct"/>
                  <w:tcBorders>
                    <w:tl2br w:val="nil"/>
                    <w:tr2bl w:val="nil"/>
                  </w:tcBorders>
                  <w:noWrap w:val="0"/>
                  <w:vAlign w:val="center"/>
                </w:tcPr>
                <w:p>
                  <w:pPr>
                    <w:spacing w:line="240" w:lineRule="auto"/>
                    <w:ind w:firstLine="0" w:firstLineChars="0"/>
                    <w:jc w:val="center"/>
                    <w:rPr>
                      <w:b/>
                      <w:bCs/>
                      <w:color w:val="auto"/>
                      <w:sz w:val="21"/>
                      <w:szCs w:val="21"/>
                    </w:rPr>
                  </w:pPr>
                  <w:r>
                    <w:rPr>
                      <w:b/>
                      <w:bCs/>
                      <w:color w:val="auto"/>
                      <w:sz w:val="21"/>
                      <w:szCs w:val="21"/>
                    </w:rPr>
                    <w:t>污染物项目</w:t>
                  </w:r>
                </w:p>
              </w:tc>
              <w:tc>
                <w:tcPr>
                  <w:tcW w:w="1001" w:type="pct"/>
                  <w:tcBorders>
                    <w:tl2br w:val="nil"/>
                    <w:tr2bl w:val="nil"/>
                  </w:tcBorders>
                  <w:noWrap w:val="0"/>
                  <w:vAlign w:val="center"/>
                </w:tcPr>
                <w:p>
                  <w:pPr>
                    <w:spacing w:line="240" w:lineRule="auto"/>
                    <w:ind w:firstLine="0" w:firstLineChars="0"/>
                    <w:jc w:val="center"/>
                    <w:rPr>
                      <w:b/>
                      <w:bCs/>
                      <w:color w:val="auto"/>
                      <w:sz w:val="21"/>
                      <w:szCs w:val="21"/>
                    </w:rPr>
                  </w:pPr>
                  <w:r>
                    <w:rPr>
                      <w:b/>
                      <w:bCs/>
                      <w:color w:val="auto"/>
                      <w:sz w:val="21"/>
                      <w:szCs w:val="21"/>
                    </w:rPr>
                    <w:t>特别排放限值</w:t>
                  </w:r>
                  <w:r>
                    <w:rPr>
                      <w:b/>
                      <w:bCs/>
                      <w:color w:val="auto"/>
                      <w:kern w:val="0"/>
                      <w:sz w:val="21"/>
                      <w:szCs w:val="21"/>
                    </w:rPr>
                    <w:t>（mg/m</w:t>
                  </w:r>
                  <w:r>
                    <w:rPr>
                      <w:b/>
                      <w:bCs/>
                      <w:color w:val="auto"/>
                      <w:kern w:val="0"/>
                      <w:sz w:val="21"/>
                      <w:szCs w:val="21"/>
                      <w:vertAlign w:val="superscript"/>
                    </w:rPr>
                    <w:t>3</w:t>
                  </w:r>
                  <w:r>
                    <w:rPr>
                      <w:b/>
                      <w:bCs/>
                      <w:color w:val="auto"/>
                      <w:kern w:val="0"/>
                      <w:sz w:val="21"/>
                      <w:szCs w:val="21"/>
                    </w:rPr>
                    <w:t>）</w:t>
                  </w:r>
                </w:p>
              </w:tc>
              <w:tc>
                <w:tcPr>
                  <w:tcW w:w="1671" w:type="pct"/>
                  <w:tcBorders>
                    <w:tl2br w:val="nil"/>
                    <w:tr2bl w:val="nil"/>
                  </w:tcBorders>
                  <w:noWrap w:val="0"/>
                  <w:vAlign w:val="center"/>
                </w:tcPr>
                <w:p>
                  <w:pPr>
                    <w:spacing w:line="240" w:lineRule="auto"/>
                    <w:ind w:firstLine="0" w:firstLineChars="0"/>
                    <w:jc w:val="center"/>
                    <w:rPr>
                      <w:b/>
                      <w:bCs/>
                      <w:color w:val="auto"/>
                      <w:sz w:val="21"/>
                      <w:szCs w:val="21"/>
                    </w:rPr>
                  </w:pPr>
                  <w:r>
                    <w:rPr>
                      <w:b/>
                      <w:bCs/>
                      <w:color w:val="auto"/>
                      <w:sz w:val="21"/>
                      <w:szCs w:val="21"/>
                    </w:rPr>
                    <w:t>限值含义</w:t>
                  </w:r>
                </w:p>
              </w:tc>
              <w:tc>
                <w:tcPr>
                  <w:tcW w:w="1417" w:type="pct"/>
                  <w:tcBorders>
                    <w:tl2br w:val="nil"/>
                    <w:tr2bl w:val="nil"/>
                  </w:tcBorders>
                  <w:noWrap w:val="0"/>
                  <w:vAlign w:val="center"/>
                </w:tcPr>
                <w:p>
                  <w:pPr>
                    <w:spacing w:line="240" w:lineRule="auto"/>
                    <w:ind w:firstLine="0" w:firstLineChars="0"/>
                    <w:jc w:val="center"/>
                    <w:rPr>
                      <w:b/>
                      <w:bCs/>
                      <w:color w:val="auto"/>
                      <w:sz w:val="21"/>
                      <w:szCs w:val="21"/>
                    </w:rPr>
                  </w:pPr>
                  <w:r>
                    <w:rPr>
                      <w:b/>
                      <w:bCs/>
                      <w:color w:val="auto"/>
                      <w:sz w:val="21"/>
                      <w:szCs w:val="21"/>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9" w:type="pct"/>
                  <w:vMerge w:val="restart"/>
                  <w:tcBorders>
                    <w:tl2br w:val="nil"/>
                    <w:tr2bl w:val="nil"/>
                  </w:tcBorders>
                  <w:noWrap w:val="0"/>
                  <w:vAlign w:val="center"/>
                </w:tcPr>
                <w:p>
                  <w:pPr>
                    <w:spacing w:line="240" w:lineRule="auto"/>
                    <w:ind w:firstLine="0" w:firstLineChars="0"/>
                    <w:jc w:val="center"/>
                    <w:rPr>
                      <w:color w:val="auto"/>
                      <w:sz w:val="21"/>
                      <w:szCs w:val="21"/>
                    </w:rPr>
                  </w:pPr>
                  <w:r>
                    <w:rPr>
                      <w:color w:val="auto"/>
                      <w:sz w:val="21"/>
                      <w:szCs w:val="21"/>
                    </w:rPr>
                    <w:t>NMHC</w:t>
                  </w:r>
                </w:p>
              </w:tc>
              <w:tc>
                <w:tcPr>
                  <w:tcW w:w="1001" w:type="pct"/>
                  <w:tcBorders>
                    <w:tl2br w:val="nil"/>
                    <w:tr2bl w:val="nil"/>
                  </w:tcBorders>
                  <w:noWrap w:val="0"/>
                  <w:vAlign w:val="center"/>
                </w:tcPr>
                <w:p>
                  <w:pPr>
                    <w:spacing w:line="240" w:lineRule="auto"/>
                    <w:ind w:firstLine="0" w:firstLineChars="0"/>
                    <w:jc w:val="center"/>
                    <w:rPr>
                      <w:color w:val="auto"/>
                      <w:sz w:val="21"/>
                      <w:szCs w:val="21"/>
                    </w:rPr>
                  </w:pPr>
                  <w:r>
                    <w:rPr>
                      <w:color w:val="auto"/>
                      <w:sz w:val="21"/>
                      <w:szCs w:val="21"/>
                    </w:rPr>
                    <w:t>6</w:t>
                  </w:r>
                </w:p>
              </w:tc>
              <w:tc>
                <w:tcPr>
                  <w:tcW w:w="1671" w:type="pct"/>
                  <w:tcBorders>
                    <w:tl2br w:val="nil"/>
                    <w:tr2bl w:val="nil"/>
                  </w:tcBorders>
                  <w:noWrap w:val="0"/>
                  <w:vAlign w:val="center"/>
                </w:tcPr>
                <w:p>
                  <w:pPr>
                    <w:spacing w:line="240" w:lineRule="auto"/>
                    <w:ind w:firstLine="0" w:firstLineChars="0"/>
                    <w:jc w:val="center"/>
                    <w:rPr>
                      <w:color w:val="auto"/>
                      <w:sz w:val="21"/>
                      <w:szCs w:val="21"/>
                    </w:rPr>
                  </w:pPr>
                  <w:r>
                    <w:rPr>
                      <w:color w:val="auto"/>
                      <w:sz w:val="21"/>
                      <w:szCs w:val="21"/>
                    </w:rPr>
                    <w:t>监控点处1h平均浓度值</w:t>
                  </w:r>
                </w:p>
              </w:tc>
              <w:tc>
                <w:tcPr>
                  <w:tcW w:w="1417" w:type="pct"/>
                  <w:vMerge w:val="restart"/>
                  <w:tcBorders>
                    <w:tl2br w:val="nil"/>
                    <w:tr2bl w:val="nil"/>
                  </w:tcBorders>
                  <w:noWrap w:val="0"/>
                  <w:vAlign w:val="center"/>
                </w:tcPr>
                <w:p>
                  <w:pPr>
                    <w:spacing w:line="240" w:lineRule="auto"/>
                    <w:ind w:firstLine="0" w:firstLineChars="0"/>
                    <w:jc w:val="center"/>
                    <w:rPr>
                      <w:color w:val="auto"/>
                      <w:sz w:val="21"/>
                      <w:szCs w:val="21"/>
                    </w:rPr>
                  </w:pPr>
                  <w:r>
                    <w:rPr>
                      <w:color w:val="auto"/>
                      <w:sz w:val="21"/>
                      <w:szCs w:val="21"/>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9" w:type="pct"/>
                  <w:vMerge w:val="continue"/>
                  <w:tcBorders>
                    <w:tl2br w:val="nil"/>
                    <w:tr2bl w:val="nil"/>
                  </w:tcBorders>
                  <w:noWrap w:val="0"/>
                  <w:vAlign w:val="center"/>
                </w:tcPr>
                <w:p>
                  <w:pPr>
                    <w:spacing w:line="240" w:lineRule="auto"/>
                    <w:ind w:firstLine="420"/>
                    <w:jc w:val="center"/>
                    <w:rPr>
                      <w:color w:val="auto"/>
                      <w:sz w:val="21"/>
                      <w:szCs w:val="21"/>
                    </w:rPr>
                  </w:pPr>
                </w:p>
              </w:tc>
              <w:tc>
                <w:tcPr>
                  <w:tcW w:w="1001" w:type="pct"/>
                  <w:tcBorders>
                    <w:tl2br w:val="nil"/>
                    <w:tr2bl w:val="nil"/>
                  </w:tcBorders>
                  <w:noWrap w:val="0"/>
                  <w:vAlign w:val="center"/>
                </w:tcPr>
                <w:p>
                  <w:pPr>
                    <w:spacing w:line="240" w:lineRule="auto"/>
                    <w:ind w:firstLine="0" w:firstLineChars="0"/>
                    <w:jc w:val="center"/>
                    <w:rPr>
                      <w:color w:val="auto"/>
                      <w:sz w:val="21"/>
                      <w:szCs w:val="21"/>
                    </w:rPr>
                  </w:pPr>
                  <w:r>
                    <w:rPr>
                      <w:color w:val="auto"/>
                      <w:sz w:val="21"/>
                      <w:szCs w:val="21"/>
                    </w:rPr>
                    <w:t>20</w:t>
                  </w:r>
                </w:p>
              </w:tc>
              <w:tc>
                <w:tcPr>
                  <w:tcW w:w="1671" w:type="pct"/>
                  <w:tcBorders>
                    <w:tl2br w:val="nil"/>
                    <w:tr2bl w:val="nil"/>
                  </w:tcBorders>
                  <w:noWrap w:val="0"/>
                  <w:vAlign w:val="center"/>
                </w:tcPr>
                <w:p>
                  <w:pPr>
                    <w:spacing w:line="240" w:lineRule="auto"/>
                    <w:ind w:firstLine="0" w:firstLineChars="0"/>
                    <w:jc w:val="center"/>
                    <w:rPr>
                      <w:color w:val="auto"/>
                      <w:sz w:val="21"/>
                      <w:szCs w:val="21"/>
                    </w:rPr>
                  </w:pPr>
                  <w:r>
                    <w:rPr>
                      <w:color w:val="auto"/>
                      <w:sz w:val="21"/>
                      <w:szCs w:val="21"/>
                    </w:rPr>
                    <w:t>监控点处任意一次浓度值</w:t>
                  </w:r>
                </w:p>
              </w:tc>
              <w:tc>
                <w:tcPr>
                  <w:tcW w:w="1417" w:type="pct"/>
                  <w:vMerge w:val="continue"/>
                  <w:tcBorders>
                    <w:tl2br w:val="nil"/>
                    <w:tr2bl w:val="nil"/>
                  </w:tcBorders>
                  <w:noWrap w:val="0"/>
                  <w:vAlign w:val="center"/>
                </w:tcPr>
                <w:p>
                  <w:pPr>
                    <w:spacing w:line="240" w:lineRule="auto"/>
                    <w:ind w:firstLine="420"/>
                    <w:jc w:val="center"/>
                    <w:rPr>
                      <w:color w:val="auto"/>
                      <w:sz w:val="21"/>
                      <w:szCs w:val="21"/>
                    </w:rPr>
                  </w:pPr>
                </w:p>
              </w:tc>
            </w:tr>
          </w:tbl>
          <w:p>
            <w:pPr>
              <w:spacing w:line="460" w:lineRule="exact"/>
              <w:ind w:firstLine="482" w:firstLineChars="200"/>
              <w:rPr>
                <w:rFonts w:ascii="Times New Roman" w:hAnsi="Times New Roman"/>
                <w:b/>
                <w:bCs/>
                <w:snapToGrid w:val="0"/>
                <w:color w:val="auto"/>
                <w:kern w:val="0"/>
                <w:sz w:val="24"/>
              </w:rPr>
            </w:pPr>
            <w:r>
              <w:rPr>
                <w:rFonts w:ascii="Times New Roman" w:hAnsi="Times New Roman"/>
                <w:b/>
                <w:bCs/>
                <w:snapToGrid w:val="0"/>
                <w:color w:val="auto"/>
                <w:kern w:val="0"/>
                <w:sz w:val="24"/>
              </w:rPr>
              <w:t>2、废水</w:t>
            </w:r>
          </w:p>
          <w:p>
            <w:pPr>
              <w:snapToGrid w:val="0"/>
              <w:spacing w:line="360" w:lineRule="auto"/>
              <w:ind w:firstLine="480" w:firstLineChars="200"/>
              <w:rPr>
                <w:rFonts w:ascii="Times New Roman" w:hAnsi="Times New Roman"/>
                <w:color w:val="auto"/>
                <w:sz w:val="18"/>
                <w:szCs w:val="18"/>
              </w:rPr>
            </w:pPr>
            <w:r>
              <w:rPr>
                <w:rFonts w:ascii="Times New Roman" w:hAnsi="Times New Roman"/>
                <w:color w:val="auto"/>
                <w:kern w:val="0"/>
                <w:sz w:val="24"/>
              </w:rPr>
              <w:t>项目排水采用雨、污分流制。本项目</w:t>
            </w:r>
            <w:r>
              <w:rPr>
                <w:rFonts w:hint="eastAsia" w:ascii="Times New Roman" w:hAnsi="Times New Roman"/>
                <w:color w:val="auto"/>
                <w:kern w:val="0"/>
                <w:sz w:val="24"/>
                <w:lang w:eastAsia="zh-CN"/>
              </w:rPr>
              <w:t>废水主要为生活污水</w:t>
            </w:r>
            <w:r>
              <w:rPr>
                <w:rFonts w:ascii="Times New Roman" w:hAnsi="Times New Roman"/>
                <w:color w:val="auto"/>
                <w:kern w:val="0"/>
                <w:sz w:val="24"/>
              </w:rPr>
              <w:t>，</w:t>
            </w:r>
            <w:r>
              <w:rPr>
                <w:rFonts w:hint="eastAsia" w:ascii="Times New Roman" w:hAnsi="Times New Roman"/>
                <w:color w:val="auto"/>
                <w:kern w:val="0"/>
                <w:sz w:val="24"/>
                <w:lang w:eastAsia="zh-CN"/>
              </w:rPr>
              <w:t>生活污水经化粪池预处理后，由附近农户清运，用作农肥</w:t>
            </w:r>
            <w:r>
              <w:rPr>
                <w:rFonts w:hint="default" w:ascii="Times New Roman" w:hAnsi="Times New Roman"/>
                <w:color w:val="auto"/>
                <w:kern w:val="0"/>
                <w:sz w:val="24"/>
              </w:rPr>
              <w:t>。</w:t>
            </w:r>
          </w:p>
          <w:p>
            <w:pPr>
              <w:snapToGrid w:val="0"/>
              <w:spacing w:line="360" w:lineRule="auto"/>
              <w:ind w:firstLine="482" w:firstLineChars="200"/>
              <w:rPr>
                <w:rFonts w:hint="eastAsia" w:ascii="Times New Roman" w:hAnsi="Times New Roman" w:eastAsia="宋体" w:cs="Times New Roman"/>
                <w:b/>
                <w:bCs/>
                <w:snapToGrid w:val="0"/>
                <w:color w:val="auto"/>
                <w:kern w:val="0"/>
                <w:sz w:val="24"/>
                <w:lang w:val="en-US" w:eastAsia="zh-CN"/>
              </w:rPr>
            </w:pPr>
            <w:r>
              <w:rPr>
                <w:rFonts w:hint="eastAsia" w:ascii="Times New Roman" w:hAnsi="Times New Roman" w:eastAsia="宋体" w:cs="Times New Roman"/>
                <w:b/>
                <w:bCs/>
                <w:snapToGrid w:val="0"/>
                <w:color w:val="auto"/>
                <w:kern w:val="0"/>
                <w:sz w:val="24"/>
                <w:lang w:val="en-US" w:eastAsia="zh-CN"/>
              </w:rPr>
              <w:t>3、噪声</w:t>
            </w:r>
          </w:p>
          <w:p>
            <w:pPr>
              <w:spacing w:line="360" w:lineRule="auto"/>
              <w:ind w:firstLine="480" w:firstLineChars="200"/>
              <w:rPr>
                <w:rFonts w:hAnsi="宋体"/>
                <w:color w:val="auto"/>
                <w:sz w:val="24"/>
              </w:rPr>
            </w:pPr>
            <w:r>
              <w:rPr>
                <w:rFonts w:hint="eastAsia" w:hAnsi="宋体"/>
                <w:color w:val="auto"/>
                <w:sz w:val="24"/>
              </w:rPr>
              <w:t>施工期场界噪声执行《建筑施工场界环境噪声排放标准》（GB12523-2011）中标准要求</w:t>
            </w:r>
            <w:r>
              <w:rPr>
                <w:rFonts w:ascii="Times New Roman" w:hAnsi="Times New Roman" w:eastAsia="宋体" w:cs="Times New Roman"/>
                <w:b w:val="0"/>
                <w:bCs w:val="0"/>
                <w:snapToGrid w:val="0"/>
                <w:color w:val="auto"/>
                <w:kern w:val="0"/>
                <w:sz w:val="24"/>
              </w:rPr>
              <w:t>，具体限值详见</w:t>
            </w:r>
            <w:r>
              <w:rPr>
                <w:rFonts w:hint="eastAsia" w:ascii="Times New Roman" w:hAnsi="Times New Roman" w:eastAsia="宋体" w:cs="Times New Roman"/>
                <w:b w:val="0"/>
                <w:bCs w:val="0"/>
                <w:snapToGrid w:val="0"/>
                <w:color w:val="auto"/>
                <w:kern w:val="0"/>
                <w:sz w:val="24"/>
                <w:lang w:eastAsia="zh-CN"/>
              </w:rPr>
              <w:t>下表</w:t>
            </w:r>
            <w:r>
              <w:rPr>
                <w:rFonts w:hint="eastAsia" w:hAnsi="宋体"/>
                <w:color w:val="auto"/>
                <w:sz w:val="24"/>
              </w:rPr>
              <w:t>。</w:t>
            </w:r>
          </w:p>
          <w:p>
            <w:pPr>
              <w:spacing w:line="360" w:lineRule="auto"/>
              <w:jc w:val="center"/>
              <w:rPr>
                <w:b/>
                <w:color w:val="auto"/>
                <w:sz w:val="24"/>
                <w:szCs w:val="21"/>
              </w:rPr>
            </w:pPr>
            <w:r>
              <w:rPr>
                <w:rFonts w:hAnsi="宋体"/>
                <w:b/>
                <w:color w:val="auto"/>
                <w:sz w:val="24"/>
                <w:szCs w:val="21"/>
              </w:rPr>
              <w:t>表</w:t>
            </w:r>
            <w:r>
              <w:rPr>
                <w:rFonts w:hint="eastAsia"/>
                <w:b/>
                <w:color w:val="auto"/>
                <w:sz w:val="24"/>
                <w:szCs w:val="21"/>
              </w:rPr>
              <w:t>3-1</w:t>
            </w:r>
            <w:r>
              <w:rPr>
                <w:rFonts w:hint="eastAsia"/>
                <w:b/>
                <w:color w:val="auto"/>
                <w:sz w:val="24"/>
                <w:szCs w:val="21"/>
                <w:lang w:val="en-US" w:eastAsia="zh-CN"/>
              </w:rPr>
              <w:t>1</w:t>
            </w:r>
            <w:r>
              <w:rPr>
                <w:rFonts w:hint="eastAsia"/>
                <w:b/>
                <w:color w:val="auto"/>
                <w:sz w:val="24"/>
                <w:szCs w:val="21"/>
              </w:rPr>
              <w:t xml:space="preserve">  </w:t>
            </w:r>
            <w:r>
              <w:rPr>
                <w:rFonts w:hint="eastAsia" w:hAnsi="宋体"/>
                <w:b/>
                <w:color w:val="auto"/>
                <w:sz w:val="24"/>
                <w:szCs w:val="21"/>
              </w:rPr>
              <w:t>建筑施工场</w:t>
            </w:r>
            <w:r>
              <w:rPr>
                <w:rFonts w:hAnsi="宋体"/>
                <w:b/>
                <w:color w:val="auto"/>
                <w:sz w:val="24"/>
                <w:szCs w:val="21"/>
              </w:rPr>
              <w:t>界环境噪声排放标准</w:t>
            </w:r>
            <w:r>
              <w:rPr>
                <w:rFonts w:hint="eastAsia" w:hAnsi="宋体"/>
                <w:b/>
                <w:color w:val="auto"/>
                <w:sz w:val="24"/>
                <w:szCs w:val="21"/>
              </w:rPr>
              <w:t xml:space="preserve">  </w:t>
            </w:r>
            <w:r>
              <w:rPr>
                <w:rFonts w:hAnsi="宋体"/>
                <w:b/>
                <w:color w:val="auto"/>
                <w:sz w:val="24"/>
                <w:szCs w:val="21"/>
              </w:rPr>
              <w:t>单位：</w:t>
            </w:r>
            <w:r>
              <w:rPr>
                <w:b/>
                <w:color w:val="auto"/>
                <w:sz w:val="24"/>
                <w:szCs w:val="21"/>
              </w:rPr>
              <w:t>dB(A)</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58"/>
              <w:gridCol w:w="2657"/>
              <w:gridCol w:w="26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7" w:type="pct"/>
                  <w:noWrap w:val="0"/>
                  <w:vAlign w:val="center"/>
                </w:tcPr>
                <w:p>
                  <w:pPr>
                    <w:jc w:val="center"/>
                    <w:rPr>
                      <w:b/>
                      <w:color w:val="auto"/>
                      <w:szCs w:val="21"/>
                    </w:rPr>
                  </w:pPr>
                  <w:r>
                    <w:rPr>
                      <w:rFonts w:hAnsi="宋体"/>
                      <w:b/>
                      <w:color w:val="auto"/>
                      <w:szCs w:val="21"/>
                    </w:rPr>
                    <w:t>类别</w:t>
                  </w:r>
                </w:p>
              </w:tc>
              <w:tc>
                <w:tcPr>
                  <w:tcW w:w="1666" w:type="pct"/>
                  <w:noWrap w:val="0"/>
                  <w:vAlign w:val="center"/>
                </w:tcPr>
                <w:p>
                  <w:pPr>
                    <w:jc w:val="center"/>
                    <w:rPr>
                      <w:b/>
                      <w:color w:val="auto"/>
                      <w:szCs w:val="21"/>
                    </w:rPr>
                  </w:pPr>
                  <w:r>
                    <w:rPr>
                      <w:rFonts w:hAnsi="宋体"/>
                      <w:b/>
                      <w:color w:val="auto"/>
                      <w:szCs w:val="21"/>
                    </w:rPr>
                    <w:t>昼间</w:t>
                  </w:r>
                </w:p>
              </w:tc>
              <w:tc>
                <w:tcPr>
                  <w:tcW w:w="1667" w:type="pct"/>
                  <w:noWrap w:val="0"/>
                  <w:vAlign w:val="center"/>
                </w:tcPr>
                <w:p>
                  <w:pPr>
                    <w:jc w:val="center"/>
                    <w:rPr>
                      <w:b/>
                      <w:color w:val="auto"/>
                      <w:szCs w:val="21"/>
                    </w:rPr>
                  </w:pPr>
                  <w:r>
                    <w:rPr>
                      <w:rFonts w:hAnsi="宋体"/>
                      <w:b/>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7" w:type="pct"/>
                  <w:noWrap w:val="0"/>
                  <w:vAlign w:val="center"/>
                </w:tcPr>
                <w:p>
                  <w:pPr>
                    <w:jc w:val="center"/>
                    <w:rPr>
                      <w:color w:val="auto"/>
                      <w:szCs w:val="21"/>
                    </w:rPr>
                  </w:pPr>
                  <w:r>
                    <w:rPr>
                      <w:rFonts w:hint="eastAsia"/>
                      <w:color w:val="auto"/>
                      <w:szCs w:val="21"/>
                    </w:rPr>
                    <w:t>建筑施工场界</w:t>
                  </w:r>
                </w:p>
              </w:tc>
              <w:tc>
                <w:tcPr>
                  <w:tcW w:w="1666" w:type="pct"/>
                  <w:noWrap w:val="0"/>
                  <w:vAlign w:val="center"/>
                </w:tcPr>
                <w:p>
                  <w:pPr>
                    <w:jc w:val="center"/>
                    <w:rPr>
                      <w:color w:val="auto"/>
                      <w:szCs w:val="21"/>
                    </w:rPr>
                  </w:pPr>
                  <w:r>
                    <w:rPr>
                      <w:rFonts w:hint="eastAsia"/>
                      <w:color w:val="auto"/>
                      <w:szCs w:val="21"/>
                    </w:rPr>
                    <w:t>70</w:t>
                  </w:r>
                </w:p>
              </w:tc>
              <w:tc>
                <w:tcPr>
                  <w:tcW w:w="1667" w:type="pct"/>
                  <w:noWrap w:val="0"/>
                  <w:vAlign w:val="center"/>
                </w:tcPr>
                <w:p>
                  <w:pPr>
                    <w:jc w:val="center"/>
                    <w:rPr>
                      <w:color w:val="auto"/>
                      <w:szCs w:val="21"/>
                    </w:rPr>
                  </w:pPr>
                  <w:r>
                    <w:rPr>
                      <w:color w:val="auto"/>
                      <w:szCs w:val="21"/>
                    </w:rPr>
                    <w:t>55</w:t>
                  </w:r>
                </w:p>
              </w:tc>
            </w:tr>
          </w:tbl>
          <w:p>
            <w:pPr>
              <w:spacing w:line="460" w:lineRule="exact"/>
              <w:ind w:firstLine="480" w:firstLineChars="200"/>
              <w:rPr>
                <w:rFonts w:ascii="Times New Roman" w:hAnsi="Times New Roman"/>
                <w:b/>
                <w:color w:val="auto"/>
                <w:sz w:val="24"/>
              </w:rPr>
            </w:pPr>
            <w:r>
              <w:rPr>
                <w:rFonts w:hint="eastAsia" w:ascii="Times New Roman" w:hAnsi="Times New Roman" w:eastAsia="宋体" w:cs="Times New Roman"/>
                <w:b w:val="0"/>
                <w:bCs w:val="0"/>
                <w:snapToGrid w:val="0"/>
                <w:color w:val="auto"/>
                <w:kern w:val="0"/>
                <w:sz w:val="24"/>
                <w:lang w:eastAsia="zh-CN"/>
              </w:rPr>
              <w:t>运营期</w:t>
            </w:r>
            <w:r>
              <w:rPr>
                <w:rFonts w:ascii="Times New Roman" w:hAnsi="Times New Roman" w:eastAsia="宋体" w:cs="Times New Roman"/>
                <w:b w:val="0"/>
                <w:bCs w:val="0"/>
                <w:snapToGrid w:val="0"/>
                <w:color w:val="auto"/>
                <w:kern w:val="0"/>
                <w:sz w:val="24"/>
              </w:rPr>
              <w:t>厂界环境噪声执行《工业企业厂界环境噪声排放标准》（GB12348-2008）3类功能区排放标准，具体限值详见</w:t>
            </w:r>
            <w:r>
              <w:rPr>
                <w:rFonts w:hint="eastAsia" w:ascii="Times New Roman" w:hAnsi="Times New Roman" w:eastAsia="宋体" w:cs="Times New Roman"/>
                <w:b w:val="0"/>
                <w:bCs w:val="0"/>
                <w:snapToGrid w:val="0"/>
                <w:color w:val="auto"/>
                <w:kern w:val="0"/>
                <w:sz w:val="24"/>
                <w:lang w:eastAsia="zh-CN"/>
              </w:rPr>
              <w:t>下表</w:t>
            </w:r>
            <w:r>
              <w:rPr>
                <w:rFonts w:ascii="Times New Roman" w:hAnsi="Times New Roman" w:eastAsia="宋体" w:cs="Times New Roman"/>
                <w:b w:val="0"/>
                <w:bCs w:val="0"/>
                <w:snapToGrid w:val="0"/>
                <w:color w:val="auto"/>
                <w:kern w:val="0"/>
                <w:sz w:val="24"/>
              </w:rPr>
              <w:t>。</w:t>
            </w:r>
            <w:bookmarkStart w:id="9" w:name="_Ref470534289"/>
          </w:p>
          <w:p>
            <w:pPr>
              <w:spacing w:line="440" w:lineRule="exact"/>
              <w:ind w:firstLine="482" w:firstLineChars="200"/>
              <w:jc w:val="center"/>
              <w:rPr>
                <w:rFonts w:ascii="Times New Roman" w:hAnsi="Times New Roman"/>
                <w:b/>
                <w:color w:val="auto"/>
              </w:rPr>
            </w:pPr>
            <w:r>
              <w:rPr>
                <w:rFonts w:ascii="Times New Roman" w:hAnsi="Times New Roman"/>
                <w:b/>
                <w:color w:val="auto"/>
                <w:sz w:val="24"/>
              </w:rPr>
              <w:t>表</w:t>
            </w:r>
            <w:bookmarkEnd w:id="9"/>
            <w:r>
              <w:rPr>
                <w:rFonts w:hint="eastAsia" w:ascii="Times New Roman" w:hAnsi="Times New Roman"/>
                <w:b/>
                <w:color w:val="auto"/>
                <w:sz w:val="24"/>
                <w:lang w:val="en-US" w:eastAsia="zh-CN"/>
              </w:rPr>
              <w:t>3-12</w:t>
            </w:r>
            <w:r>
              <w:rPr>
                <w:rFonts w:ascii="Times New Roman" w:hAnsi="Times New Roman"/>
                <w:b/>
                <w:color w:val="auto"/>
                <w:sz w:val="24"/>
              </w:rPr>
              <w:t xml:space="preserve">  工业企业厂界环境噪声排放标准   单位：dB（A）</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9"/>
              <w:gridCol w:w="1114"/>
              <w:gridCol w:w="1500"/>
              <w:gridCol w:w="16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pct"/>
                  <w:vMerge w:val="restart"/>
                  <w:tcBorders>
                    <w:tl2br w:val="nil"/>
                    <w:tr2bl w:val="nil"/>
                  </w:tcBorders>
                  <w:noWrap w:val="0"/>
                  <w:vAlign w:val="center"/>
                </w:tcPr>
                <w:p>
                  <w:pPr>
                    <w:spacing w:line="240" w:lineRule="auto"/>
                    <w:jc w:val="center"/>
                    <w:rPr>
                      <w:rFonts w:ascii="Times New Roman" w:hAnsi="Times New Roman"/>
                      <w:b/>
                      <w:color w:val="auto"/>
                      <w:sz w:val="21"/>
                      <w:szCs w:val="21"/>
                    </w:rPr>
                  </w:pPr>
                  <w:r>
                    <w:rPr>
                      <w:rFonts w:hint="eastAsia" w:ascii="Times New Roman" w:hAnsi="Times New Roman"/>
                      <w:b/>
                      <w:color w:val="auto"/>
                      <w:sz w:val="21"/>
                      <w:szCs w:val="21"/>
                      <w:lang w:val="en-US" w:eastAsia="zh-CN"/>
                    </w:rPr>
                    <w:t>执行标准</w:t>
                  </w:r>
                </w:p>
              </w:tc>
              <w:tc>
                <w:tcPr>
                  <w:tcW w:w="698" w:type="pct"/>
                  <w:vMerge w:val="restart"/>
                  <w:tcBorders>
                    <w:tl2br w:val="nil"/>
                    <w:tr2bl w:val="nil"/>
                  </w:tcBorders>
                  <w:noWrap w:val="0"/>
                  <w:vAlign w:val="center"/>
                </w:tcPr>
                <w:p>
                  <w:pPr>
                    <w:spacing w:line="240" w:lineRule="auto"/>
                    <w:jc w:val="center"/>
                    <w:rPr>
                      <w:rFonts w:ascii="Times New Roman" w:hAnsi="Times New Roman"/>
                      <w:b/>
                      <w:color w:val="auto"/>
                      <w:sz w:val="21"/>
                      <w:szCs w:val="21"/>
                    </w:rPr>
                  </w:pPr>
                  <w:r>
                    <w:rPr>
                      <w:rFonts w:ascii="Times New Roman" w:hAnsi="Times New Roman"/>
                      <w:b/>
                      <w:color w:val="auto"/>
                      <w:sz w:val="21"/>
                      <w:szCs w:val="21"/>
                    </w:rPr>
                    <w:t>类别</w:t>
                  </w:r>
                </w:p>
              </w:tc>
              <w:tc>
                <w:tcPr>
                  <w:tcW w:w="1982" w:type="pct"/>
                  <w:gridSpan w:val="2"/>
                  <w:tcBorders>
                    <w:tl2br w:val="nil"/>
                    <w:tr2bl w:val="nil"/>
                  </w:tcBorders>
                  <w:noWrap w:val="0"/>
                  <w:vAlign w:val="center"/>
                </w:tcPr>
                <w:p>
                  <w:pPr>
                    <w:spacing w:line="240" w:lineRule="auto"/>
                    <w:jc w:val="center"/>
                    <w:rPr>
                      <w:rFonts w:hint="eastAsia" w:ascii="Times New Roman" w:hAnsi="Times New Roman" w:eastAsia="宋体"/>
                      <w:b/>
                      <w:color w:val="auto"/>
                      <w:sz w:val="21"/>
                      <w:szCs w:val="21"/>
                      <w:lang w:eastAsia="zh-CN"/>
                    </w:rPr>
                  </w:pPr>
                  <w:r>
                    <w:rPr>
                      <w:rFonts w:hint="eastAsia" w:ascii="Times New Roman" w:hAnsi="Times New Roman"/>
                      <w:b/>
                      <w:color w:val="auto"/>
                      <w:sz w:val="21"/>
                      <w:szCs w:val="21"/>
                      <w:lang w:eastAsia="zh-CN"/>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pct"/>
                  <w:vMerge w:val="continue"/>
                  <w:tcBorders>
                    <w:tl2br w:val="nil"/>
                    <w:tr2bl w:val="nil"/>
                  </w:tcBorders>
                  <w:noWrap w:val="0"/>
                  <w:vAlign w:val="center"/>
                </w:tcPr>
                <w:p>
                  <w:pPr>
                    <w:spacing w:line="240" w:lineRule="auto"/>
                    <w:jc w:val="center"/>
                    <w:rPr>
                      <w:color w:val="auto"/>
                      <w:sz w:val="21"/>
                      <w:szCs w:val="21"/>
                    </w:rPr>
                  </w:pPr>
                </w:p>
              </w:tc>
              <w:tc>
                <w:tcPr>
                  <w:tcW w:w="698" w:type="pct"/>
                  <w:vMerge w:val="continue"/>
                  <w:tcBorders>
                    <w:tl2br w:val="nil"/>
                    <w:tr2bl w:val="nil"/>
                  </w:tcBorders>
                  <w:noWrap w:val="0"/>
                  <w:vAlign w:val="center"/>
                </w:tcPr>
                <w:p>
                  <w:pPr>
                    <w:spacing w:line="240" w:lineRule="auto"/>
                    <w:jc w:val="center"/>
                    <w:rPr>
                      <w:color w:val="auto"/>
                      <w:sz w:val="21"/>
                      <w:szCs w:val="21"/>
                    </w:rPr>
                  </w:pPr>
                </w:p>
              </w:tc>
              <w:tc>
                <w:tcPr>
                  <w:tcW w:w="940" w:type="pct"/>
                  <w:tcBorders>
                    <w:tl2br w:val="nil"/>
                    <w:tr2bl w:val="nil"/>
                  </w:tcBorders>
                  <w:noWrap w:val="0"/>
                  <w:vAlign w:val="center"/>
                </w:tcPr>
                <w:p>
                  <w:pPr>
                    <w:spacing w:line="240" w:lineRule="auto"/>
                    <w:jc w:val="center"/>
                    <w:rPr>
                      <w:color w:val="auto"/>
                      <w:sz w:val="21"/>
                      <w:szCs w:val="21"/>
                    </w:rPr>
                  </w:pPr>
                  <w:r>
                    <w:rPr>
                      <w:rFonts w:ascii="Times New Roman" w:hAnsi="Times New Roman"/>
                      <w:b/>
                      <w:color w:val="auto"/>
                      <w:sz w:val="21"/>
                      <w:szCs w:val="21"/>
                    </w:rPr>
                    <w:t>昼间</w:t>
                  </w:r>
                </w:p>
              </w:tc>
              <w:tc>
                <w:tcPr>
                  <w:tcW w:w="1041" w:type="pct"/>
                  <w:tcBorders>
                    <w:tl2br w:val="nil"/>
                    <w:tr2bl w:val="nil"/>
                  </w:tcBorders>
                  <w:noWrap w:val="0"/>
                  <w:vAlign w:val="center"/>
                </w:tcPr>
                <w:p>
                  <w:pPr>
                    <w:spacing w:line="240" w:lineRule="auto"/>
                    <w:jc w:val="center"/>
                    <w:rPr>
                      <w:rFonts w:ascii="Times New Roman" w:hAnsi="Times New Roman"/>
                      <w:b/>
                      <w:color w:val="auto"/>
                      <w:sz w:val="21"/>
                      <w:szCs w:val="21"/>
                    </w:rPr>
                  </w:pPr>
                  <w:r>
                    <w:rPr>
                      <w:rFonts w:ascii="Times New Roman" w:hAnsi="Times New Roman"/>
                      <w:b/>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pct"/>
                  <w:tcBorders>
                    <w:tl2br w:val="nil"/>
                    <w:tr2bl w:val="nil"/>
                  </w:tcBorders>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《工业企业厂界环境噪声排放标准》</w:t>
                  </w:r>
                  <w:r>
                    <w:rPr>
                      <w:rFonts w:ascii="Times New Roman" w:hAnsi="Times New Roman" w:eastAsia="宋体" w:cs="Times New Roman"/>
                      <w:b w:val="0"/>
                      <w:bCs w:val="0"/>
                      <w:snapToGrid w:val="0"/>
                      <w:color w:val="auto"/>
                      <w:kern w:val="0"/>
                      <w:sz w:val="21"/>
                      <w:szCs w:val="21"/>
                    </w:rPr>
                    <w:t>（GB12348-2008）</w:t>
                  </w:r>
                </w:p>
              </w:tc>
              <w:tc>
                <w:tcPr>
                  <w:tcW w:w="698" w:type="pct"/>
                  <w:tcBorders>
                    <w:tl2br w:val="nil"/>
                    <w:tr2bl w:val="nil"/>
                  </w:tcBorders>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2</w:t>
                  </w:r>
                  <w:r>
                    <w:rPr>
                      <w:rFonts w:ascii="Times New Roman" w:hAnsi="Times New Roman"/>
                      <w:color w:val="auto"/>
                      <w:sz w:val="21"/>
                      <w:szCs w:val="21"/>
                    </w:rPr>
                    <w:t>类</w:t>
                  </w:r>
                </w:p>
              </w:tc>
              <w:tc>
                <w:tcPr>
                  <w:tcW w:w="940" w:type="pct"/>
                  <w:tcBorders>
                    <w:tl2br w:val="nil"/>
                    <w:tr2bl w:val="nil"/>
                  </w:tcBorders>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60</w:t>
                  </w:r>
                </w:p>
              </w:tc>
              <w:tc>
                <w:tcPr>
                  <w:tcW w:w="1041" w:type="pct"/>
                  <w:tcBorders>
                    <w:tl2br w:val="nil"/>
                    <w:tr2bl w:val="nil"/>
                  </w:tcBorders>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50</w:t>
                  </w:r>
                </w:p>
              </w:tc>
            </w:tr>
          </w:tbl>
          <w:p>
            <w:pPr>
              <w:spacing w:line="360" w:lineRule="auto"/>
              <w:ind w:firstLine="482" w:firstLineChars="200"/>
              <w:rPr>
                <w:b/>
                <w:color w:val="auto"/>
                <w:sz w:val="24"/>
              </w:rPr>
            </w:pPr>
            <w:r>
              <w:rPr>
                <w:b/>
                <w:color w:val="auto"/>
                <w:sz w:val="24"/>
              </w:rPr>
              <w:t>4</w:t>
            </w:r>
            <w:r>
              <w:rPr>
                <w:rFonts w:hint="eastAsia"/>
                <w:b/>
                <w:color w:val="auto"/>
                <w:sz w:val="24"/>
              </w:rPr>
              <w:t>、</w:t>
            </w:r>
            <w:r>
              <w:rPr>
                <w:b/>
                <w:color w:val="auto"/>
                <w:sz w:val="24"/>
              </w:rPr>
              <w:t>固废</w:t>
            </w:r>
          </w:p>
          <w:p>
            <w:pPr>
              <w:adjustRightInd w:val="0"/>
              <w:snapToGrid w:val="0"/>
              <w:spacing w:line="360" w:lineRule="auto"/>
              <w:ind w:firstLine="480" w:firstLineChars="200"/>
              <w:jc w:val="left"/>
              <w:rPr>
                <w:rFonts w:hint="default" w:ascii="Times New Roman" w:hAnsi="Times New Roman" w:cs="Times New Roman"/>
                <w:color w:val="auto"/>
                <w:kern w:val="0"/>
                <w:sz w:val="24"/>
              </w:rPr>
            </w:pPr>
            <w:r>
              <w:rPr>
                <w:color w:val="auto"/>
                <w:sz w:val="24"/>
              </w:rPr>
              <w:t>一般固废处理处置</w:t>
            </w:r>
            <w:r>
              <w:rPr>
                <w:rFonts w:hint="eastAsia"/>
                <w:color w:val="auto"/>
                <w:sz w:val="24"/>
                <w:lang w:eastAsia="zh-CN"/>
              </w:rPr>
              <w:t>执行</w:t>
            </w:r>
            <w:r>
              <w:rPr>
                <w:rFonts w:hint="eastAsia"/>
                <w:color w:val="auto"/>
                <w:sz w:val="24"/>
                <w:szCs w:val="24"/>
              </w:rPr>
              <w:t>《</w:t>
            </w:r>
            <w:r>
              <w:rPr>
                <w:rFonts w:hint="eastAsia"/>
                <w:color w:val="auto"/>
                <w:sz w:val="24"/>
                <w:szCs w:val="24"/>
                <w:lang w:eastAsia="zh-CN"/>
              </w:rPr>
              <w:t>一般工业固体废物贮存和填埋污染控制标准</w:t>
            </w:r>
            <w:r>
              <w:rPr>
                <w:rFonts w:hint="eastAsia"/>
                <w:color w:val="auto"/>
                <w:sz w:val="24"/>
                <w:szCs w:val="24"/>
              </w:rPr>
              <w:t>》（GB18599-2020）相关要求</w:t>
            </w:r>
            <w:r>
              <w:rPr>
                <w:color w:val="auto"/>
                <w:sz w:val="24"/>
              </w:rPr>
              <w:t>；危险固体废弃物的贮存应执行《危险废物贮存污染控制标准》（GB 18597-2001）</w:t>
            </w:r>
            <w:r>
              <w:rPr>
                <w:rFonts w:hint="eastAsia"/>
                <w:color w:val="auto"/>
                <w:sz w:val="24"/>
              </w:rPr>
              <w:t>及其修改单</w:t>
            </w:r>
            <w:r>
              <w:rPr>
                <w:color w:val="auto"/>
                <w:sz w:val="24"/>
              </w:rPr>
              <w:t>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30" w:hRule="atLeast"/>
          <w:jc w:val="center"/>
        </w:trPr>
        <w:tc>
          <w:tcPr>
            <w:tcW w:w="800" w:type="dxa"/>
            <w:noWrap w:val="0"/>
            <w:vAlign w:val="center"/>
          </w:tcPr>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总量</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控制</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指标</w:t>
            </w:r>
          </w:p>
        </w:tc>
        <w:tc>
          <w:tcPr>
            <w:tcW w:w="8190"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u w:val="none"/>
                <w:lang w:val="en-US" w:eastAsia="zh-CN"/>
              </w:rPr>
              <w:t>根据“十</w:t>
            </w:r>
            <w:r>
              <w:rPr>
                <w:rFonts w:hint="eastAsia" w:ascii="Times New Roman" w:hAnsi="Times New Roman" w:eastAsia="宋体" w:cs="Times New Roman"/>
                <w:color w:val="auto"/>
                <w:sz w:val="24"/>
                <w:szCs w:val="24"/>
                <w:u w:val="none"/>
                <w:lang w:val="en-US" w:eastAsia="zh-CN"/>
              </w:rPr>
              <w:t>四</w:t>
            </w:r>
            <w:r>
              <w:rPr>
                <w:rFonts w:hint="default" w:ascii="Times New Roman" w:hAnsi="Times New Roman" w:eastAsia="宋体" w:cs="Times New Roman"/>
                <w:color w:val="auto"/>
                <w:sz w:val="24"/>
                <w:szCs w:val="24"/>
                <w:u w:val="none"/>
                <w:lang w:val="en-US" w:eastAsia="zh-CN"/>
              </w:rPr>
              <w:t>五”</w:t>
            </w:r>
            <w:r>
              <w:rPr>
                <w:rFonts w:hint="default" w:ascii="Times New Roman" w:hAnsi="Times New Roman" w:eastAsia="宋体" w:cs="Times New Roman"/>
                <w:color w:val="auto"/>
                <w:sz w:val="24"/>
                <w:szCs w:val="24"/>
                <w:lang w:val="en-US" w:eastAsia="zh-CN"/>
              </w:rPr>
              <w:t>期间对全国主要污染物排放总量控制计划的要求，除了对COD、NH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、NOx主要污染物实行排放总量控制计划管理，新增的工业烟粉尘、总氮、总磷及总挥发性有机物在重点区域和重点行业分别实施。</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根据本项目特征，废气主要为</w:t>
            </w:r>
            <w:r>
              <w:rPr>
                <w:rFonts w:hint="eastAsia" w:ascii="Times New Roman" w:hAnsi="Times New Roman" w:eastAsia="宋体" w:cs="Times New Roman"/>
                <w:color w:val="auto"/>
                <w:sz w:val="24"/>
                <w:szCs w:val="24"/>
                <w:lang w:val="en-US" w:eastAsia="zh-CN"/>
              </w:rPr>
              <w:t>挥发性有机物（非甲烷总烃计）</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各车间产生的废气，</w:t>
            </w:r>
            <w:r>
              <w:rPr>
                <w:rFonts w:hint="default" w:ascii="Times New Roman" w:hAnsi="Times New Roman" w:eastAsia="宋体" w:cs="Times New Roman"/>
                <w:color w:val="auto"/>
                <w:sz w:val="24"/>
                <w:szCs w:val="24"/>
                <w:lang w:val="en-US" w:eastAsia="zh-CN"/>
              </w:rPr>
              <w:t>经收集至</w:t>
            </w:r>
            <w:r>
              <w:rPr>
                <w:rFonts w:hint="eastAsia" w:ascii="Times New Roman" w:hAnsi="Times New Roman" w:eastAsia="宋体" w:cs="Times New Roman"/>
                <w:color w:val="auto"/>
                <w:sz w:val="24"/>
                <w:szCs w:val="24"/>
                <w:lang w:val="en-US" w:eastAsia="zh-CN"/>
              </w:rPr>
              <w:t>各处理装置</w:t>
            </w:r>
            <w:r>
              <w:rPr>
                <w:rFonts w:hint="default" w:ascii="Times New Roman" w:hAnsi="Times New Roman" w:eastAsia="宋体" w:cs="Times New Roman"/>
                <w:color w:val="auto"/>
                <w:sz w:val="24"/>
                <w:szCs w:val="24"/>
                <w:lang w:val="en-US" w:eastAsia="zh-CN"/>
              </w:rPr>
              <w:t>处理后经15m高排气筒排放，因此</w:t>
            </w:r>
            <w:r>
              <w:rPr>
                <w:rFonts w:hint="eastAsia" w:ascii="Times New Roman" w:hAnsi="Times New Roman" w:eastAsia="宋体" w:cs="Times New Roman"/>
                <w:color w:val="auto"/>
                <w:sz w:val="24"/>
                <w:szCs w:val="24"/>
                <w:lang w:val="en-US" w:eastAsia="zh-CN"/>
              </w:rPr>
              <w:t>设置</w:t>
            </w:r>
            <w:r>
              <w:rPr>
                <w:rFonts w:hint="default" w:ascii="Times New Roman" w:hAnsi="Times New Roman" w:eastAsia="宋体" w:cs="Times New Roman"/>
                <w:color w:val="auto"/>
                <w:sz w:val="24"/>
                <w:szCs w:val="24"/>
                <w:lang w:val="en-US" w:eastAsia="zh-CN"/>
              </w:rPr>
              <w:t>挥发性有机物总量控制</w:t>
            </w:r>
            <w:r>
              <w:rPr>
                <w:rFonts w:hint="eastAsia" w:ascii="Times New Roman" w:hAnsi="Times New Roman" w:eastAsia="宋体" w:cs="Times New Roman"/>
                <w:color w:val="auto"/>
                <w:sz w:val="24"/>
                <w:szCs w:val="24"/>
                <w:lang w:val="en-US" w:eastAsia="zh-CN"/>
              </w:rPr>
              <w:t>指标为0.792t/a</w:t>
            </w:r>
            <w:r>
              <w:rPr>
                <w:rFonts w:hint="default" w:ascii="Times New Roman" w:hAnsi="Times New Roman" w:eastAsia="宋体" w:cs="Times New Roman"/>
                <w:color w:val="auto"/>
                <w:sz w:val="24"/>
                <w:szCs w:val="24"/>
                <w:lang w:val="en-US" w:eastAsia="zh-CN"/>
              </w:rPr>
              <w:t>。生活污水经化粪池处理后用作农肥，</w:t>
            </w:r>
            <w:r>
              <w:rPr>
                <w:rFonts w:hint="eastAsia" w:ascii="Times New Roman" w:hAnsi="Times New Roman" w:eastAsia="宋体" w:cs="Times New Roman"/>
                <w:color w:val="auto"/>
                <w:sz w:val="24"/>
                <w:szCs w:val="24"/>
                <w:lang w:val="en-US" w:eastAsia="zh-CN"/>
              </w:rPr>
              <w:t>不外排。</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sz w:val="24"/>
                <w:szCs w:val="24"/>
                <w:lang w:val="en-US" w:eastAsia="zh-CN"/>
              </w:rPr>
              <w:t>因此，本项目</w:t>
            </w:r>
            <w:r>
              <w:rPr>
                <w:rFonts w:hint="eastAsia" w:ascii="Times New Roman" w:hAnsi="Times New Roman" w:eastAsia="宋体" w:cs="Times New Roman"/>
                <w:color w:val="auto"/>
                <w:sz w:val="24"/>
                <w:szCs w:val="24"/>
                <w:lang w:val="en-US" w:eastAsia="zh-CN"/>
              </w:rPr>
              <w:t>不设置</w:t>
            </w:r>
            <w:r>
              <w:rPr>
                <w:rFonts w:hint="default" w:ascii="Times New Roman" w:hAnsi="Times New Roman" w:eastAsia="宋体" w:cs="Times New Roman"/>
                <w:color w:val="auto"/>
                <w:sz w:val="24"/>
                <w:szCs w:val="24"/>
                <w:lang w:val="en-US" w:eastAsia="zh-CN"/>
              </w:rPr>
              <w:t>总量控制</w:t>
            </w:r>
            <w:r>
              <w:rPr>
                <w:rFonts w:hint="eastAsia" w:ascii="Times New Roman" w:hAnsi="Times New Roman" w:eastAsia="宋体" w:cs="Times New Roman"/>
                <w:color w:val="auto"/>
                <w:sz w:val="24"/>
                <w:szCs w:val="24"/>
                <w:lang w:val="en-US" w:eastAsia="zh-CN"/>
              </w:rPr>
              <w:t>指标</w:t>
            </w:r>
            <w:r>
              <w:rPr>
                <w:rFonts w:hint="default" w:ascii="Times New Roman" w:hAnsi="Times New Roman" w:eastAsia="宋体" w:cs="Times New Roman"/>
                <w:color w:val="auto"/>
                <w:sz w:val="24"/>
                <w:szCs w:val="24"/>
                <w:lang w:val="en-US" w:eastAsia="zh-CN"/>
              </w:rPr>
              <w:t>。</w:t>
            </w:r>
          </w:p>
        </w:tc>
      </w:tr>
    </w:tbl>
    <w:p>
      <w:pPr>
        <w:pStyle w:val="28"/>
        <w:adjustRightInd w:val="0"/>
        <w:snapToGrid w:val="0"/>
        <w:spacing w:before="0" w:beforeAutospacing="0" w:after="120" w:afterLines="5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sz w:val="36"/>
          <w:szCs w:val="36"/>
        </w:rPr>
        <w:br w:type="page"/>
      </w:r>
      <w:bookmarkStart w:id="10" w:name="_Toc2377"/>
      <w:r>
        <w:rPr>
          <w:rFonts w:hint="default" w:ascii="Times New Roman" w:hAnsi="Times New Roman" w:eastAsia="黑体" w:cs="Times New Roman"/>
          <w:snapToGrid w:val="0"/>
          <w:color w:val="auto"/>
          <w:sz w:val="30"/>
          <w:szCs w:val="30"/>
        </w:rPr>
        <w:t>四、主要环境影响和保护措施</w:t>
      </w:r>
      <w:bookmarkEnd w:id="10"/>
    </w:p>
    <w:tbl>
      <w:tblPr>
        <w:tblStyle w:val="3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80" w:hRule="atLeast"/>
          <w:jc w:val="center"/>
        </w:trPr>
        <w:tc>
          <w:tcPr>
            <w:tcW w:w="746" w:type="dxa"/>
            <w:noWrap w:val="0"/>
            <w:tcMar>
              <w:left w:w="28" w:type="dxa"/>
              <w:right w:w="28" w:type="dxa"/>
            </w:tcMar>
            <w:vAlign w:val="center"/>
          </w:tcPr>
          <w:p>
            <w:pPr>
              <w:pStyle w:val="28"/>
              <w:adjustRightInd w:val="0"/>
              <w:snapToGrid w:val="0"/>
              <w:spacing w:before="0" w:beforeAutospacing="0" w:after="0" w:afterAutospacing="0"/>
              <w:jc w:val="center"/>
              <w:rPr>
                <w:rFonts w:hint="default" w:ascii="Times New Roman" w:hAnsi="Times New Roman" w:cs="Times New Roman"/>
                <w:b/>
                <w:bCs/>
                <w:color w:val="auto"/>
                <w:kern w:val="2"/>
                <w:szCs w:val="24"/>
              </w:rPr>
            </w:pPr>
            <w:r>
              <w:rPr>
                <w:rFonts w:hint="default" w:ascii="Times New Roman" w:hAnsi="Times New Roman" w:cs="Times New Roman"/>
                <w:b/>
                <w:bCs/>
                <w:color w:val="auto"/>
                <w:kern w:val="2"/>
                <w:szCs w:val="24"/>
              </w:rPr>
              <w:t>施工</w:t>
            </w:r>
          </w:p>
          <w:p>
            <w:pPr>
              <w:pStyle w:val="28"/>
              <w:adjustRightInd w:val="0"/>
              <w:snapToGrid w:val="0"/>
              <w:spacing w:before="0" w:beforeAutospacing="0" w:after="0" w:afterAutospacing="0"/>
              <w:jc w:val="center"/>
              <w:rPr>
                <w:rFonts w:hint="default" w:ascii="Times New Roman" w:hAnsi="Times New Roman" w:cs="Times New Roman"/>
                <w:b/>
                <w:bCs/>
                <w:color w:val="auto"/>
                <w:kern w:val="2"/>
                <w:szCs w:val="24"/>
              </w:rPr>
            </w:pPr>
            <w:r>
              <w:rPr>
                <w:rFonts w:hint="default" w:ascii="Times New Roman" w:hAnsi="Times New Roman" w:cs="Times New Roman"/>
                <w:b/>
                <w:bCs/>
                <w:color w:val="auto"/>
                <w:kern w:val="2"/>
                <w:szCs w:val="24"/>
              </w:rPr>
              <w:t>期环</w:t>
            </w:r>
          </w:p>
          <w:p>
            <w:pPr>
              <w:pStyle w:val="28"/>
              <w:adjustRightInd w:val="0"/>
              <w:snapToGrid w:val="0"/>
              <w:spacing w:before="0" w:beforeAutospacing="0" w:after="0" w:afterAutospacing="0"/>
              <w:jc w:val="center"/>
              <w:rPr>
                <w:rFonts w:hint="default" w:ascii="Times New Roman" w:hAnsi="Times New Roman" w:cs="Times New Roman"/>
                <w:b/>
                <w:bCs/>
                <w:color w:val="auto"/>
                <w:kern w:val="2"/>
                <w:szCs w:val="24"/>
              </w:rPr>
            </w:pPr>
            <w:r>
              <w:rPr>
                <w:rFonts w:hint="default" w:ascii="Times New Roman" w:hAnsi="Times New Roman" w:cs="Times New Roman"/>
                <w:b/>
                <w:bCs/>
                <w:color w:val="auto"/>
                <w:kern w:val="2"/>
                <w:szCs w:val="24"/>
              </w:rPr>
              <w:t>境保</w:t>
            </w:r>
          </w:p>
          <w:p>
            <w:pPr>
              <w:pStyle w:val="28"/>
              <w:adjustRightInd w:val="0"/>
              <w:snapToGrid w:val="0"/>
              <w:spacing w:before="0" w:beforeAutospacing="0" w:after="0" w:afterAutospacing="0"/>
              <w:jc w:val="center"/>
              <w:rPr>
                <w:rFonts w:hint="default" w:ascii="Times New Roman" w:hAnsi="Times New Roman" w:cs="Times New Roman"/>
                <w:b/>
                <w:bCs/>
                <w:color w:val="auto"/>
                <w:kern w:val="2"/>
                <w:szCs w:val="24"/>
              </w:rPr>
            </w:pPr>
            <w:r>
              <w:rPr>
                <w:rFonts w:hint="default" w:ascii="Times New Roman" w:hAnsi="Times New Roman" w:cs="Times New Roman"/>
                <w:b/>
                <w:bCs/>
                <w:color w:val="auto"/>
                <w:kern w:val="2"/>
                <w:szCs w:val="24"/>
              </w:rPr>
              <w:t>护措</w:t>
            </w:r>
          </w:p>
          <w:p>
            <w:pPr>
              <w:pStyle w:val="28"/>
              <w:adjustRightInd w:val="0"/>
              <w:snapToGrid w:val="0"/>
              <w:spacing w:before="0" w:beforeAutospacing="0" w:after="0" w:afterAutospacing="0"/>
              <w:jc w:val="center"/>
              <w:rPr>
                <w:rFonts w:hint="default" w:ascii="Times New Roman" w:hAnsi="Times New Roman" w:cs="Times New Roman"/>
                <w:b/>
                <w:bCs/>
                <w:color w:val="auto"/>
                <w:kern w:val="2"/>
                <w:szCs w:val="24"/>
              </w:rPr>
            </w:pPr>
            <w:r>
              <w:rPr>
                <w:rFonts w:hint="default" w:ascii="Times New Roman" w:hAnsi="Times New Roman" w:cs="Times New Roman"/>
                <w:b/>
                <w:bCs/>
                <w:color w:val="auto"/>
                <w:kern w:val="2"/>
                <w:szCs w:val="24"/>
              </w:rPr>
              <w:t>施</w:t>
            </w:r>
          </w:p>
        </w:tc>
        <w:tc>
          <w:tcPr>
            <w:tcW w:w="8162" w:type="dxa"/>
            <w:noWrap w:val="0"/>
            <w:vAlign w:val="center"/>
          </w:tcPr>
          <w:p>
            <w:pPr>
              <w:pStyle w:val="83"/>
              <w:ind w:firstLine="48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1、施工扬尘防治措施</w:t>
            </w:r>
          </w:p>
          <w:p>
            <w:pPr>
              <w:pStyle w:val="83"/>
              <w:ind w:firstLine="480" w:firstLineChars="200"/>
              <w:rPr>
                <w:rFonts w:hint="default" w:ascii="Times New Roman" w:hAnsi="Times New Roman" w:cs="Times New Roman"/>
                <w:bCs/>
                <w:color w:val="auto"/>
                <w:spacing w:val="-10"/>
                <w:szCs w:val="21"/>
              </w:rPr>
            </w:pPr>
            <w:r>
              <w:rPr>
                <w:rFonts w:hint="default" w:ascii="Times New Roman" w:hAnsi="Times New Roman" w:cs="Times New Roman"/>
                <w:b w:val="0"/>
                <w:bCs/>
                <w:color w:val="auto"/>
                <w:lang w:val="en-US" w:eastAsia="zh-CN"/>
              </w:rPr>
              <w:t>本项目为新建项目，工程内容较为简单，无大规模土建工程，施工期主要是设备的安装和调试，污染物产生量很少，对周围影响较小。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0"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运营</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期环</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境影</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响和</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保护</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措施</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运营</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期环</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境影</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响和</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保护</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措施</w:t>
            </w:r>
          </w:p>
        </w:tc>
        <w:tc>
          <w:tcPr>
            <w:tcW w:w="8162" w:type="dxa"/>
            <w:noWrap w:val="0"/>
            <w:vAlign w:val="center"/>
          </w:tcPr>
          <w:p>
            <w:pPr>
              <w:keepNext w:val="0"/>
              <w:keepLines w:val="0"/>
              <w:widowControl/>
              <w:suppressLineNumbers w:val="0"/>
              <w:spacing w:line="360" w:lineRule="auto"/>
              <w:ind w:firstLine="482" w:firstLineChars="200"/>
              <w:jc w:val="left"/>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1</w:t>
            </w:r>
            <w:r>
              <w:rPr>
                <w:rFonts w:hint="eastAsia" w:ascii="Times New Roman" w:hAnsi="Times New Roman" w:eastAsia="宋体" w:cs="Times New Roman"/>
                <w:b/>
                <w:bCs w:val="0"/>
                <w:color w:val="auto"/>
                <w:kern w:val="2"/>
                <w:sz w:val="24"/>
                <w:szCs w:val="24"/>
                <w:lang w:val="en-US" w:eastAsia="zh-CN" w:bidi="ar-SA"/>
              </w:rPr>
              <w:t>、大气环境影响分析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本项目废气主要为吹膜工序产生的吹膜废气以及造粒工序产生的造粒废气，另外，食堂产生餐饮油烟。</w:t>
            </w:r>
          </w:p>
          <w:p>
            <w:pPr>
              <w:keepNext w:val="0"/>
              <w:keepLines w:val="0"/>
              <w:widowControl/>
              <w:suppressLineNumbers w:val="0"/>
              <w:spacing w:line="360" w:lineRule="auto"/>
              <w:ind w:firstLine="420" w:firstLineChars="200"/>
              <w:jc w:val="left"/>
              <w:rPr>
                <w:rFonts w:hint="eastAsia" w:ascii="Times New Roman" w:hAnsi="Times New Roman" w:eastAsia="宋体" w:cs="Times New Roman"/>
                <w:b w:val="0"/>
                <w:bCs/>
                <w:color w:val="auto"/>
                <w:kern w:val="2"/>
                <w:sz w:val="24"/>
                <w:szCs w:val="24"/>
                <w:lang w:val="en-US" w:eastAsia="zh-CN" w:bidi="ar-SA"/>
              </w:rPr>
            </w:pPr>
            <w:r>
              <w:rPr>
                <w:rFonts w:hint="eastAsia"/>
                <w:color w:val="auto"/>
              </w:rPr>
              <w:t>（</w:t>
            </w:r>
            <w:r>
              <w:rPr>
                <w:rFonts w:hint="eastAsia" w:ascii="Times New Roman" w:hAnsi="Times New Roman" w:eastAsia="宋体" w:cs="Times New Roman"/>
                <w:b w:val="0"/>
                <w:bCs/>
                <w:color w:val="auto"/>
                <w:kern w:val="2"/>
                <w:sz w:val="24"/>
                <w:szCs w:val="24"/>
                <w:lang w:val="en-US" w:eastAsia="zh-CN" w:bidi="ar-SA"/>
              </w:rPr>
              <w:t>1）吹膜废气</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塑料粒子、色母粒在吹膜过程中有少量有机废气挥发，</w:t>
            </w:r>
            <w:r>
              <w:rPr>
                <w:rFonts w:hint="eastAsia" w:ascii="Times New Roman" w:hAnsi="Times New Roman" w:eastAsia="宋体" w:cs="Times New Roman"/>
                <w:b w:val="0"/>
                <w:bCs/>
                <w:color w:val="auto"/>
                <w:kern w:val="2"/>
                <w:sz w:val="24"/>
                <w:szCs w:val="24"/>
                <w:lang w:val="en-US" w:eastAsia="zh-CN" w:bidi="ar-SA"/>
              </w:rPr>
              <w:t>本项目年使用塑料粒子和色母粒约500t/a。</w:t>
            </w:r>
            <w:r>
              <w:rPr>
                <w:rFonts w:hint="eastAsia" w:ascii="Times New Roman" w:hAnsi="Times New Roman" w:eastAsia="宋体" w:cs="Times New Roman"/>
                <w:b w:val="0"/>
                <w:bCs/>
                <w:color w:val="auto"/>
                <w:kern w:val="2"/>
                <w:sz w:val="24"/>
                <w:szCs w:val="24"/>
                <w:lang w:val="en-US" w:eastAsia="zh-CN" w:bidi="ar-SA"/>
              </w:rPr>
              <w:t>根据企业提供资料及查阅资料，本项目塑料粒子、色母粒的分解温度均高于</w:t>
            </w:r>
            <w:r>
              <w:rPr>
                <w:rFonts w:hint="eastAsia" w:ascii="Times New Roman" w:hAnsi="Times New Roman" w:eastAsia="宋体" w:cs="Times New Roman"/>
                <w:b w:val="0"/>
                <w:bCs/>
                <w:color w:val="auto"/>
                <w:kern w:val="2"/>
                <w:sz w:val="24"/>
                <w:szCs w:val="24"/>
                <w:lang w:val="en-US" w:eastAsia="zh-CN" w:bidi="ar-SA"/>
              </w:rPr>
              <w:t>300℃</w:t>
            </w:r>
            <w:r>
              <w:rPr>
                <w:rFonts w:hint="eastAsia"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在吹膜过程中，仅将塑料粒子和色母粒加热到使之具有热塑性的温度，加热温度为155~180℃，</w:t>
            </w:r>
            <w:r>
              <w:rPr>
                <w:rFonts w:hint="eastAsia" w:ascii="Times New Roman" w:hAnsi="Times New Roman" w:eastAsia="宋体" w:cs="Times New Roman"/>
                <w:b w:val="0"/>
                <w:bCs/>
                <w:color w:val="auto"/>
                <w:kern w:val="2"/>
                <w:sz w:val="24"/>
                <w:szCs w:val="24"/>
                <w:lang w:val="en-US" w:eastAsia="zh-CN" w:bidi="ar-SA"/>
              </w:rPr>
              <w:t>基本不发生分解，不发生化学反应，此过程会有少量挥发性有机物</w:t>
            </w:r>
            <w:r>
              <w:rPr>
                <w:rFonts w:hint="eastAsia" w:ascii="Times New Roman" w:hAnsi="Times New Roman" w:eastAsia="宋体" w:cs="Times New Roman"/>
                <w:b w:val="0"/>
                <w:bCs/>
                <w:color w:val="auto"/>
                <w:kern w:val="2"/>
                <w:sz w:val="24"/>
                <w:szCs w:val="24"/>
                <w:lang w:val="en-US" w:eastAsia="zh-CN" w:bidi="ar-SA"/>
              </w:rPr>
              <w:t>（以非甲烷总径计）</w:t>
            </w:r>
            <w:r>
              <w:rPr>
                <w:rFonts w:hint="eastAsia" w:ascii="Times New Roman" w:hAnsi="Times New Roman" w:eastAsia="宋体" w:cs="Times New Roman"/>
                <w:b w:val="0"/>
                <w:bCs/>
                <w:color w:val="auto"/>
                <w:kern w:val="2"/>
                <w:sz w:val="24"/>
                <w:szCs w:val="24"/>
                <w:lang w:val="en-US" w:eastAsia="zh-CN" w:bidi="ar-SA"/>
              </w:rPr>
              <w:t>产生逸出，产生的非甲烷总烃为未合成的残留单体等。根据《第二次污染源普查塑料制品业系数手册》），塑料薄膜制造以树脂、助剂为原料，经配料-混合-挤出工艺，有机废气（以非甲烷总烃计）的产生系数为2.5kg/t产品，则本工序非甲烷总烃产生量为1.25t/a。</w:t>
            </w:r>
          </w:p>
          <w:p>
            <w:pPr>
              <w:keepNext w:val="0"/>
              <w:keepLines w:val="0"/>
              <w:widowControl/>
              <w:suppressLineNumbers w:val="0"/>
              <w:spacing w:line="360" w:lineRule="auto"/>
              <w:ind w:firstLine="420" w:firstLineChars="200"/>
              <w:jc w:val="left"/>
              <w:rPr>
                <w:rFonts w:hint="eastAsia" w:ascii="Times New Roman" w:hAnsi="Times New Roman" w:eastAsia="宋体" w:cs="Times New Roman"/>
                <w:b w:val="0"/>
                <w:bCs/>
                <w:color w:val="auto"/>
                <w:kern w:val="2"/>
                <w:sz w:val="24"/>
                <w:szCs w:val="24"/>
                <w:lang w:val="en-US" w:eastAsia="zh-CN" w:bidi="ar-SA"/>
              </w:rPr>
            </w:pPr>
            <w:r>
              <w:rPr>
                <w:rFonts w:hint="eastAsia"/>
                <w:color w:val="auto"/>
              </w:rPr>
              <w:t>（</w:t>
            </w:r>
            <w:r>
              <w:rPr>
                <w:rFonts w:hint="eastAsia" w:ascii="Times New Roman" w:hAnsi="Times New Roman" w:eastAsia="宋体" w:cs="Times New Roman"/>
                <w:b w:val="0"/>
                <w:bCs/>
                <w:color w:val="auto"/>
                <w:kern w:val="2"/>
                <w:sz w:val="24"/>
                <w:szCs w:val="24"/>
                <w:lang w:val="en-US" w:eastAsia="zh-CN" w:bidi="ar-SA"/>
              </w:rPr>
              <w:t>2）造粒废气</w:t>
            </w:r>
          </w:p>
          <w:p>
            <w:pPr>
              <w:keepNext w:val="0"/>
              <w:keepLines w:val="0"/>
              <w:widowControl/>
              <w:suppressLineNumbers w:val="0"/>
              <w:spacing w:line="360" w:lineRule="auto"/>
              <w:ind w:firstLine="480" w:firstLineChars="200"/>
              <w:jc w:val="left"/>
              <w:rPr>
                <w:rFonts w:hint="eastAsia"/>
                <w:color w:val="auto"/>
                <w:lang w:val="en-US" w:eastAsia="zh-CN"/>
              </w:rPr>
            </w:pPr>
            <w:r>
              <w:rPr>
                <w:rFonts w:hint="eastAsia" w:ascii="Times New Roman" w:hAnsi="Times New Roman" w:eastAsia="宋体" w:cs="Times New Roman"/>
                <w:b w:val="0"/>
                <w:bCs/>
                <w:color w:val="auto"/>
                <w:kern w:val="2"/>
                <w:sz w:val="24"/>
                <w:szCs w:val="24"/>
                <w:lang w:val="en-US" w:eastAsia="zh-CN" w:bidi="ar-SA"/>
              </w:rPr>
              <w:t>本项目在生产过程中会产生少量的废薄膜、不合格品以及边角料，废料为片状，质地柔软，无需破碎，直接通过人工塞入进料口，进行造粒。根据建设单位提供的资料，其产生总量约为原材料的5%，本项目年使用原材料约为500t/a，则废物料产生量为25t/a，该部分物料经过收集后进行造粒回用于生产，该工序采用电加热，加热温度为120℃，加热过程中会产生少量有机废气（以非甲烷总烃计），但是由于设备属于密闭状态，且塑料受热时间较短，</w:t>
            </w:r>
            <w:r>
              <w:rPr>
                <w:rFonts w:hint="eastAsia" w:ascii="Times New Roman" w:hAnsi="Times New Roman" w:eastAsia="宋体" w:cs="Times New Roman"/>
                <w:b w:val="0"/>
                <w:bCs/>
                <w:color w:val="auto"/>
                <w:kern w:val="2"/>
                <w:sz w:val="24"/>
                <w:szCs w:val="24"/>
                <w:lang w:val="en-US" w:eastAsia="zh-CN" w:bidi="ar-SA"/>
              </w:rPr>
              <w:t>《第二次污染源普查塑料制品业系数手册》以树脂、助剂为原料，造粒工艺过程中有机废气（以非甲烷总烃计）的产生系数为4.6kg/t产品，则本工序非甲烷总烃产生量为0.115t/a</w:t>
            </w:r>
            <w:r>
              <w:rPr>
                <w:rFonts w:hint="eastAsia" w:ascii="Times New Roman" w:hAnsi="Times New Roman" w:eastAsia="宋体" w:cs="Times New Roman"/>
                <w:b w:val="0"/>
                <w:bCs/>
                <w:color w:val="auto"/>
                <w:kern w:val="2"/>
                <w:sz w:val="24"/>
                <w:szCs w:val="24"/>
                <w:lang w:val="en-US" w:eastAsia="zh-CN" w:bidi="ar-SA"/>
              </w:rPr>
              <w:t>。</w:t>
            </w:r>
          </w:p>
          <w:p>
            <w:pPr>
              <w:bidi w:val="0"/>
              <w:spacing w:line="360" w:lineRule="auto"/>
              <w:ind w:firstLine="480" w:firstLineChars="200"/>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企业拟在吹膜机和造粒机上方设置集气设施，</w:t>
            </w:r>
            <w:r>
              <w:rPr>
                <w:rFonts w:hint="eastAsia" w:ascii="Times New Roman" w:hAnsi="Times New Roman" w:eastAsia="宋体" w:cs="Times New Roman"/>
                <w:b w:val="0"/>
                <w:bCs/>
                <w:color w:val="auto"/>
                <w:kern w:val="2"/>
                <w:sz w:val="24"/>
                <w:szCs w:val="24"/>
                <w:lang w:val="en-US" w:eastAsia="zh-CN" w:bidi="ar-SA"/>
              </w:rPr>
              <w:t>由于造粒废气产生量较小，故将造粒废气和吹膜废气一同收集，</w:t>
            </w:r>
            <w:r>
              <w:rPr>
                <w:rFonts w:hint="eastAsia" w:ascii="Times New Roman" w:hAnsi="Times New Roman" w:eastAsia="宋体" w:cs="Times New Roman"/>
                <w:b w:val="0"/>
                <w:bCs/>
                <w:color w:val="auto"/>
                <w:kern w:val="2"/>
                <w:sz w:val="24"/>
                <w:szCs w:val="24"/>
                <w:lang w:val="en-US" w:eastAsia="zh-CN" w:bidi="ar-SA"/>
              </w:rPr>
              <w:t>设置一台风机，风量为3000m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h，废气经负压收集后分别经二级活性炭吸附处理，处理后尾气通过1根15米高排气筒（DA001）排放。集气罩的效率参考《浙江省工业涂装工序挥发性有机物(VOCs)排放量计算暂行方法》热态上吸风罩取60%，参考《第二次污染源普查塑料制品业系数手册》中末端治理技术效率，活性炭吸附处理效率为70%，吹膜废气和造粒废气合计产生量为1.366t/a，则有组织废气产生量为0.820t/a，产生速率为0.341kg/h，产生浓度为113.8mg/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，有组织排放量为0.246t/a，排放速率为0.102kg/h，排放浓度为34.1mg/m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。未收集的有机废气无组织排放，排放量为0.137t/a，排放速率为0.057kg/h。</w:t>
            </w:r>
          </w:p>
          <w:p>
            <w:pPr>
              <w:pStyle w:val="83"/>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表4-1  废气产污环节、污染物种类及污染治理设施等一览表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25"/>
              <w:gridCol w:w="739"/>
              <w:gridCol w:w="836"/>
              <w:gridCol w:w="889"/>
              <w:gridCol w:w="800"/>
              <w:gridCol w:w="1888"/>
              <w:gridCol w:w="1224"/>
              <w:gridCol w:w="9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3" w:type="pct"/>
                  <w:noWrap w:val="0"/>
                  <w:vAlign w:val="center"/>
                </w:tcPr>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w:t>
                  </w:r>
                </w:p>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单元</w:t>
                  </w:r>
                </w:p>
              </w:tc>
              <w:tc>
                <w:tcPr>
                  <w:tcW w:w="465" w:type="pct"/>
                  <w:noWrap w:val="0"/>
                  <w:vAlign w:val="center"/>
                </w:tcPr>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w:t>
                  </w:r>
                </w:p>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设施</w:t>
                  </w:r>
                </w:p>
              </w:tc>
              <w:tc>
                <w:tcPr>
                  <w:tcW w:w="526" w:type="pct"/>
                  <w:noWrap w:val="0"/>
                  <w:vAlign w:val="center"/>
                </w:tcPr>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废气产污环节</w:t>
                  </w:r>
                </w:p>
              </w:tc>
              <w:tc>
                <w:tcPr>
                  <w:tcW w:w="559" w:type="pct"/>
                  <w:noWrap w:val="0"/>
                  <w:vAlign w:val="center"/>
                </w:tcPr>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种类</w:t>
                  </w:r>
                </w:p>
              </w:tc>
              <w:tc>
                <w:tcPr>
                  <w:tcW w:w="503" w:type="pct"/>
                  <w:noWrap w:val="0"/>
                  <w:vAlign w:val="center"/>
                </w:tcPr>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w:t>
                  </w:r>
                </w:p>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形式</w:t>
                  </w:r>
                </w:p>
              </w:tc>
              <w:tc>
                <w:tcPr>
                  <w:tcW w:w="1188" w:type="pct"/>
                  <w:noWrap w:val="0"/>
                  <w:vAlign w:val="center"/>
                </w:tcPr>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c>
                <w:tcPr>
                  <w:tcW w:w="770" w:type="pct"/>
                  <w:noWrap w:val="0"/>
                  <w:vAlign w:val="center"/>
                </w:tcPr>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污染治理设施及工艺</w:t>
                  </w:r>
                </w:p>
              </w:tc>
              <w:tc>
                <w:tcPr>
                  <w:tcW w:w="594" w:type="pct"/>
                  <w:noWrap w:val="0"/>
                  <w:vAlign w:val="center"/>
                </w:tcPr>
                <w:p>
                  <w:pPr>
                    <w:pStyle w:val="83"/>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是否为可行技术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3" w:type="pct"/>
                  <w:vMerge w:val="restar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生产车间</w:t>
                  </w:r>
                </w:p>
              </w:tc>
              <w:tc>
                <w:tcPr>
                  <w:tcW w:w="465"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吹膜机</w:t>
                  </w:r>
                </w:p>
              </w:tc>
              <w:tc>
                <w:tcPr>
                  <w:tcW w:w="526"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吹膜工序</w:t>
                  </w:r>
                </w:p>
              </w:tc>
              <w:tc>
                <w:tcPr>
                  <w:tcW w:w="559"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非甲烷总烃</w:t>
                  </w:r>
                </w:p>
              </w:tc>
              <w:tc>
                <w:tcPr>
                  <w:tcW w:w="503" w:type="pct"/>
                  <w:noWrap w:val="0"/>
                  <w:vAlign w:val="center"/>
                </w:tcPr>
                <w:p>
                  <w:pPr>
                    <w:pStyle w:val="83"/>
                    <w:adjustRightInd w:val="0"/>
                    <w:snapToGri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有组织</w:t>
                  </w:r>
                </w:p>
              </w:tc>
              <w:tc>
                <w:tcPr>
                  <w:tcW w:w="1188" w:type="pct"/>
                  <w:vMerge w:val="restart"/>
                  <w:noWrap w:val="0"/>
                  <w:vAlign w:val="center"/>
                </w:tcPr>
                <w:p>
                  <w:pPr>
                    <w:pStyle w:val="83"/>
                    <w:adjustRightInd w:val="0"/>
                    <w:snapToGrid w:val="0"/>
                    <w:spacing w:line="240" w:lineRule="auto"/>
                    <w:jc w:val="center"/>
                    <w:rPr>
                      <w:rFonts w:hint="default" w:ascii="Times New Roman" w:hAnsi="Times New Roman" w:cs="Times New Roman"/>
                      <w:b w:val="0"/>
                      <w:bCs/>
                      <w:color w:val="auto"/>
                      <w:sz w:val="21"/>
                      <w:szCs w:val="21"/>
                    </w:rPr>
                  </w:pPr>
                  <w:r>
                    <w:rPr>
                      <w:b w:val="0"/>
                      <w:bCs/>
                      <w:color w:val="auto"/>
                      <w:sz w:val="21"/>
                      <w:szCs w:val="21"/>
                    </w:rPr>
                    <w:t>《合成树脂工业污染物排放标准》（GB31572-2015）</w:t>
                  </w:r>
                </w:p>
              </w:tc>
              <w:tc>
                <w:tcPr>
                  <w:tcW w:w="770" w:type="pct"/>
                  <w:noWrap w:val="0"/>
                  <w:vAlign w:val="center"/>
                </w:tcPr>
                <w:p>
                  <w:pPr>
                    <w:pStyle w:val="83"/>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eastAsia="zh-CN"/>
                    </w:rPr>
                    <w:t>负压收集</w:t>
                  </w:r>
                  <w:r>
                    <w:rPr>
                      <w:rFonts w:hint="eastAsia" w:ascii="Times New Roman" w:hAnsi="Times New Roman" w:cs="Times New Roman"/>
                      <w:b w:val="0"/>
                      <w:bCs/>
                      <w:color w:val="auto"/>
                      <w:sz w:val="21"/>
                      <w:szCs w:val="21"/>
                      <w:lang w:val="en-US" w:eastAsia="zh-CN"/>
                    </w:rPr>
                    <w:t>+二级活性炭吸附</w:t>
                  </w:r>
                </w:p>
              </w:tc>
              <w:tc>
                <w:tcPr>
                  <w:tcW w:w="594"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3" w:type="pct"/>
                  <w:vMerge w:val="continue"/>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p>
              </w:tc>
              <w:tc>
                <w:tcPr>
                  <w:tcW w:w="465"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造粒机</w:t>
                  </w:r>
                </w:p>
              </w:tc>
              <w:tc>
                <w:tcPr>
                  <w:tcW w:w="526"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造粒工序</w:t>
                  </w:r>
                </w:p>
              </w:tc>
              <w:tc>
                <w:tcPr>
                  <w:tcW w:w="559"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非甲烷总烃</w:t>
                  </w:r>
                </w:p>
              </w:tc>
              <w:tc>
                <w:tcPr>
                  <w:tcW w:w="503"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有组织</w:t>
                  </w:r>
                </w:p>
              </w:tc>
              <w:tc>
                <w:tcPr>
                  <w:tcW w:w="1188" w:type="pct"/>
                  <w:vMerge w:val="continue"/>
                  <w:noWrap w:val="0"/>
                  <w:vAlign w:val="center"/>
                </w:tcPr>
                <w:p>
                  <w:pPr>
                    <w:pStyle w:val="83"/>
                    <w:adjustRightInd w:val="0"/>
                    <w:snapToGrid w:val="0"/>
                    <w:spacing w:line="240" w:lineRule="auto"/>
                    <w:jc w:val="center"/>
                    <w:rPr>
                      <w:rFonts w:hint="default" w:ascii="Times New Roman" w:hAnsi="Times New Roman" w:cs="Times New Roman"/>
                      <w:b w:val="0"/>
                      <w:bCs/>
                      <w:color w:val="auto"/>
                      <w:sz w:val="21"/>
                      <w:szCs w:val="21"/>
                    </w:rPr>
                  </w:pPr>
                </w:p>
              </w:tc>
              <w:tc>
                <w:tcPr>
                  <w:tcW w:w="770"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负压收集</w:t>
                  </w:r>
                  <w:r>
                    <w:rPr>
                      <w:rFonts w:hint="eastAsia" w:ascii="Times New Roman" w:hAnsi="Times New Roman" w:cs="Times New Roman"/>
                      <w:b w:val="0"/>
                      <w:bCs/>
                      <w:color w:val="auto"/>
                      <w:sz w:val="21"/>
                      <w:szCs w:val="21"/>
                      <w:lang w:val="en-US" w:eastAsia="zh-CN"/>
                    </w:rPr>
                    <w:t>+二级活性炭吸附</w:t>
                  </w:r>
                </w:p>
              </w:tc>
              <w:tc>
                <w:tcPr>
                  <w:tcW w:w="594" w:type="pct"/>
                  <w:noWrap w:val="0"/>
                  <w:vAlign w:val="center"/>
                </w:tcPr>
                <w:p>
                  <w:pPr>
                    <w:pStyle w:val="83"/>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3"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eastAsia="zh-CN"/>
                    </w:rPr>
                    <w:t>生产车间</w:t>
                  </w:r>
                </w:p>
              </w:tc>
              <w:tc>
                <w:tcPr>
                  <w:tcW w:w="465"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eastAsia="zh-CN"/>
                    </w:rPr>
                    <w:t>吹膜机造粒机</w:t>
                  </w:r>
                </w:p>
              </w:tc>
              <w:tc>
                <w:tcPr>
                  <w:tcW w:w="526"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eastAsia="zh-CN"/>
                    </w:rPr>
                    <w:t>吹膜、造粒工序</w:t>
                  </w:r>
                </w:p>
              </w:tc>
              <w:tc>
                <w:tcPr>
                  <w:tcW w:w="559"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eastAsia="zh-CN"/>
                    </w:rPr>
                    <w:t>非甲烷总烃</w:t>
                  </w:r>
                </w:p>
              </w:tc>
              <w:tc>
                <w:tcPr>
                  <w:tcW w:w="503" w:type="pct"/>
                  <w:noWrap w:val="0"/>
                  <w:vAlign w:val="center"/>
                </w:tcPr>
                <w:p>
                  <w:pPr>
                    <w:pStyle w:val="83"/>
                    <w:adjustRightInd w:val="0"/>
                    <w:snapToGrid w:val="0"/>
                    <w:spacing w:line="240" w:lineRule="auto"/>
                    <w:jc w:val="center"/>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无组织</w:t>
                  </w:r>
                </w:p>
              </w:tc>
              <w:tc>
                <w:tcPr>
                  <w:tcW w:w="1188" w:type="pct"/>
                  <w:noWrap w:val="0"/>
                  <w:vAlign w:val="center"/>
                </w:tcPr>
                <w:p>
                  <w:pPr>
                    <w:pStyle w:val="83"/>
                    <w:adjustRightInd w:val="0"/>
                    <w:snapToGrid w:val="0"/>
                    <w:spacing w:line="240" w:lineRule="auto"/>
                    <w:jc w:val="center"/>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《挥发性有机物无组织排放控制标准》（GB37822-2019）</w:t>
                  </w:r>
                </w:p>
              </w:tc>
              <w:tc>
                <w:tcPr>
                  <w:tcW w:w="770" w:type="pct"/>
                  <w:noWrap w:val="0"/>
                  <w:vAlign w:val="center"/>
                </w:tcPr>
                <w:p>
                  <w:pPr>
                    <w:pStyle w:val="83"/>
                    <w:adjustRightInd w:val="0"/>
                    <w:snapToGrid w:val="0"/>
                    <w:spacing w:line="240" w:lineRule="auto"/>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加强设备密闭，提高废气收集效率</w:t>
                  </w:r>
                </w:p>
              </w:tc>
              <w:tc>
                <w:tcPr>
                  <w:tcW w:w="594" w:type="pct"/>
                  <w:noWrap w:val="0"/>
                  <w:vAlign w:val="center"/>
                </w:tcPr>
                <w:p>
                  <w:pPr>
                    <w:pStyle w:val="83"/>
                    <w:adjustRightInd w:val="0"/>
                    <w:snapToGrid w:val="0"/>
                    <w:spacing w:line="240" w:lineRule="auto"/>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r>
          </w:tbl>
          <w:p>
            <w:pPr>
              <w:pStyle w:val="83"/>
              <w:adjustRightInd w:val="0"/>
              <w:snapToGrid w:val="0"/>
              <w:spacing w:before="120" w:beforeLines="50"/>
              <w:jc w:val="center"/>
              <w:rPr>
                <w:rFonts w:hint="default" w:ascii="Times New Roman" w:hAnsi="Times New Roman" w:eastAsia="宋体" w:cs="Times New Roman"/>
                <w:b/>
                <w:color w:val="auto"/>
              </w:rPr>
            </w:pPr>
            <w:r>
              <w:rPr>
                <w:rFonts w:hint="default" w:ascii="Times New Roman" w:hAnsi="Times New Roman" w:cs="Times New Roman"/>
                <w:color w:val="auto"/>
              </w:rPr>
              <w:t>表4-2  有组织排放污染物源强信息</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6"/>
              <w:gridCol w:w="801"/>
              <w:gridCol w:w="773"/>
              <w:gridCol w:w="778"/>
              <w:gridCol w:w="660"/>
              <w:gridCol w:w="776"/>
              <w:gridCol w:w="773"/>
              <w:gridCol w:w="602"/>
              <w:gridCol w:w="864"/>
              <w:gridCol w:w="660"/>
              <w:gridCol w:w="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30" w:type="pct"/>
                  <w:vMerge w:val="restar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污染源</w:t>
                  </w:r>
                </w:p>
              </w:tc>
              <w:tc>
                <w:tcPr>
                  <w:tcW w:w="504" w:type="pct"/>
                  <w:vMerge w:val="restar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废气量</w:t>
                  </w:r>
                </w:p>
                <w:p>
                  <w:pPr>
                    <w:adjustRightInd w:val="0"/>
                    <w:snapToGrid w:val="0"/>
                    <w:jc w:val="center"/>
                    <w:rPr>
                      <w:rFonts w:hint="eastAsia" w:ascii="Times New Roman" w:hAnsi="Times New Roman" w:eastAsia="宋体" w:cs="Times New Roman"/>
                      <w:b/>
                      <w:bCs/>
                      <w:color w:val="auto"/>
                      <w:kern w:val="0"/>
                      <w:szCs w:val="21"/>
                      <w:lang w:eastAsia="zh-CN"/>
                    </w:rPr>
                  </w:pPr>
                  <w:r>
                    <w:rPr>
                      <w:rFonts w:hint="eastAsia" w:ascii="Times New Roman" w:hAnsi="Times New Roman" w:eastAsia="宋体" w:cs="Times New Roman"/>
                      <w:b/>
                      <w:bCs/>
                      <w:color w:val="auto"/>
                      <w:kern w:val="0"/>
                      <w:szCs w:val="21"/>
                      <w:lang w:eastAsia="zh-CN"/>
                    </w:rPr>
                    <w:t>（</w:t>
                  </w:r>
                  <w:r>
                    <w:rPr>
                      <w:rFonts w:hint="default" w:ascii="Times New Roman" w:hAnsi="Times New Roman" w:eastAsia="宋体" w:cs="Times New Roman"/>
                      <w:b/>
                      <w:bCs/>
                      <w:color w:val="auto"/>
                      <w:kern w:val="0"/>
                      <w:szCs w:val="21"/>
                    </w:rPr>
                    <w:t>m</w:t>
                  </w:r>
                  <w:r>
                    <w:rPr>
                      <w:rFonts w:hint="default" w:ascii="Times New Roman" w:hAnsi="Times New Roman" w:eastAsia="宋体" w:cs="Times New Roman"/>
                      <w:b/>
                      <w:bCs/>
                      <w:color w:val="auto"/>
                      <w:kern w:val="0"/>
                      <w:szCs w:val="21"/>
                      <w:vertAlign w:val="superscript"/>
                    </w:rPr>
                    <w:t>3</w:t>
                  </w:r>
                  <w:r>
                    <w:rPr>
                      <w:rFonts w:hint="default" w:ascii="Times New Roman" w:hAnsi="Times New Roman" w:eastAsia="宋体" w:cs="Times New Roman"/>
                      <w:b/>
                      <w:bCs/>
                      <w:color w:val="auto"/>
                      <w:kern w:val="0"/>
                      <w:szCs w:val="21"/>
                    </w:rPr>
                    <w:t>/h</w:t>
                  </w:r>
                  <w:r>
                    <w:rPr>
                      <w:rFonts w:hint="eastAsia" w:ascii="Times New Roman" w:hAnsi="Times New Roman" w:eastAsia="宋体" w:cs="Times New Roman"/>
                      <w:b/>
                      <w:bCs/>
                      <w:color w:val="auto"/>
                      <w:kern w:val="0"/>
                      <w:szCs w:val="21"/>
                      <w:lang w:eastAsia="zh-CN"/>
                    </w:rPr>
                    <w:t>）</w:t>
                  </w:r>
                </w:p>
              </w:tc>
              <w:tc>
                <w:tcPr>
                  <w:tcW w:w="1879" w:type="pct"/>
                  <w:gridSpan w:val="4"/>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污染物产生情况</w:t>
                  </w:r>
                </w:p>
              </w:tc>
              <w:tc>
                <w:tcPr>
                  <w:tcW w:w="486" w:type="pct"/>
                  <w:vMerge w:val="restar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治理</w:t>
                  </w:r>
                </w:p>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措施</w:t>
                  </w:r>
                </w:p>
              </w:tc>
              <w:tc>
                <w:tcPr>
                  <w:tcW w:w="378" w:type="pct"/>
                  <w:vMerge w:val="restar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去除率（%）</w:t>
                  </w:r>
                </w:p>
              </w:tc>
              <w:tc>
                <w:tcPr>
                  <w:tcW w:w="1420" w:type="pct"/>
                  <w:gridSpan w:val="3"/>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排放状况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4" w:hRule="atLeast"/>
              </w:trPr>
              <w:tc>
                <w:tcPr>
                  <w:tcW w:w="330" w:type="pct"/>
                  <w:vMerge w:val="continue"/>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p>
              </w:tc>
              <w:tc>
                <w:tcPr>
                  <w:tcW w:w="504" w:type="pct"/>
                  <w:vMerge w:val="continue"/>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p>
              </w:tc>
              <w:tc>
                <w:tcPr>
                  <w:tcW w:w="486"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污染物名称</w:t>
                  </w:r>
                </w:p>
              </w:tc>
              <w:tc>
                <w:tcPr>
                  <w:tcW w:w="489"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浓度</w:t>
                  </w:r>
                </w:p>
                <w:p>
                  <w:pPr>
                    <w:adjustRightInd w:val="0"/>
                    <w:snapToGrid w:val="0"/>
                    <w:jc w:val="center"/>
                    <w:rPr>
                      <w:rFonts w:hint="eastAsia" w:ascii="Times New Roman" w:hAnsi="Times New Roman" w:eastAsia="宋体" w:cs="Times New Roman"/>
                      <w:b/>
                      <w:bCs/>
                      <w:color w:val="auto"/>
                      <w:kern w:val="0"/>
                      <w:szCs w:val="21"/>
                      <w:lang w:eastAsia="zh-CN"/>
                    </w:rPr>
                  </w:pPr>
                  <w:r>
                    <w:rPr>
                      <w:rFonts w:hint="eastAsia" w:ascii="Times New Roman" w:hAnsi="Times New Roman" w:eastAsia="宋体" w:cs="Times New Roman"/>
                      <w:b/>
                      <w:bCs/>
                      <w:color w:val="auto"/>
                      <w:kern w:val="0"/>
                      <w:szCs w:val="21"/>
                      <w:lang w:eastAsia="zh-CN"/>
                    </w:rPr>
                    <w:t>（</w:t>
                  </w:r>
                  <w:r>
                    <w:rPr>
                      <w:rFonts w:hint="default" w:ascii="Times New Roman" w:hAnsi="Times New Roman" w:eastAsia="宋体" w:cs="Times New Roman"/>
                      <w:b/>
                      <w:bCs/>
                      <w:color w:val="auto"/>
                      <w:kern w:val="0"/>
                      <w:szCs w:val="21"/>
                    </w:rPr>
                    <w:t>mg/m</w:t>
                  </w:r>
                  <w:r>
                    <w:rPr>
                      <w:rFonts w:hint="default" w:ascii="Times New Roman" w:hAnsi="Times New Roman" w:eastAsia="宋体" w:cs="Times New Roman"/>
                      <w:b/>
                      <w:bCs/>
                      <w:color w:val="auto"/>
                      <w:kern w:val="0"/>
                      <w:szCs w:val="21"/>
                      <w:vertAlign w:val="superscript"/>
                    </w:rPr>
                    <w:t>3</w:t>
                  </w:r>
                  <w:r>
                    <w:rPr>
                      <w:rFonts w:hint="eastAsia" w:ascii="Times New Roman" w:hAnsi="Times New Roman" w:eastAsia="宋体" w:cs="Times New Roman"/>
                      <w:b/>
                      <w:bCs/>
                      <w:color w:val="auto"/>
                      <w:kern w:val="0"/>
                      <w:szCs w:val="21"/>
                      <w:lang w:eastAsia="zh-CN"/>
                    </w:rPr>
                    <w:t>）</w:t>
                  </w:r>
                </w:p>
              </w:tc>
              <w:tc>
                <w:tcPr>
                  <w:tcW w:w="415"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速率</w:t>
                  </w:r>
                </w:p>
                <w:p>
                  <w:pPr>
                    <w:adjustRightInd w:val="0"/>
                    <w:snapToGrid w:val="0"/>
                    <w:jc w:val="center"/>
                    <w:rPr>
                      <w:rFonts w:hint="eastAsia" w:ascii="Times New Roman" w:hAnsi="Times New Roman" w:eastAsia="宋体" w:cs="Times New Roman"/>
                      <w:b/>
                      <w:bCs/>
                      <w:color w:val="auto"/>
                      <w:kern w:val="0"/>
                      <w:szCs w:val="21"/>
                      <w:lang w:eastAsia="zh-CN"/>
                    </w:rPr>
                  </w:pPr>
                  <w:r>
                    <w:rPr>
                      <w:rFonts w:hint="eastAsia" w:ascii="Times New Roman" w:hAnsi="Times New Roman" w:eastAsia="宋体" w:cs="Times New Roman"/>
                      <w:b/>
                      <w:bCs/>
                      <w:color w:val="auto"/>
                      <w:kern w:val="0"/>
                      <w:szCs w:val="21"/>
                      <w:lang w:eastAsia="zh-CN"/>
                    </w:rPr>
                    <w:t>（</w:t>
                  </w:r>
                  <w:r>
                    <w:rPr>
                      <w:rFonts w:hint="default" w:ascii="Times New Roman" w:hAnsi="Times New Roman" w:eastAsia="宋体" w:cs="Times New Roman"/>
                      <w:b/>
                      <w:bCs/>
                      <w:color w:val="auto"/>
                      <w:kern w:val="0"/>
                      <w:szCs w:val="21"/>
                    </w:rPr>
                    <w:t>kg/h</w:t>
                  </w:r>
                  <w:r>
                    <w:rPr>
                      <w:rFonts w:hint="eastAsia" w:ascii="Times New Roman" w:hAnsi="Times New Roman" w:eastAsia="宋体" w:cs="Times New Roman"/>
                      <w:b/>
                      <w:bCs/>
                      <w:color w:val="auto"/>
                      <w:kern w:val="0"/>
                      <w:szCs w:val="21"/>
                      <w:lang w:eastAsia="zh-CN"/>
                    </w:rPr>
                    <w:t>）</w:t>
                  </w:r>
                </w:p>
              </w:tc>
              <w:tc>
                <w:tcPr>
                  <w:tcW w:w="488"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产生</w:t>
                  </w:r>
                </w:p>
                <w:p>
                  <w:pPr>
                    <w:adjustRightInd w:val="0"/>
                    <w:snapToGrid w:val="0"/>
                    <w:jc w:val="center"/>
                    <w:rPr>
                      <w:rFonts w:hint="eastAsia"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rPr>
                    <w:t>量</w:t>
                  </w:r>
                  <w:r>
                    <w:rPr>
                      <w:rFonts w:hint="eastAsia" w:ascii="Times New Roman" w:hAnsi="Times New Roman" w:eastAsia="宋体" w:cs="Times New Roman"/>
                      <w:b/>
                      <w:bCs/>
                      <w:color w:val="auto"/>
                      <w:kern w:val="0"/>
                      <w:szCs w:val="21"/>
                      <w:lang w:eastAsia="zh-CN"/>
                    </w:rPr>
                    <w:t>（</w:t>
                  </w:r>
                  <w:r>
                    <w:rPr>
                      <w:rFonts w:hint="default" w:ascii="Times New Roman" w:hAnsi="Times New Roman" w:eastAsia="宋体" w:cs="Times New Roman"/>
                      <w:b/>
                      <w:bCs/>
                      <w:color w:val="auto"/>
                      <w:kern w:val="0"/>
                      <w:szCs w:val="21"/>
                    </w:rPr>
                    <w:t>t/a</w:t>
                  </w:r>
                  <w:r>
                    <w:rPr>
                      <w:rFonts w:hint="eastAsia" w:ascii="Times New Roman" w:hAnsi="Times New Roman" w:eastAsia="宋体" w:cs="Times New Roman"/>
                      <w:b/>
                      <w:bCs/>
                      <w:color w:val="auto"/>
                      <w:kern w:val="0"/>
                      <w:szCs w:val="21"/>
                      <w:lang w:eastAsia="zh-CN"/>
                    </w:rPr>
                    <w:t>）</w:t>
                  </w:r>
                </w:p>
              </w:tc>
              <w:tc>
                <w:tcPr>
                  <w:tcW w:w="486" w:type="pct"/>
                  <w:vMerge w:val="continue"/>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p>
              </w:tc>
              <w:tc>
                <w:tcPr>
                  <w:tcW w:w="378" w:type="pct"/>
                  <w:vMerge w:val="continue"/>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p>
              </w:tc>
              <w:tc>
                <w:tcPr>
                  <w:tcW w:w="543"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浓度</w:t>
                  </w:r>
                </w:p>
                <w:p>
                  <w:pPr>
                    <w:adjustRightInd w:val="0"/>
                    <w:snapToGrid w:val="0"/>
                    <w:jc w:val="center"/>
                    <w:rPr>
                      <w:rFonts w:hint="eastAsia" w:ascii="Times New Roman" w:hAnsi="Times New Roman" w:eastAsia="宋体" w:cs="Times New Roman"/>
                      <w:b/>
                      <w:bCs/>
                      <w:color w:val="auto"/>
                      <w:kern w:val="0"/>
                      <w:szCs w:val="21"/>
                      <w:lang w:eastAsia="zh-CN"/>
                    </w:rPr>
                  </w:pPr>
                  <w:r>
                    <w:rPr>
                      <w:rFonts w:hint="eastAsia" w:ascii="Times New Roman" w:hAnsi="Times New Roman" w:eastAsia="宋体" w:cs="Times New Roman"/>
                      <w:b/>
                      <w:bCs/>
                      <w:color w:val="auto"/>
                      <w:kern w:val="0"/>
                      <w:szCs w:val="21"/>
                      <w:lang w:eastAsia="zh-CN"/>
                    </w:rPr>
                    <w:t>（</w:t>
                  </w:r>
                  <w:r>
                    <w:rPr>
                      <w:rFonts w:hint="default" w:ascii="Times New Roman" w:hAnsi="Times New Roman" w:eastAsia="宋体" w:cs="Times New Roman"/>
                      <w:b/>
                      <w:bCs/>
                      <w:color w:val="auto"/>
                      <w:kern w:val="0"/>
                      <w:szCs w:val="21"/>
                    </w:rPr>
                    <w:t>mg/m</w:t>
                  </w:r>
                  <w:r>
                    <w:rPr>
                      <w:rFonts w:hint="default" w:ascii="Times New Roman" w:hAnsi="Times New Roman" w:eastAsia="宋体" w:cs="Times New Roman"/>
                      <w:b/>
                      <w:bCs/>
                      <w:color w:val="auto"/>
                      <w:kern w:val="0"/>
                      <w:szCs w:val="21"/>
                      <w:vertAlign w:val="superscript"/>
                    </w:rPr>
                    <w:t>3</w:t>
                  </w:r>
                  <w:r>
                    <w:rPr>
                      <w:rFonts w:hint="eastAsia" w:ascii="Times New Roman" w:hAnsi="Times New Roman" w:eastAsia="宋体" w:cs="Times New Roman"/>
                      <w:b/>
                      <w:bCs/>
                      <w:color w:val="auto"/>
                      <w:kern w:val="0"/>
                      <w:szCs w:val="21"/>
                      <w:lang w:eastAsia="zh-CN"/>
                    </w:rPr>
                    <w:t>）</w:t>
                  </w:r>
                </w:p>
              </w:tc>
              <w:tc>
                <w:tcPr>
                  <w:tcW w:w="415"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速率</w:t>
                  </w:r>
                </w:p>
                <w:p>
                  <w:pPr>
                    <w:adjustRightInd w:val="0"/>
                    <w:snapToGrid w:val="0"/>
                    <w:jc w:val="center"/>
                    <w:rPr>
                      <w:rFonts w:hint="eastAsia" w:ascii="Times New Roman" w:hAnsi="Times New Roman" w:eastAsia="宋体" w:cs="Times New Roman"/>
                      <w:b/>
                      <w:bCs/>
                      <w:color w:val="auto"/>
                      <w:kern w:val="0"/>
                      <w:szCs w:val="21"/>
                      <w:lang w:eastAsia="zh-CN"/>
                    </w:rPr>
                  </w:pPr>
                  <w:r>
                    <w:rPr>
                      <w:rFonts w:hint="eastAsia" w:ascii="Times New Roman" w:hAnsi="Times New Roman" w:eastAsia="宋体" w:cs="Times New Roman"/>
                      <w:b/>
                      <w:bCs/>
                      <w:color w:val="auto"/>
                      <w:kern w:val="0"/>
                      <w:szCs w:val="21"/>
                      <w:lang w:eastAsia="zh-CN"/>
                    </w:rPr>
                    <w:t>（</w:t>
                  </w:r>
                  <w:r>
                    <w:rPr>
                      <w:rFonts w:hint="default" w:ascii="Times New Roman" w:hAnsi="Times New Roman" w:eastAsia="宋体" w:cs="Times New Roman"/>
                      <w:b/>
                      <w:bCs/>
                      <w:color w:val="auto"/>
                      <w:kern w:val="0"/>
                      <w:szCs w:val="21"/>
                    </w:rPr>
                    <w:t>kg/h</w:t>
                  </w:r>
                  <w:r>
                    <w:rPr>
                      <w:rFonts w:hint="eastAsia" w:ascii="Times New Roman" w:hAnsi="Times New Roman" w:eastAsia="宋体" w:cs="Times New Roman"/>
                      <w:b/>
                      <w:bCs/>
                      <w:color w:val="auto"/>
                      <w:kern w:val="0"/>
                      <w:szCs w:val="21"/>
                      <w:lang w:eastAsia="zh-CN"/>
                    </w:rPr>
                    <w:t>）</w:t>
                  </w:r>
                </w:p>
              </w:tc>
              <w:tc>
                <w:tcPr>
                  <w:tcW w:w="461" w:type="pct"/>
                  <w:noWrap w:val="0"/>
                  <w:vAlign w:val="center"/>
                </w:tcPr>
                <w:p>
                  <w:pPr>
                    <w:widowControl/>
                    <w:adjustRightInd w:val="0"/>
                    <w:snapToGrid w:val="0"/>
                    <w:jc w:val="center"/>
                    <w:rPr>
                      <w:rFonts w:hint="eastAsia"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rPr>
                    <w:t>排放量</w:t>
                  </w:r>
                  <w:r>
                    <w:rPr>
                      <w:rFonts w:hint="eastAsia" w:ascii="Times New Roman" w:hAnsi="Times New Roman" w:eastAsia="宋体" w:cs="Times New Roman"/>
                      <w:b/>
                      <w:bCs/>
                      <w:color w:val="auto"/>
                      <w:kern w:val="0"/>
                      <w:szCs w:val="21"/>
                      <w:lang w:eastAsia="zh-CN"/>
                    </w:rPr>
                    <w:t>（</w:t>
                  </w:r>
                  <w:r>
                    <w:rPr>
                      <w:rFonts w:hint="default" w:ascii="Times New Roman" w:hAnsi="Times New Roman" w:eastAsia="宋体" w:cs="Times New Roman"/>
                      <w:b/>
                      <w:bCs/>
                      <w:color w:val="auto"/>
                      <w:kern w:val="0"/>
                      <w:szCs w:val="21"/>
                    </w:rPr>
                    <w:t>t/a</w:t>
                  </w:r>
                  <w:r>
                    <w:rPr>
                      <w:rFonts w:hint="eastAsia" w:ascii="Times New Roman" w:hAnsi="Times New Roman" w:eastAsia="宋体" w:cs="Times New Roman"/>
                      <w:b/>
                      <w:bCs/>
                      <w:color w:val="auto"/>
                      <w:kern w:val="0"/>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30" w:type="pct"/>
                  <w:noWrap w:val="0"/>
                  <w:vAlign w:val="center"/>
                </w:tcPr>
                <w:p>
                  <w:pPr>
                    <w:widowControl/>
                    <w:adjustRightInd w:val="0"/>
                    <w:snapToGrid w:val="0"/>
                    <w:jc w:val="center"/>
                    <w:rPr>
                      <w:rFonts w:hint="default" w:ascii="Times New Roman" w:hAnsi="Times New Roman" w:eastAsia="宋体" w:cs="Times New Roman"/>
                      <w:color w:val="auto"/>
                      <w:kern w:val="0"/>
                      <w:szCs w:val="21"/>
                    </w:rPr>
                  </w:pPr>
                  <w:r>
                    <w:rPr>
                      <w:rFonts w:hint="eastAsia" w:ascii="Times New Roman" w:hAnsi="Times New Roman" w:cs="Times New Roman"/>
                      <w:b w:val="0"/>
                      <w:bCs/>
                      <w:color w:val="auto"/>
                      <w:sz w:val="21"/>
                      <w:szCs w:val="21"/>
                      <w:lang w:eastAsia="zh-CN"/>
                    </w:rPr>
                    <w:t>生产车间</w:t>
                  </w:r>
                </w:p>
              </w:tc>
              <w:tc>
                <w:tcPr>
                  <w:tcW w:w="504" w:type="pct"/>
                  <w:noWrap w:val="0"/>
                  <w:vAlign w:val="center"/>
                </w:tcPr>
                <w:p>
                  <w:pPr>
                    <w:widowControl/>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3000</w:t>
                  </w:r>
                </w:p>
              </w:tc>
              <w:tc>
                <w:tcPr>
                  <w:tcW w:w="486" w:type="pct"/>
                  <w:noWrap w:val="0"/>
                  <w:vAlign w:val="center"/>
                </w:tcPr>
                <w:p>
                  <w:pPr>
                    <w:widowControl/>
                    <w:adjustRightInd w:val="0"/>
                    <w:snapToGrid w:val="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Cs w:val="21"/>
                      <w:lang w:val="en-US" w:eastAsia="zh-CN"/>
                    </w:rPr>
                    <w:t>非甲烷总烃</w:t>
                  </w:r>
                </w:p>
              </w:tc>
              <w:tc>
                <w:tcPr>
                  <w:tcW w:w="489" w:type="pct"/>
                  <w:noWrap/>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113.8</w:t>
                  </w:r>
                </w:p>
              </w:tc>
              <w:tc>
                <w:tcPr>
                  <w:tcW w:w="415" w:type="pct"/>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0.341</w:t>
                  </w:r>
                </w:p>
              </w:tc>
              <w:tc>
                <w:tcPr>
                  <w:tcW w:w="488" w:type="pct"/>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0.820</w:t>
                  </w:r>
                </w:p>
              </w:tc>
              <w:tc>
                <w:tcPr>
                  <w:tcW w:w="486" w:type="pct"/>
                  <w:noWrap w:val="0"/>
                  <w:vAlign w:val="center"/>
                </w:tcPr>
                <w:p>
                  <w:pPr>
                    <w:widowControl/>
                    <w:adjustRightInd w:val="0"/>
                    <w:snapToGrid w:val="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b w:val="0"/>
                      <w:bCs/>
                      <w:color w:val="auto"/>
                      <w:sz w:val="21"/>
                      <w:szCs w:val="21"/>
                      <w:lang w:eastAsia="zh-CN"/>
                    </w:rPr>
                    <w:t>负压收集</w:t>
                  </w:r>
                  <w:r>
                    <w:rPr>
                      <w:rFonts w:hint="eastAsia" w:ascii="Times New Roman" w:hAnsi="Times New Roman" w:eastAsia="宋体" w:cs="Times New Roman"/>
                      <w:b w:val="0"/>
                      <w:bCs/>
                      <w:color w:val="auto"/>
                      <w:sz w:val="21"/>
                      <w:szCs w:val="21"/>
                      <w:lang w:val="en-US" w:eastAsia="zh-CN"/>
                    </w:rPr>
                    <w:t>+二级活性炭吸附</w:t>
                  </w:r>
                </w:p>
              </w:tc>
              <w:tc>
                <w:tcPr>
                  <w:tcW w:w="378" w:type="pct"/>
                  <w:noWrap/>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70</w:t>
                  </w:r>
                </w:p>
              </w:tc>
              <w:tc>
                <w:tcPr>
                  <w:tcW w:w="543" w:type="pct"/>
                  <w:noWrap/>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34.1</w:t>
                  </w:r>
                </w:p>
              </w:tc>
              <w:tc>
                <w:tcPr>
                  <w:tcW w:w="415" w:type="pct"/>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0.102</w:t>
                  </w:r>
                </w:p>
              </w:tc>
              <w:tc>
                <w:tcPr>
                  <w:tcW w:w="461" w:type="pct"/>
                  <w:noWrap/>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0.246</w:t>
                  </w:r>
                </w:p>
              </w:tc>
            </w:tr>
          </w:tbl>
          <w:p>
            <w:pPr>
              <w:pStyle w:val="83"/>
              <w:adjustRightInd w:val="0"/>
              <w:snapToGrid w:val="0"/>
              <w:spacing w:before="120" w:beforeLine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表4-3  有组织排放口基本情况</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71"/>
              <w:gridCol w:w="816"/>
              <w:gridCol w:w="559"/>
              <w:gridCol w:w="627"/>
              <w:gridCol w:w="546"/>
              <w:gridCol w:w="600"/>
              <w:gridCol w:w="725"/>
              <w:gridCol w:w="687"/>
              <w:gridCol w:w="770"/>
              <w:gridCol w:w="900"/>
              <w:gridCol w:w="730"/>
              <w:gridCol w:w="61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33" w:type="pct"/>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排放口编号</w:t>
                  </w:r>
                </w:p>
              </w:tc>
              <w:tc>
                <w:tcPr>
                  <w:tcW w:w="513" w:type="pct"/>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名称排放口</w:t>
                  </w:r>
                </w:p>
              </w:tc>
              <w:tc>
                <w:tcPr>
                  <w:tcW w:w="351" w:type="pct"/>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en-US" w:bidi="en-US"/>
                    </w:rPr>
                  </w:pPr>
                  <w:r>
                    <w:rPr>
                      <w:rFonts w:hint="default" w:ascii="Times New Roman" w:hAnsi="Times New Roman" w:eastAsia="宋体" w:cs="Times New Roman"/>
                      <w:b/>
                      <w:color w:val="auto"/>
                      <w:kern w:val="0"/>
                      <w:sz w:val="21"/>
                      <w:szCs w:val="21"/>
                      <w:lang w:val="en-US" w:eastAsia="zh-CN" w:bidi="en-US"/>
                    </w:rPr>
                    <w:t>污染物种类</w:t>
                  </w:r>
                </w:p>
              </w:tc>
              <w:tc>
                <w:tcPr>
                  <w:tcW w:w="738" w:type="pct"/>
                  <w:gridSpan w:val="2"/>
                  <w:noWrap w:val="0"/>
                  <w:vAlign w:val="center"/>
                </w:tcPr>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排放口</w:t>
                  </w:r>
                </w:p>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en-US" w:bidi="en-US"/>
                    </w:rPr>
                  </w:pPr>
                  <w:r>
                    <w:rPr>
                      <w:rFonts w:hint="default" w:ascii="Times New Roman" w:hAnsi="Times New Roman" w:eastAsia="宋体" w:cs="Times New Roman"/>
                      <w:b/>
                      <w:color w:val="auto"/>
                      <w:kern w:val="0"/>
                      <w:sz w:val="21"/>
                      <w:szCs w:val="21"/>
                      <w:lang w:val="en-US" w:eastAsia="zh-CN" w:bidi="en-US"/>
                    </w:rPr>
                    <w:t>地理坐标</w:t>
                  </w:r>
                </w:p>
              </w:tc>
              <w:tc>
                <w:tcPr>
                  <w:tcW w:w="1750" w:type="pct"/>
                  <w:gridSpan w:val="4"/>
                  <w:noWrap w:val="0"/>
                  <w:vAlign w:val="center"/>
                </w:tcPr>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en-US" w:bidi="en-US"/>
                    </w:rPr>
                  </w:pPr>
                  <w:r>
                    <w:rPr>
                      <w:rFonts w:hint="default" w:ascii="Times New Roman" w:hAnsi="Times New Roman" w:eastAsia="宋体" w:cs="Times New Roman"/>
                      <w:b/>
                      <w:color w:val="auto"/>
                      <w:kern w:val="0"/>
                      <w:sz w:val="21"/>
                      <w:szCs w:val="21"/>
                      <w:lang w:val="en-US" w:eastAsia="zh-CN" w:bidi="en-US"/>
                    </w:rPr>
                    <w:t>排气筒参数</w:t>
                  </w:r>
                </w:p>
              </w:tc>
              <w:tc>
                <w:tcPr>
                  <w:tcW w:w="1025" w:type="pct"/>
                  <w:gridSpan w:val="2"/>
                  <w:noWrap w:val="0"/>
                  <w:vAlign w:val="center"/>
                </w:tcPr>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污染物排放标准</w:t>
                  </w:r>
                </w:p>
              </w:tc>
              <w:tc>
                <w:tcPr>
                  <w:tcW w:w="386" w:type="pct"/>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en-US" w:bidi="en-US"/>
                    </w:rPr>
                  </w:pPr>
                  <w:r>
                    <w:rPr>
                      <w:rFonts w:hint="default" w:ascii="Times New Roman" w:hAnsi="Times New Roman" w:eastAsia="宋体" w:cs="Times New Roman"/>
                      <w:b/>
                      <w:color w:val="auto"/>
                      <w:kern w:val="0"/>
                      <w:sz w:val="21"/>
                      <w:szCs w:val="21"/>
                      <w:lang w:val="en-US" w:eastAsia="zh-CN" w:bidi="en-US"/>
                    </w:rPr>
                    <w:t>排放口类型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33" w:type="pct"/>
                  <w:vMerge w:val="continue"/>
                  <w:noWrap w:val="0"/>
                  <w:vAlign w:val="center"/>
                </w:tcPr>
                <w:p>
                  <w:pPr>
                    <w:autoSpaceDE w:val="0"/>
                    <w:autoSpaceDN w:val="0"/>
                    <w:adjustRightInd w:val="0"/>
                    <w:snapToGrid w:val="0"/>
                    <w:jc w:val="center"/>
                    <w:rPr>
                      <w:rFonts w:hint="default" w:ascii="Times New Roman" w:hAnsi="Times New Roman" w:eastAsia="宋体" w:cs="Times New Roman"/>
                      <w:b/>
                      <w:color w:val="auto"/>
                      <w:szCs w:val="21"/>
                    </w:rPr>
                  </w:pPr>
                </w:p>
              </w:tc>
              <w:tc>
                <w:tcPr>
                  <w:tcW w:w="513" w:type="pct"/>
                  <w:vMerge w:val="continue"/>
                  <w:noWrap w:val="0"/>
                  <w:vAlign w:val="center"/>
                </w:tcPr>
                <w:p>
                  <w:pPr>
                    <w:autoSpaceDE w:val="0"/>
                    <w:autoSpaceDN w:val="0"/>
                    <w:adjustRightInd w:val="0"/>
                    <w:snapToGrid w:val="0"/>
                    <w:jc w:val="center"/>
                    <w:rPr>
                      <w:rFonts w:hint="default" w:ascii="Times New Roman" w:hAnsi="Times New Roman" w:eastAsia="宋体" w:cs="Times New Roman"/>
                      <w:b/>
                      <w:color w:val="auto"/>
                      <w:szCs w:val="21"/>
                    </w:rPr>
                  </w:pPr>
                </w:p>
              </w:tc>
              <w:tc>
                <w:tcPr>
                  <w:tcW w:w="351" w:type="pct"/>
                  <w:vMerge w:val="continue"/>
                  <w:noWrap w:val="0"/>
                  <w:vAlign w:val="center"/>
                </w:tcPr>
                <w:p>
                  <w:pPr>
                    <w:autoSpaceDE w:val="0"/>
                    <w:autoSpaceDN w:val="0"/>
                    <w:adjustRightInd w:val="0"/>
                    <w:snapToGrid w:val="0"/>
                    <w:jc w:val="center"/>
                    <w:rPr>
                      <w:rFonts w:hint="default" w:ascii="Times New Roman" w:hAnsi="Times New Roman" w:eastAsia="宋体" w:cs="Times New Roman"/>
                      <w:b/>
                      <w:color w:val="auto"/>
                      <w:szCs w:val="21"/>
                    </w:rPr>
                  </w:pPr>
                </w:p>
              </w:tc>
              <w:tc>
                <w:tcPr>
                  <w:tcW w:w="394" w:type="pct"/>
                  <w:noWrap w:val="0"/>
                  <w:vAlign w:val="center"/>
                </w:tcPr>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en-US" w:bidi="en-US"/>
                    </w:rPr>
                  </w:pPr>
                  <w:r>
                    <w:rPr>
                      <w:rFonts w:hint="default" w:ascii="Times New Roman" w:hAnsi="Times New Roman" w:eastAsia="宋体" w:cs="Times New Roman"/>
                      <w:b/>
                      <w:color w:val="auto"/>
                      <w:kern w:val="0"/>
                      <w:sz w:val="21"/>
                      <w:szCs w:val="21"/>
                      <w:lang w:val="en-US" w:eastAsia="zh-CN" w:bidi="en-US"/>
                    </w:rPr>
                    <w:t>经度</w:t>
                  </w:r>
                </w:p>
              </w:tc>
              <w:tc>
                <w:tcPr>
                  <w:tcW w:w="343" w:type="pct"/>
                  <w:noWrap w:val="0"/>
                  <w:vAlign w:val="center"/>
                </w:tcPr>
                <w:p>
                  <w:pPr>
                    <w:widowControl w:val="0"/>
                    <w:autoSpaceDE w:val="0"/>
                    <w:autoSpaceDN w:val="0"/>
                    <w:adjustRightInd w:val="0"/>
                    <w:snapToGrid w:val="0"/>
                    <w:jc w:val="center"/>
                    <w:rPr>
                      <w:rFonts w:hint="default" w:ascii="Times New Roman" w:hAnsi="Times New Roman" w:eastAsia="宋体" w:cs="Times New Roman"/>
                      <w:b/>
                      <w:color w:val="auto"/>
                      <w:kern w:val="0"/>
                      <w:sz w:val="21"/>
                      <w:szCs w:val="21"/>
                      <w:lang w:val="en-US" w:eastAsia="en-US" w:bidi="en-US"/>
                    </w:rPr>
                  </w:pPr>
                  <w:r>
                    <w:rPr>
                      <w:rFonts w:hint="default" w:ascii="Times New Roman" w:hAnsi="Times New Roman" w:eastAsia="宋体" w:cs="Times New Roman"/>
                      <w:b/>
                      <w:color w:val="auto"/>
                      <w:kern w:val="0"/>
                      <w:sz w:val="21"/>
                      <w:szCs w:val="21"/>
                      <w:lang w:val="en-US" w:eastAsia="zh-CN" w:bidi="en-US"/>
                    </w:rPr>
                    <w:t>纬度</w:t>
                  </w:r>
                </w:p>
              </w:tc>
              <w:tc>
                <w:tcPr>
                  <w:tcW w:w="377" w:type="pct"/>
                  <w:noWrap w:val="0"/>
                  <w:vAlign w:val="center"/>
                </w:tcPr>
                <w:p>
                  <w:pPr>
                    <w:widowControl w:val="0"/>
                    <w:autoSpaceDE w:val="0"/>
                    <w:autoSpaceDN w:val="0"/>
                    <w:adjustRightInd w:val="0"/>
                    <w:snapToGrid w:val="0"/>
                    <w:jc w:val="center"/>
                    <w:rPr>
                      <w:rFonts w:hint="eastAsia"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高度</w:t>
                  </w:r>
                  <w:r>
                    <w:rPr>
                      <w:rFonts w:hint="eastAsia" w:ascii="Times New Roman" w:hAnsi="Times New Roman" w:eastAsia="宋体" w:cs="Times New Roman"/>
                      <w:b/>
                      <w:color w:val="auto"/>
                      <w:kern w:val="0"/>
                      <w:sz w:val="21"/>
                      <w:szCs w:val="21"/>
                      <w:lang w:val="en-US" w:eastAsia="zh-CN" w:bidi="en-US"/>
                    </w:rPr>
                    <w:t>（</w:t>
                  </w:r>
                  <w:r>
                    <w:rPr>
                      <w:rFonts w:hint="default" w:ascii="Times New Roman" w:hAnsi="Times New Roman" w:eastAsia="宋体" w:cs="Times New Roman"/>
                      <w:b/>
                      <w:color w:val="auto"/>
                      <w:kern w:val="0"/>
                      <w:sz w:val="21"/>
                      <w:szCs w:val="21"/>
                      <w:lang w:val="en-US" w:eastAsia="en-US" w:bidi="en-US"/>
                    </w:rPr>
                    <w:t>m</w:t>
                  </w:r>
                  <w:r>
                    <w:rPr>
                      <w:rFonts w:hint="eastAsia" w:ascii="Times New Roman" w:hAnsi="Times New Roman" w:eastAsia="宋体" w:cs="Times New Roman"/>
                      <w:b/>
                      <w:color w:val="auto"/>
                      <w:kern w:val="0"/>
                      <w:sz w:val="21"/>
                      <w:szCs w:val="21"/>
                      <w:lang w:val="en-US" w:eastAsia="zh-CN" w:bidi="en-US"/>
                    </w:rPr>
                    <w:t>）</w:t>
                  </w:r>
                </w:p>
              </w:tc>
              <w:tc>
                <w:tcPr>
                  <w:tcW w:w="456" w:type="pct"/>
                  <w:noWrap w:val="0"/>
                  <w:vAlign w:val="center"/>
                </w:tcPr>
                <w:p>
                  <w:pPr>
                    <w:widowControl w:val="0"/>
                    <w:autoSpaceDE w:val="0"/>
                    <w:autoSpaceDN w:val="0"/>
                    <w:adjustRightInd w:val="0"/>
                    <w:snapToGrid w:val="0"/>
                    <w:jc w:val="center"/>
                    <w:rPr>
                      <w:rFonts w:hint="eastAsia"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出口内径</w:t>
                  </w:r>
                  <w:r>
                    <w:rPr>
                      <w:rFonts w:hint="eastAsia" w:ascii="Times New Roman" w:hAnsi="Times New Roman" w:eastAsia="宋体" w:cs="Times New Roman"/>
                      <w:b/>
                      <w:color w:val="auto"/>
                      <w:kern w:val="0"/>
                      <w:sz w:val="21"/>
                      <w:szCs w:val="21"/>
                      <w:lang w:val="en-US" w:eastAsia="zh-CN" w:bidi="en-US"/>
                    </w:rPr>
                    <w:t>（</w:t>
                  </w:r>
                  <w:r>
                    <w:rPr>
                      <w:rFonts w:hint="default" w:ascii="Times New Roman" w:hAnsi="Times New Roman" w:eastAsia="宋体" w:cs="Times New Roman"/>
                      <w:b/>
                      <w:color w:val="auto"/>
                      <w:kern w:val="0"/>
                      <w:sz w:val="21"/>
                      <w:szCs w:val="21"/>
                      <w:lang w:val="en-US" w:eastAsia="en-US" w:bidi="en-US"/>
                    </w:rPr>
                    <w:t>m</w:t>
                  </w:r>
                  <w:r>
                    <w:rPr>
                      <w:rFonts w:hint="eastAsia" w:ascii="Times New Roman" w:hAnsi="Times New Roman" w:eastAsia="宋体" w:cs="Times New Roman"/>
                      <w:b/>
                      <w:color w:val="auto"/>
                      <w:kern w:val="0"/>
                      <w:sz w:val="21"/>
                      <w:szCs w:val="21"/>
                      <w:lang w:val="en-US" w:eastAsia="zh-CN" w:bidi="en-US"/>
                    </w:rPr>
                    <w:t>）</w:t>
                  </w:r>
                </w:p>
              </w:tc>
              <w:tc>
                <w:tcPr>
                  <w:tcW w:w="432" w:type="pct"/>
                  <w:noWrap w:val="0"/>
                  <w:vAlign w:val="center"/>
                </w:tcPr>
                <w:p>
                  <w:pPr>
                    <w:widowControl w:val="0"/>
                    <w:autoSpaceDE w:val="0"/>
                    <w:autoSpaceDN w:val="0"/>
                    <w:adjustRightInd w:val="0"/>
                    <w:snapToGrid w:val="0"/>
                    <w:jc w:val="center"/>
                    <w:rPr>
                      <w:rFonts w:hint="eastAsia"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排期温度</w:t>
                  </w:r>
                  <w:r>
                    <w:rPr>
                      <w:rFonts w:hint="eastAsia" w:ascii="Times New Roman" w:hAnsi="Times New Roman" w:eastAsia="宋体" w:cs="Times New Roman"/>
                      <w:b/>
                      <w:color w:val="auto"/>
                      <w:kern w:val="0"/>
                      <w:sz w:val="21"/>
                      <w:szCs w:val="21"/>
                      <w:lang w:val="en-US" w:eastAsia="zh-CN" w:bidi="en-US"/>
                    </w:rPr>
                    <w:t>（</w:t>
                  </w:r>
                  <w:r>
                    <w:rPr>
                      <w:rFonts w:hint="default" w:ascii="Times New Roman" w:hAnsi="Times New Roman" w:eastAsia="宋体" w:cs="Times New Roman"/>
                      <w:b/>
                      <w:color w:val="auto"/>
                      <w:kern w:val="0"/>
                      <w:sz w:val="21"/>
                      <w:szCs w:val="21"/>
                      <w:lang w:val="en-US" w:eastAsia="en-US" w:bidi="en-US"/>
                    </w:rPr>
                    <w:t>℃</w:t>
                  </w:r>
                  <w:r>
                    <w:rPr>
                      <w:rFonts w:hint="eastAsia" w:ascii="Times New Roman" w:hAnsi="Times New Roman" w:eastAsia="宋体" w:cs="Times New Roman"/>
                      <w:b/>
                      <w:color w:val="auto"/>
                      <w:kern w:val="0"/>
                      <w:sz w:val="21"/>
                      <w:szCs w:val="21"/>
                      <w:lang w:val="en-US" w:eastAsia="zh-CN" w:bidi="en-US"/>
                    </w:rPr>
                    <w:t>）</w:t>
                  </w:r>
                </w:p>
              </w:tc>
              <w:tc>
                <w:tcPr>
                  <w:tcW w:w="484" w:type="pct"/>
                  <w:noWrap w:val="0"/>
                  <w:vAlign w:val="center"/>
                </w:tcPr>
                <w:p>
                  <w:pPr>
                    <w:widowControl w:val="0"/>
                    <w:autoSpaceDE w:val="0"/>
                    <w:autoSpaceDN w:val="0"/>
                    <w:adjustRightInd w:val="0"/>
                    <w:snapToGrid w:val="0"/>
                    <w:jc w:val="center"/>
                    <w:rPr>
                      <w:rFonts w:hint="eastAsia"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排气量</w:t>
                  </w:r>
                  <w:r>
                    <w:rPr>
                      <w:rFonts w:hint="eastAsia" w:ascii="Times New Roman" w:hAnsi="Times New Roman" w:eastAsia="宋体" w:cs="Times New Roman"/>
                      <w:b/>
                      <w:color w:val="auto"/>
                      <w:kern w:val="0"/>
                      <w:sz w:val="21"/>
                      <w:szCs w:val="21"/>
                      <w:lang w:val="en-US" w:eastAsia="zh-CN" w:bidi="en-US"/>
                    </w:rPr>
                    <w:t>（</w:t>
                  </w:r>
                  <w:r>
                    <w:rPr>
                      <w:rFonts w:hint="default" w:ascii="Times New Roman" w:hAnsi="Times New Roman" w:eastAsia="宋体" w:cs="Times New Roman"/>
                      <w:b/>
                      <w:color w:val="auto"/>
                      <w:kern w:val="0"/>
                      <w:sz w:val="21"/>
                      <w:szCs w:val="21"/>
                      <w:lang w:val="en-US" w:eastAsia="en-US" w:bidi="en-US"/>
                    </w:rPr>
                    <w:t>m</w:t>
                  </w:r>
                  <w:r>
                    <w:rPr>
                      <w:rFonts w:hint="default" w:ascii="Times New Roman" w:hAnsi="Times New Roman" w:eastAsia="宋体" w:cs="Times New Roman"/>
                      <w:b/>
                      <w:color w:val="auto"/>
                      <w:kern w:val="0"/>
                      <w:sz w:val="21"/>
                      <w:szCs w:val="21"/>
                      <w:vertAlign w:val="superscript"/>
                      <w:lang w:val="en-US" w:eastAsia="en-US" w:bidi="en-US"/>
                    </w:rPr>
                    <w:t>3</w:t>
                  </w:r>
                  <w:r>
                    <w:rPr>
                      <w:rFonts w:hint="default" w:ascii="Times New Roman" w:hAnsi="Times New Roman" w:eastAsia="宋体" w:cs="Times New Roman"/>
                      <w:b/>
                      <w:color w:val="auto"/>
                      <w:kern w:val="0"/>
                      <w:sz w:val="21"/>
                      <w:szCs w:val="21"/>
                      <w:lang w:val="en-US" w:eastAsia="en-US" w:bidi="en-US"/>
                    </w:rPr>
                    <w:t>/h</w:t>
                  </w:r>
                  <w:r>
                    <w:rPr>
                      <w:rFonts w:hint="eastAsia" w:ascii="Times New Roman" w:hAnsi="Times New Roman" w:eastAsia="宋体" w:cs="Times New Roman"/>
                      <w:b/>
                      <w:color w:val="auto"/>
                      <w:kern w:val="0"/>
                      <w:sz w:val="21"/>
                      <w:szCs w:val="21"/>
                      <w:lang w:val="en-US" w:eastAsia="zh-CN" w:bidi="en-US"/>
                    </w:rPr>
                    <w:t>）</w:t>
                  </w:r>
                </w:p>
              </w:tc>
              <w:tc>
                <w:tcPr>
                  <w:tcW w:w="566" w:type="pct"/>
                  <w:noWrap w:val="0"/>
                  <w:vAlign w:val="center"/>
                </w:tcPr>
                <w:p>
                  <w:pPr>
                    <w:widowControl w:val="0"/>
                    <w:autoSpaceDE w:val="0"/>
                    <w:autoSpaceDN w:val="0"/>
                    <w:adjustRightInd w:val="0"/>
                    <w:snapToGrid w:val="0"/>
                    <w:jc w:val="center"/>
                    <w:rPr>
                      <w:rFonts w:hint="eastAsia"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浓度限值</w:t>
                  </w:r>
                  <w:r>
                    <w:rPr>
                      <w:rFonts w:hint="eastAsia" w:ascii="Times New Roman" w:hAnsi="Times New Roman" w:eastAsia="宋体" w:cs="Times New Roman"/>
                      <w:b/>
                      <w:color w:val="auto"/>
                      <w:kern w:val="0"/>
                      <w:sz w:val="21"/>
                      <w:szCs w:val="21"/>
                      <w:lang w:val="en-US" w:eastAsia="zh-CN" w:bidi="en-US"/>
                    </w:rPr>
                    <w:t>（</w:t>
                  </w:r>
                  <w:r>
                    <w:rPr>
                      <w:rFonts w:hint="default" w:ascii="Times New Roman" w:hAnsi="Times New Roman" w:eastAsia="宋体" w:cs="Times New Roman"/>
                      <w:b/>
                      <w:color w:val="auto"/>
                      <w:kern w:val="0"/>
                      <w:sz w:val="21"/>
                      <w:szCs w:val="21"/>
                      <w:lang w:val="en-US" w:eastAsia="en-US" w:bidi="en-US"/>
                    </w:rPr>
                    <w:t>mg/Nm</w:t>
                  </w:r>
                  <w:r>
                    <w:rPr>
                      <w:rFonts w:hint="default" w:ascii="Times New Roman" w:hAnsi="Times New Roman" w:eastAsia="宋体" w:cs="Times New Roman"/>
                      <w:b/>
                      <w:color w:val="auto"/>
                      <w:kern w:val="0"/>
                      <w:sz w:val="21"/>
                      <w:szCs w:val="21"/>
                      <w:vertAlign w:val="superscript"/>
                      <w:lang w:val="en-US" w:eastAsia="en-US" w:bidi="en-US"/>
                    </w:rPr>
                    <w:t>3</w:t>
                  </w:r>
                  <w:r>
                    <w:rPr>
                      <w:rFonts w:hint="eastAsia" w:ascii="Times New Roman" w:hAnsi="Times New Roman" w:eastAsia="宋体" w:cs="Times New Roman"/>
                      <w:b/>
                      <w:color w:val="auto"/>
                      <w:kern w:val="0"/>
                      <w:sz w:val="21"/>
                      <w:szCs w:val="21"/>
                      <w:lang w:val="en-US" w:eastAsia="zh-CN" w:bidi="en-US"/>
                    </w:rPr>
                    <w:t>）</w:t>
                  </w:r>
                </w:p>
              </w:tc>
              <w:tc>
                <w:tcPr>
                  <w:tcW w:w="459" w:type="pct"/>
                  <w:noWrap w:val="0"/>
                  <w:vAlign w:val="center"/>
                </w:tcPr>
                <w:p>
                  <w:pPr>
                    <w:widowControl w:val="0"/>
                    <w:autoSpaceDE w:val="0"/>
                    <w:autoSpaceDN w:val="0"/>
                    <w:adjustRightInd w:val="0"/>
                    <w:snapToGrid w:val="0"/>
                    <w:jc w:val="center"/>
                    <w:rPr>
                      <w:rFonts w:hint="eastAsia" w:ascii="Times New Roman" w:hAnsi="Times New Roman" w:eastAsia="宋体" w:cs="Times New Roman"/>
                      <w:b/>
                      <w:color w:val="auto"/>
                      <w:kern w:val="0"/>
                      <w:sz w:val="21"/>
                      <w:szCs w:val="21"/>
                      <w:lang w:val="en-US" w:eastAsia="zh-CN" w:bidi="en-US"/>
                    </w:rPr>
                  </w:pPr>
                  <w:r>
                    <w:rPr>
                      <w:rFonts w:hint="default" w:ascii="Times New Roman" w:hAnsi="Times New Roman" w:eastAsia="宋体" w:cs="Times New Roman"/>
                      <w:b/>
                      <w:color w:val="auto"/>
                      <w:kern w:val="0"/>
                      <w:sz w:val="21"/>
                      <w:szCs w:val="21"/>
                      <w:lang w:val="en-US" w:eastAsia="zh-CN" w:bidi="en-US"/>
                    </w:rPr>
                    <w:t>速率限值</w:t>
                  </w:r>
                  <w:r>
                    <w:rPr>
                      <w:rFonts w:hint="eastAsia" w:ascii="Times New Roman" w:hAnsi="Times New Roman" w:eastAsia="宋体" w:cs="Times New Roman"/>
                      <w:b/>
                      <w:color w:val="auto"/>
                      <w:kern w:val="0"/>
                      <w:sz w:val="21"/>
                      <w:szCs w:val="21"/>
                      <w:lang w:val="en-US" w:eastAsia="zh-CN" w:bidi="en-US"/>
                    </w:rPr>
                    <w:t>（</w:t>
                  </w:r>
                  <w:r>
                    <w:rPr>
                      <w:rFonts w:hint="default" w:ascii="Times New Roman" w:hAnsi="Times New Roman" w:eastAsia="宋体" w:cs="Times New Roman"/>
                      <w:b/>
                      <w:color w:val="auto"/>
                      <w:kern w:val="0"/>
                      <w:sz w:val="21"/>
                      <w:szCs w:val="21"/>
                      <w:lang w:val="en-US" w:eastAsia="en-US" w:bidi="en-US"/>
                    </w:rPr>
                    <w:t>kg/h</w:t>
                  </w:r>
                  <w:r>
                    <w:rPr>
                      <w:rFonts w:hint="eastAsia" w:ascii="Times New Roman" w:hAnsi="Times New Roman" w:eastAsia="宋体" w:cs="Times New Roman"/>
                      <w:b/>
                      <w:color w:val="auto"/>
                      <w:kern w:val="0"/>
                      <w:sz w:val="21"/>
                      <w:szCs w:val="21"/>
                      <w:lang w:val="en-US" w:eastAsia="zh-CN" w:bidi="en-US"/>
                    </w:rPr>
                    <w:t>）</w:t>
                  </w:r>
                </w:p>
              </w:tc>
              <w:tc>
                <w:tcPr>
                  <w:tcW w:w="386" w:type="pct"/>
                  <w:vMerge w:val="continue"/>
                  <w:noWrap w:val="0"/>
                  <w:vAlign w:val="center"/>
                </w:tcPr>
                <w:p>
                  <w:pPr>
                    <w:autoSpaceDE w:val="0"/>
                    <w:autoSpaceDN w:val="0"/>
                    <w:adjustRightInd w:val="0"/>
                    <w:snapToGrid w:val="0"/>
                    <w:jc w:val="center"/>
                    <w:rPr>
                      <w:rFonts w:hint="default" w:ascii="Times New Roman" w:hAnsi="Times New Roman" w:eastAsia="宋体" w:cs="Times New Roman"/>
                      <w:b/>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33"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DA001</w:t>
                  </w:r>
                </w:p>
              </w:tc>
              <w:tc>
                <w:tcPr>
                  <w:tcW w:w="513"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吹膜、造粒废气排放口</w:t>
                  </w:r>
                </w:p>
              </w:tc>
              <w:tc>
                <w:tcPr>
                  <w:tcW w:w="351"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非甲烷总烃</w:t>
                  </w:r>
                </w:p>
              </w:tc>
              <w:tc>
                <w:tcPr>
                  <w:tcW w:w="394"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p>
              </w:tc>
              <w:tc>
                <w:tcPr>
                  <w:tcW w:w="343"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p>
              </w:tc>
              <w:tc>
                <w:tcPr>
                  <w:tcW w:w="377"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15</w:t>
                  </w:r>
                </w:p>
              </w:tc>
              <w:tc>
                <w:tcPr>
                  <w:tcW w:w="456"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0.4</w:t>
                  </w:r>
                </w:p>
              </w:tc>
              <w:tc>
                <w:tcPr>
                  <w:tcW w:w="432"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25</w:t>
                  </w:r>
                </w:p>
              </w:tc>
              <w:tc>
                <w:tcPr>
                  <w:tcW w:w="484"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3000</w:t>
                  </w:r>
                </w:p>
              </w:tc>
              <w:tc>
                <w:tcPr>
                  <w:tcW w:w="566"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60</w:t>
                  </w:r>
                </w:p>
              </w:tc>
              <w:tc>
                <w:tcPr>
                  <w:tcW w:w="459" w:type="pct"/>
                  <w:noWrap w:val="0"/>
                  <w:vAlign w:val="center"/>
                </w:tcPr>
                <w:p>
                  <w:pPr>
                    <w:widowControl w:val="0"/>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3.0</w:t>
                  </w:r>
                </w:p>
              </w:tc>
              <w:tc>
                <w:tcPr>
                  <w:tcW w:w="386" w:type="pct"/>
                  <w:noWrap w:val="0"/>
                  <w:vAlign w:val="center"/>
                </w:tcPr>
                <w:p>
                  <w:pPr>
                    <w:widowControl w:val="0"/>
                    <w:autoSpaceDE w:val="0"/>
                    <w:autoSpaceDN w:val="0"/>
                    <w:adjustRightInd w:val="0"/>
                    <w:snapToGrid w:val="0"/>
                    <w:jc w:val="center"/>
                    <w:rPr>
                      <w:rFonts w:hint="eastAsia"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一般排气口</w:t>
                  </w:r>
                </w:p>
              </w:tc>
            </w:tr>
          </w:tbl>
          <w:p>
            <w:pPr>
              <w:adjustRightInd w:val="0"/>
              <w:snapToGrid w:val="0"/>
              <w:spacing w:line="360" w:lineRule="auto"/>
              <w:ind w:firstLine="482" w:firstLineChars="200"/>
              <w:jc w:val="center"/>
              <w:rPr>
                <w:rFonts w:hint="eastAsia"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color w:val="auto"/>
                <w:sz w:val="24"/>
              </w:rPr>
              <w:t>表4-4  无组织排放污染物源强信息</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73"/>
              <w:gridCol w:w="1068"/>
              <w:gridCol w:w="1115"/>
              <w:gridCol w:w="899"/>
              <w:gridCol w:w="1007"/>
              <w:gridCol w:w="1007"/>
              <w:gridCol w:w="1007"/>
              <w:gridCol w:w="11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423"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672"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污染源</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位置</w:t>
                  </w:r>
                </w:p>
              </w:tc>
              <w:tc>
                <w:tcPr>
                  <w:tcW w:w="701"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565"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产生量（t/a）</w:t>
                  </w:r>
                </w:p>
              </w:tc>
              <w:tc>
                <w:tcPr>
                  <w:tcW w:w="633"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面源长度（m）</w:t>
                  </w:r>
                </w:p>
              </w:tc>
              <w:tc>
                <w:tcPr>
                  <w:tcW w:w="633"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面源宽度（m）</w:t>
                  </w:r>
                </w:p>
              </w:tc>
              <w:tc>
                <w:tcPr>
                  <w:tcW w:w="633"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面源高度（m）</w:t>
                  </w:r>
                </w:p>
              </w:tc>
              <w:tc>
                <w:tcPr>
                  <w:tcW w:w="736"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kern w:val="0"/>
                      <w:szCs w:val="21"/>
                    </w:rPr>
                    <w:t>排放源强（kg/h）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423" w:type="pct"/>
                  <w:noWrap w:val="0"/>
                  <w:vAlign w:val="center"/>
                </w:tcPr>
                <w:p>
                  <w:pPr>
                    <w:adjustRightInd w:val="0"/>
                    <w:snapToGrid w:val="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1</w:t>
                  </w:r>
                </w:p>
              </w:tc>
              <w:tc>
                <w:tcPr>
                  <w:tcW w:w="672" w:type="pct"/>
                  <w:noWrap w:val="0"/>
                  <w:vAlign w:val="center"/>
                </w:tcPr>
                <w:p>
                  <w:pPr>
                    <w:adjustRightInd w:val="0"/>
                    <w:snapToGrid w:val="0"/>
                    <w:jc w:val="center"/>
                    <w:rPr>
                      <w:rFonts w:hint="eastAsia" w:ascii="Times New Roman" w:hAnsi="Times New Roman" w:eastAsia="宋体" w:cs="Times New Roman"/>
                      <w:b w:val="0"/>
                      <w:bCs/>
                      <w:color w:val="auto"/>
                      <w:szCs w:val="21"/>
                      <w:lang w:eastAsia="zh-CN"/>
                    </w:rPr>
                  </w:pPr>
                  <w:r>
                    <w:rPr>
                      <w:rFonts w:hint="eastAsia" w:ascii="Times New Roman" w:hAnsi="Times New Roman" w:cs="Times New Roman"/>
                      <w:b w:val="0"/>
                      <w:bCs/>
                      <w:color w:val="auto"/>
                      <w:szCs w:val="21"/>
                      <w:lang w:eastAsia="zh-CN"/>
                    </w:rPr>
                    <w:t>生产车间</w:t>
                  </w:r>
                </w:p>
              </w:tc>
              <w:tc>
                <w:tcPr>
                  <w:tcW w:w="701" w:type="pct"/>
                  <w:noWrap w:val="0"/>
                  <w:vAlign w:val="center"/>
                </w:tcPr>
                <w:p>
                  <w:pPr>
                    <w:adjustRightInd w:val="0"/>
                    <w:snapToGrid w:val="0"/>
                    <w:jc w:val="center"/>
                    <w:rPr>
                      <w:rFonts w:hint="eastAsia" w:ascii="Times New Roman" w:hAnsi="Times New Roman" w:eastAsia="宋体" w:cs="Times New Roman"/>
                      <w:b w:val="0"/>
                      <w:bCs/>
                      <w:color w:val="auto"/>
                      <w:szCs w:val="21"/>
                      <w:lang w:eastAsia="zh-CN"/>
                    </w:rPr>
                  </w:pPr>
                  <w:r>
                    <w:rPr>
                      <w:rFonts w:hint="eastAsia" w:ascii="Times New Roman" w:hAnsi="Times New Roman" w:cs="Times New Roman"/>
                      <w:b w:val="0"/>
                      <w:bCs/>
                      <w:color w:val="auto"/>
                      <w:szCs w:val="21"/>
                      <w:lang w:eastAsia="zh-CN"/>
                    </w:rPr>
                    <w:t>非甲烷总烃</w:t>
                  </w:r>
                </w:p>
              </w:tc>
              <w:tc>
                <w:tcPr>
                  <w:tcW w:w="565" w:type="pct"/>
                  <w:noWrap w:val="0"/>
                  <w:vAlign w:val="center"/>
                </w:tcPr>
                <w:p>
                  <w:pPr>
                    <w:adjustRightInd w:val="0"/>
                    <w:snapToGrid w:val="0"/>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0.546</w:t>
                  </w:r>
                </w:p>
              </w:tc>
              <w:tc>
                <w:tcPr>
                  <w:tcW w:w="633" w:type="pct"/>
                  <w:noWrap w:val="0"/>
                  <w:vAlign w:val="center"/>
                </w:tcPr>
                <w:p>
                  <w:pPr>
                    <w:adjustRightInd w:val="0"/>
                    <w:snapToGrid w:val="0"/>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80</w:t>
                  </w:r>
                </w:p>
              </w:tc>
              <w:tc>
                <w:tcPr>
                  <w:tcW w:w="633" w:type="pct"/>
                  <w:noWrap w:val="0"/>
                  <w:vAlign w:val="center"/>
                </w:tcPr>
                <w:p>
                  <w:pPr>
                    <w:adjustRightInd w:val="0"/>
                    <w:snapToGrid w:val="0"/>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50</w:t>
                  </w:r>
                </w:p>
              </w:tc>
              <w:tc>
                <w:tcPr>
                  <w:tcW w:w="633" w:type="pct"/>
                  <w:noWrap w:val="0"/>
                  <w:vAlign w:val="center"/>
                </w:tcPr>
                <w:p>
                  <w:pPr>
                    <w:adjustRightInd w:val="0"/>
                    <w:snapToGrid w:val="0"/>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6</w:t>
                  </w:r>
                </w:p>
              </w:tc>
              <w:tc>
                <w:tcPr>
                  <w:tcW w:w="736" w:type="pct"/>
                  <w:noWrap w:val="0"/>
                  <w:vAlign w:val="center"/>
                </w:tcPr>
                <w:p>
                  <w:pPr>
                    <w:adjustRightInd w:val="0"/>
                    <w:snapToGrid w:val="0"/>
                    <w:jc w:val="center"/>
                    <w:rPr>
                      <w:rFonts w:hint="default" w:ascii="Times New Roman" w:hAnsi="Times New Roman" w:eastAsia="宋体" w:cs="Times New Roman"/>
                      <w:b w:val="0"/>
                      <w:bCs/>
                      <w:color w:val="auto"/>
                      <w:szCs w:val="21"/>
                      <w:lang w:val="en-US" w:eastAsia="zh-CN"/>
                    </w:rPr>
                  </w:pPr>
                  <w:r>
                    <w:rPr>
                      <w:rFonts w:hint="eastAsia" w:ascii="Times New Roman" w:hAnsi="Times New Roman" w:cs="Times New Roman"/>
                      <w:b w:val="0"/>
                      <w:bCs/>
                      <w:color w:val="auto"/>
                      <w:szCs w:val="21"/>
                      <w:lang w:val="en-US" w:eastAsia="zh-CN"/>
                    </w:rPr>
                    <w:t>0.228</w:t>
                  </w:r>
                </w:p>
              </w:tc>
            </w:tr>
          </w:tbl>
          <w:p>
            <w:pPr>
              <w:pStyle w:val="83"/>
              <w:adjustRightInd w:val="0"/>
              <w:snapToGrid w:val="0"/>
              <w:ind w:firstLine="482" w:firstLineChars="200"/>
              <w:rPr>
                <w:rFonts w:hint="default" w:ascii="Times New Roman" w:hAnsi="Times New Roman" w:cs="Times New Roman"/>
                <w:color w:val="auto"/>
              </w:rPr>
            </w:pPr>
            <w:r>
              <w:rPr>
                <w:rFonts w:hint="default" w:ascii="Times New Roman" w:hAnsi="Times New Roman" w:cs="Times New Roman"/>
                <w:color w:val="auto"/>
              </w:rPr>
              <w:t>2.非正常排放源强分析</w:t>
            </w:r>
          </w:p>
          <w:p>
            <w:pPr>
              <w:adjustRightInd w:val="0"/>
              <w:snapToGrid w:val="0"/>
              <w:spacing w:line="360" w:lineRule="auto"/>
              <w:ind w:firstLine="480" w:firstLineChars="200"/>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采用较先进的工艺技术和生产设施，设专人管理，设备出现故障时，可以做到随时停机检修，对职工上岗前进行培训实行规范化管理，严格岗前岗中岗后维护检查和交接班制度，尽可能杜绝废气非正常排放的发生。</w:t>
            </w:r>
          </w:p>
          <w:p>
            <w:pPr>
              <w:adjustRightInd w:val="0"/>
              <w:snapToGrid w:val="0"/>
              <w:spacing w:line="360" w:lineRule="auto"/>
              <w:ind w:firstLine="480" w:firstLineChars="200"/>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本项目的事故排放情况主要考虑活性炭吸附装置运转异常，污染控制措施达不到应有效率，按全部失效情况废气处理效率为0%，事故处理时间为1h，发生频次为1次/年，非正常排放参数详见下表：</w:t>
            </w:r>
          </w:p>
          <w:p>
            <w:pPr>
              <w:pStyle w:val="154"/>
              <w:ind w:firstLine="0" w:firstLineChars="0"/>
              <w:rPr>
                <w:rFonts w:ascii="Times New Roman" w:hAnsi="Times New Roman"/>
                <w:color w:val="auto"/>
                <w:sz w:val="24"/>
                <w:szCs w:val="32"/>
              </w:rPr>
            </w:pPr>
            <w:r>
              <w:rPr>
                <w:rFonts w:ascii="Times New Roman" w:hAnsi="Times New Roman"/>
                <w:color w:val="auto"/>
                <w:sz w:val="24"/>
                <w:szCs w:val="32"/>
              </w:rPr>
              <w:t>表</w:t>
            </w:r>
            <w:r>
              <w:rPr>
                <w:rFonts w:hint="eastAsia" w:ascii="Times New Roman" w:hAnsi="Times New Roman"/>
                <w:color w:val="auto"/>
                <w:sz w:val="24"/>
                <w:szCs w:val="32"/>
                <w:lang w:val="en-US" w:eastAsia="zh-CN"/>
              </w:rPr>
              <w:t xml:space="preserve">4-5  </w:t>
            </w:r>
            <w:r>
              <w:rPr>
                <w:rFonts w:ascii="Times New Roman" w:hAnsi="Times New Roman"/>
                <w:color w:val="auto"/>
                <w:sz w:val="24"/>
                <w:szCs w:val="32"/>
              </w:rPr>
              <w:t>非正常排放参数表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76"/>
              <w:gridCol w:w="1584"/>
              <w:gridCol w:w="1126"/>
              <w:gridCol w:w="1489"/>
              <w:gridCol w:w="1146"/>
              <w:gridCol w:w="870"/>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1" w:type="pct"/>
                  <w:tcBorders>
                    <w:tl2br w:val="nil"/>
                    <w:tr2bl w:val="nil"/>
                  </w:tcBorders>
                  <w:noWrap w:val="0"/>
                  <w:vAlign w:val="center"/>
                </w:tcPr>
                <w:p>
                  <w:pPr>
                    <w:pStyle w:val="155"/>
                    <w:rPr>
                      <w:rFonts w:hint="eastAsia" w:ascii="Times New Roman" w:hAnsi="Times New Roman"/>
                      <w:b/>
                      <w:bCs/>
                      <w:color w:val="auto"/>
                      <w:lang w:val="en-US" w:eastAsia="zh-CN"/>
                    </w:rPr>
                  </w:pPr>
                  <w:r>
                    <w:rPr>
                      <w:rFonts w:hint="eastAsia" w:ascii="Times New Roman" w:hAnsi="Times New Roman"/>
                      <w:b/>
                      <w:bCs/>
                      <w:color w:val="auto"/>
                      <w:lang w:val="en-US" w:eastAsia="zh-CN"/>
                    </w:rPr>
                    <w:t>非正常</w:t>
                  </w:r>
                </w:p>
                <w:p>
                  <w:pPr>
                    <w:pStyle w:val="155"/>
                    <w:rPr>
                      <w:rFonts w:ascii="Times New Roman" w:hAnsi="Times New Roman"/>
                      <w:b/>
                      <w:bCs/>
                      <w:color w:val="auto"/>
                      <w:lang w:val="en-US" w:eastAsia="zh-CN"/>
                    </w:rPr>
                  </w:pPr>
                  <w:r>
                    <w:rPr>
                      <w:rFonts w:hint="eastAsia" w:ascii="Times New Roman" w:hAnsi="Times New Roman"/>
                      <w:b/>
                      <w:bCs/>
                      <w:color w:val="auto"/>
                      <w:lang w:val="en-US" w:eastAsia="zh-CN"/>
                    </w:rPr>
                    <w:t>排放源</w:t>
                  </w:r>
                </w:p>
              </w:tc>
              <w:tc>
                <w:tcPr>
                  <w:tcW w:w="996" w:type="pct"/>
                  <w:tcBorders>
                    <w:tl2br w:val="nil"/>
                    <w:tr2bl w:val="nil"/>
                  </w:tcBorders>
                  <w:noWrap w:val="0"/>
                  <w:vAlign w:val="center"/>
                </w:tcPr>
                <w:p>
                  <w:pPr>
                    <w:pStyle w:val="155"/>
                    <w:rPr>
                      <w:rFonts w:ascii="Times New Roman" w:hAnsi="Times New Roman"/>
                      <w:b/>
                      <w:bCs/>
                      <w:color w:val="auto"/>
                      <w:lang w:val="en-US" w:eastAsia="zh-CN"/>
                    </w:rPr>
                  </w:pPr>
                  <w:r>
                    <w:rPr>
                      <w:rFonts w:hint="eastAsia" w:ascii="Times New Roman" w:hAnsi="Times New Roman"/>
                      <w:b/>
                      <w:bCs/>
                      <w:color w:val="auto"/>
                      <w:lang w:val="en-US" w:eastAsia="zh-CN"/>
                    </w:rPr>
                    <w:t>非正常排放原因</w:t>
                  </w:r>
                </w:p>
              </w:tc>
              <w:tc>
                <w:tcPr>
                  <w:tcW w:w="708" w:type="pct"/>
                  <w:tcBorders>
                    <w:tl2br w:val="nil"/>
                    <w:tr2bl w:val="nil"/>
                  </w:tcBorders>
                  <w:noWrap w:val="0"/>
                  <w:vAlign w:val="center"/>
                </w:tcPr>
                <w:p>
                  <w:pPr>
                    <w:pStyle w:val="155"/>
                    <w:rPr>
                      <w:rFonts w:ascii="Times New Roman" w:hAnsi="Times New Roman"/>
                      <w:b/>
                      <w:bCs/>
                      <w:color w:val="auto"/>
                      <w:lang w:val="en-US" w:eastAsia="zh-CN"/>
                    </w:rPr>
                  </w:pPr>
                  <w:r>
                    <w:rPr>
                      <w:rFonts w:hint="eastAsia" w:ascii="Times New Roman" w:hAnsi="Times New Roman"/>
                      <w:b/>
                      <w:bCs/>
                      <w:color w:val="auto"/>
                      <w:lang w:val="en-US" w:eastAsia="zh-CN"/>
                    </w:rPr>
                    <w:t>污染物</w:t>
                  </w:r>
                </w:p>
              </w:tc>
              <w:tc>
                <w:tcPr>
                  <w:tcW w:w="936" w:type="pct"/>
                  <w:tcBorders>
                    <w:tl2br w:val="nil"/>
                    <w:tr2bl w:val="nil"/>
                  </w:tcBorders>
                  <w:noWrap w:val="0"/>
                  <w:vAlign w:val="center"/>
                </w:tcPr>
                <w:p>
                  <w:pPr>
                    <w:pStyle w:val="155"/>
                    <w:rPr>
                      <w:rFonts w:ascii="Times New Roman" w:hAnsi="Times New Roman"/>
                      <w:b/>
                      <w:bCs/>
                      <w:color w:val="auto"/>
                      <w:lang w:val="en-US" w:eastAsia="zh-CN"/>
                    </w:rPr>
                  </w:pPr>
                  <w:r>
                    <w:rPr>
                      <w:rFonts w:hint="eastAsia" w:ascii="Times New Roman" w:hAnsi="Times New Roman"/>
                      <w:b/>
                      <w:bCs/>
                      <w:color w:val="auto"/>
                      <w:lang w:val="en-US" w:eastAsia="zh-CN"/>
                    </w:rPr>
                    <w:t>非正常排放速率（kg/h）</w:t>
                  </w:r>
                </w:p>
              </w:tc>
              <w:tc>
                <w:tcPr>
                  <w:tcW w:w="721" w:type="pct"/>
                  <w:tcBorders>
                    <w:tl2br w:val="nil"/>
                    <w:tr2bl w:val="nil"/>
                  </w:tcBorders>
                  <w:noWrap w:val="0"/>
                  <w:vAlign w:val="center"/>
                </w:tcPr>
                <w:p>
                  <w:pPr>
                    <w:pStyle w:val="155"/>
                    <w:rPr>
                      <w:rFonts w:ascii="Times New Roman" w:hAnsi="Times New Roman"/>
                      <w:b/>
                      <w:bCs/>
                      <w:color w:val="auto"/>
                      <w:lang w:val="en-US" w:eastAsia="zh-CN"/>
                    </w:rPr>
                  </w:pPr>
                  <w:r>
                    <w:rPr>
                      <w:rFonts w:hint="eastAsia" w:ascii="Times New Roman" w:hAnsi="Times New Roman"/>
                      <w:b/>
                      <w:bCs/>
                      <w:color w:val="auto"/>
                      <w:lang w:val="en-US" w:eastAsia="zh-CN"/>
                    </w:rPr>
                    <w:t>单次持续时间/h</w:t>
                  </w:r>
                </w:p>
              </w:tc>
              <w:tc>
                <w:tcPr>
                  <w:tcW w:w="547" w:type="pct"/>
                  <w:tcBorders>
                    <w:tl2br w:val="nil"/>
                    <w:tr2bl w:val="nil"/>
                  </w:tcBorders>
                  <w:noWrap w:val="0"/>
                  <w:vAlign w:val="center"/>
                </w:tcPr>
                <w:p>
                  <w:pPr>
                    <w:pStyle w:val="155"/>
                    <w:rPr>
                      <w:rFonts w:ascii="Times New Roman" w:hAnsi="Times New Roman"/>
                      <w:b/>
                      <w:bCs/>
                      <w:color w:val="auto"/>
                      <w:lang w:val="en-US" w:eastAsia="zh-CN"/>
                    </w:rPr>
                  </w:pPr>
                  <w:r>
                    <w:rPr>
                      <w:rFonts w:hint="eastAsia" w:ascii="Times New Roman" w:hAnsi="Times New Roman"/>
                      <w:b/>
                      <w:bCs/>
                      <w:color w:val="auto"/>
                      <w:lang w:val="en-US" w:eastAsia="zh-CN"/>
                    </w:rPr>
                    <w:t>年发生频次/次</w:t>
                  </w:r>
                </w:p>
              </w:tc>
              <w:tc>
                <w:tcPr>
                  <w:tcW w:w="537" w:type="pct"/>
                  <w:tcBorders>
                    <w:tl2br w:val="nil"/>
                    <w:tr2bl w:val="nil"/>
                  </w:tcBorders>
                  <w:noWrap w:val="0"/>
                  <w:vAlign w:val="center"/>
                </w:tcPr>
                <w:p>
                  <w:pPr>
                    <w:pStyle w:val="155"/>
                    <w:rPr>
                      <w:rFonts w:ascii="Times New Roman" w:hAnsi="Times New Roman"/>
                      <w:b/>
                      <w:bCs/>
                      <w:color w:val="auto"/>
                      <w:lang w:val="en-US" w:eastAsia="zh-CN"/>
                    </w:rPr>
                  </w:pPr>
                  <w:r>
                    <w:rPr>
                      <w:rFonts w:hint="eastAsia" w:ascii="Times New Roman" w:hAnsi="Times New Roman"/>
                      <w:b/>
                      <w:bCs/>
                      <w:color w:val="auto"/>
                      <w:lang w:val="en-US" w:eastAsia="zh-CN"/>
                    </w:rPr>
                    <w:t>排放量</w:t>
                  </w:r>
                </w:p>
                <w:p>
                  <w:pPr>
                    <w:pStyle w:val="155"/>
                    <w:rPr>
                      <w:rFonts w:ascii="Times New Roman" w:hAnsi="Times New Roman"/>
                      <w:b/>
                      <w:bCs/>
                      <w:color w:val="auto"/>
                      <w:lang w:val="en-US" w:eastAsia="zh-CN"/>
                    </w:rPr>
                  </w:pPr>
                  <w:r>
                    <w:rPr>
                      <w:rFonts w:hint="eastAsia" w:ascii="Times New Roman" w:hAnsi="Times New Roman"/>
                      <w:b/>
                      <w:bCs/>
                      <w:color w:val="auto"/>
                      <w:lang w:val="en-US" w:eastAsia="zh-CN"/>
                    </w:rPr>
                    <w:t>（kg</w:t>
                  </w:r>
                  <w:r>
                    <w:rPr>
                      <w:rFonts w:ascii="Times New Roman" w:hAnsi="Times New Roman"/>
                      <w:b/>
                      <w:bCs/>
                      <w:color w:val="auto"/>
                      <w:lang w:val="en-US" w:eastAsia="zh-CN"/>
                    </w:rPr>
                    <w:t>/</w:t>
                  </w:r>
                  <w:r>
                    <w:rPr>
                      <w:rFonts w:hint="eastAsia" w:ascii="Times New Roman" w:hAnsi="Times New Roman"/>
                      <w:b/>
                      <w:bCs/>
                      <w:color w:val="auto"/>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1" w:type="pct"/>
                  <w:tcBorders>
                    <w:tl2br w:val="nil"/>
                    <w:tr2bl w:val="nil"/>
                  </w:tcBorders>
                  <w:noWrap w:val="0"/>
                  <w:vAlign w:val="center"/>
                </w:tcPr>
                <w:p>
                  <w:pPr>
                    <w:pStyle w:val="155"/>
                    <w:rPr>
                      <w:rFonts w:ascii="Times New Roman" w:hAnsi="Times New Roman"/>
                      <w:color w:val="auto"/>
                      <w:lang w:val="en-US" w:eastAsia="zh-CN"/>
                    </w:rPr>
                  </w:pPr>
                  <w:r>
                    <w:rPr>
                      <w:rFonts w:hint="eastAsia" w:ascii="Times New Roman" w:hAnsi="Times New Roman"/>
                      <w:color w:val="auto"/>
                      <w:lang w:val="en-US" w:eastAsia="zh-CN"/>
                    </w:rPr>
                    <w:t>G2</w:t>
                  </w:r>
                </w:p>
              </w:tc>
              <w:tc>
                <w:tcPr>
                  <w:tcW w:w="996" w:type="pct"/>
                  <w:tcBorders>
                    <w:tl2br w:val="nil"/>
                    <w:tr2bl w:val="nil"/>
                  </w:tcBorders>
                  <w:noWrap w:val="0"/>
                  <w:vAlign w:val="center"/>
                </w:tcPr>
                <w:p>
                  <w:pPr>
                    <w:pStyle w:val="155"/>
                    <w:rPr>
                      <w:rFonts w:ascii="Times New Roman" w:hAnsi="Times New Roman"/>
                      <w:color w:val="auto"/>
                      <w:lang w:val="en-US" w:eastAsia="zh-CN"/>
                    </w:rPr>
                  </w:pPr>
                  <w:r>
                    <w:rPr>
                      <w:rFonts w:hint="eastAsia" w:ascii="Times New Roman" w:hAnsi="Times New Roman"/>
                      <w:color w:val="auto"/>
                      <w:lang w:val="en-US" w:eastAsia="zh-CN"/>
                    </w:rPr>
                    <w:t>活性炭装置饱和或失效</w:t>
                  </w:r>
                </w:p>
              </w:tc>
              <w:tc>
                <w:tcPr>
                  <w:tcW w:w="708" w:type="pct"/>
                  <w:tcBorders>
                    <w:tl2br w:val="nil"/>
                    <w:tr2bl w:val="nil"/>
                  </w:tcBorders>
                  <w:noWrap w:val="0"/>
                  <w:vAlign w:val="center"/>
                </w:tcPr>
                <w:p>
                  <w:pPr>
                    <w:pStyle w:val="155"/>
                    <w:rPr>
                      <w:rFonts w:ascii="Times New Roman" w:hAnsi="Times New Roman"/>
                      <w:color w:val="auto"/>
                      <w:lang w:val="en-US" w:eastAsia="zh-CN"/>
                    </w:rPr>
                  </w:pPr>
                  <w:r>
                    <w:rPr>
                      <w:rFonts w:hint="eastAsia" w:ascii="Times New Roman" w:hAnsi="Times New Roman"/>
                      <w:color w:val="auto"/>
                      <w:lang w:val="en-US" w:eastAsia="zh-CN"/>
                    </w:rPr>
                    <w:t>非甲烷总烃</w:t>
                  </w:r>
                </w:p>
              </w:tc>
              <w:tc>
                <w:tcPr>
                  <w:tcW w:w="936" w:type="pct"/>
                  <w:tcBorders>
                    <w:tl2br w:val="nil"/>
                    <w:tr2bl w:val="nil"/>
                  </w:tcBorders>
                  <w:noWrap w:val="0"/>
                  <w:vAlign w:val="center"/>
                </w:tcPr>
                <w:p>
                  <w:pPr>
                    <w:pStyle w:val="155"/>
                    <w:rPr>
                      <w:rFonts w:hint="default" w:ascii="Times New Roman" w:hAnsi="Times New Roman"/>
                      <w:color w:val="auto"/>
                      <w:lang w:val="en-US" w:eastAsia="zh-CN"/>
                    </w:rPr>
                  </w:pPr>
                  <w:r>
                    <w:rPr>
                      <w:rFonts w:hint="eastAsia" w:ascii="Times New Roman" w:hAnsi="Times New Roman"/>
                      <w:color w:val="auto"/>
                      <w:lang w:val="en-US" w:eastAsia="zh-CN"/>
                    </w:rPr>
                    <w:t>0.341</w:t>
                  </w:r>
                </w:p>
              </w:tc>
              <w:tc>
                <w:tcPr>
                  <w:tcW w:w="721" w:type="pct"/>
                  <w:tcBorders>
                    <w:tl2br w:val="nil"/>
                    <w:tr2bl w:val="nil"/>
                  </w:tcBorders>
                  <w:noWrap w:val="0"/>
                  <w:vAlign w:val="center"/>
                </w:tcPr>
                <w:p>
                  <w:pPr>
                    <w:pStyle w:val="155"/>
                    <w:rPr>
                      <w:rFonts w:ascii="Times New Roman" w:hAnsi="Times New Roman"/>
                      <w:color w:val="auto"/>
                      <w:lang w:val="en-US" w:eastAsia="zh-CN"/>
                    </w:rPr>
                  </w:pPr>
                  <w:r>
                    <w:rPr>
                      <w:rFonts w:hint="eastAsia" w:ascii="Times New Roman" w:hAnsi="Times New Roman"/>
                      <w:color w:val="auto"/>
                      <w:lang w:val="en-US" w:eastAsia="zh-CN"/>
                    </w:rPr>
                    <w:t>1</w:t>
                  </w:r>
                </w:p>
              </w:tc>
              <w:tc>
                <w:tcPr>
                  <w:tcW w:w="547" w:type="pct"/>
                  <w:tcBorders>
                    <w:tl2br w:val="nil"/>
                    <w:tr2bl w:val="nil"/>
                  </w:tcBorders>
                  <w:noWrap w:val="0"/>
                  <w:vAlign w:val="center"/>
                </w:tcPr>
                <w:p>
                  <w:pPr>
                    <w:pStyle w:val="155"/>
                    <w:rPr>
                      <w:rFonts w:ascii="Times New Roman" w:hAnsi="Times New Roman"/>
                      <w:color w:val="auto"/>
                      <w:lang w:val="en-US" w:eastAsia="zh-CN"/>
                    </w:rPr>
                  </w:pPr>
                  <w:r>
                    <w:rPr>
                      <w:rFonts w:hint="eastAsia" w:ascii="Times New Roman" w:hAnsi="Times New Roman"/>
                      <w:color w:val="auto"/>
                      <w:lang w:val="en-US" w:eastAsia="zh-CN"/>
                    </w:rPr>
                    <w:t>1</w:t>
                  </w:r>
                </w:p>
              </w:tc>
              <w:tc>
                <w:tcPr>
                  <w:tcW w:w="537" w:type="pct"/>
                  <w:tcBorders>
                    <w:tl2br w:val="nil"/>
                    <w:tr2bl w:val="nil"/>
                  </w:tcBorders>
                  <w:noWrap w:val="0"/>
                  <w:vAlign w:val="center"/>
                </w:tcPr>
                <w:p>
                  <w:pPr>
                    <w:pStyle w:val="155"/>
                    <w:rPr>
                      <w:rFonts w:hint="default" w:ascii="Times New Roman" w:hAnsi="Times New Roman"/>
                      <w:color w:val="auto"/>
                      <w:lang w:val="en-US" w:eastAsia="zh-CN"/>
                    </w:rPr>
                  </w:pPr>
                  <w:r>
                    <w:rPr>
                      <w:rFonts w:hint="eastAsia" w:ascii="Times New Roman" w:hAnsi="Times New Roman"/>
                      <w:color w:val="auto"/>
                      <w:lang w:val="en-US" w:eastAsia="zh-CN"/>
                    </w:rPr>
                    <w:t>0.341</w:t>
                  </w:r>
                </w:p>
              </w:tc>
            </w:tr>
          </w:tbl>
          <w:p>
            <w:pPr>
              <w:pStyle w:val="83"/>
              <w:adjustRightInd w:val="0"/>
              <w:snapToGrid w:val="0"/>
              <w:ind w:firstLine="482" w:firstLineChars="200"/>
              <w:rPr>
                <w:rFonts w:hint="default" w:ascii="Times New Roman" w:hAnsi="Times New Roman" w:eastAsia="宋体" w:cs="Times New Roman"/>
                <w:b/>
                <w:color w:val="auto"/>
              </w:rPr>
            </w:pPr>
            <w:r>
              <w:rPr>
                <w:rFonts w:hint="eastAsia" w:ascii="Times New Roman" w:hAnsi="Times New Roman" w:eastAsia="宋体" w:cs="Times New Roman"/>
                <w:b/>
                <w:color w:val="auto"/>
                <w:lang w:val="en-US" w:eastAsia="zh-CN"/>
              </w:rPr>
              <w:t>3.</w:t>
            </w:r>
            <w:r>
              <w:rPr>
                <w:rFonts w:hint="default" w:ascii="Times New Roman" w:hAnsi="Times New Roman" w:eastAsia="宋体" w:cs="Times New Roman"/>
                <w:b/>
                <w:color w:val="auto"/>
              </w:rPr>
              <w:t>污染物排放量核算</w:t>
            </w:r>
          </w:p>
          <w:p>
            <w:pPr>
              <w:spacing w:line="320" w:lineRule="exact"/>
              <w:ind w:firstLine="0" w:firstLineChars="0"/>
              <w:jc w:val="center"/>
              <w:rPr>
                <w:b/>
                <w:color w:val="auto"/>
                <w:sz w:val="24"/>
                <w:szCs w:val="32"/>
              </w:rPr>
            </w:pPr>
            <w:r>
              <w:rPr>
                <w:b/>
                <w:color w:val="auto"/>
                <w:sz w:val="24"/>
                <w:szCs w:val="32"/>
              </w:rPr>
              <w:t>表</w:t>
            </w:r>
            <w:r>
              <w:rPr>
                <w:rFonts w:hint="eastAsia"/>
                <w:b/>
                <w:color w:val="auto"/>
                <w:sz w:val="24"/>
                <w:szCs w:val="32"/>
                <w:lang w:val="en-US" w:eastAsia="zh-CN"/>
              </w:rPr>
              <w:t xml:space="preserve">4-6 </w:t>
            </w:r>
            <w:r>
              <w:rPr>
                <w:rFonts w:hint="eastAsia"/>
                <w:b/>
                <w:color w:val="auto"/>
                <w:sz w:val="24"/>
                <w:szCs w:val="32"/>
              </w:rPr>
              <w:t xml:space="preserve"> </w:t>
            </w:r>
            <w:r>
              <w:rPr>
                <w:b/>
                <w:color w:val="auto"/>
                <w:sz w:val="24"/>
                <w:szCs w:val="32"/>
              </w:rPr>
              <w:t>大气污染物排放量核算表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857"/>
              <w:gridCol w:w="1124"/>
              <w:gridCol w:w="1246"/>
              <w:gridCol w:w="1426"/>
              <w:gridCol w:w="1340"/>
              <w:gridCol w:w="13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14" w:type="dxa"/>
                  <w:tcBorders>
                    <w:tl2br w:val="nil"/>
                    <w:tr2bl w:val="nil"/>
                  </w:tcBorders>
                  <w:noWrap w:val="0"/>
                  <w:vAlign w:val="center"/>
                </w:tcPr>
                <w:p>
                  <w:pPr>
                    <w:jc w:val="center"/>
                    <w:rPr>
                      <w:b/>
                      <w:bCs/>
                      <w:color w:val="auto"/>
                      <w:sz w:val="21"/>
                      <w:szCs w:val="21"/>
                    </w:rPr>
                  </w:pPr>
                  <w:r>
                    <w:rPr>
                      <w:rFonts w:ascii="Times New Roman" w:hAnsi="Times New Roman"/>
                      <w:b/>
                      <w:color w:val="auto"/>
                      <w:sz w:val="21"/>
                      <w:szCs w:val="21"/>
                    </w:rPr>
                    <w:t>序号</w:t>
                  </w:r>
                </w:p>
              </w:tc>
              <w:tc>
                <w:tcPr>
                  <w:tcW w:w="857" w:type="dxa"/>
                  <w:tcBorders>
                    <w:tl2br w:val="nil"/>
                    <w:tr2bl w:val="nil"/>
                  </w:tcBorders>
                  <w:noWrap w:val="0"/>
                  <w:vAlign w:val="center"/>
                </w:tcPr>
                <w:p>
                  <w:pPr>
                    <w:jc w:val="center"/>
                    <w:rPr>
                      <w:rFonts w:ascii="Times New Roman" w:hAnsi="Times New Roman"/>
                      <w:b/>
                      <w:color w:val="auto"/>
                      <w:sz w:val="21"/>
                      <w:szCs w:val="21"/>
                    </w:rPr>
                  </w:pPr>
                  <w:r>
                    <w:rPr>
                      <w:rFonts w:ascii="Times New Roman" w:hAnsi="Times New Roman"/>
                      <w:b/>
                      <w:color w:val="auto"/>
                      <w:sz w:val="21"/>
                      <w:szCs w:val="21"/>
                    </w:rPr>
                    <w:t>排放口</w:t>
                  </w:r>
                </w:p>
                <w:p>
                  <w:pPr>
                    <w:jc w:val="center"/>
                    <w:rPr>
                      <w:b/>
                      <w:bCs/>
                      <w:color w:val="auto"/>
                      <w:sz w:val="21"/>
                      <w:szCs w:val="21"/>
                    </w:rPr>
                  </w:pPr>
                  <w:r>
                    <w:rPr>
                      <w:rFonts w:ascii="Times New Roman" w:hAnsi="Times New Roman"/>
                      <w:b/>
                      <w:color w:val="auto"/>
                      <w:sz w:val="21"/>
                      <w:szCs w:val="21"/>
                    </w:rPr>
                    <w:t>编号</w:t>
                  </w:r>
                </w:p>
              </w:tc>
              <w:tc>
                <w:tcPr>
                  <w:tcW w:w="1124" w:type="dxa"/>
                  <w:tcBorders>
                    <w:tl2br w:val="nil"/>
                    <w:tr2bl w:val="nil"/>
                  </w:tcBorders>
                  <w:noWrap w:val="0"/>
                  <w:vAlign w:val="center"/>
                </w:tcPr>
                <w:p>
                  <w:pPr>
                    <w:jc w:val="center"/>
                    <w:rPr>
                      <w:b/>
                      <w:bCs/>
                      <w:color w:val="auto"/>
                      <w:sz w:val="21"/>
                      <w:szCs w:val="21"/>
                    </w:rPr>
                  </w:pPr>
                  <w:r>
                    <w:rPr>
                      <w:rFonts w:ascii="Times New Roman" w:hAnsi="Times New Roman"/>
                      <w:b/>
                      <w:color w:val="auto"/>
                      <w:sz w:val="21"/>
                      <w:szCs w:val="21"/>
                    </w:rPr>
                    <w:t>产污环节</w:t>
                  </w:r>
                </w:p>
              </w:tc>
              <w:tc>
                <w:tcPr>
                  <w:tcW w:w="1246" w:type="dxa"/>
                  <w:tcBorders>
                    <w:tl2br w:val="nil"/>
                    <w:tr2bl w:val="nil"/>
                  </w:tcBorders>
                  <w:noWrap w:val="0"/>
                  <w:vAlign w:val="center"/>
                </w:tcPr>
                <w:p>
                  <w:pPr>
                    <w:jc w:val="center"/>
                    <w:rPr>
                      <w:b/>
                      <w:bCs/>
                      <w:color w:val="auto"/>
                      <w:sz w:val="21"/>
                      <w:szCs w:val="21"/>
                    </w:rPr>
                  </w:pPr>
                  <w:r>
                    <w:rPr>
                      <w:rFonts w:ascii="Times New Roman" w:hAnsi="Times New Roman"/>
                      <w:b/>
                      <w:color w:val="auto"/>
                      <w:sz w:val="21"/>
                      <w:szCs w:val="21"/>
                    </w:rPr>
                    <w:t>污染物</w:t>
                  </w:r>
                </w:p>
              </w:tc>
              <w:tc>
                <w:tcPr>
                  <w:tcW w:w="1426" w:type="dxa"/>
                  <w:tcBorders>
                    <w:tl2br w:val="nil"/>
                    <w:tr2bl w:val="nil"/>
                  </w:tcBorders>
                  <w:noWrap w:val="0"/>
                  <w:vAlign w:val="center"/>
                </w:tcPr>
                <w:p>
                  <w:pPr>
                    <w:jc w:val="center"/>
                    <w:rPr>
                      <w:b/>
                      <w:bCs/>
                      <w:color w:val="auto"/>
                      <w:sz w:val="21"/>
                      <w:szCs w:val="21"/>
                    </w:rPr>
                  </w:pPr>
                  <w:r>
                    <w:rPr>
                      <w:rFonts w:ascii="Times New Roman" w:hAnsi="Times New Roman"/>
                      <w:b/>
                      <w:color w:val="auto"/>
                      <w:sz w:val="21"/>
                      <w:szCs w:val="21"/>
                    </w:rPr>
                    <w:t>排放浓度（mg/m</w:t>
                  </w:r>
                  <w:r>
                    <w:rPr>
                      <w:rFonts w:ascii="Times New Roman" w:hAnsi="Times New Roman"/>
                      <w:b/>
                      <w:color w:val="auto"/>
                      <w:sz w:val="21"/>
                      <w:szCs w:val="21"/>
                      <w:vertAlign w:val="superscript"/>
                    </w:rPr>
                    <w:t>3</w:t>
                  </w:r>
                  <w:r>
                    <w:rPr>
                      <w:rFonts w:ascii="Times New Roman" w:hAnsi="Times New Roman"/>
                      <w:b/>
                      <w:color w:val="auto"/>
                      <w:sz w:val="21"/>
                      <w:szCs w:val="21"/>
                    </w:rPr>
                    <w:t>）</w:t>
                  </w:r>
                </w:p>
              </w:tc>
              <w:tc>
                <w:tcPr>
                  <w:tcW w:w="1340" w:type="dxa"/>
                  <w:tcBorders>
                    <w:tl2br w:val="nil"/>
                    <w:tr2bl w:val="nil"/>
                  </w:tcBorders>
                  <w:noWrap w:val="0"/>
                  <w:vAlign w:val="center"/>
                </w:tcPr>
                <w:p>
                  <w:pPr>
                    <w:jc w:val="center"/>
                    <w:rPr>
                      <w:b/>
                      <w:bCs/>
                      <w:color w:val="auto"/>
                      <w:sz w:val="21"/>
                      <w:szCs w:val="21"/>
                    </w:rPr>
                  </w:pPr>
                  <w:r>
                    <w:rPr>
                      <w:rFonts w:ascii="Times New Roman" w:hAnsi="Times New Roman"/>
                      <w:b/>
                      <w:color w:val="auto"/>
                      <w:sz w:val="21"/>
                      <w:szCs w:val="21"/>
                    </w:rPr>
                    <w:t>排放速率（kg/h）</w:t>
                  </w:r>
                </w:p>
              </w:tc>
              <w:tc>
                <w:tcPr>
                  <w:tcW w:w="1340" w:type="dxa"/>
                  <w:tcBorders>
                    <w:tl2br w:val="nil"/>
                    <w:tr2bl w:val="nil"/>
                  </w:tcBorders>
                  <w:noWrap w:val="0"/>
                  <w:vAlign w:val="center"/>
                </w:tcPr>
                <w:p>
                  <w:pPr>
                    <w:jc w:val="center"/>
                    <w:rPr>
                      <w:rFonts w:hint="eastAsia" w:ascii="Times New Roman" w:hAnsi="Times New Roman" w:eastAsia="宋体"/>
                      <w:b/>
                      <w:color w:val="auto"/>
                      <w:sz w:val="21"/>
                      <w:szCs w:val="21"/>
                      <w:lang w:eastAsia="zh-CN"/>
                    </w:rPr>
                  </w:pPr>
                  <w:r>
                    <w:rPr>
                      <w:rFonts w:ascii="Times New Roman" w:hAnsi="Times New Roman"/>
                      <w:b/>
                      <w:color w:val="auto"/>
                      <w:sz w:val="21"/>
                      <w:szCs w:val="21"/>
                    </w:rPr>
                    <w:t>年排放量</w:t>
                  </w:r>
                  <w:r>
                    <w:rPr>
                      <w:rFonts w:hint="eastAsia" w:ascii="Times New Roman" w:hAnsi="Times New Roman"/>
                      <w:b/>
                      <w:color w:val="auto"/>
                      <w:sz w:val="21"/>
                      <w:szCs w:val="21"/>
                      <w:lang w:eastAsia="zh-CN"/>
                    </w:rPr>
                    <w:t>（</w:t>
                  </w:r>
                  <w:r>
                    <w:rPr>
                      <w:rFonts w:ascii="Times New Roman" w:hAnsi="Times New Roman"/>
                      <w:b/>
                      <w:color w:val="auto"/>
                      <w:sz w:val="21"/>
                      <w:szCs w:val="21"/>
                    </w:rPr>
                    <w:t>t/a</w:t>
                  </w:r>
                  <w:r>
                    <w:rPr>
                      <w:rFonts w:hint="eastAsia" w:ascii="Times New Roman" w:hAnsi="Times New Roman"/>
                      <w:b/>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14" w:type="dxa"/>
                  <w:tcBorders>
                    <w:tl2br w:val="nil"/>
                    <w:tr2bl w:val="nil"/>
                  </w:tcBorders>
                  <w:noWrap w:val="0"/>
                  <w:vAlign w:val="center"/>
                </w:tcPr>
                <w:p>
                  <w:pPr>
                    <w:jc w:val="center"/>
                    <w:rPr>
                      <w:rFonts w:ascii="Times New Roman" w:hAnsi="Times New Roman"/>
                      <w:b/>
                      <w:color w:val="auto"/>
                      <w:sz w:val="21"/>
                      <w:szCs w:val="21"/>
                    </w:rPr>
                  </w:pPr>
                  <w:r>
                    <w:rPr>
                      <w:rFonts w:ascii="Times New Roman" w:hAnsi="Times New Roman"/>
                      <w:color w:val="auto"/>
                      <w:sz w:val="21"/>
                      <w:szCs w:val="21"/>
                    </w:rPr>
                    <w:t>1</w:t>
                  </w:r>
                </w:p>
              </w:tc>
              <w:tc>
                <w:tcPr>
                  <w:tcW w:w="857" w:type="dxa"/>
                  <w:tcBorders>
                    <w:tl2br w:val="nil"/>
                    <w:tr2bl w:val="nil"/>
                  </w:tcBorders>
                  <w:noWrap w:val="0"/>
                  <w:vAlign w:val="center"/>
                </w:tcPr>
                <w:p>
                  <w:pPr>
                    <w:jc w:val="center"/>
                    <w:rPr>
                      <w:rFonts w:ascii="Times New Roman" w:hAnsi="Times New Roman"/>
                      <w:b/>
                      <w:color w:val="auto"/>
                      <w:sz w:val="21"/>
                      <w:szCs w:val="21"/>
                    </w:rPr>
                  </w:pPr>
                  <w:r>
                    <w:rPr>
                      <w:rFonts w:ascii="Times New Roman" w:hAnsi="Times New Roman"/>
                      <w:color w:val="auto"/>
                      <w:sz w:val="21"/>
                      <w:szCs w:val="21"/>
                    </w:rPr>
                    <w:t>DA001</w:t>
                  </w:r>
                </w:p>
              </w:tc>
              <w:tc>
                <w:tcPr>
                  <w:tcW w:w="1124" w:type="dxa"/>
                  <w:tcBorders>
                    <w:tl2br w:val="nil"/>
                    <w:tr2bl w:val="nil"/>
                  </w:tcBorders>
                  <w:noWrap w:val="0"/>
                  <w:vAlign w:val="center"/>
                </w:tcPr>
                <w:p>
                  <w:pPr>
                    <w:ind w:left="-105" w:leftChars="-50" w:right="-105" w:rightChars="-50"/>
                    <w:jc w:val="center"/>
                    <w:rPr>
                      <w:rFonts w:ascii="Times New Roman" w:hAnsi="Times New Roman"/>
                      <w:b/>
                      <w:color w:val="auto"/>
                      <w:sz w:val="21"/>
                      <w:szCs w:val="21"/>
                    </w:rPr>
                  </w:pPr>
                  <w:r>
                    <w:rPr>
                      <w:rFonts w:hint="eastAsia" w:ascii="Times New Roman" w:hAnsi="Times New Roman"/>
                      <w:color w:val="auto"/>
                      <w:sz w:val="21"/>
                      <w:szCs w:val="21"/>
                      <w:lang w:eastAsia="zh-CN"/>
                    </w:rPr>
                    <w:t>吹膜、造粒</w:t>
                  </w:r>
                </w:p>
              </w:tc>
              <w:tc>
                <w:tcPr>
                  <w:tcW w:w="1246" w:type="dxa"/>
                  <w:tcBorders>
                    <w:tl2br w:val="nil"/>
                    <w:tr2bl w:val="nil"/>
                  </w:tcBorders>
                  <w:noWrap w:val="0"/>
                  <w:vAlign w:val="center"/>
                </w:tcPr>
                <w:p>
                  <w:pPr>
                    <w:ind w:left="-105" w:leftChars="-50" w:right="-105" w:rightChars="-50"/>
                    <w:jc w:val="center"/>
                    <w:rPr>
                      <w:rFonts w:ascii="Times New Roman" w:hAnsi="Times New Roman"/>
                      <w:b/>
                      <w:color w:val="auto"/>
                      <w:sz w:val="21"/>
                      <w:szCs w:val="21"/>
                    </w:rPr>
                  </w:pPr>
                  <w:r>
                    <w:rPr>
                      <w:rFonts w:hint="eastAsia" w:ascii="Times New Roman" w:hAnsi="Times New Roman"/>
                      <w:color w:val="auto"/>
                      <w:sz w:val="21"/>
                      <w:szCs w:val="21"/>
                      <w:lang w:val="en-GB" w:eastAsia="zh-CN"/>
                    </w:rPr>
                    <w:t>非甲烷总烃</w:t>
                  </w:r>
                </w:p>
              </w:tc>
              <w:tc>
                <w:tcPr>
                  <w:tcW w:w="1426" w:type="dxa"/>
                  <w:tcBorders>
                    <w:tl2br w:val="nil"/>
                    <w:tr2bl w:val="nil"/>
                  </w:tcBorders>
                  <w:noWrap w:val="0"/>
                  <w:vAlign w:val="center"/>
                </w:tcPr>
                <w:p>
                  <w:pPr>
                    <w:jc w:val="center"/>
                    <w:rPr>
                      <w:rFonts w:hint="default" w:ascii="Times New Roman" w:hAnsi="Times New Roman"/>
                      <w:b/>
                      <w:color w:val="auto"/>
                      <w:sz w:val="21"/>
                      <w:szCs w:val="21"/>
                      <w:lang w:val="en-US"/>
                    </w:rPr>
                  </w:pPr>
                  <w:r>
                    <w:rPr>
                      <w:rFonts w:hint="eastAsia" w:ascii="Times New Roman" w:hAnsi="Times New Roman"/>
                      <w:color w:val="auto"/>
                      <w:sz w:val="21"/>
                      <w:szCs w:val="21"/>
                      <w:lang w:val="en-US" w:eastAsia="zh-CN"/>
                    </w:rPr>
                    <w:t>34.1</w:t>
                  </w:r>
                </w:p>
              </w:tc>
              <w:tc>
                <w:tcPr>
                  <w:tcW w:w="1340" w:type="dxa"/>
                  <w:tcBorders>
                    <w:tl2br w:val="nil"/>
                    <w:tr2bl w:val="nil"/>
                  </w:tcBorders>
                  <w:noWrap w:val="0"/>
                  <w:vAlign w:val="center"/>
                </w:tcPr>
                <w:p>
                  <w:pPr>
                    <w:jc w:val="center"/>
                    <w:rPr>
                      <w:rFonts w:hint="default" w:ascii="Times New Roman" w:hAnsi="Times New Roman"/>
                      <w:b/>
                      <w:color w:val="auto"/>
                      <w:sz w:val="21"/>
                      <w:szCs w:val="21"/>
                      <w:lang w:val="en-US"/>
                    </w:rPr>
                  </w:pPr>
                  <w:r>
                    <w:rPr>
                      <w:rFonts w:hint="eastAsia" w:ascii="Times New Roman" w:hAnsi="Times New Roman"/>
                      <w:color w:val="auto"/>
                      <w:sz w:val="21"/>
                      <w:szCs w:val="21"/>
                      <w:lang w:val="en-US" w:eastAsia="zh-CN"/>
                    </w:rPr>
                    <w:t>0.102</w:t>
                  </w:r>
                </w:p>
              </w:tc>
              <w:tc>
                <w:tcPr>
                  <w:tcW w:w="1340" w:type="dxa"/>
                  <w:tcBorders>
                    <w:tl2br w:val="nil"/>
                    <w:tr2bl w:val="nil"/>
                  </w:tcBorders>
                  <w:noWrap w:val="0"/>
                  <w:vAlign w:val="center"/>
                </w:tcPr>
                <w:p>
                  <w:pPr>
                    <w:jc w:val="center"/>
                    <w:rPr>
                      <w:rFonts w:hint="default" w:ascii="Times New Roman" w:hAnsi="Times New Roman"/>
                      <w:b/>
                      <w:color w:val="auto"/>
                      <w:sz w:val="21"/>
                      <w:szCs w:val="21"/>
                      <w:lang w:val="en-US"/>
                    </w:rPr>
                  </w:pPr>
                  <w:r>
                    <w:rPr>
                      <w:rFonts w:hint="eastAsia"/>
                      <w:color w:val="auto"/>
                      <w:lang w:val="en-US" w:eastAsia="zh-CN"/>
                    </w:rPr>
                    <w:t>0.246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14" w:type="dxa"/>
                  <w:tcBorders>
                    <w:tl2br w:val="nil"/>
                    <w:tr2bl w:val="nil"/>
                  </w:tcBorders>
                  <w:noWrap w:val="0"/>
                  <w:vAlign w:val="center"/>
                </w:tcPr>
                <w:p>
                  <w:pPr>
                    <w:jc w:val="center"/>
                    <w:rPr>
                      <w:rFonts w:hint="eastAsia" w:eastAsia="宋体"/>
                      <w:color w:val="auto"/>
                      <w:sz w:val="21"/>
                      <w:szCs w:val="21"/>
                      <w:lang w:eastAsia="zh-CN"/>
                    </w:rPr>
                  </w:pPr>
                  <w:r>
                    <w:rPr>
                      <w:rFonts w:hint="eastAsia" w:ascii="Times New Roman" w:hAnsi="Times New Roman"/>
                      <w:color w:val="auto"/>
                      <w:sz w:val="21"/>
                      <w:szCs w:val="21"/>
                      <w:lang w:val="en-US" w:eastAsia="zh-CN"/>
                    </w:rPr>
                    <w:t>2</w:t>
                  </w:r>
                </w:p>
              </w:tc>
              <w:tc>
                <w:tcPr>
                  <w:tcW w:w="857" w:type="dxa"/>
                  <w:tcBorders>
                    <w:tl2br w:val="nil"/>
                    <w:tr2bl w:val="nil"/>
                  </w:tcBorders>
                  <w:noWrap w:val="0"/>
                  <w:vAlign w:val="center"/>
                </w:tcPr>
                <w:p>
                  <w:pPr>
                    <w:jc w:val="center"/>
                    <w:rPr>
                      <w:rFonts w:hint="eastAsia" w:eastAsia="宋体"/>
                      <w:color w:val="auto"/>
                      <w:lang w:eastAsia="zh-CN"/>
                    </w:rPr>
                  </w:pPr>
                  <w:r>
                    <w:rPr>
                      <w:rFonts w:hint="eastAsia" w:ascii="Times New Roman" w:hAnsi="Times New Roman"/>
                      <w:color w:val="auto"/>
                      <w:sz w:val="21"/>
                      <w:szCs w:val="21"/>
                      <w:lang w:eastAsia="zh-CN"/>
                    </w:rPr>
                    <w:t>生产车间</w:t>
                  </w:r>
                </w:p>
              </w:tc>
              <w:tc>
                <w:tcPr>
                  <w:tcW w:w="1124" w:type="dxa"/>
                  <w:tcBorders>
                    <w:tl2br w:val="nil"/>
                    <w:tr2bl w:val="nil"/>
                  </w:tcBorders>
                  <w:noWrap w:val="0"/>
                  <w:vAlign w:val="center"/>
                </w:tcPr>
                <w:p>
                  <w:pPr>
                    <w:ind w:left="-105" w:leftChars="-50" w:right="-105" w:rightChars="-50"/>
                    <w:jc w:val="center"/>
                    <w:rPr>
                      <w:rFonts w:hint="eastAsia" w:eastAsia="宋体"/>
                      <w:color w:val="auto"/>
                      <w:lang w:eastAsia="zh-CN"/>
                    </w:rPr>
                  </w:pPr>
                  <w:r>
                    <w:rPr>
                      <w:rFonts w:hint="eastAsia" w:ascii="Times New Roman" w:hAnsi="Times New Roman"/>
                      <w:color w:val="auto"/>
                      <w:sz w:val="21"/>
                      <w:szCs w:val="21"/>
                      <w:lang w:eastAsia="zh-CN"/>
                    </w:rPr>
                    <w:t>吹膜、造粒</w:t>
                  </w:r>
                </w:p>
              </w:tc>
              <w:tc>
                <w:tcPr>
                  <w:tcW w:w="1246" w:type="dxa"/>
                  <w:tcBorders>
                    <w:tl2br w:val="nil"/>
                    <w:tr2bl w:val="nil"/>
                  </w:tcBorders>
                  <w:noWrap w:val="0"/>
                  <w:vAlign w:val="center"/>
                </w:tcPr>
                <w:p>
                  <w:pPr>
                    <w:ind w:left="-105" w:leftChars="-50" w:right="-105" w:rightChars="-50"/>
                    <w:jc w:val="center"/>
                    <w:rPr>
                      <w:rFonts w:hint="eastAsia" w:eastAsia="宋体"/>
                      <w:color w:val="auto"/>
                      <w:lang w:eastAsia="zh-CN"/>
                    </w:rPr>
                  </w:pPr>
                  <w:r>
                    <w:rPr>
                      <w:rFonts w:hint="eastAsia" w:ascii="Times New Roman" w:hAnsi="Times New Roman"/>
                      <w:color w:val="auto"/>
                      <w:sz w:val="21"/>
                      <w:szCs w:val="21"/>
                      <w:lang w:val="en-GB" w:eastAsia="zh-CN"/>
                    </w:rPr>
                    <w:t>非甲烷总烃</w:t>
                  </w:r>
                </w:p>
              </w:tc>
              <w:tc>
                <w:tcPr>
                  <w:tcW w:w="1426" w:type="dxa"/>
                  <w:tcBorders>
                    <w:tl2br w:val="nil"/>
                    <w:tr2bl w:val="nil"/>
                  </w:tcBorders>
                  <w:noWrap w:val="0"/>
                  <w:vAlign w:val="center"/>
                </w:tcPr>
                <w:p>
                  <w:pPr>
                    <w:jc w:val="center"/>
                    <w:rPr>
                      <w:rFonts w:hint="default" w:eastAsia="宋体"/>
                      <w:color w:val="auto"/>
                      <w:lang w:val="en-US" w:eastAsia="zh-CN"/>
                    </w:rPr>
                  </w:pPr>
                  <w:r>
                    <w:rPr>
                      <w:rFonts w:hint="eastAsia" w:ascii="Times New Roman" w:hAnsi="Times New Roman"/>
                      <w:color w:val="auto"/>
                      <w:sz w:val="21"/>
                      <w:szCs w:val="21"/>
                      <w:lang w:val="en-US" w:eastAsia="zh-CN"/>
                    </w:rPr>
                    <w:t>/</w:t>
                  </w:r>
                </w:p>
              </w:tc>
              <w:tc>
                <w:tcPr>
                  <w:tcW w:w="1340" w:type="dxa"/>
                  <w:tcBorders>
                    <w:tl2br w:val="nil"/>
                    <w:tr2bl w:val="nil"/>
                  </w:tcBorders>
                  <w:noWrap w:val="0"/>
                  <w:vAlign w:val="center"/>
                </w:tcPr>
                <w:p>
                  <w:pPr>
                    <w:jc w:val="center"/>
                    <w:rPr>
                      <w:rFonts w:hint="default" w:eastAsia="宋体"/>
                      <w:color w:val="auto"/>
                      <w:lang w:val="en-US" w:eastAsia="zh-CN"/>
                    </w:rPr>
                  </w:pPr>
                  <w:r>
                    <w:rPr>
                      <w:rFonts w:hint="eastAsia" w:eastAsia="宋体"/>
                      <w:color w:val="auto"/>
                      <w:lang w:val="en-US" w:eastAsia="zh-CN"/>
                    </w:rPr>
                    <w:t>0.228</w:t>
                  </w:r>
                </w:p>
              </w:tc>
              <w:tc>
                <w:tcPr>
                  <w:tcW w:w="1340" w:type="dxa"/>
                  <w:tcBorders>
                    <w:tl2br w:val="nil"/>
                    <w:tr2bl w:val="nil"/>
                  </w:tcBorders>
                  <w:noWrap w:val="0"/>
                  <w:vAlign w:val="center"/>
                </w:tcPr>
                <w:p>
                  <w:pPr>
                    <w:jc w:val="center"/>
                    <w:rPr>
                      <w:rFonts w:hint="default"/>
                      <w:color w:val="auto"/>
                      <w:lang w:val="en-US" w:eastAsia="zh-CN"/>
                    </w:rPr>
                  </w:pPr>
                  <w:r>
                    <w:rPr>
                      <w:rFonts w:hint="eastAsia"/>
                      <w:color w:val="auto"/>
                      <w:lang w:val="en-US" w:eastAsia="zh-CN"/>
                    </w:rPr>
                    <w:t>0.546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95" w:type="dxa"/>
                  <w:gridSpan w:val="3"/>
                  <w:tcBorders>
                    <w:tl2br w:val="nil"/>
                    <w:tr2bl w:val="nil"/>
                  </w:tcBorders>
                  <w:noWrap w:val="0"/>
                  <w:vAlign w:val="center"/>
                </w:tcPr>
                <w:p>
                  <w:pPr>
                    <w:ind w:left="-105" w:leftChars="-50" w:right="-105" w:rightChars="-50"/>
                    <w:jc w:val="center"/>
                    <w:rPr>
                      <w:color w:val="auto"/>
                      <w:sz w:val="21"/>
                      <w:szCs w:val="21"/>
                    </w:rPr>
                  </w:pPr>
                  <w:r>
                    <w:rPr>
                      <w:rFonts w:ascii="Times New Roman" w:hAnsi="Times New Roman"/>
                      <w:color w:val="auto"/>
                      <w:sz w:val="21"/>
                      <w:szCs w:val="21"/>
                    </w:rPr>
                    <w:t>总计</w:t>
                  </w:r>
                </w:p>
              </w:tc>
              <w:tc>
                <w:tcPr>
                  <w:tcW w:w="4012" w:type="dxa"/>
                  <w:gridSpan w:val="3"/>
                  <w:tcBorders>
                    <w:tl2br w:val="nil"/>
                    <w:tr2bl w:val="nil"/>
                  </w:tcBorders>
                  <w:noWrap w:val="0"/>
                  <w:vAlign w:val="center"/>
                </w:tcPr>
                <w:p>
                  <w:pPr>
                    <w:jc w:val="center"/>
                    <w:rPr>
                      <w:color w:val="auto"/>
                    </w:rPr>
                  </w:pPr>
                  <w:r>
                    <w:rPr>
                      <w:rFonts w:ascii="Times New Roman" w:hAnsi="Times New Roman"/>
                      <w:bCs/>
                      <w:color w:val="auto"/>
                      <w:sz w:val="21"/>
                      <w:szCs w:val="21"/>
                    </w:rPr>
                    <w:t>非甲烷总烃</w:t>
                  </w:r>
                </w:p>
              </w:tc>
              <w:tc>
                <w:tcPr>
                  <w:tcW w:w="1340" w:type="dxa"/>
                  <w:tcBorders>
                    <w:tl2br w:val="nil"/>
                    <w:tr2bl w:val="nil"/>
                  </w:tcBorders>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0.792</w:t>
                  </w:r>
                </w:p>
              </w:tc>
            </w:tr>
          </w:tbl>
          <w:p>
            <w:pPr>
              <w:pStyle w:val="83"/>
              <w:adjustRightInd w:val="0"/>
              <w:snapToGrid w:val="0"/>
              <w:ind w:firstLine="482" w:firstLineChars="200"/>
              <w:rPr>
                <w:rFonts w:hint="default" w:ascii="Times New Roman" w:hAnsi="Times New Roman" w:cs="Times New Roman"/>
                <w:color w:val="auto"/>
              </w:rPr>
            </w:pPr>
            <w:r>
              <w:rPr>
                <w:rFonts w:hint="default" w:ascii="Times New Roman" w:hAnsi="Times New Roman" w:cs="Times New Roman"/>
                <w:color w:val="auto"/>
              </w:rPr>
              <w:t>4.监测要求</w:t>
            </w:r>
          </w:p>
          <w:p>
            <w:pPr>
              <w:adjustRightInd w:val="0"/>
              <w:snapToGrid w:val="0"/>
              <w:spacing w:line="360" w:lineRule="auto"/>
              <w:ind w:firstLine="480" w:firstLineChars="200"/>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根据《排污单位自行监测技术指南 总则》（</w:t>
            </w:r>
            <w:r>
              <w:rPr>
                <w:rFonts w:hint="default" w:ascii="Times New Roman" w:hAnsi="Times New Roman" w:eastAsia="宋体" w:cs="Times New Roman"/>
                <w:b w:val="0"/>
                <w:bCs/>
                <w:color w:val="auto"/>
                <w:kern w:val="2"/>
                <w:sz w:val="24"/>
                <w:szCs w:val="24"/>
                <w:lang w:val="en-US" w:eastAsia="zh-CN" w:bidi="ar-SA"/>
              </w:rPr>
              <w:t>HJ819-2017</w:t>
            </w:r>
            <w:r>
              <w:rPr>
                <w:rFonts w:hint="eastAsia" w:ascii="Times New Roman" w:hAnsi="Times New Roman" w:eastAsia="宋体" w:cs="Times New Roman"/>
                <w:b w:val="0"/>
                <w:bCs/>
                <w:color w:val="auto"/>
                <w:kern w:val="2"/>
                <w:sz w:val="24"/>
                <w:szCs w:val="24"/>
                <w:lang w:val="en-US" w:eastAsia="zh-CN" w:bidi="ar-SA"/>
              </w:rPr>
              <w:t>）、《排污许可证申请与核发技术规范 橡胶和塑料制品工业》（HJ1122-2020），企业在运营期的大气环境监测计划如下：</w:t>
            </w:r>
          </w:p>
          <w:p>
            <w:pPr>
              <w:pStyle w:val="83"/>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6</w:t>
            </w:r>
            <w:r>
              <w:rPr>
                <w:rFonts w:hint="default" w:ascii="Times New Roman" w:hAnsi="Times New Roman" w:cs="Times New Roman"/>
                <w:color w:val="auto"/>
              </w:rPr>
              <w:t xml:space="preserve"> 废气污染物监测情况一览表</w:t>
            </w:r>
          </w:p>
          <w:tbl>
            <w:tblPr>
              <w:tblStyle w:val="33"/>
              <w:tblW w:w="8123"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6"/>
              <w:gridCol w:w="1438"/>
              <w:gridCol w:w="3478"/>
              <w:gridCol w:w="20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123" w:type="dxa"/>
                  <w:gridSpan w:val="4"/>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1438"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监测指标</w:t>
                  </w:r>
                </w:p>
              </w:tc>
              <w:tc>
                <w:tcPr>
                  <w:tcW w:w="3478"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c>
                <w:tcPr>
                  <w:tcW w:w="2031"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最低监测频次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noWrap w:val="0"/>
                  <w:vAlign w:val="center"/>
                </w:tcPr>
                <w:p>
                  <w:pPr>
                    <w:pStyle w:val="83"/>
                    <w:adjustRightInd w:val="0"/>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DA001</w:t>
                  </w:r>
                </w:p>
              </w:tc>
              <w:tc>
                <w:tcPr>
                  <w:tcW w:w="1438" w:type="dxa"/>
                  <w:noWrap w:val="0"/>
                  <w:vAlign w:val="center"/>
                </w:tcPr>
                <w:p>
                  <w:pPr>
                    <w:pStyle w:val="83"/>
                    <w:adjustRightIn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非甲烷总烃</w:t>
                  </w:r>
                </w:p>
              </w:tc>
              <w:tc>
                <w:tcPr>
                  <w:tcW w:w="3478" w:type="dxa"/>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《合成树脂工业污染物排放标准》（GB31572-2015）</w:t>
                  </w:r>
                </w:p>
              </w:tc>
              <w:tc>
                <w:tcPr>
                  <w:tcW w:w="2031" w:type="dxa"/>
                  <w:noWrap w:val="0"/>
                  <w:vAlign w:val="center"/>
                </w:tcPr>
                <w:p>
                  <w:pPr>
                    <w:pStyle w:val="83"/>
                    <w:adjustRightIn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半年监测一次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123" w:type="dxa"/>
                  <w:gridSpan w:val="4"/>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1438"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监测指标</w:t>
                  </w:r>
                </w:p>
              </w:tc>
              <w:tc>
                <w:tcPr>
                  <w:tcW w:w="3478"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c>
                <w:tcPr>
                  <w:tcW w:w="2031"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最低监测频次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厂界</w:t>
                  </w:r>
                </w:p>
              </w:tc>
              <w:tc>
                <w:tcPr>
                  <w:tcW w:w="1438" w:type="dxa"/>
                  <w:noWrap w:val="0"/>
                  <w:vAlign w:val="center"/>
                </w:tcPr>
                <w:p>
                  <w:pPr>
                    <w:pStyle w:val="83"/>
                    <w:adjustRightIn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非甲烷总烃</w:t>
                  </w:r>
                </w:p>
              </w:tc>
              <w:tc>
                <w:tcPr>
                  <w:tcW w:w="3478" w:type="dxa"/>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《合成树脂工业污染物排放标准》（GB31572-2015）</w:t>
                  </w:r>
                </w:p>
              </w:tc>
              <w:tc>
                <w:tcPr>
                  <w:tcW w:w="2031" w:type="dxa"/>
                  <w:noWrap w:val="0"/>
                  <w:vAlign w:val="center"/>
                </w:tcPr>
                <w:p>
                  <w:pPr>
                    <w:pStyle w:val="83"/>
                    <w:adjustRightIn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半年监测一次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厂区内</w:t>
                  </w:r>
                </w:p>
              </w:tc>
              <w:tc>
                <w:tcPr>
                  <w:tcW w:w="1438" w:type="dxa"/>
                  <w:noWrap w:val="0"/>
                  <w:vAlign w:val="center"/>
                </w:tcPr>
                <w:p>
                  <w:pPr>
                    <w:pStyle w:val="83"/>
                    <w:adjustRightIn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非甲烷总烃</w:t>
                  </w:r>
                </w:p>
              </w:tc>
              <w:tc>
                <w:tcPr>
                  <w:tcW w:w="3478" w:type="dxa"/>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《挥发性有机物无组织排放控制标准》（GB37822—2019）</w:t>
                  </w:r>
                </w:p>
              </w:tc>
              <w:tc>
                <w:tcPr>
                  <w:tcW w:w="2031" w:type="dxa"/>
                  <w:noWrap w:val="0"/>
                  <w:vAlign w:val="center"/>
                </w:tcPr>
                <w:p>
                  <w:pPr>
                    <w:pStyle w:val="83"/>
                    <w:adjustRightIn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半年监测一次</w:t>
                  </w:r>
                </w:p>
              </w:tc>
            </w:tr>
          </w:tbl>
          <w:p>
            <w:pPr>
              <w:pStyle w:val="83"/>
              <w:adjustRightInd w:val="0"/>
              <w:snapToGrid w:val="0"/>
              <w:ind w:firstLine="482" w:firstLineChars="200"/>
              <w:rPr>
                <w:rFonts w:hint="default" w:ascii="Times New Roman" w:hAnsi="Times New Roman" w:cs="Times New Roman"/>
                <w:color w:val="auto"/>
              </w:rPr>
            </w:pPr>
            <w:r>
              <w:rPr>
                <w:rFonts w:hint="default" w:ascii="Times New Roman" w:hAnsi="Times New Roman" w:cs="Times New Roman"/>
                <w:color w:val="auto"/>
              </w:rPr>
              <w:t>5.大气污染治理措施及可行性分析</w:t>
            </w:r>
          </w:p>
          <w:p>
            <w:pPr>
              <w:spacing w:line="360" w:lineRule="auto"/>
              <w:ind w:firstLine="480" w:firstLineChars="200"/>
              <w:rPr>
                <w:rFonts w:ascii="宋体" w:hAnsi="宋体" w:eastAsia="宋体" w:cs="宋体"/>
                <w:b w:val="0"/>
                <w:color w:val="auto"/>
                <w:sz w:val="24"/>
                <w:u w:val="none"/>
              </w:rPr>
            </w:pPr>
            <w:r>
              <w:rPr>
                <w:rFonts w:ascii="宋体" w:hAnsi="宋体" w:eastAsia="宋体" w:cs="宋体"/>
                <w:b w:val="0"/>
                <w:color w:val="auto"/>
                <w:sz w:val="24"/>
                <w:u w:val="none"/>
              </w:rPr>
              <w:t>项目产生的非甲烷总烃经</w:t>
            </w:r>
            <w:r>
              <w:rPr>
                <w:rFonts w:hint="eastAsia" w:ascii="宋体" w:hAnsi="宋体" w:eastAsia="宋体" w:cs="宋体"/>
                <w:b w:val="0"/>
                <w:color w:val="auto"/>
                <w:sz w:val="24"/>
                <w:u w:val="none"/>
                <w:lang w:eastAsia="zh-CN"/>
              </w:rPr>
              <w:t>负压</w:t>
            </w:r>
            <w:r>
              <w:rPr>
                <w:rFonts w:ascii="宋体" w:hAnsi="宋体" w:eastAsia="宋体" w:cs="宋体"/>
                <w:b w:val="0"/>
                <w:color w:val="auto"/>
                <w:sz w:val="24"/>
                <w:u w:val="none"/>
              </w:rPr>
              <w:t>收集后，经</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二级活性炭吸附</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装置处理后，通过15m高排气筒排放。</w:t>
            </w:r>
          </w:p>
          <w:p>
            <w:pPr>
              <w:spacing w:line="360" w:lineRule="auto"/>
              <w:ind w:firstLine="480" w:firstLineChars="200"/>
              <w:rPr>
                <w:rFonts w:hint="eastAsia" w:ascii="宋体" w:hAnsi="宋体" w:eastAsia="宋体" w:cs="宋体"/>
                <w:b w:val="0"/>
                <w:color w:val="auto"/>
                <w:sz w:val="24"/>
                <w:u w:val="none"/>
                <w:lang w:eastAsia="zh-CN"/>
              </w:rPr>
            </w:pPr>
            <w:r>
              <w:rPr>
                <w:rFonts w:ascii="宋体" w:hAnsi="宋体" w:eastAsia="宋体" w:cs="宋体"/>
                <w:b w:val="0"/>
                <w:color w:val="auto"/>
                <w:sz w:val="24"/>
                <w:u w:val="none"/>
              </w:rPr>
              <w:t>活性炭吸附装置工作原理：活性炭是一种具有非极性表面，为疏水性有机物的吸附剂，能够有效去除废气中的有机溶剂和臭味，与有机废气接触时产生强烈的相互物理作用力一范德华力，在此力作用下，有机废气中的有害成分被截留，使气体得到净化。活性炭是应用最早、用途较广的一种优良吸附剂，常用作吸附回收空气中的有机溶剂和恶臭物质，活性炭吸附装置处理效率较高，国内外多例应用均说明，活性炭处理有机废气是较为理想的治理方案。为达到稳定的工作效率，吸附装置中的活性炭需定期更换。本项目</w:t>
            </w:r>
            <w:r>
              <w:rPr>
                <w:rFonts w:hint="eastAsia" w:ascii="宋体" w:hAnsi="宋体" w:eastAsia="宋体" w:cs="宋体"/>
                <w:b w:val="0"/>
                <w:color w:val="auto"/>
                <w:sz w:val="24"/>
                <w:u w:val="none"/>
                <w:lang w:eastAsia="zh-CN"/>
              </w:rPr>
              <w:t>采用二级活性炭吸附装置</w:t>
            </w:r>
            <w:r>
              <w:rPr>
                <w:rFonts w:ascii="宋体" w:hAnsi="宋体" w:eastAsia="宋体" w:cs="宋体"/>
                <w:b w:val="0"/>
                <w:color w:val="auto"/>
                <w:sz w:val="24"/>
                <w:u w:val="none"/>
              </w:rPr>
              <w:t>，废气处理装置综合处理效率可达90%以上。</w:t>
            </w:r>
          </w:p>
          <w:p>
            <w:pPr>
              <w:spacing w:line="360" w:lineRule="auto"/>
              <w:ind w:firstLine="480" w:firstLineChars="200"/>
              <w:rPr>
                <w:rFonts w:ascii="宋体" w:hAnsi="宋体" w:eastAsia="宋体" w:cs="宋体"/>
                <w:b w:val="0"/>
                <w:color w:val="auto"/>
                <w:sz w:val="24"/>
                <w:u w:val="none"/>
              </w:rPr>
            </w:pPr>
            <w:r>
              <w:rPr>
                <w:rFonts w:ascii="宋体" w:hAnsi="宋体" w:eastAsia="宋体" w:cs="宋体"/>
                <w:b w:val="0"/>
                <w:color w:val="auto"/>
                <w:sz w:val="24"/>
                <w:u w:val="none"/>
              </w:rPr>
              <w:t>主要用于低浓度、高风量可挥发性有机物</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VOCs</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的处理，吸附剂多数采用活性炭，活性炭产品的性能指标可分为物理性能指标、化学性能指标、吸附性能指标三种性能。活性炭件吸附可分为物理吸附和化学吸附。①物理吸附主要发生在活性炭去除液相和气相中杂质的过程中。活性炭的多孔结构提供了大量的表面积，从而使其非常容易达到吸收收集杂质的目的。②化学吸附经常是发生在活性炭的表面。活性炭不仅含碳，而且在其表面含有少量的化学结合，功能团形式的氧和氢，例如羧基、羟基、酚类、内脂类、醌类、醚类等。这些表面上含有的氧化物或络合物可以与被吸附的物质发生化学反应，从而与被吸附物质结合聚集到活性炭的表面。其去除效率高，具有密集的细孔结构、内表面积大、吸附性能好、化学性质稳定、不易破碎、对空气阻力小等性能。</w:t>
            </w:r>
          </w:p>
          <w:p>
            <w:pPr>
              <w:spacing w:line="360" w:lineRule="auto"/>
              <w:ind w:firstLine="480" w:firstLineChars="200"/>
              <w:rPr>
                <w:rFonts w:ascii="宋体" w:hAnsi="宋体" w:eastAsia="宋体" w:cs="宋体"/>
                <w:b w:val="0"/>
                <w:color w:val="auto"/>
                <w:sz w:val="24"/>
                <w:u w:val="none"/>
              </w:rPr>
            </w:pPr>
            <w:r>
              <w:rPr>
                <w:rFonts w:ascii="宋体" w:hAnsi="宋体" w:eastAsia="宋体" w:cs="宋体"/>
                <w:b w:val="0"/>
                <w:color w:val="auto"/>
                <w:sz w:val="24"/>
                <w:u w:val="none"/>
              </w:rPr>
              <w:t>活性炭吸附装置属于《排污许可证申请与核发技术规范</w:t>
            </w:r>
            <w:r>
              <w:rPr>
                <w:rFonts w:hint="eastAsia" w:ascii="宋体" w:hAnsi="宋体" w:eastAsia="宋体" w:cs="宋体"/>
                <w:b w:val="0"/>
                <w:color w:val="auto"/>
                <w:sz w:val="24"/>
                <w:u w:val="none"/>
                <w:lang w:val="en-US" w:eastAsia="zh-CN"/>
              </w:rPr>
              <w:t xml:space="preserve"> </w:t>
            </w:r>
            <w:r>
              <w:rPr>
                <w:rFonts w:ascii="宋体" w:hAnsi="宋体" w:eastAsia="宋体" w:cs="宋体"/>
                <w:b w:val="0"/>
                <w:color w:val="auto"/>
                <w:sz w:val="24"/>
                <w:u w:val="none"/>
              </w:rPr>
              <w:t>橡胶和塑料制品工业》</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HJ1122―2020</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中的可行技术。因此，本项目采用</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二级活性炭吸附</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废气处理装置对产生的非甲烷总烃进行处理，技术上是可行的。</w:t>
            </w:r>
          </w:p>
          <w:p>
            <w:pPr>
              <w:pStyle w:val="83"/>
              <w:adjustRightInd w:val="0"/>
              <w:snapToGrid w:val="0"/>
              <w:ind w:firstLine="482" w:firstLineChars="200"/>
              <w:rPr>
                <w:rFonts w:hint="default" w:ascii="Times New Roman" w:hAnsi="Times New Roman" w:cs="Times New Roman"/>
                <w:color w:val="auto"/>
              </w:rPr>
            </w:pPr>
            <w:r>
              <w:rPr>
                <w:rFonts w:hint="default" w:ascii="Times New Roman" w:hAnsi="Times New Roman" w:cs="Times New Roman"/>
                <w:color w:val="auto"/>
              </w:rPr>
              <w:t>6.大气环境影响分析</w:t>
            </w:r>
          </w:p>
          <w:p>
            <w:pPr>
              <w:spacing w:line="360" w:lineRule="auto"/>
              <w:ind w:firstLine="480" w:firstLineChars="200"/>
              <w:rPr>
                <w:rFonts w:ascii="宋体" w:hAnsi="宋体" w:eastAsia="宋体" w:cs="宋体"/>
                <w:b w:val="0"/>
                <w:color w:val="auto"/>
                <w:sz w:val="24"/>
                <w:u w:val="none"/>
              </w:rPr>
            </w:pPr>
            <w:r>
              <w:rPr>
                <w:rFonts w:ascii="宋体" w:hAnsi="宋体" w:eastAsia="宋体" w:cs="宋体"/>
                <w:b w:val="0"/>
                <w:color w:val="auto"/>
                <w:sz w:val="24"/>
                <w:u w:val="none"/>
              </w:rPr>
              <w:t>本项目废气主要为</w:t>
            </w:r>
            <w:r>
              <w:rPr>
                <w:rFonts w:hint="eastAsia" w:ascii="宋体" w:hAnsi="宋体" w:eastAsia="宋体" w:cs="宋体"/>
                <w:b w:val="0"/>
                <w:color w:val="auto"/>
                <w:sz w:val="24"/>
                <w:u w:val="none"/>
                <w:lang w:eastAsia="zh-CN"/>
              </w:rPr>
              <w:t>吹膜废气和造粒废气（均以</w:t>
            </w:r>
            <w:r>
              <w:rPr>
                <w:rFonts w:ascii="宋体" w:hAnsi="宋体" w:eastAsia="宋体" w:cs="宋体"/>
                <w:b w:val="0"/>
                <w:color w:val="auto"/>
                <w:sz w:val="24"/>
                <w:u w:val="none"/>
              </w:rPr>
              <w:t>非甲烷总烃</w:t>
            </w:r>
            <w:r>
              <w:rPr>
                <w:rFonts w:hint="eastAsia" w:ascii="宋体" w:hAnsi="宋体" w:eastAsia="宋体" w:cs="宋体"/>
                <w:b w:val="0"/>
                <w:color w:val="auto"/>
                <w:sz w:val="24"/>
                <w:u w:val="none"/>
                <w:lang w:eastAsia="zh-CN"/>
              </w:rPr>
              <w:t>计）</w:t>
            </w:r>
            <w:r>
              <w:rPr>
                <w:rFonts w:ascii="宋体" w:hAnsi="宋体" w:eastAsia="宋体" w:cs="宋体"/>
                <w:b w:val="0"/>
                <w:color w:val="auto"/>
                <w:sz w:val="24"/>
                <w:u w:val="none"/>
              </w:rPr>
              <w:t>。项目</w:t>
            </w:r>
            <w:r>
              <w:rPr>
                <w:rFonts w:hint="eastAsia" w:ascii="宋体" w:hAnsi="宋体" w:eastAsia="宋体" w:cs="宋体"/>
                <w:b w:val="0"/>
                <w:color w:val="auto"/>
                <w:sz w:val="24"/>
                <w:u w:val="none"/>
                <w:lang w:eastAsia="zh-CN"/>
              </w:rPr>
              <w:t>生产</w:t>
            </w:r>
            <w:r>
              <w:rPr>
                <w:rFonts w:ascii="宋体" w:hAnsi="宋体" w:eastAsia="宋体" w:cs="宋体"/>
                <w:b w:val="0"/>
                <w:color w:val="auto"/>
                <w:sz w:val="24"/>
                <w:u w:val="none"/>
              </w:rPr>
              <w:t>过程产生的非甲烷总烃</w:t>
            </w:r>
            <w:r>
              <w:rPr>
                <w:rFonts w:hint="eastAsia" w:ascii="宋体" w:hAnsi="宋体" w:eastAsia="宋体" w:cs="宋体"/>
                <w:b w:val="0"/>
                <w:color w:val="auto"/>
                <w:sz w:val="24"/>
                <w:u w:val="none"/>
                <w:lang w:eastAsia="zh-CN"/>
              </w:rPr>
              <w:t>负压</w:t>
            </w:r>
            <w:r>
              <w:rPr>
                <w:rFonts w:ascii="宋体" w:hAnsi="宋体" w:eastAsia="宋体" w:cs="宋体"/>
                <w:b w:val="0"/>
                <w:color w:val="auto"/>
                <w:sz w:val="24"/>
                <w:u w:val="none"/>
              </w:rPr>
              <w:t>收集后经二级活性炭吸附装置处理后，</w:t>
            </w:r>
            <w:r>
              <w:rPr>
                <w:rFonts w:hint="eastAsia" w:ascii="宋体" w:hAnsi="宋体" w:eastAsia="宋体" w:cs="宋体"/>
                <w:b w:val="0"/>
                <w:color w:val="auto"/>
                <w:sz w:val="24"/>
                <w:u w:val="none"/>
                <w:lang w:eastAsia="zh-CN"/>
              </w:rPr>
              <w:t>由一根</w:t>
            </w:r>
            <w:r>
              <w:rPr>
                <w:rFonts w:hint="eastAsia" w:ascii="宋体" w:hAnsi="宋体" w:eastAsia="宋体" w:cs="宋体"/>
                <w:b w:val="0"/>
                <w:color w:val="auto"/>
                <w:sz w:val="24"/>
                <w:u w:val="none"/>
                <w:lang w:val="en-US" w:eastAsia="zh-CN"/>
              </w:rPr>
              <w:t>15m高的排气筒排放。</w:t>
            </w:r>
            <w:r>
              <w:rPr>
                <w:rFonts w:ascii="宋体" w:hAnsi="宋体" w:eastAsia="宋体" w:cs="宋体"/>
                <w:b w:val="0"/>
                <w:color w:val="auto"/>
                <w:sz w:val="24"/>
                <w:u w:val="none"/>
              </w:rPr>
              <w:t>有组织排放可满足《合成树脂工业污染物排放标准》</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GB31572-2015</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中</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表5大气污染物特别排放限值</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要求，无组织排放可满足《合成树脂工业污染物排放标准》</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GB31572-2015</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中</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表9企业边界大气污染物浓度限值</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，厂区内非甲烷总烃无组织排放监控点浓度可满足《挥发性有机物无组织排放控制标准》</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GB37822-2019</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中</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附录A厂区内VOCs无组织排放监控要求特别排放限值</w:t>
            </w:r>
            <w:r>
              <w:rPr>
                <w:rFonts w:hint="eastAsia" w:ascii="宋体" w:hAnsi="宋体" w:eastAsia="宋体" w:cs="宋体"/>
                <w:b w:val="0"/>
                <w:color w:val="auto"/>
                <w:sz w:val="24"/>
                <w:u w:val="none"/>
                <w:lang w:eastAsia="zh-CN"/>
              </w:rPr>
              <w:t>”</w:t>
            </w:r>
            <w:r>
              <w:rPr>
                <w:rFonts w:ascii="宋体" w:hAnsi="宋体" w:eastAsia="宋体" w:cs="宋体"/>
                <w:b w:val="0"/>
                <w:color w:val="auto"/>
                <w:sz w:val="24"/>
                <w:u w:val="none"/>
              </w:rPr>
              <w:t>，对周边环境影响不大。</w:t>
            </w:r>
          </w:p>
          <w:p>
            <w:pPr>
              <w:pStyle w:val="83"/>
              <w:ind w:firstLine="482" w:firstLineChars="200"/>
              <w:rPr>
                <w:rFonts w:hint="default" w:ascii="Times New Roman" w:hAnsi="Times New Roman" w:cs="Times New Roman"/>
                <w:color w:val="auto"/>
              </w:rPr>
            </w:pPr>
            <w:r>
              <w:rPr>
                <w:rFonts w:hint="default" w:ascii="Times New Roman" w:hAnsi="Times New Roman" w:cs="Times New Roman"/>
                <w:color w:val="auto"/>
              </w:rPr>
              <w:t>（二）废水</w:t>
            </w:r>
          </w:p>
          <w:p>
            <w:pPr>
              <w:autoSpaceDE w:val="0"/>
              <w:autoSpaceDN w:val="0"/>
              <w:spacing w:line="360" w:lineRule="auto"/>
              <w:ind w:firstLine="480" w:firstLineChars="200"/>
              <w:jc w:val="left"/>
              <w:rPr>
                <w:rFonts w:ascii="Times New Roman" w:hAnsi="Times New Roman"/>
                <w:color w:val="auto"/>
                <w:sz w:val="24"/>
              </w:rPr>
            </w:pPr>
            <w:r>
              <w:rPr>
                <w:rFonts w:hint="eastAsia" w:ascii="Times New Roman" w:hAnsi="Times New Roman"/>
                <w:color w:val="auto"/>
                <w:sz w:val="24"/>
                <w:lang w:eastAsia="zh-CN"/>
              </w:rPr>
              <w:t>本项目</w:t>
            </w:r>
            <w:r>
              <w:rPr>
                <w:rFonts w:hint="default" w:ascii="Times New Roman" w:hAnsi="Times New Roman" w:eastAsia="宋体" w:cs="Times New Roman"/>
                <w:color w:val="auto"/>
                <w:sz w:val="24"/>
                <w:szCs w:val="24"/>
                <w:u w:val="none"/>
                <w:lang w:val="en-US" w:eastAsia="zh-CN"/>
              </w:rPr>
              <w:t>冷却水</w:t>
            </w:r>
            <w:r>
              <w:rPr>
                <w:rFonts w:hint="eastAsia" w:ascii="Times New Roman" w:hAnsi="Times New Roman" w:eastAsia="宋体" w:cs="Times New Roman"/>
                <w:color w:val="auto"/>
                <w:sz w:val="24"/>
                <w:szCs w:val="24"/>
                <w:u w:val="none"/>
                <w:lang w:val="en-US" w:eastAsia="zh-CN"/>
              </w:rPr>
              <w:t>循环使用，不外排；</w:t>
            </w:r>
            <w:r>
              <w:rPr>
                <w:rFonts w:hint="eastAsia" w:ascii="Times New Roman" w:hAnsi="Times New Roman"/>
                <w:color w:val="auto"/>
                <w:sz w:val="24"/>
                <w:lang w:eastAsia="zh-CN"/>
              </w:rPr>
              <w:t>生活污水经化粪池处理后，由附近的农户清运，用作农肥</w:t>
            </w:r>
            <w:r>
              <w:rPr>
                <w:rFonts w:ascii="Times New Roman" w:hAnsi="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u w:val="none"/>
                <w:lang w:val="en-US" w:eastAsia="zh-CN"/>
              </w:rPr>
            </w:pPr>
            <w:bookmarkStart w:id="11" w:name="_Toc11104"/>
            <w:r>
              <w:rPr>
                <w:rFonts w:hint="default" w:ascii="Times New Roman" w:hAnsi="Times New Roman" w:eastAsia="宋体" w:cs="Times New Roman"/>
                <w:color w:val="auto"/>
                <w:sz w:val="24"/>
                <w:szCs w:val="24"/>
                <w:u w:val="none"/>
                <w:lang w:val="en-US" w:eastAsia="zh-CN"/>
              </w:rPr>
              <w:t>（1）循环冷却水</w:t>
            </w:r>
            <w:bookmarkEnd w:id="1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本项目产生的废水主要是</w:t>
            </w:r>
            <w:r>
              <w:rPr>
                <w:rFonts w:hint="eastAsia" w:ascii="Times New Roman" w:hAnsi="Times New Roman" w:eastAsia="宋体" w:cs="Times New Roman"/>
                <w:color w:val="auto"/>
                <w:sz w:val="24"/>
                <w:szCs w:val="24"/>
                <w:lang w:val="en-US" w:eastAsia="zh-CN"/>
              </w:rPr>
              <w:t>吹膜</w:t>
            </w:r>
            <w:r>
              <w:rPr>
                <w:rFonts w:hint="default" w:ascii="Times New Roman" w:hAnsi="Times New Roman" w:eastAsia="宋体" w:cs="Times New Roman"/>
                <w:color w:val="auto"/>
                <w:sz w:val="24"/>
                <w:szCs w:val="24"/>
                <w:lang w:val="en-US" w:eastAsia="zh-CN"/>
              </w:rPr>
              <w:t>工序产生的冷却废水</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kern w:val="2"/>
                <w:sz w:val="24"/>
                <w:szCs w:val="21"/>
                <w:lang w:val="en-US" w:eastAsia="zh-CN" w:bidi="ar-SA"/>
              </w:rPr>
              <w:t>项目吹膜工序中需要冷却水，冷却水在滚筒里面流动，吹出来的膜在滚筒外冷却，冷却水不与产品接触，为间接冷却水，冷却水循环使用，</w:t>
            </w:r>
            <w:r>
              <w:rPr>
                <w:rFonts w:hint="default" w:ascii="Times New Roman" w:hAnsi="Times New Roman" w:eastAsia="宋体" w:cs="Times New Roman"/>
                <w:color w:val="auto"/>
                <w:sz w:val="24"/>
                <w:szCs w:val="24"/>
                <w:lang w:val="en-US" w:eastAsia="zh-CN"/>
              </w:rPr>
              <w:t>定期补充，产生的损耗皆为蒸发损失，不会对环境造成影响。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u w:val="none"/>
                <w:lang w:val="en-US" w:eastAsia="zh-CN"/>
              </w:rPr>
            </w:pPr>
            <w:bookmarkStart w:id="12" w:name="_Toc13781"/>
            <w:r>
              <w:rPr>
                <w:rFonts w:hint="default" w:ascii="Times New Roman" w:hAnsi="Times New Roman" w:eastAsia="宋体" w:cs="Times New Roman"/>
                <w:color w:val="auto"/>
                <w:sz w:val="24"/>
                <w:szCs w:val="24"/>
                <w:u w:val="none"/>
                <w:lang w:val="en-US" w:eastAsia="zh-CN"/>
              </w:rPr>
              <w:t>（2）生活污水</w:t>
            </w:r>
            <w:bookmarkEnd w:id="12"/>
          </w:p>
          <w:p>
            <w:pPr>
              <w:pStyle w:val="179"/>
              <w:pageBreakBefore w:val="0"/>
              <w:kinsoku/>
              <w:wordWrap/>
              <w:topLinePunct w:val="0"/>
              <w:autoSpaceDE/>
              <w:autoSpaceDN/>
              <w:bidi w:val="0"/>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本项目员工</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人</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厂区内设置宿舍</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不设置食堂</w:t>
            </w:r>
            <w:r>
              <w:rPr>
                <w:rFonts w:hint="default" w:ascii="Times New Roman" w:hAnsi="Times New Roman" w:eastAsia="宋体" w:cs="Times New Roman"/>
                <w:b w:val="0"/>
                <w:bCs w:val="0"/>
                <w:color w:val="auto"/>
                <w:sz w:val="24"/>
                <w:szCs w:val="24"/>
                <w:u w:val="none"/>
                <w:lang w:val="en-US" w:eastAsia="zh-CN"/>
              </w:rPr>
              <w:t>，根据</w:t>
            </w:r>
            <w:r>
              <w:rPr>
                <w:rFonts w:hint="eastAsia" w:ascii="Times New Roman" w:hAnsi="Times New Roman" w:eastAsia="宋体" w:cs="Times New Roman"/>
                <w:b w:val="0"/>
                <w:bCs w:val="0"/>
                <w:color w:val="auto"/>
                <w:sz w:val="24"/>
                <w:szCs w:val="24"/>
                <w:u w:val="none"/>
                <w:lang w:val="en-US" w:eastAsia="zh-CN"/>
              </w:rPr>
              <w:t>企业的实际情况厂内生活</w:t>
            </w:r>
            <w:r>
              <w:rPr>
                <w:rFonts w:hint="default" w:ascii="Times New Roman" w:hAnsi="Times New Roman" w:eastAsia="宋体" w:cs="Times New Roman"/>
                <w:b w:val="0"/>
                <w:bCs w:val="0"/>
                <w:color w:val="auto"/>
                <w:sz w:val="24"/>
                <w:szCs w:val="24"/>
                <w:u w:val="none"/>
                <w:lang w:val="en-US" w:eastAsia="zh-CN"/>
              </w:rPr>
              <w:t>用水</w:t>
            </w:r>
            <w:r>
              <w:rPr>
                <w:rFonts w:hint="eastAsia" w:ascii="Times New Roman" w:hAnsi="Times New Roman" w:eastAsia="宋体" w:cs="Times New Roman"/>
                <w:b w:val="0"/>
                <w:bCs w:val="0"/>
                <w:color w:val="auto"/>
                <w:sz w:val="24"/>
                <w:szCs w:val="24"/>
                <w:u w:val="none"/>
                <w:lang w:val="en-US" w:eastAsia="zh-CN"/>
              </w:rPr>
              <w:t>量约</w:t>
            </w:r>
            <w:r>
              <w:rPr>
                <w:rFonts w:hint="default" w:ascii="Times New Roman" w:hAnsi="Times New Roman" w:eastAsia="宋体" w:cs="Times New Roman"/>
                <w:b w:val="0"/>
                <w:bCs w:val="0"/>
                <w:color w:val="auto"/>
                <w:sz w:val="24"/>
                <w:szCs w:val="24"/>
                <w:u w:val="none"/>
                <w:lang w:val="en-US" w:eastAsia="zh-CN"/>
              </w:rPr>
              <w:t>为</w:t>
            </w:r>
            <w:r>
              <w:rPr>
                <w:rFonts w:hint="eastAsia" w:ascii="Times New Roman" w:hAnsi="Times New Roman" w:eastAsia="宋体" w:cs="Times New Roman"/>
                <w:color w:val="auto"/>
                <w:sz w:val="24"/>
                <w:szCs w:val="24"/>
                <w:u w:val="none"/>
                <w:lang w:val="en-US" w:eastAsia="zh-CN"/>
              </w:rPr>
              <w:t>1.5m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/d</w:t>
            </w:r>
            <w:r>
              <w:rPr>
                <w:rFonts w:hint="default" w:ascii="Times New Roman" w:hAnsi="Times New Roman" w:eastAsia="宋体" w:cs="Times New Roman"/>
                <w:b w:val="0"/>
                <w:bCs w:val="0"/>
                <w:color w:val="auto"/>
                <w:sz w:val="24"/>
                <w:szCs w:val="24"/>
                <w:u w:val="none"/>
                <w:lang w:val="en-US" w:eastAsia="zh-CN"/>
              </w:rPr>
              <w:t>，本项目年工作3</w:t>
            </w:r>
            <w:r>
              <w:rPr>
                <w:rFonts w:hint="eastAsia" w:ascii="Times New Roman" w:hAnsi="Times New Roman" w:eastAsia="宋体" w:cs="Times New Roman"/>
                <w:b w:val="0"/>
                <w:bCs w:val="0"/>
                <w:color w:val="auto"/>
                <w:sz w:val="24"/>
                <w:szCs w:val="24"/>
                <w:u w:val="none"/>
                <w:lang w:val="en-US" w:eastAsia="zh-CN"/>
              </w:rPr>
              <w:t>0</w:t>
            </w:r>
            <w:r>
              <w:rPr>
                <w:rFonts w:hint="default" w:ascii="Times New Roman" w:hAnsi="Times New Roman" w:eastAsia="宋体" w:cs="Times New Roman"/>
                <w:b w:val="0"/>
                <w:bCs w:val="0"/>
                <w:color w:val="auto"/>
                <w:sz w:val="24"/>
                <w:szCs w:val="24"/>
                <w:u w:val="none"/>
                <w:lang w:val="en-US" w:eastAsia="zh-CN"/>
              </w:rPr>
              <w:t>0天，则本项目生活用</w:t>
            </w:r>
            <w:r>
              <w:rPr>
                <w:rFonts w:hint="default" w:ascii="Times New Roman" w:hAnsi="Times New Roman" w:eastAsia="宋体" w:cs="Times New Roman"/>
                <w:color w:val="auto"/>
                <w:sz w:val="24"/>
                <w:szCs w:val="24"/>
                <w:u w:val="none"/>
              </w:rPr>
              <w:t>水</w:t>
            </w:r>
            <w:r>
              <w:rPr>
                <w:rFonts w:hint="eastAsia" w:ascii="Times New Roman" w:hAnsi="Times New Roman" w:eastAsia="宋体" w:cs="Times New Roman"/>
                <w:color w:val="auto"/>
                <w:sz w:val="24"/>
                <w:szCs w:val="24"/>
                <w:u w:val="none"/>
                <w:lang w:val="en-US" w:eastAsia="zh-CN"/>
              </w:rPr>
              <w:t>450</w:t>
            </w:r>
            <w:r>
              <w:rPr>
                <w:rFonts w:hint="default" w:ascii="Times New Roman" w:hAnsi="Times New Roman" w:eastAsia="宋体" w:cs="Times New Roman"/>
                <w:color w:val="auto"/>
                <w:sz w:val="24"/>
                <w:szCs w:val="24"/>
                <w:u w:val="none"/>
              </w:rPr>
              <w:t>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/a（</w:t>
            </w:r>
            <w:r>
              <w:rPr>
                <w:rFonts w:hint="eastAsia" w:ascii="Times New Roman" w:hAnsi="Times New Roman" w:eastAsia="宋体" w:cs="Times New Roman"/>
                <w:color w:val="auto"/>
                <w:sz w:val="24"/>
                <w:szCs w:val="24"/>
                <w:u w:val="none"/>
                <w:lang w:val="en-US" w:eastAsia="zh-CN"/>
              </w:rPr>
              <w:t>1.5m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/d），年污水排放按生活用水量的80%计，则项目运营期</w:t>
            </w:r>
            <w:r>
              <w:rPr>
                <w:rFonts w:hint="default" w:ascii="Times New Roman" w:hAnsi="Times New Roman" w:eastAsia="宋体" w:cs="Times New Roman"/>
                <w:color w:val="auto"/>
                <w:sz w:val="24"/>
                <w:szCs w:val="24"/>
                <w:u w:val="none"/>
                <w:lang w:eastAsia="zh-CN"/>
              </w:rPr>
              <w:t>的</w:t>
            </w:r>
            <w:r>
              <w:rPr>
                <w:rFonts w:hint="default" w:ascii="Times New Roman" w:hAnsi="Times New Roman" w:eastAsia="宋体" w:cs="Times New Roman"/>
                <w:color w:val="auto"/>
                <w:sz w:val="24"/>
                <w:szCs w:val="24"/>
              </w:rPr>
              <w:t>排放污水</w:t>
            </w:r>
            <w:r>
              <w:rPr>
                <w:rFonts w:hint="default" w:ascii="Times New Roman" w:hAnsi="Times New Roman" w:eastAsia="宋体" w:cs="Times New Roman"/>
                <w:color w:val="auto"/>
                <w:sz w:val="24"/>
                <w:szCs w:val="24"/>
                <w:lang w:eastAsia="zh-CN"/>
              </w:rPr>
              <w:t>量</w:t>
            </w:r>
            <w:r>
              <w:rPr>
                <w:rFonts w:hint="eastAsia" w:ascii="Times New Roman" w:hAnsi="Times New Roman" w:eastAsia="宋体" w:cs="Times New Roman"/>
                <w:color w:val="auto"/>
                <w:sz w:val="24"/>
                <w:szCs w:val="24"/>
                <w:lang w:val="en-US" w:eastAsia="zh-CN"/>
              </w:rPr>
              <w:t>360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根据《给水排水设计手册》（第5册）中典型生活污水水质分析，污水中各种污染物浓度分别为COD≤500mg/L、BOD5≤300mg/L、SS≤300 mg/L、氨氮≤40mg/L、动植物油≤50mg/L、TN≤35 mg/L、TP≤4mg/L。</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生活废水处理可行性分析</w:t>
            </w:r>
          </w:p>
          <w:p>
            <w:pPr>
              <w:pStyle w:val="17"/>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邵东市</w:t>
            </w:r>
            <w:r>
              <w:rPr>
                <w:rFonts w:hint="eastAsia" w:ascii="Times New Roman" w:hAnsi="Times New Roman" w:eastAsia="宋体" w:cs="Times New Roman"/>
                <w:color w:val="auto"/>
                <w:kern w:val="0"/>
                <w:sz w:val="24"/>
                <w:szCs w:val="24"/>
                <w:lang w:val="en-US" w:eastAsia="zh-CN" w:bidi="ar"/>
              </w:rPr>
              <w:t>廉桥医药工业科技园污水处理厂位于廉桥镇廉南村，总处理规模为15000m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/d，一期工程处理规模为10000</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/d，采用“粗格栅+集水池+细格栅+沉砂池+水解酸化+AAO+二沉池+转盘滤池+紫外消毒”工艺，经处理后的尾水达到《城镇污水处理厂污染物排放标准》中一级A标准外排</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服务范围、年限及污水处理厂占地面积：</w:t>
            </w:r>
            <w:r>
              <w:rPr>
                <w:rFonts w:hint="eastAsia" w:ascii="Times New Roman" w:hAnsi="Times New Roman" w:eastAsia="宋体" w:cs="Times New Roman"/>
                <w:color w:val="auto"/>
                <w:kern w:val="0"/>
                <w:sz w:val="24"/>
                <w:szCs w:val="24"/>
                <w:lang w:val="en-US" w:eastAsia="zh-CN" w:bidi="ar"/>
              </w:rPr>
              <w:t>污水处理厂总占地梦间集23801.8m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bidi="ar"/>
              </w:rPr>
              <w:t>邵东市廉桥医药工业科技园污水处理厂一、二期工程负责邵东市廉桥医药工业科技园的</w:t>
            </w:r>
            <w:r>
              <w:rPr>
                <w:rFonts w:hint="eastAsia" w:ascii="Times New Roman" w:hAnsi="Times New Roman" w:eastAsia="宋体" w:cs="Times New Roman"/>
                <w:color w:val="auto"/>
                <w:kern w:val="0"/>
                <w:sz w:val="24"/>
                <w:szCs w:val="24"/>
                <w:lang w:val="en-US" w:eastAsia="zh-CN" w:bidi="ar"/>
              </w:rPr>
              <w:t>工业废水、生活</w:t>
            </w:r>
            <w:r>
              <w:rPr>
                <w:rFonts w:hint="default" w:ascii="Times New Roman" w:hAnsi="Times New Roman" w:eastAsia="宋体" w:cs="Times New Roman"/>
                <w:color w:val="auto"/>
                <w:kern w:val="0"/>
                <w:sz w:val="24"/>
                <w:szCs w:val="24"/>
                <w:lang w:bidi="ar"/>
              </w:rPr>
              <w:t>污水</w:t>
            </w:r>
            <w:r>
              <w:rPr>
                <w:rFonts w:hint="eastAsia" w:ascii="Times New Roman" w:hAnsi="Times New Roman" w:eastAsia="宋体" w:cs="Times New Roman"/>
                <w:color w:val="auto"/>
                <w:kern w:val="0"/>
                <w:sz w:val="24"/>
                <w:szCs w:val="24"/>
                <w:lang w:val="en-US" w:eastAsia="zh-CN" w:bidi="ar"/>
              </w:rPr>
              <w:t>和廉桥镇的生活污水</w:t>
            </w:r>
            <w:r>
              <w:rPr>
                <w:rFonts w:hint="default" w:ascii="Times New Roman" w:hAnsi="Times New Roman" w:eastAsia="宋体" w:cs="Times New Roman"/>
                <w:color w:val="auto"/>
                <w:kern w:val="0"/>
                <w:sz w:val="24"/>
                <w:szCs w:val="24"/>
                <w:lang w:bidi="ar"/>
              </w:rPr>
              <w:t>，总服务面积</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bidi="ar"/>
              </w:rPr>
              <w:t>6 km</w:t>
            </w:r>
            <w:r>
              <w:rPr>
                <w:rFonts w:hint="default" w:ascii="Times New Roman" w:hAnsi="Times New Roman" w:eastAsia="宋体" w:cs="Times New Roman"/>
                <w:color w:val="auto"/>
                <w:kern w:val="0"/>
                <w:sz w:val="24"/>
                <w:szCs w:val="24"/>
                <w:vertAlign w:val="superscript"/>
                <w:lang w:bidi="ar"/>
              </w:rPr>
              <w:t>2</w:t>
            </w:r>
            <w:r>
              <w:rPr>
                <w:rFonts w:hint="default" w:ascii="Times New Roman" w:hAnsi="Times New Roman" w:eastAsia="宋体" w:cs="Times New Roman"/>
                <w:color w:val="auto"/>
                <w:kern w:val="0"/>
                <w:sz w:val="24"/>
                <w:szCs w:val="24"/>
                <w:lang w:bidi="ar"/>
              </w:rPr>
              <w:t>。</w:t>
            </w:r>
            <w:r>
              <w:rPr>
                <w:rFonts w:hint="eastAsia" w:ascii="Times New Roman" w:hAnsi="Times New Roman" w:eastAsia="宋体" w:cs="Times New Roman"/>
                <w:color w:val="auto"/>
                <w:kern w:val="0"/>
                <w:sz w:val="24"/>
                <w:szCs w:val="24"/>
                <w:lang w:val="en-US" w:eastAsia="zh-CN" w:bidi="ar"/>
              </w:rPr>
              <w:t>一期工程于2021年年底开始</w:t>
            </w:r>
            <w:r>
              <w:rPr>
                <w:rFonts w:hint="default" w:ascii="Times New Roman" w:hAnsi="Times New Roman" w:eastAsia="宋体" w:cs="Times New Roman"/>
                <w:color w:val="auto"/>
                <w:kern w:val="0"/>
                <w:sz w:val="24"/>
                <w:szCs w:val="24"/>
                <w:lang w:bidi="ar"/>
              </w:rPr>
              <w:t>服务。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eastAsia="宋体" w:cs="Times New Roman"/>
                <w:b w:val="0"/>
                <w:bCs w:val="0"/>
                <w:color w:val="auto"/>
                <w:sz w:val="24"/>
                <w:szCs w:val="32"/>
                <w:u w:val="none"/>
                <w:lang w:val="en-US" w:eastAsia="zh-CN"/>
              </w:rPr>
            </w:pPr>
            <w:r>
              <w:rPr>
                <w:rFonts w:hint="eastAsia" w:cs="Times New Roman"/>
                <w:b w:val="0"/>
                <w:bCs w:val="0"/>
                <w:color w:val="auto"/>
                <w:sz w:val="24"/>
                <w:szCs w:val="32"/>
                <w:u w:val="none"/>
                <w:lang w:val="en-US" w:eastAsia="zh-CN"/>
              </w:rPr>
              <w:t>本项目位于湖南省邵阳市邵东市廉桥镇兔子坪村，不属于邵东市廉桥医药工业科技园污水处理厂</w:t>
            </w:r>
            <w:r>
              <w:rPr>
                <w:rFonts w:hint="eastAsia" w:ascii="Times New Roman" w:hAnsi="Times New Roman" w:eastAsia="宋体" w:cs="Times New Roman"/>
                <w:color w:val="auto"/>
                <w:kern w:val="0"/>
                <w:sz w:val="24"/>
                <w:szCs w:val="24"/>
                <w:lang w:eastAsia="zh-CN" w:bidi="ar"/>
              </w:rPr>
              <w:t>的管网收集范围，因此</w:t>
            </w:r>
            <w:r>
              <w:rPr>
                <w:rFonts w:hint="eastAsia" w:cs="Times New Roman"/>
                <w:b w:val="0"/>
                <w:bCs w:val="0"/>
                <w:color w:val="auto"/>
                <w:sz w:val="24"/>
                <w:szCs w:val="32"/>
                <w:u w:val="none"/>
                <w:lang w:val="en-US" w:eastAsia="zh-CN"/>
              </w:rPr>
              <w:t>本项目生活</w:t>
            </w:r>
            <w:r>
              <w:rPr>
                <w:rFonts w:hint="eastAsia" w:ascii="Times New Roman" w:hAnsi="Times New Roman" w:eastAsia="宋体" w:cs="Times New Roman"/>
                <w:color w:val="auto"/>
                <w:sz w:val="24"/>
                <w:szCs w:val="32"/>
                <w:u w:val="none"/>
              </w:rPr>
              <w:t>污水经化粪池处理后运往附近菜地施肥</w:t>
            </w:r>
            <w:r>
              <w:rPr>
                <w:rFonts w:hint="eastAsia" w:cs="Times New Roman"/>
                <w:color w:val="auto"/>
                <w:sz w:val="24"/>
                <w:szCs w:val="32"/>
                <w:u w:val="none"/>
                <w:lang w:eastAsia="zh-CN"/>
              </w:rPr>
              <w:t>，主要污染物为</w:t>
            </w:r>
            <w:r>
              <w:rPr>
                <w:rFonts w:hint="eastAsia" w:cs="Times New Roman"/>
                <w:color w:val="auto"/>
                <w:sz w:val="24"/>
                <w:szCs w:val="32"/>
                <w:u w:val="none"/>
                <w:lang w:val="en-US" w:eastAsia="zh-CN"/>
              </w:rPr>
              <w:t>SS、COD、BOD</w:t>
            </w:r>
            <w:r>
              <w:rPr>
                <w:rFonts w:hint="eastAsia" w:cs="Times New Roman"/>
                <w:color w:val="auto"/>
                <w:sz w:val="24"/>
                <w:szCs w:val="32"/>
                <w:u w:val="none"/>
                <w:vertAlign w:val="subscript"/>
                <w:lang w:val="en-US" w:eastAsia="zh-CN"/>
              </w:rPr>
              <w:t>5</w:t>
            </w:r>
            <w:r>
              <w:rPr>
                <w:rFonts w:hint="eastAsia" w:cs="Times New Roman"/>
                <w:color w:val="auto"/>
                <w:sz w:val="24"/>
                <w:szCs w:val="32"/>
                <w:u w:val="none"/>
                <w:lang w:val="en-US" w:eastAsia="zh-CN"/>
              </w:rPr>
              <w:t>、动植物油、氨氮等，生活污水日产生量较小，化粪池能满足处理要求，且项目附近农作物普遍，因此，生活污水</w:t>
            </w:r>
            <w:r>
              <w:rPr>
                <w:rFonts w:hint="eastAsia" w:ascii="Times New Roman" w:hAnsi="Times New Roman" w:eastAsia="宋体" w:cs="Times New Roman"/>
                <w:color w:val="auto"/>
                <w:sz w:val="24"/>
                <w:szCs w:val="32"/>
                <w:u w:val="none"/>
              </w:rPr>
              <w:t>运往附近菜地施</w:t>
            </w:r>
            <w:r>
              <w:rPr>
                <w:rFonts w:hint="eastAsia" w:cs="Times New Roman"/>
                <w:color w:val="auto"/>
                <w:sz w:val="24"/>
                <w:szCs w:val="32"/>
                <w:u w:val="none"/>
                <w:lang w:eastAsia="zh-CN"/>
              </w:rPr>
              <w:t>肥可行。</w:t>
            </w:r>
          </w:p>
          <w:p>
            <w:pPr>
              <w:numPr>
                <w:ilvl w:val="0"/>
                <w:numId w:val="0"/>
              </w:numPr>
              <w:adjustRightInd w:val="0"/>
              <w:snapToGrid w:val="0"/>
              <w:spacing w:line="360" w:lineRule="auto"/>
              <w:ind w:firstLine="482" w:firstLineChars="200"/>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监测要求</w:t>
            </w:r>
          </w:p>
          <w:p>
            <w:pPr>
              <w:spacing w:line="360" w:lineRule="auto"/>
              <w:ind w:firstLine="480" w:firstLineChars="200"/>
              <w:rPr>
                <w:rFonts w:hint="default"/>
                <w:color w:val="auto"/>
              </w:rPr>
            </w:pPr>
            <w:r>
              <w:rPr>
                <w:rFonts w:hint="eastAsia" w:ascii="Times New Roman" w:hAnsi="Times New Roman" w:eastAsia="宋体" w:cs="Times New Roman"/>
                <w:color w:val="auto"/>
                <w:sz w:val="24"/>
                <w:szCs w:val="24"/>
                <w:lang w:val="en-US" w:eastAsia="zh-CN"/>
              </w:rPr>
              <w:t>根据根据《排污单位自行监测技术指南 总则》（</w:t>
            </w:r>
            <w:r>
              <w:rPr>
                <w:rFonts w:hint="default" w:ascii="Times New Roman" w:hAnsi="Times New Roman" w:eastAsia="宋体" w:cs="Times New Roman"/>
                <w:color w:val="auto"/>
                <w:sz w:val="24"/>
                <w:szCs w:val="24"/>
                <w:lang w:val="en-US" w:eastAsia="zh-CN"/>
              </w:rPr>
              <w:t>HJ819-2017</w:t>
            </w:r>
            <w:r>
              <w:rPr>
                <w:rFonts w:hint="eastAsia" w:ascii="Times New Roman" w:hAnsi="Times New Roman" w:eastAsia="宋体" w:cs="Times New Roman"/>
                <w:color w:val="auto"/>
                <w:sz w:val="24"/>
                <w:szCs w:val="24"/>
                <w:lang w:val="en-US" w:eastAsia="zh-CN"/>
              </w:rPr>
              <w:t>）、《排污许可证申请与核发技术规范 橡胶和塑料制品工业》（</w:t>
            </w:r>
            <w:r>
              <w:rPr>
                <w:rFonts w:hint="default" w:ascii="Times New Roman" w:hAnsi="Times New Roman" w:eastAsia="宋体" w:cs="Times New Roman"/>
                <w:color w:val="auto"/>
                <w:sz w:val="24"/>
                <w:szCs w:val="24"/>
                <w:lang w:val="en-US" w:eastAsia="zh-CN"/>
              </w:rPr>
              <w:t>HJ1122-2020</w:t>
            </w:r>
            <w:r>
              <w:rPr>
                <w:rFonts w:hint="eastAsia" w:ascii="Times New Roman" w:hAnsi="Times New Roman" w:eastAsia="宋体" w:cs="Times New Roman"/>
                <w:color w:val="auto"/>
                <w:sz w:val="24"/>
                <w:szCs w:val="24"/>
                <w:lang w:val="en-US" w:eastAsia="zh-CN"/>
              </w:rPr>
              <w:t>），本项目的生活污水仅说明去向，不需要监测。</w:t>
            </w:r>
          </w:p>
          <w:p>
            <w:pPr>
              <w:pStyle w:val="83"/>
              <w:tabs>
                <w:tab w:val="left" w:pos="5467"/>
              </w:tabs>
              <w:ind w:firstLine="482" w:firstLineChars="200"/>
              <w:rPr>
                <w:rFonts w:hint="eastAsia" w:ascii="Times New Roman" w:hAnsi="Times New Roman" w:eastAsia="宋体" w:cs="Times New Roman"/>
                <w:color w:val="auto"/>
                <w:lang w:eastAsia="zh-CN"/>
              </w:rPr>
            </w:pPr>
            <w:r>
              <w:rPr>
                <w:rFonts w:hint="default" w:ascii="Times New Roman" w:hAnsi="Times New Roman" w:cs="Times New Roman"/>
                <w:color w:val="auto"/>
              </w:rPr>
              <w:t>（三）噪声</w:t>
            </w:r>
            <w:r>
              <w:rPr>
                <w:rFonts w:hint="eastAsia" w:ascii="Times New Roman" w:hAnsi="Times New Roman" w:cs="Times New Roman"/>
                <w:color w:val="auto"/>
                <w:lang w:eastAsia="zh-CN"/>
              </w:rPr>
              <w:tab/>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本项目噪声主要为</w:t>
            </w:r>
            <w:r>
              <w:rPr>
                <w:rFonts w:hint="eastAsia" w:ascii="Times New Roman" w:hAnsi="Times New Roman" w:eastAsia="宋体" w:cs="Times New Roman"/>
                <w:color w:val="auto"/>
                <w:sz w:val="24"/>
                <w:szCs w:val="24"/>
                <w:lang w:val="en-US" w:eastAsia="zh-CN"/>
              </w:rPr>
              <w:t>搅拌机、气泡膜吹膜机、分切机、制袋机、造粒机</w:t>
            </w:r>
            <w:r>
              <w:rPr>
                <w:rFonts w:hint="default" w:ascii="Times New Roman" w:hAnsi="Times New Roman" w:eastAsia="宋体" w:cs="Times New Roman"/>
                <w:color w:val="auto"/>
                <w:sz w:val="24"/>
                <w:szCs w:val="24"/>
                <w:lang w:val="en-US" w:eastAsia="zh-CN"/>
              </w:rPr>
              <w:t>等生产设备运行时产生的噪声</w:t>
            </w:r>
            <w:r>
              <w:rPr>
                <w:rFonts w:hint="eastAsia" w:ascii="Times New Roman" w:hAnsi="Times New Roman" w:eastAsia="宋体" w:cs="Times New Roman"/>
                <w:color w:val="auto"/>
                <w:sz w:val="24"/>
                <w:szCs w:val="24"/>
                <w:lang w:val="en-US" w:eastAsia="zh-CN"/>
              </w:rPr>
              <w:t>，各机械设备的声源源强较低。根据现场监测的数据表明，厂界噪声均可以做到达标排放。</w:t>
            </w:r>
            <w:r>
              <w:rPr>
                <w:rFonts w:hint="eastAsia" w:ascii="Times New Roman" w:hAnsi="Times New Roman" w:eastAsia="宋体" w:cs="Times New Roman"/>
                <w:color w:val="auto"/>
                <w:sz w:val="24"/>
                <w:szCs w:val="24"/>
                <w:lang w:eastAsia="zh-CN"/>
              </w:rPr>
              <w:t>本项目新增</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台废气处理风机。</w:t>
            </w:r>
            <w:r>
              <w:rPr>
                <w:rFonts w:hint="default" w:ascii="Times New Roman" w:hAnsi="Times New Roman" w:eastAsia="宋体" w:cs="Times New Roman"/>
                <w:color w:val="auto"/>
                <w:sz w:val="24"/>
                <w:szCs w:val="24"/>
                <w:lang w:eastAsia="zh-CN"/>
              </w:rPr>
              <w:t>噪声源声级</w:t>
            </w:r>
            <w:r>
              <w:rPr>
                <w:rFonts w:hint="eastAsia" w:ascii="Times New Roman" w:hAnsi="Times New Roman" w:eastAsia="宋体" w:cs="Times New Roman"/>
                <w:color w:val="auto"/>
                <w:sz w:val="24"/>
                <w:szCs w:val="24"/>
                <w:lang w:eastAsia="zh-CN"/>
              </w:rPr>
              <w:t>约</w:t>
            </w:r>
            <w:r>
              <w:rPr>
                <w:rFonts w:hint="eastAsia"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eastAsia="zh-CN"/>
              </w:rPr>
              <w:t>90dB。</w:t>
            </w:r>
          </w:p>
          <w:p>
            <w:pPr>
              <w:pStyle w:val="188"/>
              <w:adjustRightInd w:val="0"/>
              <w:snapToGrid w:val="0"/>
              <w:spacing w:line="360" w:lineRule="exact"/>
              <w:ind w:firstLine="432"/>
              <w:jc w:val="center"/>
              <w:rPr>
                <w:color w:val="auto"/>
                <w:sz w:val="21"/>
                <w:szCs w:val="21"/>
              </w:rPr>
            </w:pPr>
            <w:r>
              <w:rPr>
                <w:color w:val="auto"/>
                <w:sz w:val="21"/>
                <w:szCs w:val="21"/>
              </w:rPr>
              <w:t>表4-</w:t>
            </w:r>
            <w:r>
              <w:rPr>
                <w:rFonts w:hint="eastAsia"/>
                <w:color w:val="auto"/>
                <w:sz w:val="21"/>
                <w:szCs w:val="21"/>
                <w:lang w:val="en-US" w:eastAsia="zh-CN"/>
              </w:rPr>
              <w:t>7</w:t>
            </w:r>
            <w:r>
              <w:rPr>
                <w:color w:val="auto"/>
                <w:sz w:val="21"/>
                <w:szCs w:val="21"/>
              </w:rPr>
              <w:t xml:space="preserve"> 项目</w:t>
            </w:r>
            <w:r>
              <w:rPr>
                <w:rFonts w:hint="eastAsia"/>
                <w:color w:val="auto"/>
                <w:sz w:val="21"/>
                <w:szCs w:val="21"/>
              </w:rPr>
              <w:t>新增</w:t>
            </w:r>
            <w:r>
              <w:rPr>
                <w:color w:val="auto"/>
                <w:sz w:val="21"/>
                <w:szCs w:val="21"/>
              </w:rPr>
              <w:t>主要产噪声设备源强</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16"/>
              <w:gridCol w:w="2556"/>
              <w:gridCol w:w="2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2516" w:type="dxa"/>
                  <w:noWrap w:val="0"/>
                  <w:vAlign w:val="center"/>
                </w:tcPr>
                <w:p>
                  <w:pPr>
                    <w:jc w:val="center"/>
                    <w:rPr>
                      <w:color w:val="auto"/>
                    </w:rPr>
                  </w:pPr>
                  <w:r>
                    <w:rPr>
                      <w:color w:val="auto"/>
                    </w:rPr>
                    <w:t>设备名称</w:t>
                  </w:r>
                </w:p>
              </w:tc>
              <w:tc>
                <w:tcPr>
                  <w:tcW w:w="2556" w:type="dxa"/>
                  <w:noWrap w:val="0"/>
                  <w:vAlign w:val="center"/>
                </w:tcPr>
                <w:p>
                  <w:pPr>
                    <w:jc w:val="center"/>
                    <w:rPr>
                      <w:color w:val="auto"/>
                    </w:rPr>
                  </w:pPr>
                  <w:r>
                    <w:rPr>
                      <w:color w:val="auto"/>
                    </w:rPr>
                    <w:t>数量</w:t>
                  </w:r>
                </w:p>
              </w:tc>
              <w:tc>
                <w:tcPr>
                  <w:tcW w:w="2556" w:type="dxa"/>
                  <w:noWrap w:val="0"/>
                  <w:vAlign w:val="center"/>
                </w:tcPr>
                <w:p>
                  <w:pPr>
                    <w:jc w:val="center"/>
                    <w:rPr>
                      <w:color w:val="auto"/>
                    </w:rPr>
                  </w:pPr>
                  <w:r>
                    <w:rPr>
                      <w:color w:val="auto"/>
                    </w:rPr>
                    <w:t>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 w:hRule="atLeast"/>
                <w:jc w:val="center"/>
              </w:trPr>
              <w:tc>
                <w:tcPr>
                  <w:tcW w:w="2516" w:type="dxa"/>
                  <w:noWrap w:val="0"/>
                  <w:vAlign w:val="center"/>
                </w:tcPr>
                <w:p>
                  <w:pPr>
                    <w:spacing w:line="360" w:lineRule="exact"/>
                    <w:jc w:val="center"/>
                    <w:rPr>
                      <w:color w:val="auto"/>
                    </w:rPr>
                  </w:pPr>
                  <w:r>
                    <w:rPr>
                      <w:color w:val="auto"/>
                    </w:rPr>
                    <w:t>废气处理风机</w:t>
                  </w:r>
                </w:p>
              </w:tc>
              <w:tc>
                <w:tcPr>
                  <w:tcW w:w="2556" w:type="dxa"/>
                  <w:noWrap w:val="0"/>
                  <w:vAlign w:val="center"/>
                </w:tcPr>
                <w:p>
                  <w:pPr>
                    <w:spacing w:line="360" w:lineRule="exact"/>
                    <w:jc w:val="center"/>
                    <w:rPr>
                      <w:color w:val="auto"/>
                    </w:rPr>
                  </w:pPr>
                  <w:r>
                    <w:rPr>
                      <w:rFonts w:hint="eastAsia"/>
                      <w:color w:val="auto"/>
                      <w:lang w:val="en-US" w:eastAsia="zh-CN"/>
                    </w:rPr>
                    <w:t>1</w:t>
                  </w:r>
                  <w:r>
                    <w:rPr>
                      <w:color w:val="auto"/>
                    </w:rPr>
                    <w:t>台</w:t>
                  </w:r>
                </w:p>
              </w:tc>
              <w:tc>
                <w:tcPr>
                  <w:tcW w:w="2556" w:type="dxa"/>
                  <w:noWrap w:val="0"/>
                  <w:vAlign w:val="center"/>
                </w:tcPr>
                <w:p>
                  <w:pPr>
                    <w:jc w:val="center"/>
                    <w:rPr>
                      <w:color w:val="auto"/>
                    </w:rPr>
                  </w:pPr>
                  <w:r>
                    <w:rPr>
                      <w:color w:val="auto"/>
                    </w:rPr>
                    <w:t>90</w:t>
                  </w:r>
                </w:p>
              </w:tc>
            </w:tr>
          </w:tbl>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（1）预测模式</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根据环境保护部《环境影响评价技术导则》（HJ2.4-2009），本次评价采用等效室内声功率级法进行预测，其基本思路是将整个生产区或车间视为一个特大整体声源。</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a）声级计算</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建设项目声源在预测点产生的等效声级贡献值（Leqg）计算公式：</w:t>
            </w:r>
          </w:p>
          <w:p>
            <w:pPr>
              <w:pStyle w:val="31"/>
              <w:ind w:firstLine="21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3362325" cy="638175"/>
                  <wp:effectExtent l="0" t="0" r="9525" b="9525"/>
                  <wp:docPr id="56" name="图片 23" descr=")Z}4G1R2{ZNO[B]2AJ]O6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descr=")Z}4G1R2{ZNO[B]2AJ]O65K"/>
                          <pic:cNvPicPr>
                            <a:picLocks noChangeAspect="1"/>
                          </pic:cNvPicPr>
                        </pic:nvPicPr>
                        <pic:blipFill>
                          <a:blip r:embed="rId16"/>
                          <a:stretch>
                            <a:fillRect/>
                          </a:stretch>
                        </pic:blipFill>
                        <pic:spPr>
                          <a:xfrm>
                            <a:off x="0" y="0"/>
                            <a:ext cx="3362325" cy="638175"/>
                          </a:xfrm>
                          <a:prstGeom prst="rect">
                            <a:avLst/>
                          </a:prstGeom>
                          <a:noFill/>
                          <a:ln>
                            <a:noFill/>
                          </a:ln>
                        </pic:spPr>
                      </pic:pic>
                    </a:graphicData>
                  </a:graphic>
                </wp:inline>
              </w:drawing>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式中：</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Leqg—建设项目声源在预测点的等效声级贡献值，dB（A）；</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LAi — i声源在预测点产生的A声级，dB（A）；</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T —预测计算的时间段，s；</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ti — i声源在T时段内的运行时间，s。</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b）预测点的预测等效声级(L eq )计算公式</w:t>
            </w:r>
          </w:p>
          <w:p>
            <w:pPr>
              <w:pStyle w:val="31"/>
              <w:ind w:firstLine="21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3959225" cy="572135"/>
                  <wp:effectExtent l="0" t="0" r="3175" b="18415"/>
                  <wp:docPr id="57" name="图片 24" descr="PP7]RBW1%K)O_4{0H@YV2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descr="PP7]RBW1%K)O_4{0H@YV2M5"/>
                          <pic:cNvPicPr>
                            <a:picLocks noChangeAspect="1"/>
                          </pic:cNvPicPr>
                        </pic:nvPicPr>
                        <pic:blipFill>
                          <a:blip r:embed="rId17"/>
                          <a:stretch>
                            <a:fillRect/>
                          </a:stretch>
                        </pic:blipFill>
                        <pic:spPr>
                          <a:xfrm>
                            <a:off x="0" y="0"/>
                            <a:ext cx="3959225" cy="572135"/>
                          </a:xfrm>
                          <a:prstGeom prst="rect">
                            <a:avLst/>
                          </a:prstGeom>
                          <a:noFill/>
                          <a:ln>
                            <a:noFill/>
                          </a:ln>
                        </pic:spPr>
                      </pic:pic>
                    </a:graphicData>
                  </a:graphic>
                </wp:inline>
              </w:drawing>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Leqg —建设项目声源在预测点的等效声级贡献值，dB(A)；</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Leqb — 预测点的背景值，dB(A)</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c）户外声传播衰减计算</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户外声传播衰减包括几何发散（Adiv）、大气吸收（Aatm）、地面效应（Agr）屏障屏蔽（Abar）、其他多方面效应（Amisc）引起的衰减。</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距声源点r处的A声级按下式计算：</w:t>
            </w:r>
          </w:p>
          <w:p>
            <w:pPr>
              <w:pStyle w:val="179"/>
              <w:ind w:firstLine="420"/>
              <w:rPr>
                <w:rFonts w:hint="default" w:ascii="Times New Roman" w:hAnsi="Times New Roman" w:eastAsia="宋体" w:cs="Times New Roman"/>
                <w:color w:val="auto"/>
                <w:sz w:val="24"/>
                <w:szCs w:val="24"/>
                <w:lang w:val="pt-BR"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pt-BR" w:eastAsia="zh-CN"/>
              </w:rPr>
              <w:t>Lp（r）=Lp（r0）-（Adiv + Aatm + Agr + Abar + Amisc）</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在预测中考虑大气吸收衰减、室内声源等效室外声源等影响和计算方法。</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 厂界预测结果</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Times New Roman" w:hAnsi="Times New Roman" w:eastAsia="宋体" w:cs="Times New Roman"/>
                <w:color w:val="auto"/>
                <w:sz w:val="24"/>
                <w:szCs w:val="24"/>
                <w:highlight w:val="red"/>
                <w:lang w:val="en-US" w:eastAsia="zh-CN"/>
              </w:rPr>
            </w:pPr>
            <w:r>
              <w:rPr>
                <w:rFonts w:hint="default" w:ascii="Times New Roman" w:hAnsi="Times New Roman" w:eastAsia="宋体" w:cs="Times New Roman"/>
                <w:color w:val="auto"/>
                <w:sz w:val="24"/>
                <w:szCs w:val="24"/>
                <w:lang w:val="en-US" w:eastAsia="zh-CN"/>
              </w:rPr>
              <w:t>项目工作时长</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小时，夜间不工作，故只对项目昼间噪声进行预测</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新增3台废气处理风机</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各设备</w:t>
            </w:r>
            <w:r>
              <w:rPr>
                <w:rFonts w:hint="default" w:ascii="Times New Roman" w:hAnsi="Times New Roman" w:eastAsia="宋体" w:cs="Times New Roman"/>
                <w:color w:val="auto"/>
                <w:sz w:val="24"/>
                <w:szCs w:val="24"/>
                <w:lang w:val="en-US" w:eastAsia="zh-CN"/>
              </w:rPr>
              <w:t>距离各厂界的距离</w:t>
            </w:r>
            <w:r>
              <w:rPr>
                <w:rFonts w:hint="eastAsia" w:ascii="Times New Roman" w:hAnsi="Times New Roman" w:eastAsia="宋体" w:cs="Times New Roman"/>
                <w:color w:val="auto"/>
                <w:sz w:val="24"/>
                <w:szCs w:val="24"/>
                <w:lang w:val="en-US" w:eastAsia="zh-CN"/>
              </w:rPr>
              <w:t>见表4-8</w:t>
            </w:r>
            <w:r>
              <w:rPr>
                <w:rFonts w:hint="default" w:ascii="Times New Roman" w:hAnsi="Times New Roman" w:eastAsia="宋体" w:cs="Times New Roman"/>
                <w:color w:val="auto"/>
                <w:sz w:val="24"/>
                <w:szCs w:val="24"/>
                <w:lang w:val="en-US" w:eastAsia="zh-CN"/>
              </w:rPr>
              <w:t>。项目高噪声设备（</w:t>
            </w:r>
            <w:r>
              <w:rPr>
                <w:rFonts w:hint="eastAsia" w:ascii="Times New Roman" w:hAnsi="Times New Roman" w:eastAsia="宋体" w:cs="Times New Roman"/>
                <w:color w:val="auto"/>
                <w:sz w:val="24"/>
                <w:szCs w:val="24"/>
                <w:lang w:val="en-US" w:eastAsia="zh-CN"/>
              </w:rPr>
              <w:t>风机</w:t>
            </w:r>
            <w:r>
              <w:rPr>
                <w:rFonts w:hint="default" w:ascii="Times New Roman" w:hAnsi="Times New Roman" w:eastAsia="宋体" w:cs="Times New Roman"/>
                <w:color w:val="auto"/>
                <w:sz w:val="24"/>
                <w:szCs w:val="24"/>
                <w:lang w:val="en-US" w:eastAsia="zh-CN"/>
              </w:rPr>
              <w:t>）加装减</w:t>
            </w:r>
            <w:r>
              <w:rPr>
                <w:rFonts w:hint="default" w:ascii="Times New Roman" w:hAnsi="Times New Roman" w:eastAsia="宋体" w:cs="Times New Roman"/>
                <w:color w:val="auto"/>
                <w:sz w:val="24"/>
                <w:szCs w:val="24"/>
                <w:lang w:val="en-US" w:eastAsia="zh-CN"/>
              </w:rPr>
              <w:t>振装置</w:t>
            </w:r>
            <w:r>
              <w:rPr>
                <w:rFonts w:hint="eastAsia" w:ascii="Times New Roman" w:hAnsi="Times New Roman" w:eastAsia="宋体" w:cs="Times New Roman"/>
                <w:color w:val="auto"/>
                <w:sz w:val="24"/>
                <w:szCs w:val="24"/>
                <w:lang w:val="en-US" w:eastAsia="zh-CN"/>
              </w:rPr>
              <w:t>、安装消声器，设置隔声间</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同时，生产厂房墙体具有一定的隔声、降噪效果，上述措施预计可消减</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 xml:space="preserve"> dB的噪声，利用上述的预测评价数学模型，各</w:t>
            </w:r>
            <w:r>
              <w:rPr>
                <w:rFonts w:hint="eastAsia" w:ascii="Times New Roman" w:hAnsi="Times New Roman" w:eastAsia="宋体" w:cs="Times New Roman"/>
                <w:color w:val="auto"/>
                <w:sz w:val="24"/>
                <w:szCs w:val="24"/>
                <w:lang w:val="en-US" w:eastAsia="zh-CN"/>
              </w:rPr>
              <w:t>设备噪声对厂界的贡献值以及叠加结果</w:t>
            </w:r>
            <w:r>
              <w:rPr>
                <w:rFonts w:hint="default" w:ascii="Times New Roman" w:hAnsi="Times New Roman" w:eastAsia="宋体" w:cs="Times New Roman"/>
                <w:color w:val="auto"/>
                <w:sz w:val="24"/>
                <w:szCs w:val="24"/>
                <w:lang w:val="en-US" w:eastAsia="zh-CN"/>
              </w:rPr>
              <w:t>见表4-</w:t>
            </w:r>
            <w:r>
              <w:rPr>
                <w:rFonts w:hint="eastAsia" w:ascii="Times New Roman" w:hAnsi="Times New Roman" w:eastAsia="宋体" w:cs="Times New Roman"/>
                <w:color w:val="auto"/>
                <w:sz w:val="24"/>
                <w:szCs w:val="24"/>
                <w:lang w:val="en-US" w:eastAsia="zh-CN"/>
              </w:rPr>
              <w:t>9：</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jc w:val="center"/>
              <w:textAlignment w:val="auto"/>
              <w:rPr>
                <w:rFonts w:hint="eastAsia" w:ascii="Times New Roman" w:hAnsi="Times New Roman" w:eastAsia="宋体" w:cs="Times New Roman"/>
                <w:b/>
                <w:bCs/>
                <w:color w:val="auto"/>
                <w:sz w:val="21"/>
                <w:szCs w:val="21"/>
                <w:highlight w:val="none"/>
                <w:u w:val="none"/>
                <w:lang w:val="en-US" w:eastAsia="zh-CN"/>
              </w:rPr>
            </w:pPr>
          </w:p>
          <w:p>
            <w:pPr>
              <w:pStyle w:val="179"/>
              <w:keepNext w:val="0"/>
              <w:keepLines w:val="0"/>
              <w:pageBreakBefore w:val="0"/>
              <w:widowControl w:val="0"/>
              <w:kinsoku/>
              <w:wordWrap/>
              <w:overflowPunct/>
              <w:topLinePunct w:val="0"/>
              <w:autoSpaceDE/>
              <w:autoSpaceDN/>
              <w:bidi w:val="0"/>
              <w:adjustRightInd/>
              <w:snapToGrid/>
              <w:spacing w:line="480" w:lineRule="exact"/>
              <w:ind w:firstLine="42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表4-8    新增设备到各厂界及敏感点的距离</w:t>
            </w:r>
          </w:p>
          <w:tbl>
            <w:tblPr>
              <w:tblStyle w:val="34"/>
              <w:tblW w:w="795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098"/>
              <w:gridCol w:w="1326"/>
              <w:gridCol w:w="1326"/>
              <w:gridCol w:w="1327"/>
              <w:gridCol w:w="13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54"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车间名称</w:t>
                  </w:r>
                </w:p>
              </w:tc>
              <w:tc>
                <w:tcPr>
                  <w:tcW w:w="1098"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距厂界东（m）</w:t>
                  </w:r>
                </w:p>
              </w:tc>
              <w:tc>
                <w:tcPr>
                  <w:tcW w:w="1326"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距厂界南（m）</w:t>
                  </w:r>
                </w:p>
              </w:tc>
              <w:tc>
                <w:tcPr>
                  <w:tcW w:w="1326"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距厂界西（m）</w:t>
                  </w:r>
                </w:p>
              </w:tc>
              <w:tc>
                <w:tcPr>
                  <w:tcW w:w="1327"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距厂界北（m）</w:t>
                  </w:r>
                </w:p>
              </w:tc>
              <w:tc>
                <w:tcPr>
                  <w:tcW w:w="1327"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距西面居民点（m）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54"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废气处理风机</w:t>
                  </w:r>
                </w:p>
              </w:tc>
              <w:tc>
                <w:tcPr>
                  <w:tcW w:w="1098"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35</w:t>
                  </w:r>
                </w:p>
              </w:tc>
              <w:tc>
                <w:tcPr>
                  <w:tcW w:w="1326"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w:t>
                  </w:r>
                </w:p>
              </w:tc>
              <w:tc>
                <w:tcPr>
                  <w:tcW w:w="1326"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w:t>
                  </w:r>
                </w:p>
              </w:tc>
              <w:tc>
                <w:tcPr>
                  <w:tcW w:w="1327"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60</w:t>
                  </w:r>
                </w:p>
              </w:tc>
              <w:tc>
                <w:tcPr>
                  <w:tcW w:w="1327" w:type="dxa"/>
                  <w:noWrap w:val="0"/>
                  <w:vAlign w:val="center"/>
                </w:tcPr>
                <w:p>
                  <w:pPr>
                    <w:pStyle w:val="17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highlight w:val="none"/>
                <w:u w:val="none"/>
              </w:rPr>
              <w:t>表4-</w:t>
            </w:r>
            <w:r>
              <w:rPr>
                <w:rFonts w:hint="eastAsia" w:ascii="Times New Roman" w:hAnsi="Times New Roman" w:eastAsia="宋体" w:cs="Times New Roman"/>
                <w:b/>
                <w:bCs/>
                <w:color w:val="auto"/>
                <w:sz w:val="21"/>
                <w:szCs w:val="21"/>
                <w:highlight w:val="none"/>
                <w:u w:val="none"/>
                <w:lang w:val="en-US" w:eastAsia="zh-CN"/>
              </w:rPr>
              <w:t>9</w:t>
            </w:r>
            <w:r>
              <w:rPr>
                <w:rFonts w:hint="default" w:ascii="Times New Roman" w:hAnsi="Times New Roman" w:eastAsia="宋体" w:cs="Times New Roman"/>
                <w:b/>
                <w:bCs/>
                <w:color w:val="auto"/>
                <w:sz w:val="21"/>
                <w:szCs w:val="21"/>
                <w:highlight w:val="none"/>
                <w:u w:val="none"/>
              </w:rPr>
              <w:t xml:space="preserve">  </w:t>
            </w:r>
            <w:r>
              <w:rPr>
                <w:rFonts w:hint="default" w:ascii="Times New Roman" w:hAnsi="Times New Roman" w:eastAsia="宋体" w:cs="Times New Roman"/>
                <w:b/>
                <w:bCs/>
                <w:color w:val="auto"/>
                <w:sz w:val="21"/>
                <w:szCs w:val="21"/>
                <w:u w:val="none"/>
              </w:rPr>
              <w:t xml:space="preserve"> 厂界</w:t>
            </w:r>
            <w:r>
              <w:rPr>
                <w:rFonts w:hint="eastAsia" w:ascii="Times New Roman" w:hAnsi="Times New Roman" w:eastAsia="宋体" w:cs="Times New Roman"/>
                <w:b/>
                <w:bCs/>
                <w:color w:val="auto"/>
                <w:sz w:val="21"/>
                <w:szCs w:val="21"/>
                <w:u w:val="none"/>
                <w:lang w:eastAsia="zh-CN"/>
              </w:rPr>
              <w:t>处噪声贡献值</w:t>
            </w:r>
            <w:r>
              <w:rPr>
                <w:rFonts w:hint="default" w:ascii="Times New Roman" w:hAnsi="Times New Roman" w:eastAsia="宋体" w:cs="Times New Roman"/>
                <w:b/>
                <w:bCs/>
                <w:color w:val="auto"/>
                <w:sz w:val="21"/>
                <w:szCs w:val="21"/>
                <w:u w:val="none"/>
              </w:rPr>
              <w:t>的</w:t>
            </w:r>
            <w:r>
              <w:rPr>
                <w:rFonts w:hint="eastAsia" w:ascii="Times New Roman" w:hAnsi="Times New Roman" w:eastAsia="宋体" w:cs="Times New Roman"/>
                <w:b/>
                <w:bCs/>
                <w:color w:val="auto"/>
                <w:sz w:val="21"/>
                <w:szCs w:val="21"/>
                <w:u w:val="none"/>
                <w:lang w:eastAsia="zh-CN"/>
              </w:rPr>
              <w:t>叠加结果</w:t>
            </w:r>
            <w:r>
              <w:rPr>
                <w:rFonts w:hint="default" w:ascii="Times New Roman" w:hAnsi="Times New Roman" w:eastAsia="宋体" w:cs="Times New Roman"/>
                <w:b/>
                <w:bCs/>
                <w:color w:val="auto"/>
                <w:sz w:val="21"/>
                <w:szCs w:val="21"/>
                <w:u w:val="none"/>
              </w:rPr>
              <w:t xml:space="preserve"> 单位：dB(A)</w:t>
            </w:r>
          </w:p>
          <w:tbl>
            <w:tblPr>
              <w:tblStyle w:val="33"/>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97"/>
              <w:gridCol w:w="1199"/>
              <w:gridCol w:w="1553"/>
              <w:gridCol w:w="1376"/>
              <w:gridCol w:w="1210"/>
              <w:gridCol w:w="14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4" w:hRule="atLeast"/>
                <w:jc w:val="center"/>
              </w:trPr>
              <w:tc>
                <w:tcPr>
                  <w:tcW w:w="754"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预测点</w:t>
                  </w:r>
                </w:p>
              </w:tc>
              <w:tc>
                <w:tcPr>
                  <w:tcW w:w="755" w:type="pct"/>
                  <w:noWrap w:val="0"/>
                  <w:vAlign w:val="center"/>
                </w:tcPr>
                <w:p>
                  <w:pPr>
                    <w:adjustRightInd w:val="0"/>
                    <w:snapToGrid w:val="0"/>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车间噪声现有值</w:t>
                  </w:r>
                </w:p>
              </w:tc>
              <w:tc>
                <w:tcPr>
                  <w:tcW w:w="978"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车间新增设备噪声贡献值</w:t>
                  </w:r>
                </w:p>
              </w:tc>
              <w:tc>
                <w:tcPr>
                  <w:tcW w:w="866"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lang w:eastAsia="zh-CN"/>
                    </w:rPr>
                    <w:t>噪声叠加值</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883"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754"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厂界东</w:t>
                  </w:r>
                </w:p>
              </w:tc>
              <w:tc>
                <w:tcPr>
                  <w:tcW w:w="7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54.5</w:t>
                  </w:r>
                </w:p>
              </w:tc>
              <w:tc>
                <w:tcPr>
                  <w:tcW w:w="155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44.12 </w:t>
                  </w:r>
                </w:p>
              </w:tc>
              <w:tc>
                <w:tcPr>
                  <w:tcW w:w="866"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54.9</w:t>
                  </w:r>
                </w:p>
              </w:tc>
              <w:tc>
                <w:tcPr>
                  <w:tcW w:w="76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883" w:type="pct"/>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754"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厂界南</w:t>
                  </w:r>
                </w:p>
              </w:tc>
              <w:tc>
                <w:tcPr>
                  <w:tcW w:w="7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57.3</w:t>
                  </w:r>
                </w:p>
              </w:tc>
              <w:tc>
                <w:tcPr>
                  <w:tcW w:w="155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48.98 </w:t>
                  </w:r>
                </w:p>
              </w:tc>
              <w:tc>
                <w:tcPr>
                  <w:tcW w:w="866"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57.9</w:t>
                  </w:r>
                </w:p>
              </w:tc>
              <w:tc>
                <w:tcPr>
                  <w:tcW w:w="762" w:type="pct"/>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883" w:type="pct"/>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754"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厂界西</w:t>
                  </w:r>
                </w:p>
              </w:tc>
              <w:tc>
                <w:tcPr>
                  <w:tcW w:w="7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55.7</w:t>
                  </w:r>
                </w:p>
              </w:tc>
              <w:tc>
                <w:tcPr>
                  <w:tcW w:w="155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51.48 </w:t>
                  </w:r>
                </w:p>
              </w:tc>
              <w:tc>
                <w:tcPr>
                  <w:tcW w:w="866"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57.1</w:t>
                  </w:r>
                </w:p>
              </w:tc>
              <w:tc>
                <w:tcPr>
                  <w:tcW w:w="762"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0</w:t>
                  </w:r>
                </w:p>
              </w:tc>
              <w:tc>
                <w:tcPr>
                  <w:tcW w:w="883" w:type="pct"/>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754"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厂界北</w:t>
                  </w:r>
                </w:p>
              </w:tc>
              <w:tc>
                <w:tcPr>
                  <w:tcW w:w="7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55.0</w:t>
                  </w:r>
                </w:p>
              </w:tc>
              <w:tc>
                <w:tcPr>
                  <w:tcW w:w="155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39.44 </w:t>
                  </w:r>
                </w:p>
              </w:tc>
              <w:tc>
                <w:tcPr>
                  <w:tcW w:w="866"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55.1</w:t>
                  </w:r>
                </w:p>
              </w:tc>
              <w:tc>
                <w:tcPr>
                  <w:tcW w:w="762"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0</w:t>
                  </w:r>
                </w:p>
              </w:tc>
              <w:tc>
                <w:tcPr>
                  <w:tcW w:w="883"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7"/>
              <w:pageBreakBefore w:val="0"/>
              <w:widowControl w:val="0"/>
              <w:kinsoku/>
              <w:wordWrap/>
              <w:overflowPunct/>
              <w:topLinePunct w:val="0"/>
              <w:autoSpaceDE/>
              <w:autoSpaceDN/>
              <w:bidi w:val="0"/>
              <w:adjustRightInd/>
              <w:snapToGrid/>
              <w:spacing w:beforeLines="0" w:afterLines="0" w:line="480" w:lineRule="exact"/>
              <w:textAlignment w:val="auto"/>
              <w:rPr>
                <w:rFonts w:hint="default" w:ascii="Times New Roman" w:hAnsi="Times New Roman" w:eastAsia="宋体" w:cs="Times New Roman"/>
                <w:b w:val="0"/>
                <w:bCs/>
                <w:color w:val="auto"/>
                <w:sz w:val="24"/>
                <w:szCs w:val="24"/>
                <w:lang w:val="en-US" w:eastAsia="zh-CN"/>
              </w:rPr>
            </w:pPr>
            <w:bookmarkStart w:id="13" w:name="_Toc11549"/>
            <w:r>
              <w:rPr>
                <w:rFonts w:hint="default" w:ascii="Times New Roman" w:hAnsi="Times New Roman" w:eastAsia="宋体" w:cs="Times New Roman"/>
                <w:b w:val="0"/>
                <w:bCs/>
                <w:color w:val="auto"/>
                <w:sz w:val="24"/>
                <w:szCs w:val="24"/>
                <w:lang w:val="en-US" w:eastAsia="zh-CN"/>
              </w:rPr>
              <w:t>由上表预测结果可知，项目运营期，各生产设备采取相应措施后，昼间东、南、西、北面厂界噪声值能达到《工业企业厂界环境噪声排放标准》(GB12348-2008)中2类标准，由于本项目夜间不工作，故不对项目夜间噪声进行预测。</w:t>
            </w:r>
            <w:bookmarkEnd w:id="13"/>
          </w:p>
          <w:p>
            <w:pPr>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（3）敏感点噪声预测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w:t>
            </w:r>
            <w:r>
              <w:rPr>
                <w:rFonts w:hint="eastAsia" w:eastAsia="宋体" w:cs="Times New Roman"/>
                <w:b w:val="0"/>
                <w:bCs/>
                <w:color w:val="auto"/>
                <w:sz w:val="24"/>
                <w:szCs w:val="24"/>
                <w:lang w:val="en-US" w:eastAsia="zh-CN"/>
              </w:rPr>
              <w:t>西</w:t>
            </w:r>
            <w:r>
              <w:rPr>
                <w:rFonts w:hint="default" w:ascii="Times New Roman" w:hAnsi="Times New Roman" w:eastAsia="宋体" w:cs="Times New Roman"/>
                <w:b w:val="0"/>
                <w:bCs/>
                <w:color w:val="auto"/>
                <w:sz w:val="24"/>
                <w:szCs w:val="24"/>
                <w:lang w:val="en-US" w:eastAsia="zh-CN"/>
              </w:rPr>
              <w:t>厂界外</w:t>
            </w:r>
            <w:r>
              <w:rPr>
                <w:rFonts w:hint="eastAsia" w:eastAsia="宋体" w:cs="Times New Roman"/>
                <w:b w:val="0"/>
                <w:bCs/>
                <w:color w:val="auto"/>
                <w:sz w:val="24"/>
                <w:szCs w:val="24"/>
                <w:lang w:val="en-US" w:eastAsia="zh-CN"/>
              </w:rPr>
              <w:t>15</w:t>
            </w:r>
            <w:r>
              <w:rPr>
                <w:rFonts w:hint="default" w:ascii="Times New Roman" w:hAnsi="Times New Roman" w:eastAsia="宋体" w:cs="Times New Roman"/>
                <w:b w:val="0"/>
                <w:bCs/>
                <w:color w:val="auto"/>
                <w:sz w:val="24"/>
                <w:szCs w:val="24"/>
                <w:lang w:val="en-US" w:eastAsia="zh-CN"/>
              </w:rPr>
              <w:t>m</w:t>
            </w:r>
            <w:r>
              <w:rPr>
                <w:rFonts w:hint="eastAsia" w:eastAsia="宋体" w:cs="Times New Roman"/>
                <w:b w:val="0"/>
                <w:bCs/>
                <w:color w:val="auto"/>
                <w:sz w:val="24"/>
                <w:szCs w:val="24"/>
                <w:lang w:val="en-US" w:eastAsia="zh-CN"/>
              </w:rPr>
              <w:t>处有1户居民</w:t>
            </w:r>
            <w:r>
              <w:rPr>
                <w:rFonts w:hint="default" w:ascii="Times New Roman" w:hAnsi="Times New Roman" w:eastAsia="宋体" w:cs="Times New Roman"/>
                <w:b w:val="0"/>
                <w:bCs/>
                <w:color w:val="auto"/>
                <w:sz w:val="24"/>
                <w:szCs w:val="24"/>
                <w:lang w:val="en-US" w:eastAsia="zh-CN"/>
              </w:rPr>
              <w:t>。敏感点噪声预测</w:t>
            </w:r>
            <w:r>
              <w:rPr>
                <w:rFonts w:hint="eastAsia" w:ascii="Times New Roman" w:hAnsi="Times New Roman" w:eastAsia="宋体" w:cs="Times New Roman"/>
                <w:b w:val="0"/>
                <w:bCs/>
                <w:color w:val="auto"/>
                <w:sz w:val="24"/>
                <w:szCs w:val="24"/>
                <w:lang w:val="en-US" w:eastAsia="zh-CN"/>
              </w:rPr>
              <w:t>如下：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表4-</w:t>
            </w:r>
            <w:r>
              <w:rPr>
                <w:rFonts w:hint="eastAsia" w:ascii="Times New Roman" w:hAnsi="Times New Roman" w:eastAsia="宋体" w:cs="Times New Roman"/>
                <w:b/>
                <w:bCs/>
                <w:color w:val="auto"/>
                <w:sz w:val="21"/>
                <w:szCs w:val="21"/>
                <w:u w:val="none"/>
                <w:lang w:val="en-US" w:eastAsia="zh-CN"/>
              </w:rPr>
              <w:t>10</w:t>
            </w:r>
            <w:r>
              <w:rPr>
                <w:rFonts w:hint="default" w:ascii="Times New Roman" w:hAnsi="Times New Roman" w:eastAsia="宋体" w:cs="Times New Roman"/>
                <w:b/>
                <w:bCs/>
                <w:color w:val="auto"/>
                <w:sz w:val="21"/>
                <w:szCs w:val="21"/>
                <w:u w:val="none"/>
              </w:rPr>
              <w:t xml:space="preserve"> 敏感点噪声预测</w:t>
            </w:r>
            <w:r>
              <w:rPr>
                <w:rFonts w:hint="eastAsia" w:ascii="Times New Roman" w:hAnsi="Times New Roman" w:eastAsia="宋体" w:cs="Times New Roman"/>
                <w:b/>
                <w:bCs/>
                <w:color w:val="auto"/>
                <w:sz w:val="21"/>
                <w:szCs w:val="21"/>
                <w:u w:val="none"/>
                <w:lang w:eastAsia="zh-CN"/>
              </w:rPr>
              <w:t>结果</w:t>
            </w:r>
            <w:r>
              <w:rPr>
                <w:rFonts w:hint="default" w:ascii="Times New Roman" w:hAnsi="Times New Roman" w:eastAsia="宋体" w:cs="Times New Roman"/>
                <w:b/>
                <w:bCs/>
                <w:color w:val="auto"/>
                <w:sz w:val="21"/>
                <w:szCs w:val="21"/>
                <w:u w:val="none"/>
              </w:rPr>
              <w:t xml:space="preserve"> 单位：dB(A)</w:t>
            </w:r>
          </w:p>
          <w:tbl>
            <w:tblPr>
              <w:tblStyle w:val="33"/>
              <w:tblW w:w="723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1134"/>
              <w:gridCol w:w="1215"/>
              <w:gridCol w:w="1068"/>
              <w:gridCol w:w="1068"/>
              <w:gridCol w:w="12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19" w:hRule="atLeast"/>
                <w:jc w:val="center"/>
              </w:trPr>
              <w:tc>
                <w:tcPr>
                  <w:tcW w:w="1047"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预测点</w:t>
                  </w:r>
                </w:p>
              </w:tc>
              <w:tc>
                <w:tcPr>
                  <w:tcW w:w="783" w:type="pct"/>
                  <w:noWrap w:val="0"/>
                  <w:vAlign w:val="center"/>
                </w:tcPr>
                <w:p>
                  <w:pPr>
                    <w:adjustRightInd w:val="0"/>
                    <w:snapToGrid w:val="0"/>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车间噪声贡献值</w:t>
                  </w:r>
                </w:p>
              </w:tc>
              <w:tc>
                <w:tcPr>
                  <w:tcW w:w="839"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背景值</w:t>
                  </w:r>
                </w:p>
              </w:tc>
              <w:tc>
                <w:tcPr>
                  <w:tcW w:w="737"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叠加值</w:t>
                  </w:r>
                </w:p>
              </w:tc>
              <w:tc>
                <w:tcPr>
                  <w:tcW w:w="737"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855"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84" w:hRule="atLeast"/>
                <w:jc w:val="center"/>
              </w:trPr>
              <w:tc>
                <w:tcPr>
                  <w:tcW w:w="1047"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lang w:val="en-US" w:eastAsia="zh-CN"/>
                    </w:rPr>
                    <w:t>厂界外</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lang w:val="en-US" w:eastAsia="zh-CN"/>
                    </w:rPr>
                    <w:t>处兔子坪村居民点</w:t>
                  </w:r>
                </w:p>
              </w:tc>
              <w:tc>
                <w:tcPr>
                  <w:tcW w:w="783"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45.46 </w:t>
                  </w:r>
                </w:p>
              </w:tc>
              <w:tc>
                <w:tcPr>
                  <w:tcW w:w="839"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55.5</w:t>
                  </w:r>
                </w:p>
              </w:tc>
              <w:tc>
                <w:tcPr>
                  <w:tcW w:w="737"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55.9</w:t>
                  </w:r>
                </w:p>
              </w:tc>
              <w:tc>
                <w:tcPr>
                  <w:tcW w:w="737"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855" w:type="pct"/>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bl>
          <w:p>
            <w:pPr>
              <w:pStyle w:val="15"/>
              <w:adjustRightInd w:val="0"/>
              <w:spacing w:before="0"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综上所述，项目运营期各生产设备采取相应措施后，厂界昼、夜间噪声值均能达到相应标准要求，项目的运营对周围声环境的影响不大。</w:t>
            </w:r>
          </w:p>
          <w:p>
            <w:pPr>
              <w:pStyle w:val="17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为确保企业正式投产后，企业厂界噪声稳定达标，本评价要求企业还应采取以下噪声防止措施：</w:t>
            </w:r>
          </w:p>
          <w:p>
            <w:pPr>
              <w:pStyle w:val="17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①加强设备检修、保养。平时生产时加强对机械设备的维修与保养，并注意对各设备的主要磨损部位进行保养，避免老化引起的噪声，必要时应及时更换相关部件。</w:t>
            </w:r>
          </w:p>
          <w:p>
            <w:pPr>
              <w:pStyle w:val="17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②合理安排生产时间。</w:t>
            </w:r>
          </w:p>
          <w:p>
            <w:pPr>
              <w:pStyle w:val="17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③高噪声生产设备需安装在车间内，通过厂房墙体进行隔声，确保夜间生产噪声达标排放。</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采取上述措施后，项目厂界噪声对周边影响较小。</w:t>
            </w:r>
          </w:p>
          <w:p>
            <w:pPr>
              <w:pStyle w:val="15"/>
              <w:numPr>
                <w:ilvl w:val="0"/>
                <w:numId w:val="2"/>
              </w:numPr>
              <w:adjustRightInd w:val="0"/>
              <w:spacing w:after="0"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监测要求</w:t>
            </w:r>
          </w:p>
          <w:p>
            <w:pPr>
              <w:pStyle w:val="17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根据《排污单位自行监测技术指南总则》(HJ 819-2017)，厂界环境噪声每季度至少开展一次监测，夜间生产的要监测夜间噪声。本项目仅昼间生产，夜间不生产，因此厂界环境噪声每季度至少开展一次昼间噪声监测。</w:t>
            </w:r>
          </w:p>
          <w:p>
            <w:pPr>
              <w:pStyle w:val="17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监测站位：厂界四周围墙外1m。</w:t>
            </w:r>
          </w:p>
          <w:p>
            <w:pPr>
              <w:pStyle w:val="17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监测项目：昼间连续等效A声级。</w:t>
            </w:r>
          </w:p>
          <w:p>
            <w:pPr>
              <w:pStyle w:val="17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监测频率：每季度1次。</w:t>
            </w:r>
          </w:p>
          <w:p>
            <w:pPr>
              <w:numPr>
                <w:ilvl w:val="0"/>
                <w:numId w:val="0"/>
              </w:numPr>
              <w:rPr>
                <w:rFonts w:hint="default"/>
                <w:color w:val="auto"/>
              </w:rPr>
            </w:pPr>
          </w:p>
          <w:p>
            <w:pPr>
              <w:pStyle w:val="83"/>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11</w:t>
            </w:r>
            <w:r>
              <w:rPr>
                <w:rFonts w:hint="default" w:ascii="Times New Roman" w:hAnsi="Times New Roman" w:cs="Times New Roman"/>
                <w:color w:val="auto"/>
              </w:rPr>
              <w:t xml:space="preserve">  噪声监测情况一览表</w:t>
            </w:r>
          </w:p>
          <w:tbl>
            <w:tblPr>
              <w:tblStyle w:val="33"/>
              <w:tblW w:w="8123"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30"/>
              <w:gridCol w:w="2031"/>
              <w:gridCol w:w="2031"/>
              <w:gridCol w:w="20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0"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2031"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监测指标</w:t>
                  </w:r>
                </w:p>
              </w:tc>
              <w:tc>
                <w:tcPr>
                  <w:tcW w:w="2031"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c>
                <w:tcPr>
                  <w:tcW w:w="2031" w:type="dxa"/>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最低监测频次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0" w:type="dxa"/>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东厂界</w:t>
                  </w:r>
                </w:p>
              </w:tc>
              <w:tc>
                <w:tcPr>
                  <w:tcW w:w="2031" w:type="dxa"/>
                  <w:vMerge w:val="restart"/>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等效连续A声级</w:t>
                  </w:r>
                </w:p>
              </w:tc>
              <w:tc>
                <w:tcPr>
                  <w:tcW w:w="2031" w:type="dxa"/>
                  <w:vMerge w:val="restart"/>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rPr>
                    <w:t>《工业企业厂界环境噪声排放标准》（GB12348-2008）</w:t>
                  </w:r>
                  <w:r>
                    <w:rPr>
                      <w:rFonts w:hint="eastAsia" w:ascii="Times New Roman" w:hAnsi="Times New Roman" w:cs="Times New Roman"/>
                      <w:b w:val="0"/>
                      <w:bCs/>
                      <w:color w:val="auto"/>
                      <w:sz w:val="21"/>
                      <w:szCs w:val="21"/>
                      <w:lang w:val="en-US" w:eastAsia="zh-CN"/>
                    </w:rPr>
                    <w:t>2</w:t>
                  </w:r>
                  <w:r>
                    <w:rPr>
                      <w:rFonts w:hint="default" w:ascii="Times New Roman" w:hAnsi="Times New Roman" w:cs="Times New Roman"/>
                      <w:b w:val="0"/>
                      <w:bCs/>
                      <w:color w:val="auto"/>
                      <w:sz w:val="21"/>
                      <w:szCs w:val="21"/>
                    </w:rPr>
                    <w:t>类标准</w:t>
                  </w:r>
                </w:p>
              </w:tc>
              <w:tc>
                <w:tcPr>
                  <w:tcW w:w="2031" w:type="dxa"/>
                  <w:vMerge w:val="restart"/>
                  <w:noWrap w:val="0"/>
                  <w:vAlign w:val="center"/>
                </w:tcPr>
                <w:p>
                  <w:pPr>
                    <w:pStyle w:val="83"/>
                    <w:adjustRightInd w:val="0"/>
                    <w:spacing w:line="240" w:lineRule="auto"/>
                    <w:jc w:val="center"/>
                    <w:rPr>
                      <w:rFonts w:hint="default" w:ascii="Times New Roman" w:hAnsi="Times New Roman" w:cs="Times New Roman"/>
                      <w:color w:val="auto"/>
                      <w:sz w:val="21"/>
                      <w:szCs w:val="21"/>
                    </w:rPr>
                  </w:pPr>
                  <w:r>
                    <w:rPr>
                      <w:b w:val="0"/>
                      <w:color w:val="auto"/>
                      <w:sz w:val="21"/>
                      <w:szCs w:val="21"/>
                    </w:rPr>
                    <w:t>1次/季度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0" w:type="dxa"/>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西厂界</w:t>
                  </w:r>
                </w:p>
              </w:tc>
              <w:tc>
                <w:tcPr>
                  <w:tcW w:w="2031" w:type="dxa"/>
                  <w:vMerge w:val="continue"/>
                  <w:noWrap w:val="0"/>
                  <w:vAlign w:val="center"/>
                </w:tcPr>
                <w:p>
                  <w:pPr>
                    <w:pStyle w:val="83"/>
                    <w:adjustRightInd w:val="0"/>
                    <w:spacing w:line="240" w:lineRule="auto"/>
                    <w:jc w:val="center"/>
                    <w:rPr>
                      <w:rFonts w:hint="default" w:ascii="Times New Roman" w:hAnsi="Times New Roman" w:cs="Times New Roman"/>
                      <w:color w:val="auto"/>
                      <w:sz w:val="21"/>
                      <w:szCs w:val="21"/>
                    </w:rPr>
                  </w:pPr>
                </w:p>
              </w:tc>
              <w:tc>
                <w:tcPr>
                  <w:tcW w:w="2031" w:type="dxa"/>
                  <w:vMerge w:val="continue"/>
                  <w:noWrap w:val="0"/>
                  <w:vAlign w:val="center"/>
                </w:tcPr>
                <w:p>
                  <w:pPr>
                    <w:pStyle w:val="83"/>
                    <w:adjustRightInd w:val="0"/>
                    <w:spacing w:line="240" w:lineRule="auto"/>
                    <w:jc w:val="center"/>
                    <w:rPr>
                      <w:rFonts w:hint="default" w:ascii="Times New Roman" w:hAnsi="Times New Roman" w:cs="Times New Roman"/>
                      <w:color w:val="auto"/>
                      <w:sz w:val="21"/>
                      <w:szCs w:val="21"/>
                    </w:rPr>
                  </w:pPr>
                </w:p>
              </w:tc>
              <w:tc>
                <w:tcPr>
                  <w:tcW w:w="2031" w:type="dxa"/>
                  <w:vMerge w:val="continue"/>
                  <w:noWrap w:val="0"/>
                  <w:vAlign w:val="center"/>
                </w:tcPr>
                <w:p>
                  <w:pPr>
                    <w:pStyle w:val="83"/>
                    <w:adjustRightIn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2030" w:type="dxa"/>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南厂界</w:t>
                  </w:r>
                </w:p>
              </w:tc>
              <w:tc>
                <w:tcPr>
                  <w:tcW w:w="2031" w:type="dxa"/>
                  <w:vMerge w:val="continue"/>
                  <w:noWrap w:val="0"/>
                  <w:vAlign w:val="center"/>
                </w:tcPr>
                <w:p>
                  <w:pPr>
                    <w:pStyle w:val="83"/>
                    <w:adjustRightInd w:val="0"/>
                    <w:spacing w:line="240" w:lineRule="auto"/>
                    <w:jc w:val="center"/>
                    <w:rPr>
                      <w:rFonts w:hint="default" w:ascii="Times New Roman" w:hAnsi="Times New Roman" w:cs="Times New Roman"/>
                      <w:color w:val="auto"/>
                      <w:sz w:val="21"/>
                      <w:szCs w:val="21"/>
                    </w:rPr>
                  </w:pPr>
                </w:p>
              </w:tc>
              <w:tc>
                <w:tcPr>
                  <w:tcW w:w="2031" w:type="dxa"/>
                  <w:vMerge w:val="continue"/>
                  <w:noWrap w:val="0"/>
                  <w:vAlign w:val="center"/>
                </w:tcPr>
                <w:p>
                  <w:pPr>
                    <w:pStyle w:val="83"/>
                    <w:adjustRightInd w:val="0"/>
                    <w:spacing w:line="240" w:lineRule="auto"/>
                    <w:jc w:val="center"/>
                    <w:rPr>
                      <w:rFonts w:hint="default" w:ascii="Times New Roman" w:hAnsi="Times New Roman" w:cs="Times New Roman"/>
                      <w:color w:val="auto"/>
                      <w:sz w:val="21"/>
                      <w:szCs w:val="21"/>
                    </w:rPr>
                  </w:pPr>
                </w:p>
              </w:tc>
              <w:tc>
                <w:tcPr>
                  <w:tcW w:w="2031" w:type="dxa"/>
                  <w:vMerge w:val="continue"/>
                  <w:noWrap w:val="0"/>
                  <w:vAlign w:val="center"/>
                </w:tcPr>
                <w:p>
                  <w:pPr>
                    <w:pStyle w:val="83"/>
                    <w:adjustRightIn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0" w:type="dxa"/>
                  <w:noWrap w:val="0"/>
                  <w:vAlign w:val="center"/>
                </w:tcPr>
                <w:p>
                  <w:pPr>
                    <w:pStyle w:val="83"/>
                    <w:adjustRightInd w:val="0"/>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北厂界</w:t>
                  </w:r>
                </w:p>
              </w:tc>
              <w:tc>
                <w:tcPr>
                  <w:tcW w:w="2031" w:type="dxa"/>
                  <w:vMerge w:val="continue"/>
                  <w:noWrap w:val="0"/>
                  <w:vAlign w:val="center"/>
                </w:tcPr>
                <w:p>
                  <w:pPr>
                    <w:pStyle w:val="83"/>
                    <w:adjustRightInd w:val="0"/>
                    <w:spacing w:line="240" w:lineRule="auto"/>
                    <w:jc w:val="center"/>
                    <w:rPr>
                      <w:rFonts w:hint="default" w:ascii="Times New Roman" w:hAnsi="Times New Roman" w:cs="Times New Roman"/>
                      <w:color w:val="auto"/>
                      <w:sz w:val="21"/>
                      <w:szCs w:val="21"/>
                    </w:rPr>
                  </w:pPr>
                </w:p>
              </w:tc>
              <w:tc>
                <w:tcPr>
                  <w:tcW w:w="2031" w:type="dxa"/>
                  <w:vMerge w:val="continue"/>
                  <w:noWrap w:val="0"/>
                  <w:vAlign w:val="center"/>
                </w:tcPr>
                <w:p>
                  <w:pPr>
                    <w:pStyle w:val="83"/>
                    <w:adjustRightInd w:val="0"/>
                    <w:spacing w:line="240" w:lineRule="auto"/>
                    <w:jc w:val="center"/>
                    <w:rPr>
                      <w:rFonts w:hint="default" w:ascii="Times New Roman" w:hAnsi="Times New Roman" w:cs="Times New Roman"/>
                      <w:color w:val="auto"/>
                      <w:sz w:val="21"/>
                      <w:szCs w:val="21"/>
                    </w:rPr>
                  </w:pPr>
                </w:p>
              </w:tc>
              <w:tc>
                <w:tcPr>
                  <w:tcW w:w="2031" w:type="dxa"/>
                  <w:vMerge w:val="continue"/>
                  <w:noWrap w:val="0"/>
                  <w:vAlign w:val="center"/>
                </w:tcPr>
                <w:p>
                  <w:pPr>
                    <w:pStyle w:val="83"/>
                    <w:adjustRightInd w:val="0"/>
                    <w:spacing w:line="240" w:lineRule="auto"/>
                    <w:jc w:val="center"/>
                    <w:rPr>
                      <w:rFonts w:hint="default" w:ascii="Times New Roman" w:hAnsi="Times New Roman" w:cs="Times New Roman"/>
                      <w:color w:val="auto"/>
                      <w:sz w:val="21"/>
                      <w:szCs w:val="21"/>
                    </w:rPr>
                  </w:pPr>
                </w:p>
              </w:tc>
            </w:tr>
          </w:tbl>
          <w:p>
            <w:pPr>
              <w:pStyle w:val="83"/>
              <w:ind w:firstLine="482" w:firstLineChars="200"/>
              <w:rPr>
                <w:rFonts w:hint="default" w:ascii="Times New Roman" w:hAnsi="Times New Roman" w:cs="Times New Roman"/>
                <w:color w:val="auto"/>
              </w:rPr>
            </w:pPr>
            <w:r>
              <w:rPr>
                <w:rFonts w:hint="default" w:ascii="Times New Roman" w:hAnsi="Times New Roman" w:cs="Times New Roman"/>
                <w:color w:val="auto"/>
              </w:rPr>
              <w:t>（四）固体废物</w:t>
            </w:r>
          </w:p>
          <w:p>
            <w:pPr>
              <w:pStyle w:val="15"/>
              <w:adjustRightInd w:val="0"/>
              <w:spacing w:after="0"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1.固废产生情况</w:t>
            </w:r>
          </w:p>
          <w:p>
            <w:pPr>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项目运营期间固体废物主要为废包装袋、废薄膜、边角料、不合格品、废活性炭、废润滑油、废润滑油桶以及生活垃圾。</w:t>
            </w:r>
          </w:p>
          <w:p>
            <w:pPr>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en-US" w:eastAsia="zh-CN"/>
              </w:rPr>
              <w:t>）废包装袋：根据建设单位提供的资料，本项目原材料拆包产生的废包装袋，约为0.5</w:t>
            </w:r>
            <w:r>
              <w:rPr>
                <w:rFonts w:hint="default" w:ascii="Times New Roman" w:hAnsi="Times New Roman" w:eastAsia="宋体" w:cs="Times New Roman"/>
                <w:bCs/>
                <w:color w:val="auto"/>
                <w:sz w:val="24"/>
                <w:lang w:val="en-US" w:eastAsia="zh-CN"/>
              </w:rPr>
              <w:t>t/a</w:t>
            </w:r>
            <w:r>
              <w:rPr>
                <w:rFonts w:hint="eastAsia" w:ascii="Times New Roman" w:hAnsi="Times New Roman" w:eastAsia="宋体" w:cs="Times New Roman"/>
                <w:bCs/>
                <w:color w:val="auto"/>
                <w:sz w:val="24"/>
                <w:lang w:val="en-US" w:eastAsia="zh-CN"/>
              </w:rPr>
              <w:t>，收集后委托处理。</w:t>
            </w:r>
          </w:p>
          <w:p>
            <w:pPr>
              <w:spacing w:line="360" w:lineRule="auto"/>
              <w:ind w:firstLine="480" w:firstLineChars="200"/>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lang w:val="en-US" w:eastAsia="zh-CN"/>
              </w:rPr>
              <w:t>）废薄膜、边角料以及不合格品；</w:t>
            </w:r>
            <w:r>
              <w:rPr>
                <w:rFonts w:hint="eastAsia" w:ascii="Times New Roman" w:hAnsi="Times New Roman" w:eastAsia="宋体" w:cs="Times New Roman"/>
                <w:b w:val="0"/>
                <w:bCs/>
                <w:color w:val="auto"/>
                <w:kern w:val="2"/>
                <w:sz w:val="24"/>
                <w:szCs w:val="24"/>
                <w:lang w:val="en-US" w:eastAsia="zh-CN" w:bidi="ar-SA"/>
              </w:rPr>
              <w:t>根据建设单位提供的资料，</w:t>
            </w:r>
            <w:r>
              <w:rPr>
                <w:rFonts w:hint="eastAsia" w:ascii="Times New Roman" w:hAnsi="Times New Roman" w:eastAsia="宋体" w:cs="Times New Roman"/>
                <w:bCs/>
                <w:color w:val="auto"/>
                <w:sz w:val="24"/>
                <w:lang w:val="en-US" w:eastAsia="zh-CN"/>
              </w:rPr>
              <w:t>废薄膜、边角料以及不合格品</w:t>
            </w:r>
            <w:r>
              <w:rPr>
                <w:rFonts w:hint="eastAsia" w:ascii="Times New Roman" w:hAnsi="Times New Roman" w:eastAsia="宋体" w:cs="Times New Roman"/>
                <w:b w:val="0"/>
                <w:bCs/>
                <w:color w:val="auto"/>
                <w:kern w:val="2"/>
                <w:sz w:val="24"/>
                <w:szCs w:val="24"/>
                <w:lang w:val="en-US" w:eastAsia="zh-CN" w:bidi="ar-SA"/>
              </w:rPr>
              <w:t>产生总量约为原材料的5%，项目年使用原材料约为500t/a，则</w:t>
            </w:r>
            <w:r>
              <w:rPr>
                <w:rFonts w:hint="eastAsia" w:ascii="Times New Roman" w:hAnsi="Times New Roman" w:eastAsia="宋体" w:cs="Times New Roman"/>
                <w:bCs/>
                <w:color w:val="auto"/>
                <w:sz w:val="24"/>
                <w:lang w:val="en-US" w:eastAsia="zh-CN"/>
              </w:rPr>
              <w:t>废薄膜、边角料以及不合格品</w:t>
            </w:r>
            <w:r>
              <w:rPr>
                <w:rFonts w:hint="eastAsia" w:ascii="Times New Roman" w:hAnsi="Times New Roman" w:eastAsia="宋体" w:cs="Times New Roman"/>
                <w:b w:val="0"/>
                <w:bCs/>
                <w:color w:val="auto"/>
                <w:kern w:val="2"/>
                <w:sz w:val="24"/>
                <w:szCs w:val="24"/>
                <w:lang w:val="en-US" w:eastAsia="zh-CN" w:bidi="ar-SA"/>
              </w:rPr>
              <w:t>产生总量为255t/a，该部分物料经过收集后进行造粒回用于生产。</w:t>
            </w:r>
            <w:r>
              <w:rPr>
                <w:rFonts w:hint="eastAsia" w:ascii="Times New Roman" w:hAnsi="Times New Roman" w:eastAsia="宋体" w:cs="Times New Roman"/>
                <w:b w:val="0"/>
                <w:bCs/>
                <w:color w:val="auto"/>
                <w:kern w:val="2"/>
                <w:sz w:val="24"/>
                <w:szCs w:val="24"/>
                <w:lang w:val="en-US" w:eastAsia="zh-CN" w:bidi="ar-SA"/>
              </w:rPr>
              <w:t>废料为片状，质地柔软，无需破碎，直接通过人工塞入进料口，进行造粒</w:t>
            </w:r>
            <w:r>
              <w:rPr>
                <w:rFonts w:hint="eastAsia" w:ascii="Times New Roman" w:hAnsi="Times New Roman" w:eastAsia="宋体" w:cs="Times New Roman"/>
                <w:b w:val="0"/>
                <w:bCs/>
                <w:color w:val="auto"/>
                <w:kern w:val="2"/>
                <w:sz w:val="24"/>
                <w:szCs w:val="24"/>
                <w:lang w:val="en-US" w:eastAsia="zh-CN" w:bidi="ar-SA"/>
              </w:rPr>
              <w:t>。</w:t>
            </w:r>
          </w:p>
          <w:p>
            <w:pPr>
              <w:adjustRightInd w:val="0"/>
              <w:snapToGrid w:val="0"/>
              <w:spacing w:line="360" w:lineRule="auto"/>
              <w:ind w:firstLine="482"/>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（3）废润滑油：</w:t>
            </w:r>
            <w:r>
              <w:rPr>
                <w:rFonts w:ascii="Times New Roman" w:hAnsi="Times New Roman"/>
                <w:color w:val="auto"/>
                <w:sz w:val="24"/>
              </w:rPr>
              <w:t>本项目润滑油年用量约为</w:t>
            </w:r>
            <w:r>
              <w:rPr>
                <w:rFonts w:hint="eastAsia" w:ascii="Times New Roman" w:hAnsi="Times New Roman"/>
                <w:color w:val="auto"/>
                <w:sz w:val="24"/>
                <w:lang w:val="en-US" w:eastAsia="zh-CN"/>
              </w:rPr>
              <w:t>0.1</w:t>
            </w:r>
            <w:r>
              <w:rPr>
                <w:rFonts w:ascii="Times New Roman" w:hAnsi="Times New Roman"/>
                <w:color w:val="auto"/>
                <w:sz w:val="24"/>
              </w:rPr>
              <w:t>t/a，主要用于设备润滑。定期添加的过程中产生少量废润滑油，其产生量一般为年用量的</w:t>
            </w:r>
            <w:r>
              <w:rPr>
                <w:rFonts w:hint="eastAsia" w:ascii="Times New Roman" w:hAnsi="Times New Roman"/>
                <w:color w:val="auto"/>
                <w:sz w:val="24"/>
                <w:lang w:val="en-US" w:eastAsia="zh-CN"/>
              </w:rPr>
              <w:t>3</w:t>
            </w:r>
            <w:r>
              <w:rPr>
                <w:rFonts w:ascii="Times New Roman" w:hAnsi="Times New Roman"/>
                <w:color w:val="auto"/>
                <w:sz w:val="24"/>
              </w:rPr>
              <w:t>0%，则废润滑油产生量为0.</w:t>
            </w:r>
            <w:r>
              <w:rPr>
                <w:rFonts w:hint="eastAsia" w:ascii="Times New Roman" w:hAnsi="Times New Roman"/>
                <w:color w:val="auto"/>
                <w:sz w:val="24"/>
                <w:lang w:val="en-US" w:eastAsia="zh-CN"/>
              </w:rPr>
              <w:t>03</w:t>
            </w:r>
            <w:r>
              <w:rPr>
                <w:rFonts w:ascii="Times New Roman" w:hAnsi="Times New Roman"/>
                <w:color w:val="auto"/>
                <w:sz w:val="24"/>
              </w:rPr>
              <w:t>/a。</w:t>
            </w:r>
            <w:r>
              <w:rPr>
                <w:rFonts w:hint="eastAsia" w:ascii="Times New Roman" w:hAnsi="Times New Roman" w:eastAsia="宋体" w:cs="Times New Roman"/>
                <w:bCs/>
                <w:color w:val="auto"/>
                <w:sz w:val="24"/>
                <w:lang w:val="en-US" w:eastAsia="zh-CN"/>
              </w:rPr>
              <w:t>根据《国家危险废物名录》（2021年版），</w:t>
            </w:r>
            <w:r>
              <w:rPr>
                <w:rFonts w:ascii="Times New Roman" w:hAnsi="Times New Roman"/>
                <w:color w:val="auto"/>
                <w:sz w:val="24"/>
              </w:rPr>
              <w:t>废</w:t>
            </w:r>
            <w:r>
              <w:rPr>
                <w:rFonts w:hint="eastAsia" w:ascii="Times New Roman" w:hAnsi="Times New Roman"/>
                <w:color w:val="auto"/>
                <w:sz w:val="24"/>
                <w:lang w:eastAsia="zh-CN"/>
              </w:rPr>
              <w:t>润滑油</w:t>
            </w:r>
            <w:r>
              <w:rPr>
                <w:rFonts w:ascii="Times New Roman" w:hAnsi="Times New Roman"/>
                <w:color w:val="auto"/>
                <w:sz w:val="24"/>
              </w:rPr>
              <w:t>属于危废固废（编号：HW</w:t>
            </w:r>
            <w:r>
              <w:rPr>
                <w:rFonts w:hint="eastAsia" w:ascii="Times New Roman" w:hAnsi="Times New Roman"/>
                <w:color w:val="auto"/>
                <w:sz w:val="24"/>
                <w:lang w:val="en-US" w:eastAsia="zh-CN"/>
              </w:rPr>
              <w:t>08</w:t>
            </w:r>
            <w:r>
              <w:rPr>
                <w:rFonts w:ascii="Times New Roman" w:hAnsi="Times New Roman"/>
                <w:color w:val="auto"/>
                <w:sz w:val="24"/>
              </w:rPr>
              <w:t>（900-</w:t>
            </w:r>
            <w:r>
              <w:rPr>
                <w:rFonts w:hint="eastAsia" w:ascii="Times New Roman" w:hAnsi="Times New Roman"/>
                <w:color w:val="auto"/>
                <w:sz w:val="24"/>
                <w:lang w:val="en-US" w:eastAsia="zh-CN"/>
              </w:rPr>
              <w:t>214</w:t>
            </w:r>
            <w:r>
              <w:rPr>
                <w:rFonts w:ascii="Times New Roman" w:hAnsi="Times New Roman"/>
                <w:color w:val="auto"/>
                <w:sz w:val="24"/>
              </w:rPr>
              <w:t>-</w:t>
            </w:r>
            <w:r>
              <w:rPr>
                <w:rFonts w:hint="eastAsia" w:ascii="Times New Roman" w:hAnsi="Times New Roman"/>
                <w:color w:val="auto"/>
                <w:sz w:val="24"/>
                <w:lang w:val="en-US" w:eastAsia="zh-CN"/>
              </w:rPr>
              <w:t>08</w:t>
            </w:r>
            <w:r>
              <w:rPr>
                <w:rFonts w:ascii="Times New Roman" w:hAnsi="Times New Roman"/>
                <w:color w:val="auto"/>
                <w:sz w:val="24"/>
              </w:rPr>
              <w:t>）车辆、轮船及其它机械维修过程中产生的废发动机油、制动器油、自动变速器油、齿轮油等废润滑油），应交由有危险废物处理资质的单位处理</w:t>
            </w:r>
            <w:r>
              <w:rPr>
                <w:rFonts w:hint="eastAsia" w:ascii="Times New Roman" w:hAnsi="Times New Roman" w:eastAsia="宋体" w:cs="Times New Roman"/>
                <w:bCs/>
                <w:color w:val="auto"/>
                <w:sz w:val="24"/>
                <w:lang w:val="en-US" w:eastAsia="zh-CN"/>
              </w:rPr>
              <w:t>。</w:t>
            </w:r>
          </w:p>
          <w:p>
            <w:pPr>
              <w:adjustRightInd w:val="0"/>
              <w:snapToGrid w:val="0"/>
              <w:spacing w:line="360" w:lineRule="auto"/>
              <w:ind w:firstLine="482"/>
              <w:rPr>
                <w:rFonts w:ascii="Times New Roman" w:hAnsi="Times New Roman"/>
                <w:color w:val="auto"/>
                <w:sz w:val="24"/>
              </w:rPr>
            </w:pPr>
            <w:r>
              <w:rPr>
                <w:rFonts w:hint="eastAsia" w:ascii="Times New Roman" w:hAnsi="Times New Roman" w:eastAsia="宋体" w:cs="Times New Roman"/>
                <w:bCs/>
                <w:color w:val="auto"/>
                <w:sz w:val="24"/>
                <w:lang w:val="en-US" w:eastAsia="zh-CN"/>
              </w:rPr>
              <w:t>（4）废润滑油桶：设备保养过程中会产生废润滑油桶，约0.02</w:t>
            </w:r>
            <w:r>
              <w:rPr>
                <w:rFonts w:hint="default" w:ascii="Times New Roman" w:hAnsi="Times New Roman" w:eastAsia="宋体" w:cs="Times New Roman"/>
                <w:bCs/>
                <w:color w:val="auto"/>
                <w:sz w:val="24"/>
                <w:lang w:val="en-US" w:eastAsia="zh-CN"/>
              </w:rPr>
              <w:t>t/a</w:t>
            </w:r>
            <w:r>
              <w:rPr>
                <w:rFonts w:hint="eastAsia" w:ascii="Times New Roman" w:hAnsi="Times New Roman" w:eastAsia="宋体" w:cs="Times New Roman"/>
                <w:bCs/>
                <w:color w:val="auto"/>
                <w:sz w:val="24"/>
                <w:lang w:val="en-US" w:eastAsia="zh-CN"/>
              </w:rPr>
              <w:t>。废润滑油桶</w:t>
            </w:r>
            <w:r>
              <w:rPr>
                <w:rFonts w:ascii="Times New Roman" w:hAnsi="Times New Roman"/>
                <w:color w:val="auto"/>
                <w:sz w:val="24"/>
              </w:rPr>
              <w:t>属于危废固废（编号：HW49（</w:t>
            </w:r>
            <w:r>
              <w:rPr>
                <w:rFonts w:hint="eastAsia" w:ascii="Times New Roman" w:hAnsi="Times New Roman"/>
                <w:color w:val="auto"/>
                <w:sz w:val="24"/>
                <w:lang w:eastAsia="zh-CN"/>
              </w:rPr>
              <w:t>900-039-49</w:t>
            </w:r>
            <w:r>
              <w:rPr>
                <w:rFonts w:ascii="Times New Roman" w:hAnsi="Times New Roman"/>
                <w:color w:val="auto"/>
                <w:sz w:val="24"/>
              </w:rPr>
              <w:t>）含有或沾染毒性、感染性危险废物的废弃包装物、容器、过滤吸附介质），应交由有危险废物处理资质的单位处理。</w:t>
            </w:r>
          </w:p>
          <w:p>
            <w:pPr>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（5）废活性炭</w:t>
            </w:r>
          </w:p>
          <w:p>
            <w:pPr>
              <w:adjustRightInd w:val="0"/>
              <w:snapToGrid w:val="0"/>
              <w:spacing w:line="360" w:lineRule="auto"/>
              <w:ind w:firstLine="482"/>
              <w:rPr>
                <w:rFonts w:ascii="Times New Roman" w:hAnsi="Times New Roman"/>
                <w:color w:val="auto"/>
                <w:sz w:val="24"/>
              </w:rPr>
            </w:pPr>
            <w:r>
              <w:rPr>
                <w:rFonts w:ascii="Times New Roman" w:hAnsi="Times New Roman"/>
                <w:color w:val="auto"/>
                <w:sz w:val="24"/>
              </w:rPr>
              <w:t>本项目有机废气采用</w:t>
            </w:r>
            <w:r>
              <w:rPr>
                <w:rFonts w:ascii="Times New Roman" w:hAnsi="Times New Roman"/>
                <w:color w:val="auto"/>
                <w:spacing w:val="8"/>
                <w:sz w:val="24"/>
              </w:rPr>
              <w:t>二级</w:t>
            </w:r>
            <w:r>
              <w:rPr>
                <w:rFonts w:ascii="Times New Roman" w:hAnsi="Times New Roman"/>
                <w:color w:val="auto"/>
                <w:sz w:val="24"/>
              </w:rPr>
              <w:t>活性炭净化，活性炭吸附装置因吸附有机废气会产生废活性炭，活性炭：有机废气=1：0.3，即1kg的活性炭可以吸附0.3kg的有机废气，本项目处理的有机废气量为</w:t>
            </w:r>
            <w:r>
              <w:rPr>
                <w:rFonts w:hint="eastAsia" w:ascii="Times New Roman" w:hAnsi="Times New Roman" w:eastAsia="宋体" w:cs="Times New Roman"/>
                <w:bCs/>
                <w:color w:val="auto"/>
                <w:sz w:val="24"/>
                <w:lang w:val="en-US" w:eastAsia="zh-CN"/>
              </w:rPr>
              <w:t>0.574</w:t>
            </w:r>
            <w:r>
              <w:rPr>
                <w:rFonts w:ascii="Times New Roman" w:hAnsi="Times New Roman"/>
                <w:color w:val="auto"/>
                <w:sz w:val="24"/>
              </w:rPr>
              <w:t>t/a，需要活性炭</w:t>
            </w:r>
            <w:r>
              <w:rPr>
                <w:rFonts w:hint="eastAsia" w:ascii="Times New Roman" w:hAnsi="Times New Roman"/>
                <w:color w:val="auto"/>
                <w:sz w:val="24"/>
                <w:lang w:val="en-US" w:eastAsia="zh-CN"/>
              </w:rPr>
              <w:t>1.92t</w:t>
            </w:r>
            <w:r>
              <w:rPr>
                <w:rFonts w:ascii="Times New Roman" w:hAnsi="Times New Roman"/>
                <w:color w:val="auto"/>
                <w:sz w:val="24"/>
              </w:rPr>
              <w:t>/a。每年更换量</w:t>
            </w:r>
            <w:r>
              <w:rPr>
                <w:rFonts w:hint="eastAsia" w:ascii="Times New Roman" w:hAnsi="Times New Roman"/>
                <w:color w:val="auto"/>
                <w:sz w:val="24"/>
                <w:lang w:eastAsia="zh-CN"/>
              </w:rPr>
              <w:t>一次</w:t>
            </w:r>
            <w:r>
              <w:rPr>
                <w:rFonts w:ascii="Times New Roman" w:hAnsi="Times New Roman"/>
                <w:color w:val="auto"/>
                <w:sz w:val="24"/>
              </w:rPr>
              <w:t>。</w:t>
            </w:r>
            <w:r>
              <w:rPr>
                <w:rFonts w:hint="eastAsia" w:ascii="Times New Roman" w:hAnsi="Times New Roman" w:eastAsia="宋体" w:cs="Times New Roman"/>
                <w:bCs/>
                <w:color w:val="auto"/>
                <w:sz w:val="24"/>
                <w:lang w:val="en-US" w:eastAsia="zh-CN"/>
              </w:rPr>
              <w:t>根据《国家危险废物名录》（2021年版），</w:t>
            </w:r>
            <w:r>
              <w:rPr>
                <w:rFonts w:ascii="Times New Roman" w:hAnsi="Times New Roman"/>
                <w:color w:val="auto"/>
                <w:sz w:val="24"/>
              </w:rPr>
              <w:t>废活性炭属于危废固废（编号：HW49（</w:t>
            </w:r>
            <w:r>
              <w:rPr>
                <w:rFonts w:hint="eastAsia" w:ascii="Times New Roman" w:hAnsi="Times New Roman"/>
                <w:color w:val="auto"/>
                <w:sz w:val="24"/>
                <w:lang w:eastAsia="zh-CN"/>
              </w:rPr>
              <w:t>900-039-49</w:t>
            </w:r>
            <w:r>
              <w:rPr>
                <w:rFonts w:ascii="Times New Roman" w:hAnsi="Times New Roman"/>
                <w:color w:val="auto"/>
                <w:sz w:val="24"/>
              </w:rPr>
              <w:t>）</w:t>
            </w:r>
            <w:r>
              <w:rPr>
                <w:rFonts w:hint="eastAsia" w:ascii="Times New Roman" w:hAnsi="Times New Roman"/>
                <w:color w:val="auto"/>
                <w:sz w:val="24"/>
              </w:rPr>
              <w:t>烟气、VOCs 治理过程（不包括餐饮行业油烟治理过程）产生的废活性炭，化学原料和化学制品脱色（不包括有机合成食品添加剂脱色）、除杂、净化过程产生的废活性炭</w:t>
            </w:r>
            <w:r>
              <w:rPr>
                <w:rFonts w:hint="eastAsia" w:ascii="Times New Roman" w:hAnsi="Times New Roman"/>
                <w:color w:val="auto"/>
                <w:sz w:val="24"/>
                <w:lang w:eastAsia="zh-CN"/>
              </w:rPr>
              <w:t>。</w:t>
            </w:r>
            <w:r>
              <w:rPr>
                <w:rFonts w:ascii="Times New Roman" w:hAnsi="Times New Roman"/>
                <w:color w:val="auto"/>
                <w:sz w:val="24"/>
              </w:rPr>
              <w:t>应交由有危险废物处理资质的单位处理。</w:t>
            </w:r>
          </w:p>
          <w:p>
            <w:pPr>
              <w:numPr>
                <w:ilvl w:val="0"/>
                <w:numId w:val="3"/>
              </w:numPr>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生活垃圾：项目职工15人，生活垃圾产生量按照</w:t>
            </w:r>
            <w:r>
              <w:rPr>
                <w:rFonts w:hint="default" w:ascii="Times New Roman" w:hAnsi="Times New Roman" w:eastAsia="宋体" w:cs="Times New Roman"/>
                <w:bCs/>
                <w:color w:val="auto"/>
                <w:sz w:val="24"/>
                <w:lang w:val="en-US" w:eastAsia="zh-CN"/>
              </w:rPr>
              <w:t>0.5</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lang w:val="en-US" w:eastAsia="zh-CN"/>
              </w:rPr>
              <w:t>kg/</w:t>
            </w:r>
            <w:r>
              <w:rPr>
                <w:rFonts w:hint="eastAsia" w:ascii="Times New Roman" w:hAnsi="Times New Roman" w:eastAsia="宋体" w:cs="Times New Roman"/>
                <w:bCs/>
                <w:color w:val="auto"/>
                <w:sz w:val="24"/>
                <w:lang w:val="en-US" w:eastAsia="zh-CN"/>
              </w:rPr>
              <w:t>人</w:t>
            </w:r>
            <w:r>
              <w:rPr>
                <w:rFonts w:hint="default" w:ascii="Times New Roman" w:hAnsi="Times New Roman" w:eastAsia="宋体" w:cs="Times New Roman"/>
                <w:bCs/>
                <w:color w:val="auto"/>
                <w:sz w:val="24"/>
                <w:lang w:val="en-US" w:eastAsia="zh-CN"/>
              </w:rPr>
              <w:t>·d</w:t>
            </w:r>
            <w:r>
              <w:rPr>
                <w:rFonts w:hint="eastAsia" w:ascii="Times New Roman" w:hAnsi="Times New Roman" w:eastAsia="宋体" w:cs="Times New Roman"/>
                <w:bCs/>
                <w:color w:val="auto"/>
                <w:sz w:val="24"/>
                <w:lang w:val="en-US" w:eastAsia="zh-CN"/>
              </w:rPr>
              <w:t>计算，产生量2.43</w:t>
            </w:r>
            <w:r>
              <w:rPr>
                <w:rFonts w:hint="default" w:ascii="Times New Roman" w:hAnsi="Times New Roman" w:eastAsia="宋体" w:cs="Times New Roman"/>
                <w:bCs/>
                <w:color w:val="auto"/>
                <w:sz w:val="24"/>
                <w:lang w:val="en-US" w:eastAsia="zh-CN"/>
              </w:rPr>
              <w:t>t/a</w:t>
            </w:r>
            <w:r>
              <w:rPr>
                <w:rFonts w:hint="eastAsia" w:ascii="Times New Roman" w:hAnsi="Times New Roman" w:eastAsia="宋体" w:cs="Times New Roman"/>
                <w:bCs/>
                <w:color w:val="auto"/>
                <w:sz w:val="24"/>
                <w:lang w:val="en-US" w:eastAsia="zh-CN"/>
              </w:rPr>
              <w:t>，委托环卫部门处置。</w:t>
            </w:r>
          </w:p>
          <w:p>
            <w:pPr>
              <w:spacing w:line="30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表4-</w:t>
            </w:r>
            <w:r>
              <w:rPr>
                <w:rFonts w:hint="eastAsia" w:ascii="Times New Roman" w:hAnsi="Times New Roman" w:cs="Times New Roman"/>
                <w:b/>
                <w:color w:val="auto"/>
                <w:sz w:val="24"/>
                <w:lang w:val="en-US" w:eastAsia="zh-CN"/>
              </w:rPr>
              <w:t>12</w:t>
            </w:r>
            <w:r>
              <w:rPr>
                <w:rFonts w:hint="default" w:ascii="Times New Roman" w:hAnsi="Times New Roman" w:cs="Times New Roman"/>
                <w:b/>
                <w:color w:val="auto"/>
                <w:sz w:val="24"/>
              </w:rPr>
              <w:t xml:space="preserve">  建设项目固废产生情况一览表</w:t>
            </w:r>
          </w:p>
          <w:tbl>
            <w:tblPr>
              <w:tblStyle w:val="33"/>
              <w:tblW w:w="813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97"/>
              <w:gridCol w:w="1000"/>
              <w:gridCol w:w="988"/>
              <w:gridCol w:w="587"/>
              <w:gridCol w:w="963"/>
              <w:gridCol w:w="587"/>
              <w:gridCol w:w="763"/>
              <w:gridCol w:w="633"/>
              <w:gridCol w:w="740"/>
              <w:gridCol w:w="740"/>
              <w:gridCol w:w="7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837" w:hRule="atLeast"/>
                <w:jc w:val="center"/>
              </w:trPr>
              <w:tc>
                <w:tcPr>
                  <w:tcW w:w="397"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1000"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环节</w:t>
                  </w:r>
                </w:p>
              </w:tc>
              <w:tc>
                <w:tcPr>
                  <w:tcW w:w="988"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587"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属性</w:t>
                  </w:r>
                </w:p>
              </w:tc>
              <w:tc>
                <w:tcPr>
                  <w:tcW w:w="963"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主要有毒有害物质名称</w:t>
                  </w:r>
                </w:p>
              </w:tc>
              <w:tc>
                <w:tcPr>
                  <w:tcW w:w="587"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物理</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性状</w:t>
                  </w:r>
                </w:p>
              </w:tc>
              <w:tc>
                <w:tcPr>
                  <w:tcW w:w="763"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环境危</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险特性</w:t>
                  </w:r>
                </w:p>
              </w:tc>
              <w:tc>
                <w:tcPr>
                  <w:tcW w:w="633"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年产</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生量</w:t>
                  </w:r>
                </w:p>
              </w:tc>
              <w:tc>
                <w:tcPr>
                  <w:tcW w:w="740"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贮存</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方式</w:t>
                  </w:r>
                </w:p>
              </w:tc>
              <w:tc>
                <w:tcPr>
                  <w:tcW w:w="740"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利用处置方式和去向</w:t>
                  </w:r>
                </w:p>
              </w:tc>
              <w:tc>
                <w:tcPr>
                  <w:tcW w:w="740" w:type="dxa"/>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利用或处理量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00" w:type="dxa"/>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拆包</w:t>
                  </w:r>
                </w:p>
              </w:tc>
              <w:tc>
                <w:tcPr>
                  <w:tcW w:w="98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废包装袋</w:t>
                  </w:r>
                </w:p>
              </w:tc>
              <w:tc>
                <w:tcPr>
                  <w:tcW w:w="58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一般固废</w:t>
                  </w:r>
                </w:p>
              </w:tc>
              <w:tc>
                <w:tcPr>
                  <w:tcW w:w="9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8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固态</w:t>
                  </w:r>
                </w:p>
              </w:tc>
              <w:tc>
                <w:tcPr>
                  <w:tcW w:w="7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633" w:type="dxa"/>
                  <w:noWrap w:val="0"/>
                  <w:vAlign w:val="center"/>
                </w:tcPr>
                <w:p>
                  <w:pPr>
                    <w:adjustRightInd w:val="0"/>
                    <w:snapToGrid w:val="0"/>
                    <w:jc w:val="center"/>
                    <w:rPr>
                      <w:rFonts w:hint="default" w:ascii="Times New Roman" w:hAnsi="Times New Roman" w:cs="Times New Roman"/>
                      <w:color w:val="auto"/>
                      <w:sz w:val="18"/>
                      <w:szCs w:val="18"/>
                    </w:rPr>
                  </w:pPr>
                  <w:r>
                    <w:rPr>
                      <w:rFonts w:hint="eastAsia" w:ascii="Times New Roman" w:hAnsi="Times New Roman" w:eastAsia="宋体" w:cs="Times New Roman"/>
                      <w:bCs/>
                      <w:color w:val="auto"/>
                      <w:sz w:val="21"/>
                      <w:szCs w:val="21"/>
                      <w:lang w:val="en-US" w:eastAsia="zh-CN"/>
                    </w:rPr>
                    <w:t>0.5</w:t>
                  </w:r>
                  <w:r>
                    <w:rPr>
                      <w:rFonts w:hint="default" w:ascii="Times New Roman" w:hAnsi="Times New Roman" w:eastAsia="宋体" w:cs="Times New Roman"/>
                      <w:bCs/>
                      <w:color w:val="auto"/>
                      <w:sz w:val="21"/>
                      <w:szCs w:val="21"/>
                      <w:lang w:val="en-US" w:eastAsia="zh-CN"/>
                    </w:rPr>
                    <w:t>t/a</w:t>
                  </w:r>
                </w:p>
              </w:tc>
              <w:tc>
                <w:tcPr>
                  <w:tcW w:w="740" w:type="dxa"/>
                  <w:vMerge w:val="restart"/>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一般固废区</w:t>
                  </w:r>
                </w:p>
              </w:tc>
              <w:tc>
                <w:tcPr>
                  <w:tcW w:w="74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委托处理</w:t>
                  </w:r>
                </w:p>
              </w:tc>
              <w:tc>
                <w:tcPr>
                  <w:tcW w:w="740" w:type="dxa"/>
                  <w:noWrap w:val="0"/>
                  <w:vAlign w:val="center"/>
                </w:tcPr>
                <w:p>
                  <w:pPr>
                    <w:adjustRightInd w:val="0"/>
                    <w:snapToGrid w:val="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eastAsia="宋体" w:cs="Times New Roman"/>
                      <w:bCs/>
                      <w:color w:val="auto"/>
                      <w:sz w:val="21"/>
                      <w:szCs w:val="21"/>
                      <w:lang w:val="en-US" w:eastAsia="zh-CN"/>
                    </w:rPr>
                    <w:t>0.5</w:t>
                  </w:r>
                  <w:r>
                    <w:rPr>
                      <w:rFonts w:hint="default" w:ascii="Times New Roman" w:hAnsi="Times New Roman" w:eastAsia="宋体" w:cs="Times New Roman"/>
                      <w:bCs/>
                      <w:color w:val="auto"/>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w:t>
                  </w:r>
                </w:p>
              </w:tc>
              <w:tc>
                <w:tcPr>
                  <w:tcW w:w="1000" w:type="dxa"/>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吹膜</w:t>
                  </w:r>
                </w:p>
              </w:tc>
              <w:tc>
                <w:tcPr>
                  <w:tcW w:w="98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废薄膜</w:t>
                  </w:r>
                </w:p>
              </w:tc>
              <w:tc>
                <w:tcPr>
                  <w:tcW w:w="587" w:type="dxa"/>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一般固废</w:t>
                  </w:r>
                </w:p>
              </w:tc>
              <w:tc>
                <w:tcPr>
                  <w:tcW w:w="9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8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固态</w:t>
                  </w:r>
                </w:p>
              </w:tc>
              <w:tc>
                <w:tcPr>
                  <w:tcW w:w="7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633"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bCs/>
                      <w:color w:val="auto"/>
                      <w:sz w:val="21"/>
                      <w:szCs w:val="21"/>
                      <w:lang w:val="en-US" w:eastAsia="zh-CN"/>
                    </w:rPr>
                    <w:t>25</w:t>
                  </w:r>
                  <w:r>
                    <w:rPr>
                      <w:rFonts w:hint="default" w:ascii="Times New Roman" w:hAnsi="Times New Roman" w:eastAsia="宋体" w:cs="Times New Roman"/>
                      <w:bCs/>
                      <w:color w:val="auto"/>
                      <w:sz w:val="21"/>
                      <w:szCs w:val="21"/>
                      <w:lang w:val="en-US" w:eastAsia="zh-CN"/>
                    </w:rPr>
                    <w:t>t/a</w:t>
                  </w:r>
                </w:p>
              </w:tc>
              <w:tc>
                <w:tcPr>
                  <w:tcW w:w="740"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40" w:type="dxa"/>
                  <w:vMerge w:val="restart"/>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收集后进行造粒回用于生产</w:t>
                  </w:r>
                </w:p>
              </w:tc>
              <w:tc>
                <w:tcPr>
                  <w:tcW w:w="740" w:type="dxa"/>
                  <w:vMerge w:val="restart"/>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25</w:t>
                  </w:r>
                  <w:r>
                    <w:rPr>
                      <w:rFonts w:hint="default" w:ascii="Times New Roman" w:hAnsi="Times New Roman" w:eastAsia="宋体" w:cs="Times New Roman"/>
                      <w:bCs/>
                      <w:color w:val="auto"/>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7"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w:t>
                  </w:r>
                </w:p>
              </w:tc>
              <w:tc>
                <w:tcPr>
                  <w:tcW w:w="1000" w:type="dxa"/>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切割</w:t>
                  </w:r>
                </w:p>
              </w:tc>
              <w:tc>
                <w:tcPr>
                  <w:tcW w:w="98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边角料</w:t>
                  </w:r>
                </w:p>
              </w:tc>
              <w:tc>
                <w:tcPr>
                  <w:tcW w:w="587" w:type="dxa"/>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一般固废</w:t>
                  </w:r>
                </w:p>
              </w:tc>
              <w:tc>
                <w:tcPr>
                  <w:tcW w:w="9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8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固态</w:t>
                  </w:r>
                </w:p>
              </w:tc>
              <w:tc>
                <w:tcPr>
                  <w:tcW w:w="7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633" w:type="dxa"/>
                  <w:vMerge w:val="continue"/>
                  <w:noWrap w:val="0"/>
                  <w:vAlign w:val="center"/>
                </w:tcPr>
                <w:p>
                  <w:pPr>
                    <w:adjustRightInd w:val="0"/>
                    <w:snapToGrid w:val="0"/>
                    <w:jc w:val="center"/>
                    <w:rPr>
                      <w:rFonts w:hint="default" w:ascii="Times New Roman" w:hAnsi="Times New Roman" w:cs="Times New Roman"/>
                      <w:color w:val="auto"/>
                      <w:sz w:val="18"/>
                      <w:szCs w:val="18"/>
                    </w:rPr>
                  </w:pPr>
                </w:p>
              </w:tc>
              <w:tc>
                <w:tcPr>
                  <w:tcW w:w="740"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40"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40" w:type="dxa"/>
                  <w:vMerge w:val="continue"/>
                  <w:noWrap w:val="0"/>
                  <w:vAlign w:val="center"/>
                </w:tcPr>
                <w:p>
                  <w:pPr>
                    <w:adjustRightInd w:val="0"/>
                    <w:snapToGrid w:val="0"/>
                    <w:jc w:val="center"/>
                    <w:rPr>
                      <w:rFonts w:hint="default" w:ascii="Times New Roman" w:hAnsi="Times New Roman" w:cs="Times New Roman"/>
                      <w:color w:val="auto"/>
                      <w:kern w:val="2"/>
                      <w:sz w:val="18"/>
                      <w:szCs w:val="18"/>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7"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w:t>
                  </w:r>
                </w:p>
              </w:tc>
              <w:tc>
                <w:tcPr>
                  <w:tcW w:w="1000" w:type="dxa"/>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筛选</w:t>
                  </w:r>
                </w:p>
              </w:tc>
              <w:tc>
                <w:tcPr>
                  <w:tcW w:w="98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不合格品</w:t>
                  </w:r>
                </w:p>
              </w:tc>
              <w:tc>
                <w:tcPr>
                  <w:tcW w:w="587" w:type="dxa"/>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一般固废</w:t>
                  </w:r>
                </w:p>
              </w:tc>
              <w:tc>
                <w:tcPr>
                  <w:tcW w:w="9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8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固态</w:t>
                  </w:r>
                </w:p>
              </w:tc>
              <w:tc>
                <w:tcPr>
                  <w:tcW w:w="7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633"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40"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40"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40" w:type="dxa"/>
                  <w:vMerge w:val="continue"/>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7"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w:t>
                  </w:r>
                </w:p>
              </w:tc>
              <w:tc>
                <w:tcPr>
                  <w:tcW w:w="1000" w:type="dxa"/>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设备保养</w:t>
                  </w:r>
                </w:p>
              </w:tc>
              <w:tc>
                <w:tcPr>
                  <w:tcW w:w="988" w:type="dxa"/>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b w:val="0"/>
                      <w:bCs/>
                      <w:color w:val="auto"/>
                      <w:kern w:val="2"/>
                      <w:sz w:val="21"/>
                      <w:szCs w:val="21"/>
                      <w:lang w:val="en-US" w:eastAsia="zh-CN" w:bidi="ar-SA"/>
                    </w:rPr>
                    <w:t>废润滑油</w:t>
                  </w:r>
                </w:p>
              </w:tc>
              <w:tc>
                <w:tcPr>
                  <w:tcW w:w="58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危险废物</w:t>
                  </w:r>
                </w:p>
              </w:tc>
              <w:tc>
                <w:tcPr>
                  <w:tcW w:w="9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废矿物油</w:t>
                  </w:r>
                </w:p>
              </w:tc>
              <w:tc>
                <w:tcPr>
                  <w:tcW w:w="587"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半固态</w:t>
                  </w:r>
                </w:p>
              </w:tc>
              <w:tc>
                <w:tcPr>
                  <w:tcW w:w="76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T/In</w:t>
                  </w:r>
                </w:p>
              </w:tc>
              <w:tc>
                <w:tcPr>
                  <w:tcW w:w="63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0.03</w:t>
                  </w:r>
                  <w:r>
                    <w:rPr>
                      <w:rFonts w:hint="default" w:ascii="Times New Roman" w:hAnsi="Times New Roman" w:eastAsia="宋体" w:cs="Times New Roman"/>
                      <w:bCs/>
                      <w:color w:val="auto"/>
                      <w:sz w:val="21"/>
                      <w:szCs w:val="21"/>
                      <w:lang w:val="en-US" w:eastAsia="zh-CN"/>
                    </w:rPr>
                    <w:t>t/a</w:t>
                  </w:r>
                </w:p>
              </w:tc>
              <w:tc>
                <w:tcPr>
                  <w:tcW w:w="740" w:type="dxa"/>
                  <w:vMerge w:val="restart"/>
                  <w:noWrap w:val="0"/>
                  <w:vAlign w:val="center"/>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危险废物暂存间</w:t>
                  </w:r>
                </w:p>
              </w:tc>
              <w:tc>
                <w:tcPr>
                  <w:tcW w:w="740" w:type="dxa"/>
                  <w:vMerge w:val="restart"/>
                  <w:noWrap w:val="0"/>
                  <w:vAlign w:val="center"/>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交由有资质单位处理</w:t>
                  </w:r>
                </w:p>
              </w:tc>
              <w:tc>
                <w:tcPr>
                  <w:tcW w:w="740"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0.03</w:t>
                  </w:r>
                  <w:r>
                    <w:rPr>
                      <w:rFonts w:hint="default" w:ascii="Times New Roman" w:hAnsi="Times New Roman" w:eastAsia="宋体" w:cs="Times New Roman"/>
                      <w:bCs/>
                      <w:color w:val="auto"/>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7"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6</w:t>
                  </w:r>
                </w:p>
              </w:tc>
              <w:tc>
                <w:tcPr>
                  <w:tcW w:w="1000" w:type="dxa"/>
                  <w:noWrap w:val="0"/>
                  <w:vAlign w:val="center"/>
                </w:tcPr>
                <w:p>
                  <w:pPr>
                    <w:pStyle w:val="10"/>
                    <w:adjustRightInd w:val="0"/>
                    <w:snapToGrid w:val="0"/>
                    <w:ind w:firstLine="0" w:firstLineChars="0"/>
                    <w:jc w:val="center"/>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包装</w:t>
                  </w:r>
                </w:p>
              </w:tc>
              <w:tc>
                <w:tcPr>
                  <w:tcW w:w="988"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废润滑油桶</w:t>
                  </w:r>
                </w:p>
              </w:tc>
              <w:tc>
                <w:tcPr>
                  <w:tcW w:w="587" w:type="dxa"/>
                  <w:noWrap w:val="0"/>
                  <w:vAlign w:val="center"/>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危险废物</w:t>
                  </w:r>
                </w:p>
              </w:tc>
              <w:tc>
                <w:tcPr>
                  <w:tcW w:w="963"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废矿物油</w:t>
                  </w:r>
                </w:p>
              </w:tc>
              <w:tc>
                <w:tcPr>
                  <w:tcW w:w="587"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固态</w:t>
                  </w:r>
                </w:p>
              </w:tc>
              <w:tc>
                <w:tcPr>
                  <w:tcW w:w="763"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T/In</w:t>
                  </w:r>
                </w:p>
              </w:tc>
              <w:tc>
                <w:tcPr>
                  <w:tcW w:w="633" w:type="dxa"/>
                  <w:noWrap w:val="0"/>
                  <w:vAlign w:val="center"/>
                </w:tcPr>
                <w:p>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0.02</w:t>
                  </w:r>
                  <w:r>
                    <w:rPr>
                      <w:rFonts w:hint="default" w:ascii="Times New Roman" w:hAnsi="Times New Roman" w:eastAsia="宋体" w:cs="Times New Roman"/>
                      <w:bCs/>
                      <w:color w:val="auto"/>
                      <w:sz w:val="21"/>
                      <w:szCs w:val="21"/>
                      <w:lang w:val="en-US" w:eastAsia="zh-CN"/>
                    </w:rPr>
                    <w:t>t/a</w:t>
                  </w:r>
                </w:p>
              </w:tc>
              <w:tc>
                <w:tcPr>
                  <w:tcW w:w="740" w:type="dxa"/>
                  <w:vMerge w:val="continue"/>
                  <w:noWrap w:val="0"/>
                  <w:vAlign w:val="center"/>
                </w:tcPr>
                <w:p>
                  <w:pPr>
                    <w:adjustRightInd w:val="0"/>
                    <w:snapToGrid w:val="0"/>
                    <w:jc w:val="center"/>
                    <w:rPr>
                      <w:rFonts w:hint="eastAsia" w:ascii="Times New Roman" w:hAnsi="Times New Roman" w:cs="Times New Roman"/>
                      <w:color w:val="auto"/>
                      <w:szCs w:val="21"/>
                      <w:lang w:eastAsia="zh-CN"/>
                    </w:rPr>
                  </w:pPr>
                </w:p>
              </w:tc>
              <w:tc>
                <w:tcPr>
                  <w:tcW w:w="740" w:type="dxa"/>
                  <w:vMerge w:val="continue"/>
                  <w:noWrap w:val="0"/>
                  <w:vAlign w:val="center"/>
                </w:tcPr>
                <w:p>
                  <w:pPr>
                    <w:adjustRightInd w:val="0"/>
                    <w:snapToGrid w:val="0"/>
                    <w:jc w:val="center"/>
                    <w:rPr>
                      <w:rFonts w:hint="eastAsia" w:ascii="Times New Roman" w:hAnsi="Times New Roman" w:cs="Times New Roman"/>
                      <w:color w:val="auto"/>
                      <w:szCs w:val="21"/>
                      <w:lang w:eastAsia="zh-CN"/>
                    </w:rPr>
                  </w:pPr>
                </w:p>
              </w:tc>
              <w:tc>
                <w:tcPr>
                  <w:tcW w:w="740" w:type="dxa"/>
                  <w:noWrap w:val="0"/>
                  <w:vAlign w:val="center"/>
                </w:tcPr>
                <w:p>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0.02</w:t>
                  </w:r>
                  <w:r>
                    <w:rPr>
                      <w:rFonts w:hint="default" w:ascii="Times New Roman" w:hAnsi="Times New Roman" w:eastAsia="宋体" w:cs="Times New Roman"/>
                      <w:bCs/>
                      <w:color w:val="auto"/>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7" w:type="dxa"/>
                  <w:noWrap w:val="0"/>
                  <w:vAlign w:val="center"/>
                </w:tcPr>
                <w:p>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7</w:t>
                  </w:r>
                </w:p>
              </w:tc>
              <w:tc>
                <w:tcPr>
                  <w:tcW w:w="1000" w:type="dxa"/>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废气治理</w:t>
                  </w:r>
                </w:p>
              </w:tc>
              <w:tc>
                <w:tcPr>
                  <w:tcW w:w="98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废活性炭</w:t>
                  </w:r>
                </w:p>
              </w:tc>
              <w:tc>
                <w:tcPr>
                  <w:tcW w:w="58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危险废物</w:t>
                  </w:r>
                </w:p>
              </w:tc>
              <w:tc>
                <w:tcPr>
                  <w:tcW w:w="963"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废活性炭</w:t>
                  </w:r>
                </w:p>
              </w:tc>
              <w:tc>
                <w:tcPr>
                  <w:tcW w:w="58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固态</w:t>
                  </w:r>
                </w:p>
              </w:tc>
              <w:tc>
                <w:tcPr>
                  <w:tcW w:w="763"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T/In</w:t>
                  </w:r>
                </w:p>
              </w:tc>
              <w:tc>
                <w:tcPr>
                  <w:tcW w:w="633" w:type="dxa"/>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bCs/>
                      <w:color w:val="auto"/>
                      <w:sz w:val="21"/>
                      <w:szCs w:val="21"/>
                      <w:lang w:val="en-US" w:eastAsia="zh-CN"/>
                    </w:rPr>
                    <w:t>1.92t</w:t>
                  </w:r>
                  <w:r>
                    <w:rPr>
                      <w:rFonts w:hint="default" w:ascii="Times New Roman" w:hAnsi="Times New Roman" w:eastAsia="宋体" w:cs="Times New Roman"/>
                      <w:bCs/>
                      <w:color w:val="auto"/>
                      <w:sz w:val="21"/>
                      <w:szCs w:val="21"/>
                      <w:lang w:val="en-US" w:eastAsia="zh-CN"/>
                    </w:rPr>
                    <w:t>/a</w:t>
                  </w:r>
                </w:p>
              </w:tc>
              <w:tc>
                <w:tcPr>
                  <w:tcW w:w="740"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40"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40"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1.92t</w:t>
                  </w:r>
                  <w:r>
                    <w:rPr>
                      <w:rFonts w:hint="default" w:ascii="Times New Roman" w:hAnsi="Times New Roman" w:eastAsia="宋体" w:cs="Times New Roman"/>
                      <w:bCs/>
                      <w:color w:val="auto"/>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97"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w:t>
                  </w:r>
                </w:p>
              </w:tc>
              <w:tc>
                <w:tcPr>
                  <w:tcW w:w="1000" w:type="dxa"/>
                  <w:noWrap w:val="0"/>
                  <w:vAlign w:val="center"/>
                </w:tcPr>
                <w:p>
                  <w:pPr>
                    <w:pStyle w:val="10"/>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员工生活</w:t>
                  </w:r>
                </w:p>
              </w:tc>
              <w:tc>
                <w:tcPr>
                  <w:tcW w:w="988"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生活垃圾</w:t>
                  </w:r>
                </w:p>
              </w:tc>
              <w:tc>
                <w:tcPr>
                  <w:tcW w:w="587"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一般固废</w:t>
                  </w:r>
                </w:p>
              </w:tc>
              <w:tc>
                <w:tcPr>
                  <w:tcW w:w="963"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果皮、纸屑</w:t>
                  </w:r>
                </w:p>
              </w:tc>
              <w:tc>
                <w:tcPr>
                  <w:tcW w:w="587"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固态</w:t>
                  </w:r>
                </w:p>
              </w:tc>
              <w:tc>
                <w:tcPr>
                  <w:tcW w:w="763"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633"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2.43</w:t>
                  </w:r>
                  <w:r>
                    <w:rPr>
                      <w:rFonts w:hint="default" w:ascii="Times New Roman" w:hAnsi="Times New Roman" w:eastAsia="宋体" w:cs="Times New Roman"/>
                      <w:bCs/>
                      <w:color w:val="auto"/>
                      <w:sz w:val="21"/>
                      <w:szCs w:val="21"/>
                      <w:lang w:val="en-US" w:eastAsia="zh-CN"/>
                    </w:rPr>
                    <w:t>t/a</w:t>
                  </w:r>
                </w:p>
              </w:tc>
              <w:tc>
                <w:tcPr>
                  <w:tcW w:w="740"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厂区设置若干垃圾桶</w:t>
                  </w:r>
                </w:p>
              </w:tc>
              <w:tc>
                <w:tcPr>
                  <w:tcW w:w="740"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委托环卫部门</w:t>
                  </w:r>
                  <w:r>
                    <w:rPr>
                      <w:rFonts w:hint="eastAsia" w:ascii="Times New Roman" w:hAnsi="Times New Roman" w:cs="Times New Roman"/>
                      <w:color w:val="auto"/>
                      <w:szCs w:val="21"/>
                      <w:lang w:val="en-US" w:eastAsia="zh-CN"/>
                    </w:rPr>
                    <w:t>清运</w:t>
                  </w:r>
                </w:p>
              </w:tc>
              <w:tc>
                <w:tcPr>
                  <w:tcW w:w="740"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2.43</w:t>
                  </w:r>
                  <w:r>
                    <w:rPr>
                      <w:rFonts w:hint="default" w:ascii="Times New Roman" w:hAnsi="Times New Roman" w:eastAsia="宋体" w:cs="Times New Roman"/>
                      <w:bCs/>
                      <w:color w:val="auto"/>
                      <w:sz w:val="21"/>
                      <w:szCs w:val="21"/>
                      <w:lang w:val="en-US" w:eastAsia="zh-CN"/>
                    </w:rPr>
                    <w:t>t/a</w:t>
                  </w:r>
                </w:p>
              </w:tc>
            </w:tr>
          </w:tbl>
          <w:p>
            <w:pPr>
              <w:pStyle w:val="15"/>
              <w:adjustRightInd w:val="0"/>
              <w:spacing w:after="0"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2.固废环境管理要求</w:t>
            </w:r>
          </w:p>
          <w:p>
            <w:pPr>
              <w:pStyle w:val="15"/>
              <w:adjustRightInd w:val="0"/>
              <w:spacing w:after="0"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（1）一般工业固废管理要求：</w:t>
            </w:r>
          </w:p>
          <w:p>
            <w:pPr>
              <w:pStyle w:val="15"/>
              <w:adjustRightInd w:val="0"/>
              <w:spacing w:after="0" w:line="360" w:lineRule="auto"/>
              <w:ind w:firstLine="480" w:firstLineChars="200"/>
              <w:rPr>
                <w:color w:val="auto"/>
                <w:sz w:val="24"/>
                <w:szCs w:val="24"/>
              </w:rPr>
            </w:pPr>
            <w:r>
              <w:rPr>
                <w:rFonts w:hint="eastAsia"/>
                <w:color w:val="auto"/>
                <w:sz w:val="24"/>
                <w:szCs w:val="24"/>
                <w:lang w:val="en-US" w:eastAsia="zh-CN"/>
              </w:rPr>
              <w:t>废包装袋经收集后由</w:t>
            </w:r>
            <w:r>
              <w:rPr>
                <w:rFonts w:hint="eastAsia"/>
                <w:color w:val="auto"/>
                <w:sz w:val="24"/>
                <w:szCs w:val="24"/>
                <w:lang w:eastAsia="zh-CN"/>
              </w:rPr>
              <w:t>物资回收单位进行回收处理</w:t>
            </w:r>
            <w:r>
              <w:rPr>
                <w:rFonts w:hint="eastAsia"/>
                <w:color w:val="auto"/>
                <w:sz w:val="24"/>
                <w:szCs w:val="24"/>
                <w:lang w:val="en-US" w:eastAsia="zh-CN"/>
              </w:rPr>
              <w:t>；废薄膜、边角料以及不合格品</w:t>
            </w:r>
            <w:r>
              <w:rPr>
                <w:rFonts w:hint="eastAsia"/>
                <w:color w:val="auto"/>
                <w:sz w:val="24"/>
                <w:szCs w:val="24"/>
              </w:rPr>
              <w:t>集中收集后</w:t>
            </w:r>
            <w:r>
              <w:rPr>
                <w:rFonts w:hint="eastAsia"/>
                <w:color w:val="auto"/>
                <w:sz w:val="24"/>
                <w:szCs w:val="24"/>
                <w:lang w:eastAsia="zh-CN"/>
              </w:rPr>
              <w:t>进行造粒处理回用于生产</w:t>
            </w:r>
            <w:r>
              <w:rPr>
                <w:rFonts w:hint="eastAsia"/>
                <w:color w:val="auto"/>
                <w:sz w:val="24"/>
                <w:szCs w:val="24"/>
              </w:rPr>
              <w:t>；职工生活垃圾</w:t>
            </w:r>
            <w:r>
              <w:rPr>
                <w:rFonts w:hint="eastAsia"/>
                <w:color w:val="auto"/>
                <w:sz w:val="24"/>
                <w:szCs w:val="24"/>
                <w:lang w:eastAsia="zh-CN"/>
              </w:rPr>
              <w:t>经</w:t>
            </w:r>
            <w:r>
              <w:rPr>
                <w:rFonts w:hint="eastAsia"/>
                <w:color w:val="auto"/>
                <w:sz w:val="24"/>
                <w:szCs w:val="24"/>
              </w:rPr>
              <w:t>收集后由环卫部门定期清运处理。固体废物贮存、处置满足《</w:t>
            </w:r>
            <w:r>
              <w:rPr>
                <w:rFonts w:hint="eastAsia"/>
                <w:color w:val="auto"/>
                <w:sz w:val="24"/>
                <w:szCs w:val="24"/>
                <w:lang w:eastAsia="zh-CN"/>
              </w:rPr>
              <w:t>一般工业固体废物贮存和填埋污染控制标准</w:t>
            </w:r>
            <w:r>
              <w:rPr>
                <w:rFonts w:hint="eastAsia"/>
                <w:color w:val="auto"/>
                <w:sz w:val="24"/>
                <w:szCs w:val="24"/>
              </w:rPr>
              <w:t>》（GB18599-2020）相关要求。</w:t>
            </w:r>
          </w:p>
          <w:p>
            <w:pPr>
              <w:pStyle w:val="133"/>
              <w:adjustRightInd w:val="0"/>
              <w:snapToGrid w:val="0"/>
              <w:spacing w:line="360" w:lineRule="auto"/>
              <w:ind w:firstLineChars="20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（2）危险废物管理要求</w:t>
            </w:r>
          </w:p>
          <w:p>
            <w:pPr>
              <w:pStyle w:val="133"/>
              <w:adjustRightInd w:val="0"/>
              <w:snapToGrid w:val="0"/>
              <w:spacing w:line="360" w:lineRule="auto"/>
              <w:ind w:firstLine="480" w:firstLineChars="200"/>
              <w:jc w:val="both"/>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rPr>
              <w:t>1）危废暂存场所需满足《危险废物贮存污染控制标准》（GB18597-2001）及其修改单的相关要求：</w:t>
            </w:r>
          </w:p>
          <w:p>
            <w:pPr>
              <w:adjustRightInd w:val="0"/>
              <w:snapToGrid w:val="0"/>
              <w:spacing w:line="360" w:lineRule="auto"/>
              <w:ind w:firstLine="480" w:firstLineChars="200"/>
              <w:rPr>
                <w:rFonts w:hint="default" w:ascii="Times New Roman" w:hAnsi="Times New Roman" w:cs="Times New Roman"/>
                <w:bCs/>
                <w:snapToGrid w:val="0"/>
                <w:color w:val="auto"/>
                <w:kern w:val="0"/>
                <w:sz w:val="24"/>
                <w:lang w:val="zh-CN"/>
              </w:rPr>
            </w:pPr>
            <w:r>
              <w:rPr>
                <w:rFonts w:hint="default" w:ascii="Times New Roman" w:hAnsi="Times New Roman" w:cs="Times New Roman"/>
                <w:bCs/>
                <w:snapToGrid w:val="0"/>
                <w:color w:val="auto"/>
                <w:kern w:val="0"/>
                <w:sz w:val="24"/>
                <w:lang w:val="zh-CN"/>
              </w:rPr>
              <w:t>①贮存场所必须有符合《环境保护图形标志-固体废物贮存（处置）场》（GB15562.2-1995）的专用标志。</w:t>
            </w:r>
          </w:p>
          <w:p>
            <w:pPr>
              <w:adjustRightInd w:val="0"/>
              <w:snapToGrid w:val="0"/>
              <w:spacing w:line="360" w:lineRule="auto"/>
              <w:ind w:firstLine="480" w:firstLineChars="200"/>
              <w:rPr>
                <w:rFonts w:hint="default" w:ascii="Times New Roman" w:hAnsi="Times New Roman" w:cs="Times New Roman"/>
                <w:bCs/>
                <w:snapToGrid w:val="0"/>
                <w:color w:val="auto"/>
                <w:kern w:val="0"/>
                <w:sz w:val="24"/>
                <w:lang w:val="zh-CN"/>
              </w:rPr>
            </w:pPr>
            <w:r>
              <w:rPr>
                <w:rFonts w:hint="default" w:ascii="Times New Roman" w:hAnsi="Times New Roman" w:cs="Times New Roman"/>
                <w:bCs/>
                <w:snapToGrid w:val="0"/>
                <w:color w:val="auto"/>
                <w:kern w:val="0"/>
                <w:sz w:val="24"/>
                <w:lang w:val="zh-CN"/>
              </w:rPr>
              <w:t>②按危险废物的种类和特性进行分区贮存，并设置防流失、防扬散和防渗漏措施。</w:t>
            </w:r>
          </w:p>
          <w:p>
            <w:pPr>
              <w:adjustRightInd w:val="0"/>
              <w:snapToGrid w:val="0"/>
              <w:spacing w:line="360" w:lineRule="auto"/>
              <w:ind w:firstLine="480" w:firstLineChars="200"/>
              <w:rPr>
                <w:rFonts w:hint="default" w:ascii="Times New Roman" w:hAnsi="Times New Roman" w:cs="Times New Roman"/>
                <w:bCs/>
                <w:snapToGrid w:val="0"/>
                <w:color w:val="auto"/>
                <w:kern w:val="0"/>
                <w:sz w:val="24"/>
                <w:lang w:val="zh-CN"/>
              </w:rPr>
            </w:pPr>
            <w:r>
              <w:rPr>
                <w:rFonts w:hint="default" w:ascii="Times New Roman" w:hAnsi="Times New Roman" w:cs="Times New Roman"/>
                <w:bCs/>
                <w:snapToGrid w:val="0"/>
                <w:color w:val="auto"/>
                <w:kern w:val="0"/>
                <w:sz w:val="24"/>
                <w:lang w:val="zh-CN"/>
              </w:rPr>
              <w:t>③应建有堵截泄漏的裙角，地面与裙角要用兼顾防渗的材料建造，建筑材料必须与危险废物相容。</w:t>
            </w:r>
          </w:p>
          <w:p>
            <w:pPr>
              <w:adjustRightInd w:val="0"/>
              <w:snapToGrid w:val="0"/>
              <w:spacing w:line="360" w:lineRule="auto"/>
              <w:ind w:firstLine="480" w:firstLineChars="200"/>
              <w:rPr>
                <w:rFonts w:hint="default" w:ascii="Times New Roman" w:hAnsi="Times New Roman" w:cs="Times New Roman"/>
                <w:bCs/>
                <w:snapToGrid w:val="0"/>
                <w:color w:val="auto"/>
                <w:kern w:val="0"/>
                <w:sz w:val="24"/>
                <w:lang w:val="zh-CN"/>
              </w:rPr>
            </w:pPr>
            <w:r>
              <w:rPr>
                <w:rFonts w:hint="default" w:ascii="Times New Roman" w:hAnsi="Times New Roman" w:cs="Times New Roman"/>
                <w:bCs/>
                <w:snapToGrid w:val="0"/>
                <w:color w:val="auto"/>
                <w:kern w:val="0"/>
                <w:sz w:val="24"/>
                <w:lang w:val="zh-CN"/>
              </w:rPr>
              <w:t>④墙面、棚面应防吸附，用于存放装载液体、半固体危险废物容器的地方，必须有耐腐蚀的硬化地面，且表面无裂隙。</w:t>
            </w:r>
          </w:p>
          <w:p>
            <w:pPr>
              <w:adjustRightInd w:val="0"/>
              <w:snapToGrid w:val="0"/>
              <w:spacing w:line="360" w:lineRule="auto"/>
              <w:ind w:firstLine="480" w:firstLineChars="200"/>
              <w:rPr>
                <w:rFonts w:hint="default" w:ascii="Times New Roman" w:hAnsi="Times New Roman" w:cs="Times New Roman"/>
                <w:bCs/>
                <w:snapToGrid w:val="0"/>
                <w:color w:val="auto"/>
                <w:kern w:val="0"/>
                <w:sz w:val="24"/>
                <w:lang w:val="zh-CN"/>
              </w:rPr>
            </w:pPr>
            <w:r>
              <w:rPr>
                <w:rFonts w:hint="default" w:ascii="Times New Roman" w:hAnsi="Times New Roman" w:cs="Times New Roman"/>
                <w:bCs/>
                <w:snapToGrid w:val="0"/>
                <w:color w:val="auto"/>
                <w:kern w:val="0"/>
                <w:sz w:val="24"/>
                <w:lang w:val="zh-CN"/>
              </w:rPr>
              <w:t>⑤应设置备用通风系统和监控装置。</w:t>
            </w:r>
          </w:p>
          <w:p>
            <w:pPr>
              <w:adjustRightInd w:val="0"/>
              <w:snapToGrid w:val="0"/>
              <w:spacing w:line="360" w:lineRule="auto"/>
              <w:ind w:firstLine="480" w:firstLineChars="200"/>
              <w:rPr>
                <w:rFonts w:hint="default" w:ascii="Times New Roman" w:hAnsi="Times New Roman" w:cs="Times New Roman"/>
                <w:bCs/>
                <w:snapToGrid w:val="0"/>
                <w:color w:val="auto"/>
                <w:kern w:val="0"/>
                <w:sz w:val="24"/>
                <w:lang w:val="zh-CN"/>
              </w:rPr>
            </w:pPr>
            <w:r>
              <w:rPr>
                <w:rFonts w:hint="default" w:ascii="Times New Roman" w:hAnsi="Times New Roman" w:cs="Times New Roman"/>
                <w:bCs/>
                <w:snapToGrid w:val="0"/>
                <w:color w:val="auto"/>
                <w:kern w:val="0"/>
                <w:sz w:val="24"/>
                <w:lang w:val="zh-CN"/>
              </w:rPr>
              <w:t>2）危险废物的转移、运输过程中，应做到以下几点：</w:t>
            </w:r>
          </w:p>
          <w:p>
            <w:pPr>
              <w:adjustRightInd w:val="0"/>
              <w:snapToGrid w:val="0"/>
              <w:spacing w:line="360" w:lineRule="auto"/>
              <w:ind w:firstLine="480" w:firstLineChars="200"/>
              <w:rPr>
                <w:rFonts w:hint="default" w:ascii="Times New Roman" w:hAnsi="Times New Roman" w:cs="Times New Roman"/>
                <w:bCs/>
                <w:snapToGrid w:val="0"/>
                <w:color w:val="auto"/>
                <w:kern w:val="0"/>
                <w:sz w:val="24"/>
                <w:lang w:val="zh-CN"/>
              </w:rPr>
            </w:pPr>
            <w:r>
              <w:rPr>
                <w:rFonts w:hint="default" w:ascii="Times New Roman" w:hAnsi="Times New Roman" w:cs="Times New Roman"/>
                <w:bCs/>
                <w:snapToGrid w:val="0"/>
                <w:color w:val="auto"/>
                <w:kern w:val="0"/>
                <w:sz w:val="24"/>
                <w:lang w:val="zh-CN"/>
              </w:rPr>
              <w:t>①危险废物的运输车辆将经过环保主管部门的检查，并持有主管部门签发的许可证，负责废物的运输司机将通过公司内部培训，持有证明文件。</w:t>
            </w:r>
          </w:p>
          <w:p>
            <w:pPr>
              <w:adjustRightInd w:val="0"/>
              <w:snapToGrid w:val="0"/>
              <w:spacing w:line="360" w:lineRule="auto"/>
              <w:ind w:firstLine="480" w:firstLineChars="200"/>
              <w:rPr>
                <w:rFonts w:hint="default" w:ascii="Times New Roman" w:hAnsi="Times New Roman" w:cs="Times New Roman"/>
                <w:bCs/>
                <w:snapToGrid w:val="0"/>
                <w:color w:val="auto"/>
                <w:kern w:val="0"/>
                <w:sz w:val="24"/>
                <w:lang w:val="zh-CN"/>
              </w:rPr>
            </w:pPr>
            <w:r>
              <w:rPr>
                <w:rFonts w:hint="default" w:ascii="Times New Roman" w:hAnsi="Times New Roman" w:cs="Times New Roman"/>
                <w:bCs/>
                <w:snapToGrid w:val="0"/>
                <w:color w:val="auto"/>
                <w:kern w:val="0"/>
                <w:sz w:val="24"/>
                <w:lang w:val="zh-CN"/>
              </w:rPr>
              <w:t>②承载危险废物的车辆将设置明显的标志或适当的危险符号，以引起注意。</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snapToGrid w:val="0"/>
                <w:color w:val="auto"/>
                <w:kern w:val="0"/>
                <w:sz w:val="24"/>
                <w:lang w:val="zh-CN"/>
              </w:rPr>
              <w:t>③严禁将危险废物向环境中倾倒、丢弃、遗洒，运输</w:t>
            </w:r>
            <w:r>
              <w:rPr>
                <w:rFonts w:hint="default" w:ascii="Times New Roman" w:hAnsi="Times New Roman" w:cs="Times New Roman"/>
                <w:color w:val="auto"/>
                <w:sz w:val="24"/>
              </w:rPr>
              <w:t>途中发现危废泄漏的，应及时采取措施控制污染；</w:t>
            </w:r>
          </w:p>
          <w:p>
            <w:pPr>
              <w:pStyle w:val="138"/>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④建设单位应跟踪厂区危废的转移、运输和处置情况，防止发生危废非法转移、非法运输和非法外卖等情况。</w:t>
            </w:r>
          </w:p>
          <w:p>
            <w:pPr>
              <w:pStyle w:val="83"/>
              <w:adjustRightInd w:val="0"/>
              <w:snapToGrid w:val="0"/>
              <w:ind w:firstLine="480" w:firstLineChars="200"/>
              <w:rPr>
                <w:rFonts w:hint="default" w:ascii="Times New Roman" w:hAnsi="Times New Roman" w:cs="Times New Roman"/>
                <w:color w:val="auto"/>
                <w:kern w:val="0"/>
              </w:rPr>
            </w:pPr>
            <w:r>
              <w:rPr>
                <w:rFonts w:hint="default" w:ascii="Times New Roman" w:hAnsi="Times New Roman" w:cs="Times New Roman"/>
                <w:b w:val="0"/>
                <w:bCs/>
                <w:color w:val="auto"/>
                <w:kern w:val="0"/>
              </w:rPr>
              <w:t>因此，项目产生的固废可以实现妥善处置，方法可行。在严格执行上述处置措施和管理措施的前提下，固体废物不会对环境产生二次污染。</w:t>
            </w:r>
          </w:p>
          <w:p>
            <w:pPr>
              <w:pStyle w:val="83"/>
              <w:adjustRightInd w:val="0"/>
              <w:snapToGrid w:val="0"/>
              <w:ind w:firstLine="482" w:firstLineChars="200"/>
              <w:rPr>
                <w:rFonts w:hint="default" w:ascii="Times New Roman" w:hAnsi="Times New Roman" w:cs="Times New Roman"/>
                <w:color w:val="auto"/>
              </w:rPr>
            </w:pPr>
            <w:r>
              <w:rPr>
                <w:rFonts w:hint="default" w:ascii="Times New Roman" w:hAnsi="Times New Roman" w:cs="Times New Roman"/>
                <w:color w:val="auto"/>
              </w:rPr>
              <w:t>（五）地下水、土壤</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根据《环境影响评价技术导则 地下水环境》（</w:t>
            </w:r>
            <w:r>
              <w:rPr>
                <w:rFonts w:hint="default" w:ascii="Times New Roman" w:hAnsi="Times New Roman" w:eastAsia="宋体" w:cs="Times New Roman"/>
                <w:b w:val="0"/>
                <w:bCs/>
                <w:color w:val="auto"/>
                <w:kern w:val="0"/>
                <w:sz w:val="24"/>
                <w:szCs w:val="24"/>
                <w:lang w:val="en-US" w:eastAsia="zh-CN" w:bidi="ar-SA"/>
              </w:rPr>
              <w:t>HJ610-2016</w:t>
            </w:r>
            <w:r>
              <w:rPr>
                <w:rFonts w:hint="eastAsia" w:ascii="Times New Roman" w:hAnsi="Times New Roman" w:eastAsia="宋体" w:cs="Times New Roman"/>
                <w:b w:val="0"/>
                <w:bCs/>
                <w:color w:val="auto"/>
                <w:kern w:val="0"/>
                <w:sz w:val="24"/>
                <w:szCs w:val="24"/>
                <w:lang w:val="en-US" w:eastAsia="zh-CN" w:bidi="ar-SA"/>
              </w:rPr>
              <w:t>）中“地下水环境影响评价行业分类表”，将建设项目分为四类，本项目属于塑料制造制造中“其他”，属于</w:t>
            </w:r>
            <w:r>
              <w:rPr>
                <w:rFonts w:hint="default" w:ascii="Times New Roman" w:hAnsi="Times New Roman" w:eastAsia="宋体" w:cs="Times New Roman"/>
                <w:b w:val="0"/>
                <w:bCs/>
                <w:color w:val="auto"/>
                <w:kern w:val="0"/>
                <w:sz w:val="24"/>
                <w:szCs w:val="24"/>
                <w:lang w:val="en-US" w:eastAsia="zh-CN" w:bidi="ar-SA"/>
              </w:rPr>
              <w:t>Ⅳ</w:t>
            </w:r>
            <w:r>
              <w:rPr>
                <w:rFonts w:hint="eastAsia" w:ascii="Times New Roman" w:hAnsi="Times New Roman" w:eastAsia="宋体" w:cs="Times New Roman"/>
                <w:b w:val="0"/>
                <w:bCs/>
                <w:color w:val="auto"/>
                <w:kern w:val="0"/>
                <w:sz w:val="24"/>
                <w:szCs w:val="24"/>
                <w:lang w:val="en-US" w:eastAsia="zh-CN" w:bidi="ar-SA"/>
              </w:rPr>
              <w:t>类项目。</w:t>
            </w:r>
            <w:r>
              <w:rPr>
                <w:rFonts w:hint="default" w:ascii="Times New Roman" w:hAnsi="Times New Roman" w:eastAsia="宋体" w:cs="Times New Roman"/>
                <w:b w:val="0"/>
                <w:bCs/>
                <w:color w:val="auto"/>
                <w:kern w:val="0"/>
                <w:sz w:val="24"/>
                <w:szCs w:val="24"/>
                <w:lang w:val="en-US" w:eastAsia="zh-CN" w:bidi="ar-SA"/>
              </w:rPr>
              <w:t>Ⅳ</w:t>
            </w:r>
            <w:r>
              <w:rPr>
                <w:rFonts w:hint="eastAsia" w:ascii="Times New Roman" w:hAnsi="Times New Roman" w:eastAsia="宋体" w:cs="Times New Roman"/>
                <w:b w:val="0"/>
                <w:bCs/>
                <w:color w:val="auto"/>
                <w:kern w:val="0"/>
                <w:sz w:val="24"/>
                <w:szCs w:val="24"/>
                <w:lang w:val="en-US" w:eastAsia="zh-CN" w:bidi="ar-SA"/>
              </w:rPr>
              <w:t>类项目不需要进行地下水环境影响评价。</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根据《环境影响评价技术导则 土壤环境（试行）》（</w:t>
            </w:r>
            <w:r>
              <w:rPr>
                <w:rFonts w:hint="default" w:ascii="Times New Roman" w:hAnsi="Times New Roman" w:eastAsia="宋体" w:cs="Times New Roman"/>
                <w:b w:val="0"/>
                <w:bCs/>
                <w:color w:val="auto"/>
                <w:kern w:val="0"/>
                <w:sz w:val="24"/>
                <w:szCs w:val="24"/>
                <w:lang w:val="en-US" w:eastAsia="zh-CN" w:bidi="ar-SA"/>
              </w:rPr>
              <w:t>HJ964-2018</w:t>
            </w:r>
            <w:r>
              <w:rPr>
                <w:rFonts w:hint="eastAsia" w:ascii="Times New Roman" w:hAnsi="Times New Roman" w:eastAsia="宋体" w:cs="Times New Roman"/>
                <w:b w:val="0"/>
                <w:bCs/>
                <w:color w:val="auto"/>
                <w:kern w:val="0"/>
                <w:sz w:val="24"/>
                <w:szCs w:val="24"/>
                <w:lang w:val="en-US" w:eastAsia="zh-CN" w:bidi="ar-SA"/>
              </w:rPr>
              <w:t>）附录</w:t>
            </w:r>
            <w:r>
              <w:rPr>
                <w:rFonts w:hint="default" w:ascii="Times New Roman" w:hAnsi="Times New Roman" w:eastAsia="宋体" w:cs="Times New Roman"/>
                <w:b w:val="0"/>
                <w:bCs/>
                <w:color w:val="auto"/>
                <w:kern w:val="0"/>
                <w:sz w:val="24"/>
                <w:szCs w:val="24"/>
                <w:lang w:val="en-US" w:eastAsia="zh-CN" w:bidi="ar-SA"/>
              </w:rPr>
              <w:t>A</w:t>
            </w:r>
            <w:r>
              <w:rPr>
                <w:rFonts w:hint="eastAsia" w:ascii="Times New Roman" w:hAnsi="Times New Roman" w:eastAsia="宋体" w:cs="Times New Roman"/>
                <w:b w:val="0"/>
                <w:bCs/>
                <w:color w:val="auto"/>
                <w:kern w:val="0"/>
                <w:sz w:val="24"/>
                <w:szCs w:val="24"/>
                <w:lang w:val="en-US" w:eastAsia="zh-CN" w:bidi="ar-SA"/>
              </w:rPr>
              <w:t>，本项目土壤环境影响影响评价项目类别属于“其他行业”，项目类别为</w:t>
            </w:r>
            <w:r>
              <w:rPr>
                <w:rFonts w:hint="default" w:ascii="Times New Roman" w:hAnsi="Times New Roman" w:eastAsia="宋体" w:cs="Times New Roman"/>
                <w:b w:val="0"/>
                <w:bCs/>
                <w:color w:val="auto"/>
                <w:kern w:val="0"/>
                <w:sz w:val="24"/>
                <w:szCs w:val="24"/>
                <w:lang w:val="en-US" w:eastAsia="zh-CN" w:bidi="ar-SA"/>
              </w:rPr>
              <w:t>Ⅳ</w:t>
            </w:r>
            <w:r>
              <w:rPr>
                <w:rFonts w:hint="eastAsia" w:ascii="Times New Roman" w:hAnsi="Times New Roman" w:eastAsia="宋体" w:cs="Times New Roman"/>
                <w:b w:val="0"/>
                <w:bCs/>
                <w:color w:val="auto"/>
                <w:kern w:val="0"/>
                <w:sz w:val="24"/>
                <w:szCs w:val="24"/>
                <w:lang w:val="en-US" w:eastAsia="zh-CN" w:bidi="ar-SA"/>
              </w:rPr>
              <w:t>类。</w:t>
            </w:r>
            <w:r>
              <w:rPr>
                <w:rFonts w:hint="default" w:ascii="Times New Roman" w:hAnsi="Times New Roman" w:eastAsia="宋体" w:cs="Times New Roman"/>
                <w:b w:val="0"/>
                <w:bCs/>
                <w:color w:val="auto"/>
                <w:kern w:val="0"/>
                <w:sz w:val="24"/>
                <w:szCs w:val="24"/>
                <w:lang w:val="en-US" w:eastAsia="zh-CN" w:bidi="ar-SA"/>
              </w:rPr>
              <w:t>Ⅳ</w:t>
            </w:r>
            <w:r>
              <w:rPr>
                <w:rFonts w:hint="eastAsia" w:ascii="Times New Roman" w:hAnsi="Times New Roman" w:eastAsia="宋体" w:cs="Times New Roman"/>
                <w:b w:val="0"/>
                <w:bCs/>
                <w:color w:val="auto"/>
                <w:kern w:val="0"/>
                <w:sz w:val="24"/>
                <w:szCs w:val="24"/>
                <w:lang w:val="en-US" w:eastAsia="zh-CN" w:bidi="ar-SA"/>
              </w:rPr>
              <w:t>类项目不需要进行土壤环境影响评价。</w:t>
            </w:r>
          </w:p>
          <w:p>
            <w:pPr>
              <w:pStyle w:val="85"/>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（六）环境风险分析</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eastAsia" w:ascii="Times New Roman" w:hAnsi="Times New Roman" w:cs="Times New Roman"/>
                <w:b w:val="0"/>
                <w:bCs w:val="0"/>
                <w:color w:val="auto"/>
                <w:sz w:val="24"/>
                <w:lang w:eastAsia="zh-CN"/>
              </w:rPr>
              <w:t>依据</w:t>
            </w:r>
            <w:r>
              <w:rPr>
                <w:rFonts w:hint="default" w:ascii="Times New Roman" w:hAnsi="Times New Roman" w:cs="Times New Roman"/>
                <w:b w:val="0"/>
                <w:bCs w:val="0"/>
                <w:color w:val="auto"/>
                <w:sz w:val="24"/>
              </w:rPr>
              <w:t>《常用危险品的分类及标志》</w:t>
            </w:r>
            <w:r>
              <w:rPr>
                <w:rFonts w:hint="eastAsia"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GB13690-92</w:t>
            </w:r>
            <w:r>
              <w:rPr>
                <w:rFonts w:hint="eastAsia"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和《危险货物分类和品名编号》</w:t>
            </w:r>
            <w:r>
              <w:rPr>
                <w:rFonts w:hint="eastAsia"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GB6944-2005</w:t>
            </w:r>
            <w:r>
              <w:rPr>
                <w:rFonts w:hint="eastAsia"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我国将危险化学品按其危险性划分为8类21项：第1类，爆炸品；第2类，压缩气体和液化气体；第3类，易燃液体；第4类，易燃固体、自燃物品和遇湿易燃物品；第5类，氧化剂和有机过氧化物；第7类，放射性物品；第8类，腐蚀品。第6类，毒害品和感染性物品；据前面内容分析，同时</w:t>
            </w:r>
            <w:r>
              <w:rPr>
                <w:rFonts w:hint="default" w:ascii="Times New Roman" w:hAnsi="Times New Roman" w:cs="Times New Roman"/>
                <w:b w:val="0"/>
                <w:bCs w:val="0"/>
                <w:color w:val="auto"/>
                <w:sz w:val="24"/>
                <w:lang w:val="en-US" w:eastAsia="zh-CN"/>
              </w:rPr>
              <w:t>结合《建设项目环境风险评价技术导则》</w:t>
            </w:r>
            <w:r>
              <w:rPr>
                <w:rFonts w:hint="eastAsia" w:ascii="Times New Roman" w:hAnsi="Times New Roman"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HJ/T169-2018</w:t>
            </w:r>
            <w:r>
              <w:rPr>
                <w:rFonts w:hint="eastAsia" w:ascii="Times New Roman" w:hAnsi="Times New Roman"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附录B及《危险化学品重大危险源辨识》（GB18218-2018）本项目</w:t>
            </w:r>
            <w:r>
              <w:rPr>
                <w:rFonts w:hint="default" w:ascii="Times New Roman" w:hAnsi="Times New Roman" w:cs="Times New Roman"/>
                <w:b w:val="0"/>
                <w:bCs w:val="0"/>
                <w:color w:val="auto"/>
                <w:sz w:val="24"/>
              </w:rPr>
              <w:t>主要的原辅料无以上所列的危险化学品</w:t>
            </w:r>
            <w:r>
              <w:rPr>
                <w:rFonts w:hint="eastAsia"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无风险物质，不进行风险评价。</w:t>
            </w:r>
          </w:p>
          <w:p>
            <w:pPr>
              <w:pStyle w:val="179"/>
              <w:keepNext w:val="0"/>
              <w:keepLines w:val="0"/>
              <w:pageBreakBefore w:val="0"/>
              <w:widowControl w:val="0"/>
              <w:kinsoku/>
              <w:wordWrap/>
              <w:overflowPunct/>
              <w:topLinePunct w:val="0"/>
              <w:autoSpaceDE/>
              <w:autoSpaceDN/>
              <w:bidi w:val="0"/>
              <w:adjustRightInd/>
              <w:snapToGrid/>
              <w:spacing w:line="480" w:lineRule="exact"/>
              <w:ind w:firstLine="422"/>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（1）环境风险分析表</w:t>
            </w:r>
          </w:p>
          <w:p>
            <w:pPr>
              <w:pStyle w:val="154"/>
              <w:spacing w:before="120" w:beforeLines="50" w:line="240" w:lineRule="auto"/>
              <w:ind w:firstLine="0"/>
              <w:rPr>
                <w:rFonts w:ascii="Times New Roman" w:hAnsi="Times New Roman"/>
                <w:color w:val="auto"/>
                <w:sz w:val="21"/>
                <w:szCs w:val="21"/>
              </w:rPr>
            </w:pPr>
          </w:p>
          <w:p>
            <w:pPr>
              <w:pStyle w:val="154"/>
              <w:spacing w:before="120" w:beforeLines="50" w:line="240" w:lineRule="auto"/>
              <w:ind w:firstLine="0"/>
              <w:rPr>
                <w:rFonts w:ascii="Times New Roman" w:hAnsi="Times New Roman"/>
                <w:color w:val="auto"/>
                <w:sz w:val="21"/>
                <w:szCs w:val="21"/>
              </w:rPr>
            </w:pPr>
          </w:p>
          <w:p>
            <w:pPr>
              <w:pStyle w:val="154"/>
              <w:spacing w:before="120" w:beforeLines="50" w:line="240" w:lineRule="auto"/>
              <w:ind w:firstLine="0"/>
              <w:rPr>
                <w:rFonts w:ascii="Times New Roman" w:hAnsi="Times New Roman"/>
                <w:color w:val="auto"/>
                <w:sz w:val="21"/>
                <w:szCs w:val="21"/>
              </w:rPr>
            </w:pPr>
          </w:p>
          <w:p>
            <w:pPr>
              <w:pStyle w:val="154"/>
              <w:spacing w:before="120" w:beforeLines="50" w:line="240" w:lineRule="auto"/>
              <w:ind w:firstLine="0"/>
              <w:rPr>
                <w:rFonts w:ascii="Times New Roman" w:hAnsi="Times New Roman"/>
                <w:color w:val="auto"/>
                <w:sz w:val="21"/>
                <w:szCs w:val="21"/>
              </w:rPr>
            </w:pPr>
          </w:p>
          <w:p>
            <w:pPr>
              <w:pStyle w:val="154"/>
              <w:spacing w:before="120" w:beforeLines="50" w:line="240" w:lineRule="auto"/>
              <w:ind w:firstLine="0"/>
              <w:rPr>
                <w:rFonts w:ascii="Times New Roman" w:hAnsi="Times New Roman"/>
                <w:color w:val="auto"/>
                <w:sz w:val="21"/>
                <w:szCs w:val="21"/>
              </w:rPr>
            </w:pPr>
          </w:p>
          <w:p>
            <w:pPr>
              <w:pStyle w:val="154"/>
              <w:spacing w:before="120" w:beforeLines="50" w:line="240" w:lineRule="auto"/>
              <w:ind w:firstLine="0"/>
              <w:rPr>
                <w:rFonts w:ascii="Times New Roman" w:hAnsi="Times New Roman"/>
                <w:color w:val="auto"/>
                <w:sz w:val="21"/>
                <w:szCs w:val="21"/>
              </w:rPr>
            </w:pPr>
          </w:p>
          <w:p>
            <w:pPr>
              <w:pStyle w:val="154"/>
              <w:spacing w:before="120" w:beforeLines="50" w:line="240" w:lineRule="auto"/>
              <w:ind w:firstLine="0"/>
              <w:rPr>
                <w:rFonts w:ascii="Times New Roman" w:hAnsi="Times New Roman"/>
                <w:color w:val="auto"/>
                <w:sz w:val="21"/>
                <w:szCs w:val="21"/>
              </w:rPr>
            </w:pPr>
            <w:r>
              <w:rPr>
                <w:rFonts w:ascii="Times New Roman" w:hAnsi="Times New Roman"/>
                <w:color w:val="auto"/>
                <w:sz w:val="21"/>
                <w:szCs w:val="21"/>
              </w:rPr>
              <w:t>表</w:t>
            </w:r>
            <w:r>
              <w:rPr>
                <w:rFonts w:hint="eastAsia" w:ascii="Times New Roman" w:hAnsi="Times New Roman"/>
                <w:color w:val="auto"/>
                <w:sz w:val="21"/>
                <w:szCs w:val="21"/>
              </w:rPr>
              <w:t>4</w:t>
            </w:r>
            <w:r>
              <w:rPr>
                <w:rFonts w:ascii="Times New Roman" w:hAnsi="Times New Roman"/>
                <w:color w:val="auto"/>
                <w:sz w:val="21"/>
                <w:szCs w:val="21"/>
              </w:rPr>
              <w:t>-1</w:t>
            </w:r>
            <w:r>
              <w:rPr>
                <w:rFonts w:hint="eastAsia" w:ascii="Times New Roman" w:hAnsi="Times New Roman"/>
                <w:color w:val="auto"/>
                <w:sz w:val="21"/>
                <w:szCs w:val="21"/>
                <w:lang w:val="en-US" w:eastAsia="zh-CN"/>
              </w:rPr>
              <w:t>3</w:t>
            </w:r>
            <w:r>
              <w:rPr>
                <w:rFonts w:hint="eastAsia" w:ascii="Times New Roman" w:hAnsi="Times New Roman"/>
                <w:color w:val="auto"/>
                <w:sz w:val="21"/>
                <w:szCs w:val="21"/>
                <w:lang w:val="en-US"/>
              </w:rPr>
              <w:t xml:space="preserve">  </w:t>
            </w:r>
            <w:r>
              <w:rPr>
                <w:rFonts w:ascii="Times New Roman" w:hAnsi="Times New Roman"/>
                <w:color w:val="auto"/>
                <w:sz w:val="21"/>
                <w:szCs w:val="21"/>
              </w:rPr>
              <w:t>建设项目环境风险分析表</w:t>
            </w:r>
          </w:p>
          <w:tbl>
            <w:tblPr>
              <w:tblStyle w:val="33"/>
              <w:tblW w:w="79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18"/>
              <w:gridCol w:w="1859"/>
              <w:gridCol w:w="2484"/>
              <w:gridCol w:w="199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3" w:hRule="atLeast"/>
                <w:jc w:val="center"/>
              </w:trPr>
              <w:tc>
                <w:tcPr>
                  <w:tcW w:w="1618" w:type="dxa"/>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w:t>
                  </w:r>
                </w:p>
              </w:tc>
              <w:tc>
                <w:tcPr>
                  <w:tcW w:w="1859" w:type="dxa"/>
                  <w:tcBorders>
                    <w:right w:val="single" w:color="auto" w:sz="4" w:space="0"/>
                  </w:tcBorders>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润滑油</w:t>
                  </w:r>
                </w:p>
              </w:tc>
              <w:tc>
                <w:tcPr>
                  <w:tcW w:w="2484" w:type="dxa"/>
                  <w:tcBorders>
                    <w:left w:val="single" w:color="auto" w:sz="4" w:space="0"/>
                  </w:tcBorders>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w:t>
                  </w:r>
                  <w:r>
                    <w:rPr>
                      <w:rFonts w:hint="default" w:ascii="Times New Roman" w:hAnsi="Times New Roman" w:eastAsia="宋体" w:cs="Times New Roman"/>
                      <w:color w:val="auto"/>
                      <w:sz w:val="21"/>
                      <w:szCs w:val="21"/>
                      <w:lang w:eastAsia="zh-CN"/>
                    </w:rPr>
                    <w:t>润滑油</w:t>
                  </w:r>
                </w:p>
              </w:tc>
              <w:tc>
                <w:tcPr>
                  <w:tcW w:w="1997" w:type="dxa"/>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废活性炭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3" w:hRule="atLeast"/>
                <w:jc w:val="center"/>
              </w:trPr>
              <w:tc>
                <w:tcPr>
                  <w:tcW w:w="1618" w:type="dxa"/>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主要危险物质分布</w:t>
                  </w:r>
                </w:p>
              </w:tc>
              <w:tc>
                <w:tcPr>
                  <w:tcW w:w="1859" w:type="dxa"/>
                  <w:tcBorders>
                    <w:right w:val="single" w:color="auto" w:sz="4" w:space="0"/>
                  </w:tcBorders>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原料储存区</w:t>
                  </w:r>
                </w:p>
              </w:tc>
              <w:tc>
                <w:tcPr>
                  <w:tcW w:w="2484" w:type="dxa"/>
                  <w:tcBorders>
                    <w:left w:val="single" w:color="auto" w:sz="4" w:space="0"/>
                  </w:tcBorders>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危废间</w:t>
                  </w:r>
                </w:p>
              </w:tc>
              <w:tc>
                <w:tcPr>
                  <w:tcW w:w="1997" w:type="dxa"/>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危废间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02" w:hRule="atLeast"/>
                <w:jc w:val="center"/>
              </w:trPr>
              <w:tc>
                <w:tcPr>
                  <w:tcW w:w="1618" w:type="dxa"/>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环境影响途径</w:t>
                  </w:r>
                </w:p>
              </w:tc>
              <w:tc>
                <w:tcPr>
                  <w:tcW w:w="1859" w:type="dxa"/>
                  <w:tcBorders>
                    <w:right w:val="single" w:color="auto" w:sz="4" w:space="0"/>
                  </w:tcBorders>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可能发生泄露，</w:t>
                  </w:r>
                  <w:r>
                    <w:rPr>
                      <w:rFonts w:hint="eastAsia" w:ascii="Times New Roman" w:hAnsi="Times New Roman" w:eastAsia="宋体" w:cs="Times New Roman"/>
                      <w:color w:val="auto"/>
                      <w:sz w:val="21"/>
                      <w:szCs w:val="21"/>
                      <w:lang w:eastAsia="zh-CN"/>
                    </w:rPr>
                    <w:t>润滑油</w:t>
                  </w:r>
                  <w:r>
                    <w:rPr>
                      <w:rFonts w:hint="default" w:ascii="Times New Roman" w:hAnsi="Times New Roman" w:eastAsia="宋体" w:cs="Times New Roman"/>
                      <w:color w:val="auto"/>
                      <w:sz w:val="21"/>
                      <w:szCs w:val="21"/>
                    </w:rPr>
                    <w:t>遇明火引发火灾</w:t>
                  </w:r>
                </w:p>
              </w:tc>
              <w:tc>
                <w:tcPr>
                  <w:tcW w:w="2484" w:type="dxa"/>
                  <w:tcBorders>
                    <w:left w:val="single" w:color="auto" w:sz="4" w:space="0"/>
                  </w:tcBorders>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可能发生泄露，</w:t>
                  </w:r>
                  <w:r>
                    <w:rPr>
                      <w:rFonts w:hint="eastAsia" w:ascii="Times New Roman" w:hAnsi="Times New Roman" w:eastAsia="宋体" w:cs="Times New Roman"/>
                      <w:color w:val="auto"/>
                      <w:sz w:val="21"/>
                      <w:szCs w:val="21"/>
                      <w:lang w:val="en-US" w:eastAsia="zh-CN"/>
                    </w:rPr>
                    <w:t>废</w:t>
                  </w:r>
                  <w:r>
                    <w:rPr>
                      <w:rFonts w:hint="default" w:ascii="Times New Roman" w:hAnsi="Times New Roman" w:eastAsia="宋体" w:cs="Times New Roman"/>
                      <w:color w:val="auto"/>
                      <w:sz w:val="21"/>
                      <w:szCs w:val="21"/>
                      <w:lang w:eastAsia="zh-CN"/>
                    </w:rPr>
                    <w:t>润滑油</w:t>
                  </w:r>
                  <w:r>
                    <w:rPr>
                      <w:rFonts w:hint="default" w:ascii="Times New Roman" w:hAnsi="Times New Roman" w:eastAsia="宋体" w:cs="Times New Roman"/>
                      <w:color w:val="auto"/>
                      <w:sz w:val="21"/>
                      <w:szCs w:val="21"/>
                    </w:rPr>
                    <w:t>遇明火引发火灾</w:t>
                  </w:r>
                </w:p>
              </w:tc>
              <w:tc>
                <w:tcPr>
                  <w:tcW w:w="1997" w:type="dxa"/>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可能发生</w:t>
                  </w:r>
                  <w:r>
                    <w:rPr>
                      <w:rFonts w:hint="eastAsia" w:ascii="Times New Roman" w:hAnsi="Times New Roman" w:eastAsia="宋体" w:cs="Times New Roman"/>
                      <w:color w:val="auto"/>
                      <w:sz w:val="21"/>
                      <w:szCs w:val="21"/>
                      <w:lang w:eastAsia="zh-CN"/>
                    </w:rPr>
                    <w:t>洒落</w:t>
                  </w:r>
                  <w:r>
                    <w:rPr>
                      <w:rFonts w:hint="default" w:ascii="Times New Roman" w:hAnsi="Times New Roman" w:eastAsia="宋体" w:cs="Times New Roman"/>
                      <w:color w:val="auto"/>
                      <w:sz w:val="21"/>
                      <w:szCs w:val="21"/>
                      <w:lang w:eastAsia="zh-CN"/>
                    </w:rPr>
                    <w:t>，影响周围环境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0" w:hRule="atLeast"/>
                <w:jc w:val="center"/>
              </w:trPr>
              <w:tc>
                <w:tcPr>
                  <w:tcW w:w="1618" w:type="dxa"/>
                  <w:noWrap w:val="0"/>
                  <w:vAlign w:val="center"/>
                </w:tcPr>
                <w:p>
                  <w:pPr>
                    <w:pStyle w:val="131"/>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风险防范措施要求</w:t>
                  </w:r>
                </w:p>
              </w:tc>
              <w:tc>
                <w:tcPr>
                  <w:tcW w:w="1859" w:type="dxa"/>
                  <w:tcBorders>
                    <w:right w:val="single" w:color="auto" w:sz="4" w:space="0"/>
                  </w:tcBorders>
                  <w:noWrap w:val="0"/>
                  <w:vAlign w:val="center"/>
                </w:tcPr>
                <w:p>
                  <w:pPr>
                    <w:pStyle w:val="131"/>
                    <w:spacing w:line="240" w:lineRule="auto"/>
                    <w:ind w:firstLine="0" w:firstLineChars="0"/>
                    <w:jc w:val="both"/>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液体化学品原料均下设防漏托盘，地面做防渗处理</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配置灭火器等消防设施</w:t>
                  </w:r>
                  <w:r>
                    <w:rPr>
                      <w:rFonts w:hint="default" w:ascii="Times New Roman" w:hAnsi="Times New Roman" w:cs="Times New Roman"/>
                      <w:color w:val="auto"/>
                      <w:sz w:val="21"/>
                      <w:szCs w:val="21"/>
                      <w:lang w:eastAsia="zh-CN"/>
                    </w:rPr>
                    <w:t>。</w:t>
                  </w:r>
                </w:p>
              </w:tc>
              <w:tc>
                <w:tcPr>
                  <w:tcW w:w="2484" w:type="dxa"/>
                  <w:tcBorders>
                    <w:left w:val="single" w:color="auto" w:sz="4" w:space="0"/>
                  </w:tcBorders>
                  <w:noWrap w:val="0"/>
                  <w:vAlign w:val="center"/>
                </w:tcPr>
                <w:p>
                  <w:pPr>
                    <w:pStyle w:val="131"/>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液体化学品原料均下设防漏托盘，地面做防渗处理</w:t>
                  </w:r>
                  <w:r>
                    <w:rPr>
                      <w:rFonts w:hint="default" w:ascii="Times New Roman" w:hAnsi="Times New Roman" w:cs="Times New Roman"/>
                      <w:color w:val="auto"/>
                      <w:sz w:val="21"/>
                      <w:szCs w:val="21"/>
                      <w:lang w:eastAsia="zh-CN"/>
                    </w:rPr>
                    <w:t>；</w:t>
                  </w:r>
                </w:p>
                <w:p>
                  <w:pPr>
                    <w:pStyle w:val="131"/>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危废间做好“四防”措施，设置围堰、收集沟等，将危险废物控制在危废间内；</w:t>
                  </w:r>
                </w:p>
                <w:p>
                  <w:pPr>
                    <w:pStyle w:val="131"/>
                    <w:spacing w:line="240" w:lineRule="auto"/>
                    <w:ind w:firstLine="0" w:firstLine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配置灭火器等消防设施</w:t>
                  </w:r>
                  <w:r>
                    <w:rPr>
                      <w:rFonts w:hint="default" w:ascii="Times New Roman" w:hAnsi="Times New Roman" w:cs="Times New Roman"/>
                      <w:color w:val="auto"/>
                      <w:sz w:val="21"/>
                      <w:szCs w:val="21"/>
                      <w:lang w:eastAsia="zh-CN"/>
                    </w:rPr>
                    <w:t>。</w:t>
                  </w:r>
                </w:p>
              </w:tc>
              <w:tc>
                <w:tcPr>
                  <w:tcW w:w="1997" w:type="dxa"/>
                  <w:noWrap w:val="0"/>
                  <w:vAlign w:val="center"/>
                </w:tcPr>
                <w:p>
                  <w:pPr>
                    <w:pStyle w:val="131"/>
                    <w:spacing w:line="240" w:lineRule="auto"/>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危废间做好“四防”措施，将危险废物控制在危废间内。</w:t>
                  </w:r>
                </w:p>
              </w:tc>
            </w:tr>
          </w:tbl>
          <w:p>
            <w:pPr>
              <w:pStyle w:val="179"/>
              <w:keepNext w:val="0"/>
              <w:keepLines w:val="0"/>
              <w:pageBreakBefore w:val="0"/>
              <w:widowControl w:val="0"/>
              <w:kinsoku/>
              <w:wordWrap/>
              <w:overflowPunct/>
              <w:topLinePunct w:val="0"/>
              <w:autoSpaceDE/>
              <w:autoSpaceDN/>
              <w:bidi w:val="0"/>
              <w:adjustRightInd/>
              <w:snapToGrid/>
              <w:spacing w:line="480" w:lineRule="exact"/>
              <w:ind w:firstLine="422"/>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（2）环境</w:t>
            </w:r>
            <w:r>
              <w:rPr>
                <w:rFonts w:hint="default" w:ascii="Times New Roman" w:hAnsi="Times New Roman" w:eastAsia="宋体" w:cs="Times New Roman"/>
                <w:b/>
                <w:color w:val="auto"/>
                <w:sz w:val="24"/>
                <w:szCs w:val="24"/>
                <w:lang w:val="en-US" w:eastAsia="zh-CN"/>
              </w:rPr>
              <w:t>风险防范</w:t>
            </w:r>
            <w:r>
              <w:rPr>
                <w:rFonts w:hint="eastAsia" w:ascii="Times New Roman" w:hAnsi="Times New Roman" w:eastAsia="宋体" w:cs="Times New Roman"/>
                <w:b/>
                <w:color w:val="auto"/>
                <w:sz w:val="24"/>
                <w:szCs w:val="24"/>
                <w:lang w:val="en-US" w:eastAsia="zh-CN"/>
              </w:rPr>
              <w:t>措施</w:t>
            </w:r>
            <w:r>
              <w:rPr>
                <w:rFonts w:hint="default" w:ascii="Times New Roman" w:hAnsi="Times New Roman" w:eastAsia="宋体" w:cs="Times New Roman"/>
                <w:b/>
                <w:color w:val="auto"/>
                <w:sz w:val="24"/>
                <w:szCs w:val="24"/>
                <w:lang w:val="en-US" w:eastAsia="zh-CN"/>
              </w:rPr>
              <w:t>和应急措施</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环境事故的发生会给周围环境带来严重的不利影响，也会给人体的健康造成一定的伤害。为使环境风险减少到最低限度，必须加强劳动安全管理卫生管理，制定完善、有效的安全防范措施，尽可能降低该项目环境风险事故发生的概率。</w:t>
            </w:r>
          </w:p>
          <w:p>
            <w:pPr>
              <w:pStyle w:val="72"/>
              <w:spacing w:line="360" w:lineRule="auto"/>
              <w:ind w:firstLine="480" w:firstLineChars="200"/>
              <w:rPr>
                <w:rFonts w:hint="eastAsia" w:ascii="Times New Roman" w:hAnsi="Times New Roman" w:cs="Times New Roman"/>
                <w:b w:val="0"/>
                <w:bCs/>
                <w:color w:val="auto"/>
                <w:kern w:val="0"/>
                <w:sz w:val="24"/>
                <w:szCs w:val="24"/>
                <w:lang w:val="en-US" w:eastAsia="zh-CN" w:bidi="ar-SA"/>
              </w:rPr>
            </w:pPr>
            <w:r>
              <w:rPr>
                <w:rFonts w:hint="default" w:ascii="Times New Roman" w:hAnsi="Times New Roman" w:eastAsia="宋体" w:cs="Times New Roman"/>
                <w:color w:val="auto"/>
                <w:sz w:val="24"/>
                <w:szCs w:val="24"/>
                <w:u w:val="none"/>
                <w:lang w:val="en-US" w:eastAsia="zh-CN"/>
              </w:rPr>
              <w:t>在生产过程中，必须加强安全管理，提高事故防范措施。突发性污染事故特别是仓库火灾等重大事故将对事故现场人员的健康和生命造成严重危害，此外还将造成直</w:t>
            </w:r>
            <w:r>
              <w:rPr>
                <w:rFonts w:hint="eastAsia" w:ascii="Times New Roman" w:hAnsi="Times New Roman" w:eastAsia="宋体" w:cs="Times New Roman"/>
                <w:color w:val="auto"/>
                <w:sz w:val="24"/>
                <w:szCs w:val="24"/>
                <w:u w:val="none"/>
                <w:lang w:val="en-US" w:eastAsia="zh-CN"/>
              </w:rPr>
              <w:t>接、</w:t>
            </w:r>
            <w:r>
              <w:rPr>
                <w:rFonts w:hint="default" w:ascii="Times New Roman" w:hAnsi="Times New Roman" w:eastAsia="宋体" w:cs="Times New Roman"/>
                <w:color w:val="auto"/>
                <w:sz w:val="24"/>
                <w:szCs w:val="24"/>
                <w:u w:val="none"/>
                <w:lang w:val="en-US" w:eastAsia="zh-CN"/>
              </w:rPr>
              <w:t>间接的巨大经济损失以及造成社会不安定因素，同时对生态环境也会造成严重的破坏。因此，做好灾发性环境污染事故的预防，提高对突发性污染事故的应急处理和处置的能力，对企业具有更重要的意义。管理，加强事故预防措施和应急处理的技能，懂得紧急救援的知识。“预防为主、安全第</w:t>
            </w:r>
            <w:r>
              <w:rPr>
                <w:rFonts w:hint="eastAsia" w:ascii="Times New Roman" w:hAnsi="Times New Roman" w:eastAsia="宋体" w:cs="Times New Roman"/>
                <w:color w:val="auto"/>
                <w:sz w:val="24"/>
                <w:szCs w:val="24"/>
                <w:u w:val="none"/>
                <w:lang w:val="en-US" w:eastAsia="zh-CN"/>
              </w:rPr>
              <w:t>一</w:t>
            </w:r>
            <w:r>
              <w:rPr>
                <w:rFonts w:hint="default" w:ascii="Times New Roman" w:hAnsi="Times New Roman" w:eastAsia="宋体" w:cs="Times New Roman"/>
                <w:color w:val="auto"/>
                <w:sz w:val="24"/>
                <w:szCs w:val="24"/>
                <w:u w:val="none"/>
                <w:lang w:val="en-US" w:eastAsia="zh-CN"/>
              </w:rPr>
              <w:t>”是减少污染事故发生、降低污染事故危害的重要保障。</w:t>
            </w:r>
          </w:p>
          <w:p>
            <w:pPr>
              <w:pStyle w:val="85"/>
              <w:spacing w:line="360" w:lineRule="auto"/>
              <w:ind w:firstLine="482" w:firstLineChars="200"/>
              <w:rPr>
                <w:rFonts w:hint="default" w:ascii="Times New Roman" w:hAnsi="Times New Roman" w:eastAsia="宋体" w:cs="Times New Roman"/>
                <w:b/>
                <w:color w:val="auto"/>
                <w:szCs w:val="24"/>
                <w:lang w:val="en-US" w:eastAsia="zh-CN"/>
              </w:rPr>
            </w:pPr>
            <w:r>
              <w:rPr>
                <w:rFonts w:hint="default" w:ascii="Times New Roman" w:hAnsi="Times New Roman" w:eastAsia="宋体" w:cs="Times New Roman"/>
                <w:b/>
                <w:color w:val="auto"/>
                <w:szCs w:val="24"/>
              </w:rPr>
              <w:t>（</w:t>
            </w:r>
            <w:r>
              <w:rPr>
                <w:rFonts w:hint="eastAsia" w:ascii="Times New Roman" w:hAnsi="Times New Roman" w:eastAsia="宋体" w:cs="Times New Roman"/>
                <w:b/>
                <w:color w:val="auto"/>
                <w:szCs w:val="24"/>
                <w:lang w:val="en-US" w:eastAsia="zh-CN"/>
              </w:rPr>
              <w:t>七</w:t>
            </w:r>
            <w:r>
              <w:rPr>
                <w:rFonts w:hint="default" w:ascii="Times New Roman" w:hAnsi="Times New Roman" w:eastAsia="宋体" w:cs="Times New Roman"/>
                <w:b/>
                <w:color w:val="auto"/>
                <w:szCs w:val="24"/>
              </w:rPr>
              <w:t>）</w:t>
            </w:r>
            <w:r>
              <w:rPr>
                <w:rFonts w:hint="eastAsia" w:ascii="Times New Roman" w:hAnsi="Times New Roman" w:eastAsia="宋体" w:cs="Times New Roman"/>
                <w:b/>
                <w:color w:val="auto"/>
                <w:szCs w:val="24"/>
                <w:lang w:val="en-US" w:eastAsia="zh-CN"/>
              </w:rPr>
              <w:t>营运期监测计划</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建设单位根据《排污单位自行监测技术指南  总则》（HJ819-2017）中的要求，制定监测方案开展监测活动，可根据自身条件和能力，利用自有人员、场所和设备自行监测；也可委托其他有资质的环境监测机构进行代其开展自行监测。</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新建排污单位应当在投入生产或者使用并产生实际排污行为之前完成自行监测方案的编制及相关准备工作。</w:t>
            </w:r>
          </w:p>
          <w:p>
            <w:pPr>
              <w:pStyle w:val="17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lang w:val="en-US" w:eastAsia="zh-CN"/>
              </w:rPr>
              <w:t>监测内容：污染物排放监测；周边环境质量影响监测；关键工艺参数监测；污染治理设施处理效果监测。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default" w:ascii="Times New Roman" w:hAnsi="Times New Roman" w:eastAsia="宋体" w:cs="Times New Roman"/>
                <w:b/>
                <w:color w:val="auto"/>
                <w:sz w:val="21"/>
                <w:szCs w:val="21"/>
                <w:lang w:val="en-US" w:eastAsia="zh-CN"/>
              </w:rPr>
              <w:t>1</w:t>
            </w: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 xml:space="preserve"> 环境监测计划表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335"/>
              <w:gridCol w:w="1397"/>
              <w:gridCol w:w="1650"/>
              <w:gridCol w:w="24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0"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监测时期</w:t>
                  </w:r>
                </w:p>
              </w:tc>
              <w:tc>
                <w:tcPr>
                  <w:tcW w:w="840"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879"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03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w:t>
                  </w:r>
                </w:p>
              </w:tc>
              <w:tc>
                <w:tcPr>
                  <w:tcW w:w="1571"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0"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840"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有组织废气</w:t>
                  </w:r>
                </w:p>
              </w:tc>
              <w:tc>
                <w:tcPr>
                  <w:tcW w:w="879" w:type="pct"/>
                  <w:noWrap w:val="0"/>
                  <w:vAlign w:val="center"/>
                </w:tcPr>
                <w:p>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非甲烷总烃</w:t>
                  </w:r>
                </w:p>
              </w:tc>
              <w:tc>
                <w:tcPr>
                  <w:tcW w:w="1038" w:type="pct"/>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吹膜、造粒废气排放口</w:t>
                  </w:r>
                  <w:r>
                    <w:rPr>
                      <w:rFonts w:hint="eastAsia" w:ascii="Times New Roman" w:hAnsi="Times New Roman" w:eastAsia="宋体" w:cs="Times New Roman"/>
                      <w:color w:val="auto"/>
                      <w:sz w:val="21"/>
                      <w:szCs w:val="21"/>
                      <w:lang w:val="en-US" w:eastAsia="zh-CN"/>
                    </w:rPr>
                    <w:t>DA001</w:t>
                  </w:r>
                </w:p>
              </w:tc>
              <w:tc>
                <w:tcPr>
                  <w:tcW w:w="1571"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0" w:type="pct"/>
                  <w:vMerge w:val="continue"/>
                  <w:noWrap w:val="0"/>
                  <w:vAlign w:val="center"/>
                </w:tcPr>
                <w:p>
                  <w:pPr>
                    <w:jc w:val="center"/>
                    <w:rPr>
                      <w:rFonts w:hint="default" w:ascii="Times New Roman" w:hAnsi="Times New Roman" w:eastAsia="宋体" w:cs="Times New Roman"/>
                      <w:color w:val="auto"/>
                      <w:sz w:val="21"/>
                      <w:szCs w:val="21"/>
                    </w:rPr>
                  </w:pPr>
                </w:p>
              </w:tc>
              <w:tc>
                <w:tcPr>
                  <w:tcW w:w="840"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无组织废气</w:t>
                  </w:r>
                </w:p>
              </w:tc>
              <w:tc>
                <w:tcPr>
                  <w:tcW w:w="879"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038"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厂区内设置1个点</w:t>
                  </w:r>
                </w:p>
              </w:tc>
              <w:tc>
                <w:tcPr>
                  <w:tcW w:w="1571"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0" w:type="pct"/>
                  <w:vMerge w:val="continue"/>
                  <w:noWrap w:val="0"/>
                  <w:vAlign w:val="center"/>
                </w:tcPr>
                <w:p>
                  <w:pPr>
                    <w:jc w:val="center"/>
                    <w:rPr>
                      <w:rFonts w:hint="default" w:ascii="Times New Roman" w:hAnsi="Times New Roman" w:eastAsia="宋体" w:cs="Times New Roman"/>
                      <w:color w:val="auto"/>
                      <w:sz w:val="21"/>
                      <w:szCs w:val="21"/>
                    </w:rPr>
                  </w:pPr>
                </w:p>
              </w:tc>
              <w:tc>
                <w:tcPr>
                  <w:tcW w:w="840" w:type="pct"/>
                  <w:vMerge w:val="continue"/>
                  <w:noWrap w:val="0"/>
                  <w:vAlign w:val="center"/>
                </w:tcPr>
                <w:p>
                  <w:pPr>
                    <w:jc w:val="center"/>
                    <w:rPr>
                      <w:rFonts w:hint="default" w:ascii="Times New Roman" w:hAnsi="Times New Roman" w:eastAsia="宋体" w:cs="Times New Roman"/>
                      <w:color w:val="auto"/>
                      <w:sz w:val="21"/>
                      <w:szCs w:val="21"/>
                    </w:rPr>
                  </w:pPr>
                </w:p>
              </w:tc>
              <w:tc>
                <w:tcPr>
                  <w:tcW w:w="8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038"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上风向一个点，下风向两个点</w:t>
                  </w:r>
                </w:p>
              </w:tc>
              <w:tc>
                <w:tcPr>
                  <w:tcW w:w="1571"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0" w:type="pct"/>
                  <w:vMerge w:val="continue"/>
                  <w:noWrap w:val="0"/>
                  <w:vAlign w:val="center"/>
                </w:tcPr>
                <w:p>
                  <w:pPr>
                    <w:pStyle w:val="179"/>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840" w:type="pct"/>
                  <w:noWrap w:val="0"/>
                  <w:vAlign w:val="center"/>
                </w:tcPr>
                <w:p>
                  <w:pPr>
                    <w:pStyle w:val="17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厂界噪声</w:t>
                  </w:r>
                </w:p>
              </w:tc>
              <w:tc>
                <w:tcPr>
                  <w:tcW w:w="879" w:type="pct"/>
                  <w:noWrap w:val="0"/>
                  <w:vAlign w:val="center"/>
                </w:tcPr>
                <w:p>
                  <w:pPr>
                    <w:pStyle w:val="17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038" w:type="pct"/>
                  <w:noWrap w:val="0"/>
                  <w:vAlign w:val="center"/>
                </w:tcPr>
                <w:p>
                  <w:pPr>
                    <w:pStyle w:val="17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厂区四周边界1m处</w:t>
                  </w:r>
                </w:p>
              </w:tc>
              <w:tc>
                <w:tcPr>
                  <w:tcW w:w="1571" w:type="pct"/>
                  <w:noWrap w:val="0"/>
                  <w:vAlign w:val="center"/>
                </w:tcPr>
                <w:p>
                  <w:pPr>
                    <w:pStyle w:val="17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每季度监测一次，昼间监测一次</w:t>
                  </w:r>
                </w:p>
              </w:tc>
            </w:tr>
          </w:tbl>
          <w:p>
            <w:pPr>
              <w:adjustRightInd w:val="0"/>
              <w:snapToGrid w:val="0"/>
              <w:spacing w:line="360" w:lineRule="auto"/>
              <w:ind w:firstLine="380" w:firstLineChars="200"/>
              <w:rPr>
                <w:rFonts w:hint="default" w:ascii="Times New Roman" w:hAnsi="Times New Roman" w:cs="Times New Roman"/>
                <w:bCs/>
                <w:color w:val="auto"/>
                <w:spacing w:val="-10"/>
                <w:szCs w:val="21"/>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adjustRightInd w:val="0"/>
        <w:snapToGrid w:val="0"/>
        <w:spacing w:before="0" w:beforeAutospacing="0" w:after="120" w:afterLines="50" w:afterAutospacing="0"/>
        <w:jc w:val="center"/>
        <w:outlineLvl w:val="0"/>
        <w:rPr>
          <w:rFonts w:hint="default" w:ascii="Times New Roman" w:hAnsi="Times New Roman" w:eastAsia="黑体" w:cs="Times New Roman"/>
          <w:snapToGrid w:val="0"/>
          <w:color w:val="auto"/>
          <w:sz w:val="30"/>
          <w:szCs w:val="30"/>
        </w:rPr>
      </w:pPr>
      <w:bookmarkStart w:id="14" w:name="_Toc23803"/>
      <w:r>
        <w:rPr>
          <w:rFonts w:hint="default" w:ascii="Times New Roman" w:hAnsi="Times New Roman" w:eastAsia="黑体" w:cs="Times New Roman"/>
          <w:snapToGrid w:val="0"/>
          <w:color w:val="auto"/>
          <w:sz w:val="30"/>
          <w:szCs w:val="30"/>
        </w:rPr>
        <w:t>五、</w:t>
      </w:r>
      <w:bookmarkStart w:id="15" w:name="_Hlk54167917"/>
      <w:r>
        <w:rPr>
          <w:rFonts w:hint="default" w:ascii="Times New Roman" w:hAnsi="Times New Roman" w:eastAsia="黑体" w:cs="Times New Roman"/>
          <w:snapToGrid w:val="0"/>
          <w:color w:val="auto"/>
          <w:sz w:val="30"/>
          <w:szCs w:val="30"/>
        </w:rPr>
        <w:t>环境保护措施监督检查清单</w:t>
      </w:r>
      <w:bookmarkEnd w:id="14"/>
      <w:bookmarkEnd w:id="15"/>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661"/>
        <w:gridCol w:w="1162"/>
        <w:gridCol w:w="1113"/>
        <w:gridCol w:w="1987"/>
        <w:gridCol w:w="20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default" w:ascii="Times New Roman" w:hAnsi="Times New Roman" w:cs="Times New Roman"/>
                <w:b/>
                <w:bCs/>
                <w:color w:val="auto"/>
                <w:sz w:val="24"/>
              </w:rPr>
            </w:pPr>
            <w:r>
              <w:rPr>
                <w:rFonts w:hint="default" w:ascii="Times New Roman" w:hAnsi="Times New Roman" w:cs="Times New Roman"/>
                <w:b/>
                <w:bCs/>
                <w:color w:val="auto"/>
                <w:sz w:val="24"/>
              </w:rPr>
              <w:t>内容</w:t>
            </w:r>
          </w:p>
          <w:p>
            <w:pPr>
              <w:adjustRightInd w:val="0"/>
              <w:snapToGrid w:val="0"/>
              <w:rPr>
                <w:rFonts w:hint="default" w:ascii="Times New Roman" w:hAnsi="Times New Roman" w:cs="Times New Roman"/>
                <w:b/>
                <w:bCs/>
                <w:color w:val="auto"/>
                <w:sz w:val="24"/>
              </w:rPr>
            </w:pPr>
            <w:r>
              <w:rPr>
                <w:rFonts w:hint="default" w:ascii="Times New Roman" w:hAnsi="Times New Roman" w:cs="Times New Roman"/>
                <w:b/>
                <w:bCs/>
                <w:color w:val="auto"/>
                <w:sz w:val="24"/>
              </w:rPr>
              <w:t>要素</w:t>
            </w:r>
          </w:p>
        </w:tc>
        <w:tc>
          <w:tcPr>
            <w:tcW w:w="1823" w:type="dxa"/>
            <w:gridSpan w:val="2"/>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排放口</w:t>
            </w:r>
            <w:r>
              <w:rPr>
                <w:rFonts w:hint="eastAsia" w:ascii="Times New Roman" w:hAnsi="Times New Roman" w:cs="Times New Roman"/>
                <w:b/>
                <w:bCs/>
                <w:color w:val="auto"/>
                <w:sz w:val="24"/>
                <w:lang w:eastAsia="zh-CN"/>
              </w:rPr>
              <w:t>（</w:t>
            </w:r>
            <w:r>
              <w:rPr>
                <w:rFonts w:hint="default" w:ascii="Times New Roman" w:hAnsi="Times New Roman" w:cs="Times New Roman"/>
                <w:b/>
                <w:bCs/>
                <w:color w:val="auto"/>
                <w:sz w:val="24"/>
              </w:rPr>
              <w:t>编号、</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名称</w:t>
            </w:r>
            <w:r>
              <w:rPr>
                <w:rFonts w:hint="eastAsia" w:ascii="Times New Roman" w:hAnsi="Times New Roman" w:cs="Times New Roman"/>
                <w:b/>
                <w:bCs/>
                <w:color w:val="auto"/>
                <w:sz w:val="24"/>
                <w:lang w:eastAsia="zh-CN"/>
              </w:rPr>
              <w:t>）</w:t>
            </w:r>
            <w:r>
              <w:rPr>
                <w:rFonts w:hint="default" w:ascii="Times New Roman" w:hAnsi="Times New Roman" w:cs="Times New Roman"/>
                <w:b/>
                <w:bCs/>
                <w:color w:val="auto"/>
                <w:sz w:val="24"/>
              </w:rPr>
              <w:t>/污染源</w:t>
            </w:r>
          </w:p>
        </w:tc>
        <w:tc>
          <w:tcPr>
            <w:tcW w:w="1113" w:type="dxa"/>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污染物项目</w:t>
            </w:r>
          </w:p>
        </w:tc>
        <w:tc>
          <w:tcPr>
            <w:tcW w:w="1987" w:type="dxa"/>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环境保护措施</w:t>
            </w:r>
          </w:p>
        </w:tc>
        <w:tc>
          <w:tcPr>
            <w:tcW w:w="2099" w:type="dxa"/>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大气环境</w:t>
            </w:r>
          </w:p>
        </w:tc>
        <w:tc>
          <w:tcPr>
            <w:tcW w:w="661" w:type="dxa"/>
            <w:vMerge w:val="restar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DA001</w:t>
            </w:r>
          </w:p>
        </w:tc>
        <w:tc>
          <w:tcPr>
            <w:tcW w:w="1162"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吹膜废气</w:t>
            </w:r>
          </w:p>
        </w:tc>
        <w:tc>
          <w:tcPr>
            <w:tcW w:w="1113"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非甲烷总烃</w:t>
            </w:r>
          </w:p>
        </w:tc>
        <w:tc>
          <w:tcPr>
            <w:tcW w:w="1987" w:type="dxa"/>
            <w:vMerge w:val="restart"/>
            <w:noWrap w:val="0"/>
            <w:vAlign w:val="center"/>
          </w:tcPr>
          <w:p>
            <w:pPr>
              <w:adjustRightInd w:val="0"/>
              <w:snapToGrid w:val="0"/>
              <w:jc w:val="center"/>
              <w:rPr>
                <w:rFonts w:hint="default" w:ascii="Times New Roman" w:hAnsi="Times New Roman" w:cs="Times New Roman"/>
                <w:color w:val="auto"/>
                <w:szCs w:val="21"/>
              </w:rPr>
            </w:pPr>
            <w:r>
              <w:rPr>
                <w:color w:val="auto"/>
                <w:szCs w:val="21"/>
              </w:rPr>
              <w:t>二级活性炭吸附（TA001）+15m高排气筒（DA001）</w:t>
            </w:r>
          </w:p>
        </w:tc>
        <w:tc>
          <w:tcPr>
            <w:tcW w:w="2099" w:type="dxa"/>
            <w:vMerge w:val="restart"/>
            <w:noWrap w:val="0"/>
            <w:vAlign w:val="center"/>
          </w:tcPr>
          <w:p>
            <w:pPr>
              <w:adjustRightInd w:val="0"/>
              <w:snapToGrid w:val="0"/>
              <w:jc w:val="center"/>
              <w:rPr>
                <w:rFonts w:hint="default" w:ascii="Times New Roman" w:hAnsi="Times New Roman" w:cs="Times New Roman"/>
                <w:color w:val="auto"/>
                <w:szCs w:val="21"/>
              </w:rPr>
            </w:pPr>
            <w:r>
              <w:rPr>
                <w:color w:val="auto"/>
                <w:szCs w:val="21"/>
              </w:rPr>
              <w:t>《合成树脂工业污染物排放标准》（GB31572-2015）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cs="Times New Roman"/>
                <w:b/>
                <w:bCs/>
                <w:color w:val="auto"/>
                <w:sz w:val="24"/>
              </w:rPr>
            </w:pPr>
          </w:p>
        </w:tc>
        <w:tc>
          <w:tcPr>
            <w:tcW w:w="661"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162"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造粒废气</w:t>
            </w:r>
          </w:p>
        </w:tc>
        <w:tc>
          <w:tcPr>
            <w:tcW w:w="1113"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非甲烷总烃</w:t>
            </w:r>
          </w:p>
        </w:tc>
        <w:tc>
          <w:tcPr>
            <w:tcW w:w="1987"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2099"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cs="Times New Roman"/>
                <w:b/>
                <w:bCs/>
                <w:color w:val="auto"/>
                <w:sz w:val="24"/>
              </w:rPr>
            </w:pPr>
          </w:p>
        </w:tc>
        <w:tc>
          <w:tcPr>
            <w:tcW w:w="1823" w:type="dxa"/>
            <w:gridSpan w:val="2"/>
            <w:noWrap w:val="0"/>
            <w:vAlign w:val="center"/>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无组织</w:t>
            </w:r>
          </w:p>
        </w:tc>
        <w:tc>
          <w:tcPr>
            <w:tcW w:w="1113" w:type="dxa"/>
            <w:noWrap w:val="0"/>
            <w:vAlign w:val="center"/>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非甲烷总烃</w:t>
            </w:r>
          </w:p>
        </w:tc>
        <w:tc>
          <w:tcPr>
            <w:tcW w:w="1987" w:type="dxa"/>
            <w:noWrap w:val="0"/>
            <w:vAlign w:val="center"/>
          </w:tcPr>
          <w:p>
            <w:pPr>
              <w:adjustRightInd w:val="0"/>
              <w:snapToGrid w:val="0"/>
              <w:jc w:val="center"/>
              <w:rPr>
                <w:rFonts w:ascii="Times New Roman" w:hAnsi="Times New Roman" w:eastAsia="宋体" w:cs="Times New Roman"/>
                <w:color w:val="auto"/>
                <w:sz w:val="21"/>
                <w:szCs w:val="21"/>
              </w:rPr>
            </w:pPr>
            <w:r>
              <w:rPr>
                <w:rFonts w:hint="eastAsia"/>
                <w:color w:val="auto"/>
                <w:szCs w:val="21"/>
              </w:rPr>
              <w:t>加强设备密闭，提高废气收集效率</w:t>
            </w:r>
          </w:p>
        </w:tc>
        <w:tc>
          <w:tcPr>
            <w:tcW w:w="2099" w:type="dxa"/>
            <w:noWrap w:val="0"/>
            <w:vAlign w:val="center"/>
          </w:tcPr>
          <w:p>
            <w:pPr>
              <w:adjustRightInd w:val="0"/>
              <w:snapToGrid w:val="0"/>
              <w:jc w:val="center"/>
              <w:rPr>
                <w:rFonts w:hint="eastAsia"/>
                <w:color w:val="auto"/>
                <w:szCs w:val="21"/>
              </w:rPr>
            </w:pPr>
            <w:r>
              <w:rPr>
                <w:rFonts w:hint="eastAsia"/>
                <w:color w:val="auto"/>
                <w:szCs w:val="21"/>
                <w:lang w:val="en-US" w:eastAsia="zh-CN"/>
              </w:rPr>
              <w:t>《合成树脂工业污染物排放标准》（GB31572-2015）表9中无组织排放限值；其厂区内无组织排放执行《挥发性有机物无组织排放控制标准》（GB37822—2019）中表A.1的特别排放限值要求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1778" w:type="dxa"/>
            <w:vMerge w:val="restart"/>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地表水环境</w:t>
            </w:r>
          </w:p>
        </w:tc>
        <w:tc>
          <w:tcPr>
            <w:tcW w:w="1823" w:type="dxa"/>
            <w:gridSpan w:val="2"/>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生活污水</w:t>
            </w:r>
          </w:p>
        </w:tc>
        <w:tc>
          <w:tcPr>
            <w:tcW w:w="1113" w:type="dxa"/>
            <w:noWrap w:val="0"/>
            <w:vAlign w:val="center"/>
          </w:tcPr>
          <w:p>
            <w:pPr>
              <w:jc w:val="center"/>
              <w:rPr>
                <w:color w:val="auto"/>
                <w:szCs w:val="21"/>
              </w:rPr>
            </w:pPr>
            <w:r>
              <w:rPr>
                <w:color w:val="auto"/>
                <w:szCs w:val="21"/>
              </w:rPr>
              <w:t>COD</w:t>
            </w:r>
          </w:p>
          <w:p>
            <w:pPr>
              <w:jc w:val="center"/>
              <w:rPr>
                <w:rFonts w:hint="default"/>
                <w:color w:val="auto"/>
                <w:kern w:val="2"/>
                <w:sz w:val="21"/>
                <w:szCs w:val="21"/>
                <w:lang w:val="en-US" w:eastAsia="zh-CN" w:bidi="ar-SA"/>
              </w:rPr>
            </w:pPr>
            <w:r>
              <w:rPr>
                <w:color w:val="auto"/>
                <w:szCs w:val="21"/>
              </w:rPr>
              <w:t>BOD</w:t>
            </w:r>
            <w:r>
              <w:rPr>
                <w:color w:val="auto"/>
                <w:szCs w:val="21"/>
                <w:vertAlign w:val="subscript"/>
              </w:rPr>
              <w:t>5</w:t>
            </w:r>
          </w:p>
          <w:p>
            <w:pPr>
              <w:jc w:val="center"/>
              <w:rPr>
                <w:rFonts w:hint="default"/>
                <w:color w:val="auto"/>
                <w:kern w:val="2"/>
                <w:sz w:val="21"/>
                <w:szCs w:val="21"/>
                <w:lang w:val="en-US" w:eastAsia="zh-CN" w:bidi="ar-SA"/>
              </w:rPr>
            </w:pPr>
            <w:r>
              <w:rPr>
                <w:color w:val="auto"/>
                <w:szCs w:val="21"/>
              </w:rPr>
              <w:t>SS</w:t>
            </w:r>
          </w:p>
          <w:p>
            <w:pPr>
              <w:jc w:val="center"/>
              <w:rPr>
                <w:rFonts w:hint="default"/>
                <w:color w:val="auto"/>
                <w:kern w:val="2"/>
                <w:sz w:val="21"/>
                <w:szCs w:val="21"/>
                <w:lang w:val="en-US" w:eastAsia="zh-CN" w:bidi="ar-SA"/>
              </w:rPr>
            </w:pPr>
            <w:r>
              <w:rPr>
                <w:color w:val="auto"/>
                <w:szCs w:val="21"/>
              </w:rPr>
              <w:t>NH</w:t>
            </w:r>
            <w:r>
              <w:rPr>
                <w:color w:val="auto"/>
                <w:szCs w:val="21"/>
                <w:vertAlign w:val="subscript"/>
              </w:rPr>
              <w:t>3</w:t>
            </w:r>
            <w:r>
              <w:rPr>
                <w:color w:val="auto"/>
                <w:szCs w:val="21"/>
              </w:rPr>
              <w:t>-N</w:t>
            </w:r>
          </w:p>
          <w:p>
            <w:pPr>
              <w:jc w:val="center"/>
              <w:rPr>
                <w:rFonts w:hint="eastAsia" w:eastAsia="宋体"/>
                <w:color w:val="auto"/>
                <w:szCs w:val="21"/>
                <w:lang w:eastAsia="zh-CN"/>
              </w:rPr>
            </w:pPr>
            <w:r>
              <w:rPr>
                <w:rFonts w:hint="eastAsia"/>
                <w:color w:val="auto"/>
                <w:szCs w:val="21"/>
                <w:lang w:eastAsia="zh-CN"/>
              </w:rPr>
              <w:t>动植物油</w:t>
            </w:r>
          </w:p>
        </w:tc>
        <w:tc>
          <w:tcPr>
            <w:tcW w:w="1987" w:type="dxa"/>
            <w:noWrap w:val="0"/>
            <w:vAlign w:val="center"/>
          </w:tcPr>
          <w:p>
            <w:pPr>
              <w:adjustRightInd w:val="0"/>
              <w:snapToGrid w:val="0"/>
              <w:jc w:val="center"/>
              <w:rPr>
                <w:rFonts w:hint="default" w:ascii="Times New Roman" w:hAnsi="Times New Roman" w:cs="Times New Roman"/>
                <w:color w:val="auto"/>
                <w:szCs w:val="21"/>
              </w:rPr>
            </w:pPr>
            <w:r>
              <w:rPr>
                <w:rFonts w:hint="eastAsia"/>
                <w:color w:val="auto"/>
                <w:szCs w:val="21"/>
              </w:rPr>
              <w:t>化粪池</w:t>
            </w:r>
          </w:p>
        </w:tc>
        <w:tc>
          <w:tcPr>
            <w:tcW w:w="2099"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eastAsia="宋体"/>
                <w:color w:val="auto"/>
                <w:szCs w:val="21"/>
                <w:lang w:eastAsia="zh-CN"/>
              </w:rPr>
              <w:t>生活污水经化粪池处理后用作农肥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778" w:type="dxa"/>
            <w:vMerge w:val="continue"/>
            <w:noWrap w:val="0"/>
            <w:vAlign w:val="center"/>
          </w:tcPr>
          <w:p>
            <w:pPr>
              <w:adjustRightInd w:val="0"/>
              <w:snapToGrid w:val="0"/>
              <w:jc w:val="center"/>
              <w:rPr>
                <w:rFonts w:hint="default" w:ascii="Times New Roman" w:hAnsi="Times New Roman" w:cs="Times New Roman"/>
                <w:b/>
                <w:bCs/>
                <w:color w:val="auto"/>
                <w:sz w:val="24"/>
              </w:rPr>
            </w:pPr>
          </w:p>
        </w:tc>
        <w:tc>
          <w:tcPr>
            <w:tcW w:w="1823" w:type="dxa"/>
            <w:gridSpan w:val="2"/>
            <w:noWrap w:val="0"/>
            <w:vAlign w:val="center"/>
          </w:tcPr>
          <w:p>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生产废水</w:t>
            </w:r>
          </w:p>
        </w:tc>
        <w:tc>
          <w:tcPr>
            <w:tcW w:w="1113" w:type="dxa"/>
            <w:noWrap w:val="0"/>
            <w:vAlign w:val="center"/>
          </w:tcPr>
          <w:p>
            <w:pPr>
              <w:jc w:val="center"/>
              <w:rPr>
                <w:rFonts w:hint="default"/>
                <w:color w:val="auto"/>
                <w:szCs w:val="21"/>
                <w:lang w:val="en-US" w:eastAsia="zh-CN"/>
              </w:rPr>
            </w:pPr>
            <w:r>
              <w:rPr>
                <w:rFonts w:hint="eastAsia"/>
                <w:color w:val="auto"/>
                <w:szCs w:val="21"/>
                <w:lang w:val="en-US" w:eastAsia="zh-CN"/>
              </w:rPr>
              <w:t>SS</w:t>
            </w:r>
          </w:p>
        </w:tc>
        <w:tc>
          <w:tcPr>
            <w:tcW w:w="1987" w:type="dxa"/>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冷却水循环系统</w:t>
            </w:r>
          </w:p>
        </w:tc>
        <w:tc>
          <w:tcPr>
            <w:tcW w:w="2099" w:type="dxa"/>
            <w:noWrap w:val="0"/>
            <w:vAlign w:val="center"/>
          </w:tcPr>
          <w:p>
            <w:pPr>
              <w:adjustRightInd w:val="0"/>
              <w:snapToGrid w:val="0"/>
              <w:jc w:val="center"/>
              <w:rPr>
                <w:rFonts w:hint="eastAsia" w:eastAsia="宋体"/>
                <w:color w:val="auto"/>
                <w:szCs w:val="21"/>
                <w:lang w:eastAsia="zh-CN"/>
              </w:rPr>
            </w:pPr>
            <w:r>
              <w:rPr>
                <w:rFonts w:hint="eastAsia" w:eastAsia="宋体"/>
                <w:color w:val="auto"/>
                <w:szCs w:val="21"/>
                <w:lang w:eastAsia="zh-CN"/>
              </w:rPr>
              <w:t>冷却水循环使用，不外排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声环境</w:t>
            </w:r>
          </w:p>
        </w:tc>
        <w:tc>
          <w:tcPr>
            <w:tcW w:w="1823" w:type="dxa"/>
            <w:gridSpan w:val="2"/>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设备运行</w:t>
            </w:r>
          </w:p>
        </w:tc>
        <w:tc>
          <w:tcPr>
            <w:tcW w:w="1113"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噪声</w:t>
            </w:r>
          </w:p>
        </w:tc>
        <w:tc>
          <w:tcPr>
            <w:tcW w:w="198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厂房隔声</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距离衰减</w:t>
            </w:r>
          </w:p>
        </w:tc>
        <w:tc>
          <w:tcPr>
            <w:tcW w:w="2099" w:type="dxa"/>
            <w:noWrap w:val="0"/>
            <w:vAlign w:val="center"/>
          </w:tcPr>
          <w:p>
            <w:pPr>
              <w:adjustRightInd w:val="0"/>
              <w:snapToGrid w:val="0"/>
              <w:jc w:val="center"/>
              <w:rPr>
                <w:rFonts w:hint="default" w:ascii="Times New Roman" w:hAnsi="Times New Roman" w:cs="Times New Roman"/>
                <w:color w:val="auto"/>
                <w:szCs w:val="21"/>
              </w:rPr>
            </w:pPr>
            <w:r>
              <w:rPr>
                <w:rFonts w:hint="eastAsia"/>
                <w:color w:val="auto"/>
                <w:szCs w:val="21"/>
              </w:rPr>
              <w:t>《工业企业厂界环境噪声排放标准》</w:t>
            </w:r>
            <w:r>
              <w:rPr>
                <w:rFonts w:hint="eastAsia"/>
                <w:color w:val="auto"/>
                <w:szCs w:val="21"/>
                <w:lang w:eastAsia="zh-CN"/>
              </w:rPr>
              <w:t>（</w:t>
            </w:r>
            <w:r>
              <w:rPr>
                <w:color w:val="auto"/>
                <w:szCs w:val="21"/>
              </w:rPr>
              <w:t>GB12348-2008</w:t>
            </w:r>
            <w:r>
              <w:rPr>
                <w:rFonts w:hint="eastAsia"/>
                <w:color w:val="auto"/>
                <w:szCs w:val="21"/>
                <w:lang w:eastAsia="zh-CN"/>
              </w:rPr>
              <w:t>）</w:t>
            </w:r>
            <w:r>
              <w:rPr>
                <w:rFonts w:hint="eastAsia"/>
                <w:color w:val="auto"/>
                <w:szCs w:val="21"/>
              </w:rPr>
              <w:t>中</w:t>
            </w:r>
            <w:r>
              <w:rPr>
                <w:rFonts w:hint="eastAsia"/>
                <w:color w:val="auto"/>
                <w:szCs w:val="21"/>
                <w:lang w:val="en-US" w:eastAsia="zh-CN"/>
              </w:rPr>
              <w:t>2</w:t>
            </w:r>
            <w:r>
              <w:rPr>
                <w:rFonts w:hint="eastAsia"/>
                <w:color w:val="auto"/>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1778" w:type="dxa"/>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固体废物</w:t>
            </w:r>
          </w:p>
        </w:tc>
        <w:tc>
          <w:tcPr>
            <w:tcW w:w="7022" w:type="dxa"/>
            <w:gridSpan w:val="5"/>
            <w:noWrap w:val="0"/>
            <w:vAlign w:val="center"/>
          </w:tcPr>
          <w:p>
            <w:pPr>
              <w:adjustRightInd w:val="0"/>
              <w:snapToGrid w:val="0"/>
              <w:jc w:val="left"/>
              <w:rPr>
                <w:rFonts w:hint="eastAsia"/>
                <w:b w:val="0"/>
                <w:bCs/>
                <w:color w:val="auto"/>
                <w:szCs w:val="21"/>
              </w:rPr>
            </w:pPr>
            <w:r>
              <w:rPr>
                <w:rFonts w:hint="eastAsia"/>
                <w:b/>
                <w:color w:val="auto"/>
                <w:szCs w:val="21"/>
              </w:rPr>
              <w:t>一般固废：</w:t>
            </w:r>
            <w:r>
              <w:rPr>
                <w:rFonts w:hint="eastAsia"/>
                <w:b w:val="0"/>
                <w:bCs/>
                <w:color w:val="auto"/>
                <w:szCs w:val="21"/>
                <w:lang w:val="en-US" w:eastAsia="zh-CN"/>
              </w:rPr>
              <w:t>废包装袋经收集后由</w:t>
            </w:r>
            <w:r>
              <w:rPr>
                <w:rFonts w:hint="eastAsia"/>
                <w:b w:val="0"/>
                <w:bCs/>
                <w:color w:val="auto"/>
                <w:szCs w:val="21"/>
                <w:lang w:eastAsia="zh-CN"/>
              </w:rPr>
              <w:t>物资回收单位进行回收处理</w:t>
            </w:r>
            <w:r>
              <w:rPr>
                <w:rFonts w:hint="eastAsia"/>
                <w:b w:val="0"/>
                <w:bCs/>
                <w:color w:val="auto"/>
                <w:szCs w:val="21"/>
                <w:lang w:val="en-US" w:eastAsia="zh-CN"/>
              </w:rPr>
              <w:t>；废薄膜、边角料以及不合格品</w:t>
            </w:r>
            <w:r>
              <w:rPr>
                <w:rFonts w:hint="eastAsia"/>
                <w:b w:val="0"/>
                <w:bCs/>
                <w:color w:val="auto"/>
                <w:szCs w:val="21"/>
              </w:rPr>
              <w:t>集中收集后</w:t>
            </w:r>
            <w:r>
              <w:rPr>
                <w:rFonts w:hint="eastAsia"/>
                <w:b w:val="0"/>
                <w:bCs/>
                <w:color w:val="auto"/>
                <w:szCs w:val="21"/>
                <w:lang w:eastAsia="zh-CN"/>
              </w:rPr>
              <w:t>进行造粒处理回用于生产</w:t>
            </w:r>
            <w:r>
              <w:rPr>
                <w:rFonts w:hint="eastAsia"/>
                <w:b w:val="0"/>
                <w:bCs/>
                <w:color w:val="auto"/>
                <w:szCs w:val="21"/>
              </w:rPr>
              <w:t>；职工生活垃圾</w:t>
            </w:r>
            <w:r>
              <w:rPr>
                <w:rFonts w:hint="eastAsia"/>
                <w:b w:val="0"/>
                <w:bCs/>
                <w:color w:val="auto"/>
                <w:szCs w:val="21"/>
                <w:lang w:eastAsia="zh-CN"/>
              </w:rPr>
              <w:t>经</w:t>
            </w:r>
            <w:r>
              <w:rPr>
                <w:rFonts w:hint="eastAsia"/>
                <w:b w:val="0"/>
                <w:bCs/>
                <w:color w:val="auto"/>
                <w:szCs w:val="21"/>
              </w:rPr>
              <w:t>收集后由环卫部门定期清运处理。</w:t>
            </w:r>
          </w:p>
          <w:p>
            <w:pPr>
              <w:adjustRightInd w:val="0"/>
              <w:snapToGrid w:val="0"/>
              <w:jc w:val="left"/>
              <w:rPr>
                <w:rFonts w:hint="eastAsia" w:ascii="Times New Roman" w:hAnsi="Times New Roman" w:eastAsia="宋体" w:cs="Times New Roman"/>
                <w:color w:val="auto"/>
                <w:szCs w:val="21"/>
                <w:lang w:eastAsia="zh-CN"/>
              </w:rPr>
            </w:pPr>
            <w:r>
              <w:rPr>
                <w:rFonts w:hint="eastAsia"/>
                <w:b/>
                <w:color w:val="auto"/>
                <w:szCs w:val="21"/>
              </w:rPr>
              <w:t>危险废物：</w:t>
            </w:r>
            <w:r>
              <w:rPr>
                <w:rFonts w:hint="eastAsia"/>
                <w:color w:val="auto"/>
                <w:szCs w:val="21"/>
              </w:rPr>
              <w:t>废润滑油、废</w:t>
            </w:r>
            <w:r>
              <w:rPr>
                <w:rFonts w:hint="eastAsia"/>
                <w:color w:val="auto"/>
                <w:szCs w:val="21"/>
                <w:lang w:eastAsia="zh-CN"/>
              </w:rPr>
              <w:t>活性炭以及废润滑油桶</w:t>
            </w:r>
            <w:r>
              <w:rPr>
                <w:rFonts w:hint="eastAsia"/>
                <w:color w:val="auto"/>
                <w:szCs w:val="21"/>
              </w:rPr>
              <w:t>委托有资质单位处置</w:t>
            </w:r>
            <w:r>
              <w:rPr>
                <w:rFonts w:hint="eastAsia"/>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1778" w:type="dxa"/>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土壤及地下水</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污染防治措施</w:t>
            </w:r>
          </w:p>
        </w:tc>
        <w:tc>
          <w:tcPr>
            <w:tcW w:w="7022" w:type="dxa"/>
            <w:gridSpan w:val="5"/>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1778" w:type="dxa"/>
            <w:noWrap w:val="0"/>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生态保护措施</w:t>
            </w:r>
          </w:p>
        </w:tc>
        <w:tc>
          <w:tcPr>
            <w:tcW w:w="7022" w:type="dxa"/>
            <w:gridSpan w:val="5"/>
            <w:noWrap w:val="0"/>
            <w:vAlign w:val="center"/>
          </w:tcPr>
          <w:p>
            <w:pPr>
              <w:adjustRightInd w:val="0"/>
              <w:snapToGrid w:val="0"/>
              <w:jc w:val="center"/>
              <w:rPr>
                <w:rFonts w:hint="default" w:ascii="Times New Roman" w:hAnsi="Times New Roman" w:cs="Times New Roman"/>
                <w:color w:val="auto"/>
                <w:szCs w:val="21"/>
              </w:rPr>
            </w:pPr>
            <w:r>
              <w:rPr>
                <w:rFonts w:hint="eastAsia"/>
                <w:color w:val="auto"/>
                <w:szCs w:val="21"/>
              </w:rPr>
              <w:t>本项目占地范围内不存在生态环境保护目标。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778" w:type="dxa"/>
            <w:noWrap w:val="0"/>
            <w:vAlign w:val="center"/>
          </w:tcPr>
          <w:p>
            <w:pPr>
              <w:adjustRightInd w:val="0"/>
              <w:snapToGrid w:val="0"/>
              <w:jc w:val="center"/>
              <w:rPr>
                <w:rFonts w:hint="default" w:ascii="Times New Roman" w:hAnsi="Times New Roman" w:cs="Times New Roman"/>
                <w:b/>
                <w:bCs/>
                <w:color w:val="auto"/>
                <w:spacing w:val="-8"/>
                <w:sz w:val="24"/>
              </w:rPr>
            </w:pPr>
            <w:r>
              <w:rPr>
                <w:rFonts w:hint="default" w:ascii="Times New Roman" w:hAnsi="Times New Roman" w:cs="Times New Roman"/>
                <w:b/>
                <w:bCs/>
                <w:color w:val="auto"/>
                <w:spacing w:val="-8"/>
                <w:sz w:val="24"/>
              </w:rPr>
              <w:t>环境风险</w:t>
            </w:r>
          </w:p>
          <w:p>
            <w:pPr>
              <w:adjustRightInd w:val="0"/>
              <w:snapToGrid w:val="0"/>
              <w:jc w:val="center"/>
              <w:rPr>
                <w:rFonts w:hint="default" w:ascii="Times New Roman" w:hAnsi="Times New Roman" w:cs="Times New Roman"/>
                <w:b/>
                <w:bCs/>
                <w:color w:val="auto"/>
                <w:spacing w:val="-8"/>
                <w:sz w:val="24"/>
              </w:rPr>
            </w:pPr>
            <w:r>
              <w:rPr>
                <w:rFonts w:hint="default" w:ascii="Times New Roman" w:hAnsi="Times New Roman" w:cs="Times New Roman"/>
                <w:b/>
                <w:bCs/>
                <w:color w:val="auto"/>
                <w:spacing w:val="-8"/>
                <w:sz w:val="24"/>
              </w:rPr>
              <w:t>防范措施</w:t>
            </w:r>
          </w:p>
        </w:tc>
        <w:tc>
          <w:tcPr>
            <w:tcW w:w="7022" w:type="dxa"/>
            <w:gridSpan w:val="5"/>
            <w:noWrap w:val="0"/>
            <w:vAlign w:val="center"/>
          </w:tcPr>
          <w:p>
            <w:pPr>
              <w:pStyle w:val="131"/>
              <w:spacing w:line="240" w:lineRule="auto"/>
              <w:ind w:firstLine="0" w:firstLineChars="0"/>
              <w:jc w:val="both"/>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液体化学品原料均下设防漏托盘，地面做防渗处理</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危废间做好“四防”措施，设置围堰、收集沟等，将危险废物控制在危废间内；3、</w:t>
            </w:r>
            <w:r>
              <w:rPr>
                <w:rFonts w:hint="default" w:ascii="Times New Roman" w:hAnsi="Times New Roman" w:eastAsia="宋体" w:cs="Times New Roman"/>
                <w:color w:val="auto"/>
                <w:sz w:val="21"/>
                <w:szCs w:val="21"/>
              </w:rPr>
              <w:t>配置灭火器等消防设施</w:t>
            </w:r>
            <w:r>
              <w:rPr>
                <w:rFonts w:hint="default" w:ascii="Times New Roman" w:hAnsi="Times New Roman"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1778" w:type="dxa"/>
            <w:noWrap w:val="0"/>
            <w:vAlign w:val="center"/>
          </w:tcPr>
          <w:p>
            <w:pPr>
              <w:adjustRightInd w:val="0"/>
              <w:snapToGrid w:val="0"/>
              <w:jc w:val="center"/>
              <w:rPr>
                <w:rFonts w:hint="default" w:ascii="Times New Roman" w:hAnsi="Times New Roman" w:cs="Times New Roman"/>
                <w:b/>
                <w:bCs/>
                <w:color w:val="auto"/>
                <w:spacing w:val="-8"/>
                <w:sz w:val="24"/>
              </w:rPr>
            </w:pPr>
            <w:r>
              <w:rPr>
                <w:rFonts w:hint="default" w:ascii="Times New Roman" w:hAnsi="Times New Roman" w:cs="Times New Roman"/>
                <w:b/>
                <w:bCs/>
                <w:color w:val="auto"/>
                <w:spacing w:val="-8"/>
                <w:sz w:val="24"/>
              </w:rPr>
              <w:t>其他环境</w:t>
            </w:r>
          </w:p>
          <w:p>
            <w:pPr>
              <w:adjustRightInd w:val="0"/>
              <w:snapToGrid w:val="0"/>
              <w:jc w:val="center"/>
              <w:rPr>
                <w:rFonts w:hint="default" w:ascii="Times New Roman" w:hAnsi="Times New Roman" w:cs="Times New Roman"/>
                <w:b/>
                <w:bCs/>
                <w:color w:val="auto"/>
                <w:spacing w:val="-8"/>
                <w:sz w:val="24"/>
              </w:rPr>
            </w:pPr>
            <w:r>
              <w:rPr>
                <w:rFonts w:hint="default" w:ascii="Times New Roman" w:hAnsi="Times New Roman" w:cs="Times New Roman"/>
                <w:b/>
                <w:bCs/>
                <w:color w:val="auto"/>
                <w:spacing w:val="-8"/>
                <w:sz w:val="24"/>
              </w:rPr>
              <w:t>管理要求</w:t>
            </w:r>
          </w:p>
        </w:tc>
        <w:tc>
          <w:tcPr>
            <w:tcW w:w="7022" w:type="dxa"/>
            <w:gridSpan w:val="5"/>
            <w:noWrap w:val="0"/>
            <w:vAlign w:val="center"/>
          </w:tcPr>
          <w:p>
            <w:pPr>
              <w:adjustRightInd w:val="0"/>
              <w:snapToGrid w:val="0"/>
              <w:rPr>
                <w:rFonts w:hint="default" w:ascii="Times New Roman" w:hAnsi="Times New Roman" w:cs="Times New Roman"/>
                <w:color w:val="auto"/>
                <w:szCs w:val="21"/>
              </w:rPr>
            </w:pPr>
            <w:r>
              <w:rPr>
                <w:rFonts w:hint="eastAsia"/>
                <w:color w:val="auto"/>
                <w:szCs w:val="21"/>
              </w:rPr>
              <w:t>据《固定污染源排污许可分类管理名录（2019年版）》相关内容可知，本项目需实行登记管理，项目竣工后应当在全国排污许可证管理信息平台</w:t>
            </w:r>
            <w:r>
              <w:rPr>
                <w:rFonts w:hint="eastAsia"/>
                <w:color w:val="auto"/>
                <w:szCs w:val="21"/>
                <w:lang w:val="en-US" w:eastAsia="zh-CN"/>
              </w:rPr>
              <w:t>进行</w:t>
            </w:r>
            <w:r>
              <w:rPr>
                <w:rFonts w:hint="eastAsia"/>
                <w:color w:val="auto"/>
                <w:szCs w:val="21"/>
              </w:rPr>
              <w:t>国家排污许可</w:t>
            </w:r>
            <w:r>
              <w:rPr>
                <w:rFonts w:hint="eastAsia"/>
                <w:color w:val="auto"/>
                <w:szCs w:val="21"/>
                <w:lang w:val="en-US" w:eastAsia="zh-CN"/>
              </w:rPr>
              <w:t>登记</w:t>
            </w:r>
            <w:r>
              <w:rPr>
                <w:rFonts w:hint="eastAsia"/>
                <w:color w:val="auto"/>
                <w:szCs w:val="21"/>
              </w:rPr>
              <w:t>。同时项目还需按《建设项目竣工环境保护验收技术指南 污染影响类》（生态环境部令第9号）要求完成竣工环保验收。</w:t>
            </w:r>
          </w:p>
        </w:tc>
      </w:tr>
    </w:tbl>
    <w:p>
      <w:pPr>
        <w:pStyle w:val="28"/>
        <w:adjustRightInd w:val="0"/>
        <w:snapToGrid w:val="0"/>
        <w:spacing w:before="0" w:beforeAutospacing="0" w:after="120" w:afterLines="5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6" w:name="_Toc24014"/>
      <w:r>
        <w:rPr>
          <w:rFonts w:hint="default" w:ascii="Times New Roman" w:hAnsi="Times New Roman" w:eastAsia="黑体" w:cs="Times New Roman"/>
          <w:snapToGrid w:val="0"/>
          <w:color w:val="auto"/>
          <w:sz w:val="30"/>
          <w:szCs w:val="30"/>
        </w:rPr>
        <w:t>六、结论</w:t>
      </w:r>
      <w:bookmarkEnd w:id="16"/>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trHeight w:val="11991" w:hRule="atLeast"/>
          <w:jc w:val="center"/>
        </w:trPr>
        <w:tc>
          <w:tcPr>
            <w:tcW w:w="8865" w:type="dxa"/>
            <w:noWrap w:val="0"/>
            <w:vAlign w:val="top"/>
          </w:tcPr>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（一）结论</w:t>
            </w:r>
          </w:p>
          <w:p>
            <w:pPr>
              <w:spacing w:line="360" w:lineRule="auto"/>
              <w:ind w:firstLine="480" w:firstLineChars="200"/>
              <w:rPr>
                <w:rFonts w:ascii="宋体" w:hAnsi="宋体"/>
                <w:color w:val="auto"/>
                <w:sz w:val="24"/>
              </w:rPr>
            </w:pPr>
            <w:r>
              <w:rPr>
                <w:rFonts w:hint="eastAsia" w:ascii="宋体" w:hAnsi="宋体"/>
                <w:color w:val="auto"/>
                <w:sz w:val="24"/>
              </w:rPr>
              <w:t>项目的建设符合国家和地方产业政策，选址合理，项目在落实环评中的污染防治措施后，各项污染物可以达标排放，对环境的影响也比较小，不会造成区域环境功能的改变，从环境保护的角度来讲，本评价认为项目在坚持</w:t>
            </w:r>
            <w:r>
              <w:rPr>
                <w:rFonts w:hint="eastAsia" w:ascii="宋体" w:hAnsi="宋体"/>
                <w:color w:val="auto"/>
                <w:sz w:val="24"/>
                <w:lang w:eastAsia="zh-CN"/>
              </w:rPr>
              <w:t>“</w:t>
            </w:r>
            <w:r>
              <w:rPr>
                <w:rFonts w:hint="eastAsia" w:ascii="宋体" w:hAnsi="宋体"/>
                <w:color w:val="auto"/>
                <w:sz w:val="24"/>
              </w:rPr>
              <w:t>三同时</w:t>
            </w:r>
            <w:r>
              <w:rPr>
                <w:rFonts w:hint="eastAsia" w:ascii="宋体" w:hAnsi="宋体"/>
                <w:color w:val="auto"/>
                <w:sz w:val="24"/>
                <w:lang w:eastAsia="zh-CN"/>
              </w:rPr>
              <w:t>”</w:t>
            </w:r>
            <w:r>
              <w:rPr>
                <w:rFonts w:hint="eastAsia" w:ascii="宋体" w:hAnsi="宋体"/>
                <w:color w:val="auto"/>
                <w:sz w:val="24"/>
              </w:rPr>
              <w:t>原则并采取一定的环保措施后，项目建设是可行的。</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（二）建议及要求</w:t>
            </w:r>
          </w:p>
          <w:p>
            <w:pPr>
              <w:spacing w:line="360" w:lineRule="auto"/>
              <w:ind w:firstLine="480" w:firstLineChars="200"/>
              <w:rPr>
                <w:color w:val="auto"/>
                <w:sz w:val="24"/>
              </w:rPr>
            </w:pPr>
            <w:r>
              <w:rPr>
                <w:color w:val="auto"/>
                <w:sz w:val="24"/>
              </w:rPr>
              <w:t>1、落实环保治理经费，保证建设项目与污染防治实行</w:t>
            </w:r>
            <w:r>
              <w:rPr>
                <w:rFonts w:hint="eastAsia" w:ascii="宋体" w:hAnsi="宋体"/>
                <w:color w:val="auto"/>
                <w:sz w:val="24"/>
                <w:lang w:eastAsia="zh-CN"/>
              </w:rPr>
              <w:t>“</w:t>
            </w:r>
            <w:r>
              <w:rPr>
                <w:rFonts w:ascii="宋体" w:hAnsi="宋体"/>
                <w:color w:val="auto"/>
                <w:sz w:val="24"/>
              </w:rPr>
              <w:t>三同时</w:t>
            </w:r>
            <w:r>
              <w:rPr>
                <w:rFonts w:hint="eastAsia" w:ascii="宋体" w:hAnsi="宋体"/>
                <w:color w:val="auto"/>
                <w:sz w:val="24"/>
                <w:lang w:eastAsia="zh-CN"/>
              </w:rPr>
              <w:t>”</w:t>
            </w:r>
            <w:r>
              <w:rPr>
                <w:color w:val="auto"/>
                <w:sz w:val="24"/>
              </w:rPr>
              <w:t>。</w:t>
            </w:r>
          </w:p>
          <w:p>
            <w:pPr>
              <w:spacing w:line="360" w:lineRule="auto"/>
              <w:ind w:firstLine="480" w:firstLineChars="200"/>
              <w:rPr>
                <w:color w:val="auto"/>
                <w:sz w:val="24"/>
              </w:rPr>
            </w:pPr>
            <w:r>
              <w:rPr>
                <w:color w:val="auto"/>
                <w:sz w:val="24"/>
              </w:rPr>
              <w:t>2、项目产生的废气应按照相关标准落实废气处理设施，确保污染物达标排放；固废应按照固体废弃物相关规范，落实相关措施，确保妥善处理。</w:t>
            </w:r>
          </w:p>
          <w:p>
            <w:pPr>
              <w:spacing w:line="360" w:lineRule="auto"/>
              <w:ind w:firstLine="480" w:firstLineChars="200"/>
              <w:rPr>
                <w:color w:val="auto"/>
                <w:sz w:val="24"/>
              </w:rPr>
            </w:pPr>
            <w:r>
              <w:rPr>
                <w:color w:val="auto"/>
                <w:sz w:val="24"/>
              </w:rPr>
              <w:t>3、定期向当地环保部门汇报项目环境保护工作的情况，同时接受当地环境保护部门的监督和管理。</w:t>
            </w:r>
          </w:p>
          <w:p>
            <w:pPr>
              <w:spacing w:line="360" w:lineRule="auto"/>
              <w:rPr>
                <w:rFonts w:hint="default" w:ascii="Times New Roman" w:hAnsi="Times New Roman" w:cs="Times New Roman"/>
                <w:color w:val="auto"/>
                <w:sz w:val="24"/>
              </w:rPr>
            </w:pP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adjustRightInd w:val="0"/>
        <w:snapToGrid w:val="0"/>
        <w:spacing w:before="0" w:beforeAutospacing="0" w:after="0" w:afterAutospacing="0" w:line="360" w:lineRule="auto"/>
        <w:outlineLvl w:val="0"/>
        <w:rPr>
          <w:rFonts w:hint="default" w:ascii="Times New Roman" w:hAnsi="Times New Roman" w:eastAsia="黑体" w:cs="Times New Roman"/>
          <w:snapToGrid w:val="0"/>
          <w:color w:val="auto"/>
          <w:sz w:val="32"/>
          <w:szCs w:val="32"/>
        </w:rPr>
      </w:pPr>
      <w:bookmarkStart w:id="17" w:name="_Toc20684"/>
      <w:r>
        <w:rPr>
          <w:rFonts w:hint="default" w:ascii="Times New Roman" w:hAnsi="Times New Roman" w:eastAsia="黑体" w:cs="Times New Roman"/>
          <w:snapToGrid w:val="0"/>
          <w:color w:val="auto"/>
          <w:sz w:val="32"/>
          <w:szCs w:val="32"/>
        </w:rPr>
        <w:t>附表</w:t>
      </w:r>
      <w:bookmarkEnd w:id="17"/>
    </w:p>
    <w:p>
      <w:pPr>
        <w:pStyle w:val="28"/>
        <w:adjustRightInd w:val="0"/>
        <w:snapToGrid w:val="0"/>
        <w:spacing w:before="0" w:beforeAutospacing="0" w:after="120" w:afterLines="50" w:afterAutospacing="0"/>
        <w:jc w:val="center"/>
        <w:outlineLvl w:val="0"/>
        <w:rPr>
          <w:rFonts w:hint="default" w:ascii="Times New Roman" w:hAnsi="Times New Roman" w:eastAsia="黑体" w:cs="Times New Roman"/>
          <w:snapToGrid w:val="0"/>
          <w:color w:val="auto"/>
          <w:sz w:val="30"/>
          <w:szCs w:val="30"/>
        </w:rPr>
      </w:pPr>
      <w:bookmarkStart w:id="18" w:name="_Toc7135"/>
      <w:r>
        <w:rPr>
          <w:rFonts w:hint="default" w:ascii="Times New Roman" w:hAnsi="Times New Roman" w:eastAsia="黑体" w:cs="Times New Roman"/>
          <w:snapToGrid w:val="0"/>
          <w:color w:val="auto"/>
          <w:sz w:val="30"/>
          <w:szCs w:val="30"/>
        </w:rPr>
        <w:t>建设项目污染物排放量汇总表</w:t>
      </w:r>
      <w:bookmarkEnd w:id="18"/>
    </w:p>
    <w:tbl>
      <w:tblPr>
        <w:tblStyle w:val="33"/>
        <w:tblW w:w="137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1540"/>
        <w:gridCol w:w="1697"/>
        <w:gridCol w:w="1273"/>
        <w:gridCol w:w="1559"/>
        <w:gridCol w:w="1535"/>
        <w:gridCol w:w="1535"/>
        <w:gridCol w:w="1603"/>
        <w:gridCol w:w="15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458" w:type="dxa"/>
            <w:tcBorders>
              <w:tl2br w:val="single" w:color="auto" w:sz="4" w:space="0"/>
            </w:tcBorders>
            <w:noWrap w:val="0"/>
            <w:tcMar>
              <w:left w:w="28" w:type="dxa"/>
              <w:right w:w="28" w:type="dxa"/>
            </w:tcMar>
            <w:vAlign w:val="center"/>
          </w:tcPr>
          <w:p>
            <w:pPr>
              <w:pStyle w:val="78"/>
              <w:spacing w:beforeLines="0" w:afterLines="0" w:line="240" w:lineRule="auto"/>
              <w:jc w:val="right"/>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项目</w:t>
            </w:r>
          </w:p>
          <w:p>
            <w:pPr>
              <w:pStyle w:val="78"/>
              <w:spacing w:beforeLines="0" w:afterLines="0" w:line="240" w:lineRule="auto"/>
              <w:jc w:val="left"/>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分类</w:t>
            </w:r>
          </w:p>
        </w:tc>
        <w:tc>
          <w:tcPr>
            <w:tcW w:w="1540" w:type="dxa"/>
            <w:noWrap w:val="0"/>
            <w:tcMar>
              <w:left w:w="28" w:type="dxa"/>
              <w:right w:w="28" w:type="dxa"/>
            </w:tcMar>
            <w:vAlign w:val="center"/>
          </w:tcPr>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污染物名称</w:t>
            </w:r>
          </w:p>
        </w:tc>
        <w:tc>
          <w:tcPr>
            <w:tcW w:w="1697" w:type="dxa"/>
            <w:noWrap w:val="0"/>
            <w:tcMar>
              <w:left w:w="28" w:type="dxa"/>
              <w:right w:w="28" w:type="dxa"/>
            </w:tcMar>
            <w:vAlign w:val="center"/>
          </w:tcPr>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现有工程</w:t>
            </w:r>
          </w:p>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排放量（固体废物产生量）</w:t>
            </w: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1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color w:val="auto"/>
                <w:kern w:val="2"/>
                <w:szCs w:val="21"/>
              </w:rPr>
              <w:t>①</w:t>
            </w:r>
            <w:r>
              <w:rPr>
                <w:rFonts w:hint="default" w:ascii="Times New Roman" w:hAnsi="Times New Roman" w:cs="Times New Roman"/>
                <w:b/>
                <w:bCs/>
                <w:snapToGrid w:val="0"/>
                <w:color w:val="auto"/>
                <w:spacing w:val="-6"/>
                <w:kern w:val="21"/>
                <w:szCs w:val="21"/>
              </w:rPr>
              <w:fldChar w:fldCharType="end"/>
            </w:r>
          </w:p>
        </w:tc>
        <w:tc>
          <w:tcPr>
            <w:tcW w:w="1273" w:type="dxa"/>
            <w:noWrap w:val="0"/>
            <w:tcMar>
              <w:left w:w="28" w:type="dxa"/>
              <w:right w:w="28" w:type="dxa"/>
            </w:tcMar>
            <w:vAlign w:val="center"/>
          </w:tcPr>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现有工程</w:t>
            </w:r>
          </w:p>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许可排放量</w:t>
            </w:r>
          </w:p>
          <w:p>
            <w:pPr>
              <w:pStyle w:val="78"/>
              <w:spacing w:beforeLines="0" w:afterLines="0"/>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2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snapToGrid w:val="0"/>
                <w:color w:val="auto"/>
                <w:spacing w:val="-6"/>
                <w:kern w:val="21"/>
                <w:szCs w:val="21"/>
              </w:rPr>
              <w:t>②</w:t>
            </w:r>
            <w:r>
              <w:rPr>
                <w:rFonts w:hint="default" w:ascii="Times New Roman" w:hAnsi="Times New Roman" w:cs="Times New Roman"/>
                <w:b/>
                <w:bCs/>
                <w:snapToGrid w:val="0"/>
                <w:color w:val="auto"/>
                <w:spacing w:val="-6"/>
                <w:kern w:val="21"/>
                <w:szCs w:val="21"/>
              </w:rPr>
              <w:fldChar w:fldCharType="end"/>
            </w:r>
          </w:p>
        </w:tc>
        <w:tc>
          <w:tcPr>
            <w:tcW w:w="1559" w:type="dxa"/>
            <w:noWrap w:val="0"/>
            <w:tcMar>
              <w:left w:w="28" w:type="dxa"/>
              <w:right w:w="28" w:type="dxa"/>
            </w:tcMar>
            <w:vAlign w:val="center"/>
          </w:tcPr>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在建工程</w:t>
            </w:r>
          </w:p>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排放量（固体废物产生量）</w:t>
            </w: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3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color w:val="auto"/>
                <w:kern w:val="2"/>
                <w:szCs w:val="21"/>
              </w:rPr>
              <w:t>③</w:t>
            </w:r>
            <w:r>
              <w:rPr>
                <w:rFonts w:hint="default" w:ascii="Times New Roman" w:hAnsi="Times New Roman" w:cs="Times New Roman"/>
                <w:b/>
                <w:bCs/>
                <w:snapToGrid w:val="0"/>
                <w:color w:val="auto"/>
                <w:spacing w:val="-6"/>
                <w:kern w:val="21"/>
                <w:szCs w:val="21"/>
              </w:rPr>
              <w:fldChar w:fldCharType="end"/>
            </w:r>
          </w:p>
        </w:tc>
        <w:tc>
          <w:tcPr>
            <w:tcW w:w="1535" w:type="dxa"/>
            <w:noWrap w:val="0"/>
            <w:tcMar>
              <w:left w:w="28" w:type="dxa"/>
              <w:right w:w="28" w:type="dxa"/>
            </w:tcMar>
            <w:vAlign w:val="center"/>
          </w:tcPr>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本项目</w:t>
            </w:r>
          </w:p>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排放量（固体废物产生量）</w:t>
            </w: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4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color w:val="auto"/>
                <w:kern w:val="2"/>
                <w:szCs w:val="21"/>
              </w:rPr>
              <w:t>④</w:t>
            </w:r>
            <w:r>
              <w:rPr>
                <w:rFonts w:hint="default" w:ascii="Times New Roman" w:hAnsi="Times New Roman" w:cs="Times New Roman"/>
                <w:b/>
                <w:bCs/>
                <w:snapToGrid w:val="0"/>
                <w:color w:val="auto"/>
                <w:spacing w:val="-6"/>
                <w:kern w:val="21"/>
                <w:szCs w:val="21"/>
              </w:rPr>
              <w:fldChar w:fldCharType="end"/>
            </w:r>
          </w:p>
        </w:tc>
        <w:tc>
          <w:tcPr>
            <w:tcW w:w="1535" w:type="dxa"/>
            <w:noWrap w:val="0"/>
            <w:tcMar>
              <w:left w:w="28" w:type="dxa"/>
              <w:right w:w="28" w:type="dxa"/>
            </w:tcMar>
            <w:vAlign w:val="center"/>
          </w:tcPr>
          <w:p>
            <w:pPr>
              <w:pStyle w:val="78"/>
              <w:spacing w:beforeLines="0" w:afterLines="0" w:line="240" w:lineRule="auto"/>
              <w:rPr>
                <w:rFonts w:hint="default" w:ascii="Times New Roman" w:hAnsi="Times New Roman" w:cs="Times New Roman"/>
                <w:b/>
                <w:bCs/>
                <w:snapToGrid w:val="0"/>
                <w:color w:val="auto"/>
                <w:spacing w:val="-16"/>
                <w:kern w:val="21"/>
                <w:szCs w:val="21"/>
              </w:rPr>
            </w:pPr>
            <w:r>
              <w:rPr>
                <w:rFonts w:hint="default" w:ascii="Times New Roman" w:hAnsi="Times New Roman" w:cs="Times New Roman"/>
                <w:b/>
                <w:bCs/>
                <w:snapToGrid w:val="0"/>
                <w:color w:val="auto"/>
                <w:spacing w:val="-16"/>
                <w:kern w:val="21"/>
                <w:szCs w:val="21"/>
              </w:rPr>
              <w:t>以新带老削减量</w:t>
            </w:r>
          </w:p>
          <w:p>
            <w:pPr>
              <w:pStyle w:val="78"/>
              <w:spacing w:beforeLines="0" w:afterLines="0" w:line="240" w:lineRule="auto"/>
              <w:rPr>
                <w:rFonts w:hint="default" w:ascii="Times New Roman" w:hAnsi="Times New Roman" w:cs="Times New Roman"/>
                <w:b/>
                <w:bCs/>
                <w:snapToGrid w:val="0"/>
                <w:color w:val="auto"/>
                <w:spacing w:val="-16"/>
                <w:kern w:val="21"/>
                <w:szCs w:val="21"/>
              </w:rPr>
            </w:pPr>
            <w:r>
              <w:rPr>
                <w:rFonts w:hint="default" w:ascii="Times New Roman" w:hAnsi="Times New Roman" w:cs="Times New Roman"/>
                <w:b/>
                <w:bCs/>
                <w:snapToGrid w:val="0"/>
                <w:color w:val="auto"/>
                <w:spacing w:val="-16"/>
                <w:kern w:val="21"/>
                <w:szCs w:val="21"/>
              </w:rPr>
              <w:t>（新建项目不填）</w:t>
            </w:r>
            <w:r>
              <w:rPr>
                <w:rFonts w:hint="default" w:ascii="Times New Roman" w:hAnsi="Times New Roman" w:cs="Times New Roman"/>
                <w:b/>
                <w:bCs/>
                <w:snapToGrid w:val="0"/>
                <w:color w:val="auto"/>
                <w:spacing w:val="-16"/>
                <w:kern w:val="21"/>
                <w:szCs w:val="21"/>
              </w:rPr>
              <w:fldChar w:fldCharType="begin"/>
            </w:r>
            <w:r>
              <w:rPr>
                <w:rFonts w:hint="default" w:ascii="Times New Roman" w:hAnsi="Times New Roman" w:cs="Times New Roman"/>
                <w:b/>
                <w:bCs/>
                <w:snapToGrid w:val="0"/>
                <w:color w:val="auto"/>
                <w:spacing w:val="-16"/>
                <w:kern w:val="21"/>
                <w:szCs w:val="21"/>
              </w:rPr>
              <w:instrText xml:space="preserve"> = 5 \* GB3 \* MERGEFORMAT </w:instrText>
            </w:r>
            <w:r>
              <w:rPr>
                <w:rFonts w:hint="default" w:ascii="Times New Roman" w:hAnsi="Times New Roman" w:cs="Times New Roman"/>
                <w:b/>
                <w:bCs/>
                <w:snapToGrid w:val="0"/>
                <w:color w:val="auto"/>
                <w:spacing w:val="-16"/>
                <w:kern w:val="21"/>
                <w:szCs w:val="21"/>
              </w:rPr>
              <w:fldChar w:fldCharType="separate"/>
            </w:r>
            <w:r>
              <w:rPr>
                <w:rFonts w:hint="default" w:ascii="Times New Roman" w:hAnsi="Times New Roman" w:cs="Times New Roman"/>
                <w:b/>
                <w:bCs/>
                <w:color w:val="auto"/>
                <w:kern w:val="2"/>
                <w:szCs w:val="21"/>
              </w:rPr>
              <w:t>⑤</w:t>
            </w:r>
            <w:r>
              <w:rPr>
                <w:rFonts w:hint="default" w:ascii="Times New Roman" w:hAnsi="Times New Roman" w:cs="Times New Roman"/>
                <w:b/>
                <w:bCs/>
                <w:snapToGrid w:val="0"/>
                <w:color w:val="auto"/>
                <w:spacing w:val="-16"/>
                <w:kern w:val="21"/>
                <w:szCs w:val="21"/>
              </w:rPr>
              <w:fldChar w:fldCharType="end"/>
            </w:r>
          </w:p>
        </w:tc>
        <w:tc>
          <w:tcPr>
            <w:tcW w:w="1603" w:type="dxa"/>
            <w:noWrap w:val="0"/>
            <w:tcMar>
              <w:left w:w="28" w:type="dxa"/>
              <w:right w:w="28" w:type="dxa"/>
            </w:tcMar>
            <w:vAlign w:val="center"/>
          </w:tcPr>
          <w:p>
            <w:pPr>
              <w:pStyle w:val="78"/>
              <w:spacing w:beforeLines="0" w:afterLines="0" w:line="240" w:lineRule="auto"/>
              <w:rPr>
                <w:rFonts w:hint="default" w:ascii="Times New Roman" w:hAnsi="Times New Roman" w:cs="Times New Roman"/>
                <w:b/>
                <w:bCs/>
                <w:snapToGrid w:val="0"/>
                <w:color w:val="auto"/>
                <w:spacing w:val="-16"/>
                <w:kern w:val="21"/>
                <w:szCs w:val="21"/>
              </w:rPr>
            </w:pPr>
            <w:r>
              <w:rPr>
                <w:rFonts w:hint="default" w:ascii="Times New Roman" w:hAnsi="Times New Roman" w:cs="Times New Roman"/>
                <w:b/>
                <w:bCs/>
                <w:snapToGrid w:val="0"/>
                <w:color w:val="auto"/>
                <w:spacing w:val="-16"/>
                <w:kern w:val="21"/>
                <w:szCs w:val="21"/>
              </w:rPr>
              <w:t>本项目建成后</w:t>
            </w:r>
          </w:p>
          <w:p>
            <w:pPr>
              <w:pStyle w:val="78"/>
              <w:spacing w:beforeLines="0" w:afterLines="0" w:line="240" w:lineRule="auto"/>
              <w:rPr>
                <w:rFonts w:hint="default" w:ascii="Times New Roman" w:hAnsi="Times New Roman" w:cs="Times New Roman"/>
                <w:b/>
                <w:bCs/>
                <w:snapToGrid w:val="0"/>
                <w:color w:val="auto"/>
                <w:spacing w:val="-16"/>
                <w:kern w:val="21"/>
                <w:szCs w:val="21"/>
              </w:rPr>
            </w:pPr>
            <w:r>
              <w:rPr>
                <w:rFonts w:hint="default" w:ascii="Times New Roman" w:hAnsi="Times New Roman" w:cs="Times New Roman"/>
                <w:b/>
                <w:bCs/>
                <w:snapToGrid w:val="0"/>
                <w:color w:val="auto"/>
                <w:spacing w:val="-16"/>
                <w:kern w:val="21"/>
                <w:szCs w:val="21"/>
              </w:rPr>
              <w:t>全厂排放量（固体废物产生量）</w:t>
            </w:r>
            <w:r>
              <w:rPr>
                <w:rFonts w:hint="default" w:ascii="Times New Roman" w:hAnsi="Times New Roman" w:cs="Times New Roman"/>
                <w:b/>
                <w:bCs/>
                <w:snapToGrid w:val="0"/>
                <w:color w:val="auto"/>
                <w:spacing w:val="-16"/>
                <w:kern w:val="21"/>
                <w:szCs w:val="21"/>
              </w:rPr>
              <w:fldChar w:fldCharType="begin"/>
            </w:r>
            <w:r>
              <w:rPr>
                <w:rFonts w:hint="default" w:ascii="Times New Roman" w:hAnsi="Times New Roman" w:cs="Times New Roman"/>
                <w:b/>
                <w:bCs/>
                <w:snapToGrid w:val="0"/>
                <w:color w:val="auto"/>
                <w:spacing w:val="-16"/>
                <w:kern w:val="21"/>
                <w:szCs w:val="21"/>
              </w:rPr>
              <w:instrText xml:space="preserve"> = 6 \* GB3 \* MERGEFORMAT </w:instrText>
            </w:r>
            <w:r>
              <w:rPr>
                <w:rFonts w:hint="default" w:ascii="Times New Roman" w:hAnsi="Times New Roman" w:cs="Times New Roman"/>
                <w:b/>
                <w:bCs/>
                <w:snapToGrid w:val="0"/>
                <w:color w:val="auto"/>
                <w:spacing w:val="-16"/>
                <w:kern w:val="21"/>
                <w:szCs w:val="21"/>
              </w:rPr>
              <w:fldChar w:fldCharType="separate"/>
            </w:r>
            <w:r>
              <w:rPr>
                <w:rFonts w:hint="default" w:ascii="Times New Roman" w:hAnsi="Times New Roman" w:cs="Times New Roman"/>
                <w:b/>
                <w:bCs/>
                <w:color w:val="auto"/>
                <w:kern w:val="2"/>
                <w:szCs w:val="21"/>
              </w:rPr>
              <w:t>⑥</w:t>
            </w:r>
            <w:r>
              <w:rPr>
                <w:rFonts w:hint="default" w:ascii="Times New Roman" w:hAnsi="Times New Roman" w:cs="Times New Roman"/>
                <w:b/>
                <w:bCs/>
                <w:snapToGrid w:val="0"/>
                <w:color w:val="auto"/>
                <w:spacing w:val="-16"/>
                <w:kern w:val="21"/>
                <w:szCs w:val="21"/>
              </w:rPr>
              <w:fldChar w:fldCharType="end"/>
            </w:r>
          </w:p>
        </w:tc>
        <w:tc>
          <w:tcPr>
            <w:tcW w:w="1555" w:type="dxa"/>
            <w:noWrap w:val="0"/>
            <w:tcMar>
              <w:left w:w="28" w:type="dxa"/>
              <w:right w:w="28" w:type="dxa"/>
            </w:tcMar>
            <w:vAlign w:val="center"/>
          </w:tcPr>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变化量</w:t>
            </w:r>
          </w:p>
          <w:p>
            <w:pPr>
              <w:pStyle w:val="78"/>
              <w:spacing w:beforeLines="0" w:afterLines="0" w:line="240" w:lineRule="auto"/>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7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color w:val="auto"/>
                <w:kern w:val="2"/>
                <w:szCs w:val="21"/>
              </w:rPr>
              <w:t>⑦</w:t>
            </w:r>
            <w:r>
              <w:rPr>
                <w:rFonts w:hint="default" w:ascii="Times New Roman" w:hAnsi="Times New Roman" w:cs="Times New Roman"/>
                <w:b/>
                <w:bCs/>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458"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540" w:type="dxa"/>
            <w:noWrap w:val="0"/>
            <w:vAlign w:val="center"/>
          </w:tcPr>
          <w:p>
            <w:pPr>
              <w:pStyle w:val="78"/>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hAnsi="Times New Roman" w:cs="Times New Roman"/>
                <w:snapToGrid w:val="0"/>
                <w:color w:val="auto"/>
                <w:kern w:val="21"/>
                <w:szCs w:val="21"/>
                <w:lang w:eastAsia="zh-CN"/>
              </w:rPr>
              <w:t>非甲烷总烃</w:t>
            </w:r>
          </w:p>
        </w:tc>
        <w:tc>
          <w:tcPr>
            <w:tcW w:w="1697"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273"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3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0.792</w:t>
            </w:r>
          </w:p>
        </w:tc>
        <w:tc>
          <w:tcPr>
            <w:tcW w:w="1535"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603"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0.792</w:t>
            </w:r>
          </w:p>
        </w:tc>
        <w:tc>
          <w:tcPr>
            <w:tcW w:w="155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0.792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58"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540" w:type="dxa"/>
            <w:noWrap w:val="0"/>
            <w:vAlign w:val="center"/>
          </w:tcPr>
          <w:p>
            <w:pPr>
              <w:pStyle w:val="78"/>
              <w:spacing w:beforeLines="0" w:afterLines="0" w:line="240" w:lineRule="auto"/>
              <w:rPr>
                <w:rFonts w:hint="default" w:ascii="Times New Roman"/>
                <w:snapToGrid w:val="0"/>
                <w:color w:val="auto"/>
                <w:kern w:val="21"/>
                <w:sz w:val="21"/>
                <w:szCs w:val="21"/>
                <w:lang w:val="en-US" w:eastAsia="zh-CN" w:bidi="ar-SA"/>
              </w:rPr>
            </w:pPr>
            <w:r>
              <w:rPr>
                <w:rFonts w:ascii="Times New Roman"/>
                <w:snapToGrid w:val="0"/>
                <w:color w:val="auto"/>
                <w:kern w:val="21"/>
                <w:szCs w:val="21"/>
              </w:rPr>
              <w:t>废水量</w:t>
            </w:r>
          </w:p>
        </w:tc>
        <w:tc>
          <w:tcPr>
            <w:tcW w:w="1697"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273"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3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360</w:t>
            </w:r>
          </w:p>
        </w:tc>
        <w:tc>
          <w:tcPr>
            <w:tcW w:w="1535"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603"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val="en-US" w:eastAsia="zh-CN"/>
              </w:rPr>
              <w:t>360</w:t>
            </w:r>
          </w:p>
        </w:tc>
        <w:tc>
          <w:tcPr>
            <w:tcW w:w="155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val="en-US" w:eastAsia="zh-CN"/>
              </w:rPr>
              <w:t>360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58" w:type="dxa"/>
            <w:vMerge w:val="restart"/>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pPr>
              <w:pStyle w:val="78"/>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540" w:type="dxa"/>
            <w:noWrap w:val="0"/>
            <w:vAlign w:val="center"/>
          </w:tcPr>
          <w:p>
            <w:pPr>
              <w:pStyle w:val="78"/>
              <w:spacing w:beforeLines="0" w:afterLines="0" w:line="240" w:lineRule="auto"/>
              <w:rPr>
                <w:rFonts w:hint="default" w:ascii="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bidi="ar-SA"/>
              </w:rPr>
              <w:t>废包装袋</w:t>
            </w:r>
          </w:p>
        </w:tc>
        <w:tc>
          <w:tcPr>
            <w:tcW w:w="1697"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273"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3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0.5</w:t>
            </w:r>
          </w:p>
        </w:tc>
        <w:tc>
          <w:tcPr>
            <w:tcW w:w="1535"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603"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val="en-US" w:eastAsia="zh-CN"/>
              </w:rPr>
              <w:t>0.5</w:t>
            </w:r>
          </w:p>
        </w:tc>
        <w:tc>
          <w:tcPr>
            <w:tcW w:w="155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458" w:type="dxa"/>
            <w:vMerge w:val="continue"/>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40" w:type="dxa"/>
            <w:noWrap w:val="0"/>
            <w:vAlign w:val="center"/>
          </w:tcPr>
          <w:p>
            <w:pPr>
              <w:pStyle w:val="78"/>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hAnsi="Times New Roman" w:cs="Times New Roman"/>
                <w:snapToGrid w:val="0"/>
                <w:color w:val="auto"/>
                <w:kern w:val="21"/>
                <w:szCs w:val="21"/>
                <w:lang w:eastAsia="zh-CN"/>
              </w:rPr>
              <w:t>废薄膜、边角料以及不合格品</w:t>
            </w:r>
          </w:p>
        </w:tc>
        <w:tc>
          <w:tcPr>
            <w:tcW w:w="1697"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273"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3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25</w:t>
            </w:r>
          </w:p>
        </w:tc>
        <w:tc>
          <w:tcPr>
            <w:tcW w:w="1535"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603"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val="en-US" w:eastAsia="zh-CN"/>
              </w:rPr>
              <w:t>25</w:t>
            </w:r>
          </w:p>
        </w:tc>
        <w:tc>
          <w:tcPr>
            <w:tcW w:w="155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58" w:type="dxa"/>
            <w:vMerge w:val="continue"/>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40" w:type="dxa"/>
            <w:noWrap w:val="0"/>
            <w:vAlign w:val="center"/>
          </w:tcPr>
          <w:p>
            <w:pPr>
              <w:pStyle w:val="78"/>
              <w:spacing w:beforeLines="0" w:afterLines="0" w:line="240" w:lineRule="auto"/>
              <w:rPr>
                <w:rFonts w:hint="eastAsia" w:ascii="Times New Roman" w:hAnsi="Times New Roman" w:cs="Times New Roman"/>
                <w:snapToGrid w:val="0"/>
                <w:color w:val="auto"/>
                <w:kern w:val="21"/>
                <w:szCs w:val="21"/>
                <w:lang w:eastAsia="zh-CN"/>
              </w:rPr>
            </w:pPr>
            <w:r>
              <w:rPr>
                <w:rFonts w:hint="eastAsia" w:ascii="Times New Roman" w:hAnsi="Times New Roman" w:cs="Times New Roman"/>
                <w:snapToGrid w:val="0"/>
                <w:color w:val="auto"/>
                <w:kern w:val="21"/>
                <w:szCs w:val="21"/>
                <w:lang w:eastAsia="zh-CN"/>
              </w:rPr>
              <w:t>生活垃圾</w:t>
            </w:r>
          </w:p>
        </w:tc>
        <w:tc>
          <w:tcPr>
            <w:tcW w:w="1697"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273"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3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2.43</w:t>
            </w:r>
          </w:p>
        </w:tc>
        <w:tc>
          <w:tcPr>
            <w:tcW w:w="1535"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603"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val="en-US" w:eastAsia="zh-CN"/>
              </w:rPr>
              <w:t>2.43</w:t>
            </w:r>
          </w:p>
        </w:tc>
        <w:tc>
          <w:tcPr>
            <w:tcW w:w="155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val="en-US" w:eastAsia="zh-CN"/>
              </w:rPr>
              <w:t>2.43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58" w:type="dxa"/>
            <w:vMerge w:val="restart"/>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540"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eastAsia="zh-CN"/>
              </w:rPr>
              <w:t>废活性炭</w:t>
            </w:r>
          </w:p>
        </w:tc>
        <w:tc>
          <w:tcPr>
            <w:tcW w:w="1697"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273"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3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2.87</w:t>
            </w:r>
          </w:p>
        </w:tc>
        <w:tc>
          <w:tcPr>
            <w:tcW w:w="1535"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603"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2.87</w:t>
            </w:r>
          </w:p>
        </w:tc>
        <w:tc>
          <w:tcPr>
            <w:tcW w:w="155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2.87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58" w:type="dxa"/>
            <w:vMerge w:val="continue"/>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40"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Cs w:val="21"/>
                <w:lang w:eastAsia="zh-CN"/>
              </w:rPr>
              <w:t>废润滑油</w:t>
            </w:r>
          </w:p>
        </w:tc>
        <w:tc>
          <w:tcPr>
            <w:tcW w:w="1697"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273"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3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0.03</w:t>
            </w:r>
          </w:p>
        </w:tc>
        <w:tc>
          <w:tcPr>
            <w:tcW w:w="1535"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603"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0.03</w:t>
            </w:r>
          </w:p>
        </w:tc>
        <w:tc>
          <w:tcPr>
            <w:tcW w:w="155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458" w:type="dxa"/>
            <w:vMerge w:val="continue"/>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40" w:type="dxa"/>
            <w:noWrap w:val="0"/>
            <w:vAlign w:val="center"/>
          </w:tcPr>
          <w:p>
            <w:pPr>
              <w:pStyle w:val="78"/>
              <w:spacing w:beforeLines="0" w:afterLines="0" w:line="240" w:lineRule="auto"/>
              <w:rPr>
                <w:rFonts w:hint="eastAsia" w:ascii="Times New Roman" w:hAnsi="Times New Roman" w:cs="Times New Roman"/>
                <w:snapToGrid w:val="0"/>
                <w:color w:val="auto"/>
                <w:kern w:val="21"/>
                <w:szCs w:val="21"/>
                <w:lang w:eastAsia="zh-CN"/>
              </w:rPr>
            </w:pPr>
            <w:r>
              <w:rPr>
                <w:rFonts w:hint="eastAsia" w:ascii="Times New Roman" w:hAnsi="Times New Roman" w:cs="Times New Roman"/>
                <w:snapToGrid w:val="0"/>
                <w:color w:val="auto"/>
                <w:kern w:val="21"/>
                <w:szCs w:val="21"/>
                <w:lang w:eastAsia="zh-CN"/>
              </w:rPr>
              <w:t>废润滑油桶</w:t>
            </w:r>
          </w:p>
        </w:tc>
        <w:tc>
          <w:tcPr>
            <w:tcW w:w="1697"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273"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535"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0.02</w:t>
            </w:r>
          </w:p>
        </w:tc>
        <w:tc>
          <w:tcPr>
            <w:tcW w:w="1535" w:type="dxa"/>
            <w:noWrap w:val="0"/>
            <w:vAlign w:val="center"/>
          </w:tcPr>
          <w:p>
            <w:pPr>
              <w:pStyle w:val="78"/>
              <w:spacing w:beforeLines="0" w:afterLines="0" w:line="240" w:lineRule="auto"/>
              <w:rPr>
                <w:rFonts w:hint="default" w:ascii="Times New Roman" w:hAnsi="Times New Roman" w:cs="Times New Roman"/>
                <w:snapToGrid w:val="0"/>
                <w:color w:val="auto"/>
                <w:kern w:val="21"/>
                <w:szCs w:val="21"/>
              </w:rPr>
            </w:pPr>
          </w:p>
        </w:tc>
        <w:tc>
          <w:tcPr>
            <w:tcW w:w="1603"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0.02</w:t>
            </w:r>
          </w:p>
        </w:tc>
        <w:tc>
          <w:tcPr>
            <w:tcW w:w="1555" w:type="dxa"/>
            <w:noWrap w:val="0"/>
            <w:vAlign w:val="center"/>
          </w:tcPr>
          <w:p>
            <w:pPr>
              <w:pStyle w:val="78"/>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0.02</w:t>
            </w:r>
          </w:p>
        </w:tc>
      </w:tr>
    </w:tbl>
    <w:p>
      <w:pPr>
        <w:pStyle w:val="78"/>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rPr>
          <w:rFonts w:hint="default"/>
          <w:color w:val="auto"/>
        </w:rPr>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jc w:val="left"/>
        <w:rPr>
          <w:rFonts w:hint="default" w:ascii="Times New Roman" w:hAnsi="Times New Roman" w:cs="Times New Roman"/>
          <w:b/>
          <w:bCs/>
          <w:color w:val="auto"/>
          <w:sz w:val="52"/>
          <w:szCs w:val="52"/>
        </w:rPr>
      </w:pPr>
      <w:r>
        <w:rPr>
          <w:rFonts w:hint="default" w:ascii="Times New Roman" w:hAnsi="Times New Roman" w:cs="Times New Roman"/>
          <w:b/>
          <w:bCs/>
          <w:color w:val="auto"/>
          <w:sz w:val="36"/>
          <w:szCs w:val="36"/>
        </w:rPr>
        <w:t>附件1  委托书</w:t>
      </w:r>
    </w:p>
    <w:p>
      <w:pPr>
        <w:jc w:val="center"/>
        <w:rPr>
          <w:rFonts w:hint="default" w:ascii="Times New Roman" w:hAnsi="Times New Roman" w:cs="Times New Roman"/>
          <w:b/>
          <w:bCs/>
          <w:color w:val="auto"/>
          <w:sz w:val="52"/>
          <w:szCs w:val="52"/>
          <w:lang w:eastAsia="zh-CN"/>
        </w:rPr>
      </w:pPr>
    </w:p>
    <w:p>
      <w:pPr>
        <w:jc w:val="center"/>
        <w:rPr>
          <w:rFonts w:hint="default" w:ascii="Times New Roman" w:hAnsi="Times New Roman" w:cs="Times New Roman"/>
          <w:b/>
          <w:bCs/>
          <w:color w:val="auto"/>
          <w:sz w:val="52"/>
          <w:szCs w:val="52"/>
          <w:lang w:eastAsia="zh-CN"/>
        </w:rPr>
      </w:pPr>
      <w:r>
        <w:rPr>
          <w:rFonts w:hint="default" w:ascii="Times New Roman" w:hAnsi="Times New Roman" w:cs="Times New Roman"/>
          <w:b/>
          <w:bCs/>
          <w:color w:val="auto"/>
          <w:sz w:val="52"/>
          <w:szCs w:val="52"/>
          <w:lang w:eastAsia="zh-CN"/>
        </w:rPr>
        <w:t>环评委托书</w:t>
      </w:r>
    </w:p>
    <w:p>
      <w:pPr>
        <w:jc w:val="center"/>
        <w:rPr>
          <w:rFonts w:hint="default" w:ascii="Times New Roman" w:hAnsi="Times New Roman" w:cs="Times New Roman"/>
          <w:b/>
          <w:bCs/>
          <w:color w:val="auto"/>
          <w:sz w:val="52"/>
          <w:szCs w:val="52"/>
          <w:lang w:val="en-US" w:eastAsia="zh-CN"/>
        </w:rPr>
      </w:pPr>
      <w:r>
        <w:rPr>
          <w:rFonts w:hint="eastAsia" w:ascii="Times New Roman" w:hAnsi="Times New Roman" w:cs="Times New Roman"/>
          <w:b/>
          <w:bCs/>
          <w:color w:val="auto"/>
          <w:sz w:val="52"/>
          <w:szCs w:val="52"/>
          <w:lang w:val="en-US" w:eastAsia="zh-CN"/>
        </w:rPr>
        <w:t xml:space="preserve">             </w:t>
      </w:r>
      <w:bookmarkStart w:id="19" w:name="_GoBack"/>
      <w:bookmarkEnd w:id="19"/>
    </w:p>
    <w:p>
      <w:pPr>
        <w:rPr>
          <w:rFonts w:hint="default" w:ascii="Times New Roman" w:hAnsi="Times New Roman" w:cs="Times New Roman"/>
          <w:color w:val="auto"/>
          <w:sz w:val="32"/>
          <w:szCs w:val="32"/>
          <w:lang w:eastAsia="zh-CN"/>
        </w:rPr>
      </w:pPr>
      <w:r>
        <w:rPr>
          <w:rFonts w:hint="eastAsia" w:cs="Times New Roman"/>
          <w:color w:val="auto"/>
          <w:sz w:val="32"/>
          <w:szCs w:val="32"/>
          <w:lang w:eastAsia="zh-CN"/>
        </w:rPr>
        <w:t>长沙则中环保技术有限公司</w:t>
      </w:r>
      <w:r>
        <w:rPr>
          <w:rFonts w:hint="default" w:ascii="Times New Roman" w:hAnsi="Times New Roman" w:cs="Times New Roman"/>
          <w:color w:val="auto"/>
          <w:sz w:val="32"/>
          <w:szCs w:val="32"/>
          <w:lang w:eastAsia="zh-CN"/>
        </w:rPr>
        <w:t>：</w:t>
      </w:r>
    </w:p>
    <w:p>
      <w:pPr>
        <w:rPr>
          <w:rFonts w:hint="default" w:ascii="Times New Roman" w:hAnsi="Times New Roman" w:cs="Times New Roman"/>
          <w:color w:val="auto"/>
          <w:sz w:val="32"/>
          <w:szCs w:val="32"/>
          <w:lang w:eastAsia="zh-CN"/>
        </w:rPr>
      </w:pPr>
    </w:p>
    <w:p>
      <w:pPr>
        <w:ind w:firstLine="640" w:firstLineChars="200"/>
        <w:rPr>
          <w:rFonts w:hint="default" w:ascii="Times New Roman" w:hAnsi="Times New Roman" w:eastAsia="宋体" w:cs="Times New Roman"/>
          <w:color w:val="auto"/>
          <w:sz w:val="32"/>
          <w:szCs w:val="32"/>
          <w:lang w:eastAsia="zh-CN"/>
        </w:rPr>
      </w:pPr>
      <w:r>
        <w:rPr>
          <w:rFonts w:hint="default" w:ascii="Times New Roman" w:hAnsi="Times New Roman" w:cs="Times New Roman"/>
          <w:color w:val="auto"/>
          <w:sz w:val="32"/>
          <w:szCs w:val="32"/>
          <w:lang w:eastAsia="zh-CN"/>
        </w:rPr>
        <w:t>本单位拟在</w:t>
      </w:r>
      <w:r>
        <w:rPr>
          <w:rFonts w:hint="default" w:ascii="Times New Roman" w:hAnsi="Times New Roman" w:cs="Times New Roman"/>
          <w:color w:val="auto"/>
          <w:sz w:val="32"/>
          <w:szCs w:val="32"/>
          <w:u w:val="single"/>
          <w:lang w:val="en-US" w:eastAsia="zh-CN"/>
        </w:rPr>
        <w:t xml:space="preserve"> 湖南省邵阳市邵东市廉桥镇兔子坪村</w:t>
      </w:r>
      <w:r>
        <w:rPr>
          <w:rFonts w:hint="eastAsia" w:cs="Times New Roman"/>
          <w:color w:val="auto"/>
          <w:sz w:val="32"/>
          <w:szCs w:val="32"/>
          <w:u w:val="none"/>
          <w:lang w:val="en-US" w:eastAsia="zh-CN"/>
        </w:rPr>
        <w:t xml:space="preserve"> </w:t>
      </w:r>
      <w:r>
        <w:rPr>
          <w:rFonts w:hint="default" w:ascii="Times New Roman" w:hAnsi="Times New Roman" w:cs="Times New Roman"/>
          <w:color w:val="auto"/>
          <w:sz w:val="32"/>
          <w:szCs w:val="32"/>
          <w:u w:val="none"/>
          <w:lang w:val="en-US" w:eastAsia="zh-CN"/>
        </w:rPr>
        <w:t>建设</w:t>
      </w:r>
      <w:r>
        <w:rPr>
          <w:rFonts w:hint="default" w:ascii="Times New Roman" w:hAnsi="Times New Roman" w:cs="Times New Roman"/>
          <w:color w:val="auto"/>
          <w:sz w:val="32"/>
          <w:szCs w:val="32"/>
          <w:u w:val="single"/>
          <w:lang w:val="en-US" w:eastAsia="zh-CN"/>
        </w:rPr>
        <w:t xml:space="preserve"> </w:t>
      </w:r>
      <w:r>
        <w:rPr>
          <w:rFonts w:hint="eastAsia" w:cs="Times New Roman"/>
          <w:color w:val="auto"/>
          <w:sz w:val="32"/>
          <w:szCs w:val="32"/>
          <w:u w:val="single"/>
          <w:lang w:val="en-US" w:eastAsia="zh-CN"/>
        </w:rPr>
        <w:t>年产500吨塑料包装材料项目</w:t>
      </w:r>
      <w:r>
        <w:rPr>
          <w:rFonts w:hint="default" w:ascii="Times New Roman" w:hAnsi="Times New Roman" w:cs="Times New Roman"/>
          <w:color w:val="auto"/>
          <w:sz w:val="32"/>
          <w:szCs w:val="32"/>
          <w:u w:val="none"/>
          <w:lang w:val="en-US" w:eastAsia="zh-CN"/>
        </w:rPr>
        <w:t>，</w:t>
      </w:r>
      <w:r>
        <w:rPr>
          <w:rFonts w:hint="default" w:ascii="Times New Roman" w:hAnsi="Times New Roman" w:eastAsia="宋体" w:cs="Times New Roman"/>
          <w:color w:val="auto"/>
          <w:sz w:val="32"/>
          <w:szCs w:val="32"/>
        </w:rPr>
        <w:t>根据《中华人民共和国环境影响评价法》、《建设项目环境保护管理条例》、《建设项目环境影响评价分类管理名录》等有关环保法律、法规的要求，</w:t>
      </w:r>
      <w:r>
        <w:rPr>
          <w:rFonts w:hint="default" w:ascii="Times New Roman" w:hAnsi="Times New Roman" w:eastAsia="宋体" w:cs="Times New Roman"/>
          <w:color w:val="auto"/>
          <w:sz w:val="32"/>
          <w:szCs w:val="32"/>
          <w:lang w:eastAsia="zh-CN"/>
        </w:rPr>
        <w:t>特委托贵单位进行本项目的环境影响评价工作，请按此委托尽快开展工作。</w:t>
      </w:r>
    </w:p>
    <w:p>
      <w:pPr>
        <w:ind w:firstLine="640" w:firstLineChars="200"/>
        <w:rPr>
          <w:rFonts w:hint="default" w:ascii="Times New Roman" w:hAnsi="Times New Roman" w:eastAsia="宋体" w:cs="Times New Roman"/>
          <w:color w:val="auto"/>
          <w:sz w:val="32"/>
          <w:szCs w:val="32"/>
          <w:lang w:eastAsia="zh-CN"/>
        </w:rPr>
      </w:pPr>
    </w:p>
    <w:p>
      <w:pPr>
        <w:rPr>
          <w:rFonts w:hint="default" w:ascii="Times New Roman" w:hAnsi="Times New Roman" w:eastAsia="宋体" w:cs="Times New Roman"/>
          <w:color w:val="auto"/>
          <w:sz w:val="32"/>
          <w:szCs w:val="32"/>
          <w:lang w:eastAsia="zh-CN"/>
        </w:rPr>
      </w:pPr>
      <w:r>
        <w:rPr>
          <w:rFonts w:hint="default" w:ascii="Times New Roman" w:hAnsi="Times New Roman" w:eastAsia="宋体" w:cs="Times New Roman"/>
          <w:color w:val="auto"/>
          <w:sz w:val="32"/>
          <w:szCs w:val="32"/>
          <w:lang w:eastAsia="zh-CN"/>
        </w:rPr>
        <w:t>特此委托。</w:t>
      </w:r>
    </w:p>
    <w:p>
      <w:pPr>
        <w:rPr>
          <w:rFonts w:hint="default" w:ascii="Times New Roman" w:hAnsi="Times New Roman" w:eastAsia="宋体" w:cs="Times New Roman"/>
          <w:color w:val="auto"/>
          <w:sz w:val="32"/>
          <w:szCs w:val="32"/>
          <w:lang w:val="en-US" w:eastAsia="zh-CN"/>
        </w:rPr>
      </w:pPr>
      <w:r>
        <w:rPr>
          <w:rFonts w:hint="default" w:ascii="Times New Roman" w:hAnsi="Times New Roman" w:cs="Times New Roman"/>
          <w:color w:val="auto"/>
          <w:sz w:val="32"/>
          <w:szCs w:val="32"/>
          <w:lang w:val="en-US" w:eastAsia="zh-CN"/>
        </w:rPr>
        <w:t xml:space="preserve"> </w:t>
      </w:r>
    </w:p>
    <w:p>
      <w:pPr>
        <w:rPr>
          <w:rFonts w:hint="default" w:ascii="Times New Roman" w:hAnsi="Times New Roman" w:eastAsia="宋体" w:cs="Times New Roman"/>
          <w:color w:val="auto"/>
          <w:sz w:val="32"/>
          <w:szCs w:val="32"/>
          <w:lang w:eastAsia="zh-CN"/>
        </w:rPr>
      </w:pPr>
    </w:p>
    <w:p>
      <w:pPr>
        <w:jc w:val="right"/>
        <w:rPr>
          <w:rFonts w:hint="default" w:ascii="Times New Roman" w:hAnsi="Times New Roman" w:eastAsia="宋体" w:cs="Times New Roman"/>
          <w:color w:val="auto"/>
          <w:sz w:val="32"/>
          <w:szCs w:val="32"/>
          <w:lang w:eastAsia="zh-CN"/>
        </w:rPr>
      </w:pPr>
      <w:r>
        <w:rPr>
          <w:rFonts w:hint="default" w:ascii="Times New Roman" w:hAnsi="Times New Roman" w:eastAsia="宋体" w:cs="Times New Roman"/>
          <w:color w:val="auto"/>
          <w:sz w:val="32"/>
          <w:szCs w:val="32"/>
          <w:lang w:val="en-US" w:eastAsia="zh-CN"/>
        </w:rPr>
        <w:t xml:space="preserve">     </w:t>
      </w:r>
      <w:r>
        <w:rPr>
          <w:rFonts w:hint="default" w:ascii="Times New Roman" w:hAnsi="Times New Roman" w:cs="Times New Roman"/>
          <w:color w:val="auto"/>
          <w:sz w:val="32"/>
          <w:szCs w:val="32"/>
          <w:lang w:val="en-US" w:eastAsia="zh-CN"/>
        </w:rPr>
        <w:t>单位名称：</w:t>
      </w:r>
      <w:r>
        <w:rPr>
          <w:rFonts w:hint="eastAsia" w:cs="Times New Roman"/>
          <w:color w:val="auto"/>
          <w:sz w:val="32"/>
          <w:szCs w:val="32"/>
          <w:u w:val="single"/>
          <w:lang w:val="en-US" w:eastAsia="zh-CN"/>
        </w:rPr>
        <w:t>邵东市思逸包装有限公司</w:t>
      </w:r>
      <w:r>
        <w:rPr>
          <w:rFonts w:hint="default" w:ascii="Times New Roman" w:hAnsi="Times New Roman" w:eastAsia="宋体" w:cs="Times New Roman"/>
          <w:color w:val="auto"/>
          <w:sz w:val="32"/>
          <w:szCs w:val="32"/>
          <w:lang w:eastAsia="zh-CN"/>
        </w:rPr>
        <w:t>（盖章）</w:t>
      </w:r>
    </w:p>
    <w:p>
      <w:pPr>
        <w:rPr>
          <w:rFonts w:hint="default" w:ascii="Times New Roman" w:hAnsi="Times New Roman" w:eastAsia="宋体" w:cs="Times New Roman"/>
          <w:color w:val="auto"/>
          <w:sz w:val="32"/>
          <w:szCs w:val="32"/>
          <w:lang w:eastAsia="zh-CN"/>
        </w:rPr>
      </w:pPr>
    </w:p>
    <w:p>
      <w:pPr>
        <w:jc w:val="right"/>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 xml:space="preserve">                            </w:t>
      </w:r>
      <w:r>
        <w:rPr>
          <w:rFonts w:hint="default" w:ascii="Times New Roman" w:hAnsi="Times New Roman" w:cs="Times New Roman"/>
          <w:color w:val="auto"/>
          <w:sz w:val="32"/>
          <w:szCs w:val="32"/>
          <w:lang w:val="en-US" w:eastAsia="zh-CN"/>
        </w:rPr>
        <w:t>202</w:t>
      </w:r>
      <w:r>
        <w:rPr>
          <w:rFonts w:hint="eastAsia" w:ascii="Times New Roman" w:hAnsi="Times New Roman" w:cs="Times New Roman"/>
          <w:color w:val="auto"/>
          <w:sz w:val="32"/>
          <w:szCs w:val="32"/>
          <w:lang w:val="en-US" w:eastAsia="zh-CN"/>
        </w:rPr>
        <w:t>2</w:t>
      </w:r>
      <w:r>
        <w:rPr>
          <w:rFonts w:hint="default" w:ascii="Times New Roman" w:hAnsi="Times New Roman" w:eastAsia="宋体" w:cs="Times New Roman"/>
          <w:color w:val="auto"/>
          <w:sz w:val="32"/>
          <w:szCs w:val="32"/>
          <w:lang w:val="en-US" w:eastAsia="zh-CN"/>
        </w:rPr>
        <w:t>年</w:t>
      </w:r>
      <w:r>
        <w:rPr>
          <w:rFonts w:hint="eastAsia" w:cs="Times New Roman"/>
          <w:color w:val="auto"/>
          <w:sz w:val="32"/>
          <w:szCs w:val="32"/>
          <w:lang w:val="en-US" w:eastAsia="zh-CN"/>
        </w:rPr>
        <w:t>2</w:t>
      </w:r>
      <w:r>
        <w:rPr>
          <w:rFonts w:hint="default" w:ascii="Times New Roman" w:hAnsi="Times New Roman" w:eastAsia="宋体" w:cs="Times New Roman"/>
          <w:color w:val="auto"/>
          <w:sz w:val="32"/>
          <w:szCs w:val="32"/>
          <w:lang w:val="en-US" w:eastAsia="zh-CN"/>
        </w:rPr>
        <w:t>月</w:t>
      </w:r>
      <w:r>
        <w:rPr>
          <w:rFonts w:hint="eastAsia" w:cs="Times New Roman"/>
          <w:color w:val="auto"/>
          <w:sz w:val="32"/>
          <w:szCs w:val="32"/>
          <w:lang w:val="en-US" w:eastAsia="zh-CN"/>
        </w:rPr>
        <w:t>28</w:t>
      </w:r>
      <w:r>
        <w:rPr>
          <w:rFonts w:hint="default" w:ascii="Times New Roman" w:hAnsi="Times New Roman" w:eastAsia="宋体" w:cs="Times New Roman"/>
          <w:color w:val="auto"/>
          <w:sz w:val="32"/>
          <w:szCs w:val="32"/>
          <w:lang w:val="en-US" w:eastAsia="zh-CN"/>
        </w:rPr>
        <w:t>日</w:t>
      </w:r>
    </w:p>
    <w:p>
      <w:pPr>
        <w:rPr>
          <w:rFonts w:hint="default" w:ascii="Times New Roman" w:hAnsi="Times New Roman" w:eastAsia="宋体" w:cs="Times New Roman"/>
          <w:color w:val="auto"/>
          <w:sz w:val="32"/>
          <w:szCs w:val="32"/>
          <w:lang w:val="en-US" w:eastAsia="zh-CN"/>
        </w:rPr>
      </w:pPr>
    </w:p>
    <w:p>
      <w:pPr>
        <w:jc w:val="left"/>
        <w:rPr>
          <w:rFonts w:hint="default" w:ascii="Times New Roman" w:hAnsi="Times New Roman" w:cs="Times New Roman"/>
          <w:b/>
          <w:bCs/>
          <w:color w:val="auto"/>
          <w:sz w:val="36"/>
          <w:szCs w:val="36"/>
        </w:rPr>
      </w:pPr>
    </w:p>
    <w:p>
      <w:pPr>
        <w:bidi w:val="0"/>
        <w:rPr>
          <w:rFonts w:hint="default"/>
          <w:color w:val="auto"/>
        </w:rPr>
      </w:pPr>
    </w:p>
    <w:p>
      <w:pPr>
        <w:bidi w:val="0"/>
        <w:rPr>
          <w:rFonts w:hint="default"/>
          <w:color w:val="auto"/>
        </w:rPr>
      </w:pPr>
    </w:p>
    <w:p>
      <w:pPr>
        <w:bidi w:val="0"/>
        <w:rPr>
          <w:rFonts w:hint="default"/>
          <w:color w:val="auto"/>
        </w:rPr>
      </w:pPr>
    </w:p>
    <w:p>
      <w:pPr>
        <w:jc w:val="left"/>
        <w:rPr>
          <w:rFonts w:hint="default" w:ascii="Times New Roman" w:hAnsi="Times New Roman" w:eastAsia="宋体" w:cs="Times New Roman"/>
          <w:b/>
          <w:bCs/>
          <w:color w:val="auto"/>
          <w:sz w:val="36"/>
          <w:szCs w:val="36"/>
        </w:rPr>
      </w:pPr>
      <w:r>
        <w:rPr>
          <w:rFonts w:hint="default" w:ascii="Times New Roman" w:hAnsi="Times New Roman" w:eastAsia="宋体" w:cs="Times New Roman"/>
          <w:color w:val="auto"/>
          <w:lang w:eastAsia="zh-CN"/>
        </w:rPr>
        <w:drawing>
          <wp:anchor distT="0" distB="0" distL="114300" distR="114300" simplePos="0" relativeHeight="251692032" behindDoc="0" locked="0" layoutInCell="1" allowOverlap="1">
            <wp:simplePos x="0" y="0"/>
            <wp:positionH relativeFrom="column">
              <wp:posOffset>180340</wp:posOffset>
            </wp:positionH>
            <wp:positionV relativeFrom="paragraph">
              <wp:posOffset>375920</wp:posOffset>
            </wp:positionV>
            <wp:extent cx="5469255" cy="7567930"/>
            <wp:effectExtent l="0" t="0" r="17145" b="13970"/>
            <wp:wrapNone/>
            <wp:docPr id="22" name="图片 120"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0" descr="营业执照"/>
                    <pic:cNvPicPr>
                      <a:picLocks noChangeAspect="1"/>
                    </pic:cNvPicPr>
                  </pic:nvPicPr>
                  <pic:blipFill>
                    <a:blip r:embed="rId18"/>
                    <a:srcRect l="3659" t="15329" r="842" b="19910"/>
                    <a:stretch>
                      <a:fillRect/>
                    </a:stretch>
                  </pic:blipFill>
                  <pic:spPr>
                    <a:xfrm rot="10800000">
                      <a:off x="0" y="0"/>
                      <a:ext cx="5469255" cy="7567930"/>
                    </a:xfrm>
                    <a:prstGeom prst="rect">
                      <a:avLst/>
                    </a:prstGeom>
                    <a:noFill/>
                    <a:ln>
                      <a:noFill/>
                    </a:ln>
                  </pic:spPr>
                </pic:pic>
              </a:graphicData>
            </a:graphic>
          </wp:anchor>
        </w:drawing>
      </w:r>
      <w:r>
        <w:rPr>
          <w:rFonts w:hint="default" w:ascii="Times New Roman" w:hAnsi="Times New Roman" w:eastAsia="宋体" w:cs="Times New Roman"/>
          <w:b/>
          <w:bCs/>
          <w:color w:val="auto"/>
          <w:sz w:val="36"/>
          <w:szCs w:val="36"/>
        </w:rPr>
        <w:t>附件2  营业执照</w:t>
      </w: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sectPr>
          <w:pgSz w:w="11906" w:h="16838"/>
          <w:pgMar w:top="1440" w:right="1440" w:bottom="1440" w:left="1440" w:header="851" w:footer="992" w:gutter="0"/>
          <w:pgNumType w:fmt="decimal"/>
          <w:cols w:space="720" w:num="1"/>
          <w:docGrid w:type="lines" w:linePitch="312" w:charSpace="0"/>
        </w:sectPr>
      </w:pPr>
    </w:p>
    <w:p>
      <w:pPr>
        <w:jc w:val="left"/>
        <w:rPr>
          <w:rFonts w:hint="default" w:ascii="Times New Roman" w:hAnsi="Times New Roman" w:cs="Times New Roman"/>
          <w:b/>
          <w:bCs/>
          <w:color w:val="auto"/>
          <w:sz w:val="36"/>
          <w:szCs w:val="36"/>
        </w:rPr>
      </w:pPr>
      <w:r>
        <w:rPr>
          <w:rFonts w:hint="default" w:ascii="Times New Roman" w:hAnsi="Times New Roman" w:cs="Times New Roman"/>
          <w:b/>
          <w:bCs/>
          <w:color w:val="auto"/>
          <w:sz w:val="36"/>
          <w:szCs w:val="36"/>
        </w:rPr>
        <w:t>附件3     监测数据质量保证单</w:t>
      </w:r>
    </w:p>
    <w:p>
      <w:pPr>
        <w:jc w:val="left"/>
        <w:rPr>
          <w:color w:val="auto"/>
        </w:rPr>
      </w:pPr>
      <w:r>
        <w:rPr>
          <w:color w:val="auto"/>
        </w:rPr>
        <w:drawing>
          <wp:inline distT="0" distB="0" distL="114300" distR="114300">
            <wp:extent cx="5414010" cy="7768590"/>
            <wp:effectExtent l="0" t="0" r="15240" b="3810"/>
            <wp:docPr id="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5"/>
                    <pic:cNvPicPr>
                      <a:picLocks noChangeAspect="1"/>
                    </pic:cNvPicPr>
                  </pic:nvPicPr>
                  <pic:blipFill>
                    <a:blip r:embed="rId19"/>
                    <a:stretch>
                      <a:fillRect/>
                    </a:stretch>
                  </pic:blipFill>
                  <pic:spPr>
                    <a:xfrm>
                      <a:off x="0" y="0"/>
                      <a:ext cx="5414010" cy="7768590"/>
                    </a:xfrm>
                    <a:prstGeom prst="rect">
                      <a:avLst/>
                    </a:prstGeom>
                    <a:noFill/>
                    <a:ln>
                      <a:noFill/>
                    </a:ln>
                  </pic:spPr>
                </pic:pic>
              </a:graphicData>
            </a:graphic>
          </wp:inline>
        </w:drawing>
      </w:r>
    </w:p>
    <w:p>
      <w:pPr>
        <w:jc w:val="left"/>
        <w:rPr>
          <w:color w:val="auto"/>
        </w:rPr>
      </w:pPr>
    </w:p>
    <w:p>
      <w:pPr>
        <w:jc w:val="left"/>
        <w:rPr>
          <w:color w:val="auto"/>
        </w:rPr>
      </w:pPr>
    </w:p>
    <w:p>
      <w:pPr>
        <w:jc w:val="left"/>
        <w:rPr>
          <w:rFonts w:hint="default" w:ascii="Times New Roman" w:hAnsi="Times New Roman" w:cs="Times New Roman"/>
          <w:b/>
          <w:bCs/>
          <w:color w:val="auto"/>
          <w:sz w:val="36"/>
          <w:szCs w:val="36"/>
        </w:rPr>
      </w:pPr>
    </w:p>
    <w:p>
      <w:pPr>
        <w:jc w:val="left"/>
        <w:rPr>
          <w:rFonts w:hint="default" w:ascii="Times New Roman" w:hAnsi="Times New Roman" w:cs="Times New Roman"/>
          <w:b/>
          <w:bCs/>
          <w:color w:val="auto"/>
          <w:sz w:val="52"/>
          <w:szCs w:val="52"/>
        </w:rPr>
      </w:pPr>
      <w:r>
        <w:rPr>
          <w:rFonts w:hint="default" w:ascii="Times New Roman" w:hAnsi="Times New Roman" w:cs="Times New Roman"/>
          <w:b/>
          <w:bCs/>
          <w:color w:val="auto"/>
          <w:sz w:val="36"/>
          <w:szCs w:val="36"/>
        </w:rPr>
        <w:t>附件</w:t>
      </w:r>
      <w:r>
        <w:rPr>
          <w:rFonts w:hint="eastAsia" w:cs="Times New Roman"/>
          <w:b/>
          <w:bCs/>
          <w:color w:val="auto"/>
          <w:sz w:val="36"/>
          <w:szCs w:val="36"/>
          <w:lang w:val="en-US" w:eastAsia="zh-CN"/>
        </w:rPr>
        <w:t>4</w:t>
      </w:r>
      <w:r>
        <w:rPr>
          <w:rFonts w:hint="default" w:ascii="Times New Roman" w:hAnsi="Times New Roman" w:cs="Times New Roman"/>
          <w:b/>
          <w:bCs/>
          <w:color w:val="auto"/>
          <w:sz w:val="36"/>
          <w:szCs w:val="36"/>
        </w:rPr>
        <w:t xml:space="preserve">  邵东市政府常务会纪要（[2020]第20次）</w:t>
      </w:r>
    </w:p>
    <w:p>
      <w:pPr>
        <w:bidi w:val="0"/>
        <w:rPr>
          <w:color w:val="auto"/>
        </w:rPr>
      </w:pPr>
      <w:r>
        <w:rPr>
          <w:color w:val="auto"/>
        </w:rPr>
        <w:drawing>
          <wp:inline distT="0" distB="0" distL="114300" distR="114300">
            <wp:extent cx="5612765" cy="7977505"/>
            <wp:effectExtent l="0" t="0" r="6985" b="4445"/>
            <wp:docPr id="6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
                    <pic:cNvPicPr>
                      <a:picLocks noChangeAspect="1"/>
                    </pic:cNvPicPr>
                  </pic:nvPicPr>
                  <pic:blipFill>
                    <a:blip r:embed="rId20"/>
                    <a:stretch>
                      <a:fillRect/>
                    </a:stretch>
                  </pic:blipFill>
                  <pic:spPr>
                    <a:xfrm>
                      <a:off x="0" y="0"/>
                      <a:ext cx="5612765" cy="7977505"/>
                    </a:xfrm>
                    <a:prstGeom prst="rect">
                      <a:avLst/>
                    </a:prstGeom>
                    <a:noFill/>
                    <a:ln>
                      <a:noFill/>
                    </a:ln>
                  </pic:spPr>
                </pic:pic>
              </a:graphicData>
            </a:graphic>
          </wp:inline>
        </w:drawing>
      </w:r>
    </w:p>
    <w:p>
      <w:pPr>
        <w:pStyle w:val="15"/>
        <w:rPr>
          <w:color w:val="auto"/>
        </w:rPr>
      </w:pPr>
    </w:p>
    <w:p>
      <w:pPr>
        <w:bidi w:val="0"/>
        <w:rPr>
          <w:rFonts w:hint="default"/>
          <w:color w:val="auto"/>
          <w:lang w:eastAsia="zh-CN"/>
        </w:rPr>
      </w:pPr>
    </w:p>
    <w:p>
      <w:pPr>
        <w:jc w:val="left"/>
        <w:rPr>
          <w:rFonts w:hint="eastAsia" w:ascii="Times New Roman" w:hAnsi="Times New Roman" w:eastAsia="宋体" w:cs="Times New Roman"/>
          <w:b/>
          <w:bCs/>
          <w:color w:val="auto"/>
          <w:sz w:val="52"/>
          <w:szCs w:val="52"/>
          <w:lang w:val="en-US" w:eastAsia="zh-CN"/>
        </w:rPr>
      </w:pPr>
      <w:r>
        <w:rPr>
          <w:rFonts w:hint="default" w:ascii="Times New Roman" w:hAnsi="Times New Roman" w:cs="Times New Roman"/>
          <w:b/>
          <w:bCs/>
          <w:color w:val="auto"/>
          <w:sz w:val="36"/>
          <w:szCs w:val="36"/>
        </w:rPr>
        <w:t>附件</w:t>
      </w:r>
      <w:r>
        <w:rPr>
          <w:rFonts w:hint="eastAsia" w:cs="Times New Roman"/>
          <w:b/>
          <w:bCs/>
          <w:color w:val="auto"/>
          <w:sz w:val="36"/>
          <w:szCs w:val="36"/>
          <w:lang w:val="en-US" w:eastAsia="zh-CN"/>
        </w:rPr>
        <w:t>5</w:t>
      </w:r>
      <w:r>
        <w:rPr>
          <w:rFonts w:hint="default" w:ascii="Times New Roman" w:hAnsi="Times New Roman" w:cs="Times New Roman"/>
          <w:b/>
          <w:bCs/>
          <w:color w:val="auto"/>
          <w:sz w:val="36"/>
          <w:szCs w:val="36"/>
        </w:rPr>
        <w:t xml:space="preserve">  </w:t>
      </w:r>
      <w:r>
        <w:rPr>
          <w:rFonts w:hint="eastAsia" w:ascii="Times New Roman" w:hAnsi="Times New Roman" w:cs="Times New Roman"/>
          <w:b/>
          <w:bCs/>
          <w:color w:val="auto"/>
          <w:sz w:val="36"/>
          <w:szCs w:val="36"/>
          <w:lang w:val="en-US" w:eastAsia="zh-CN"/>
        </w:rPr>
        <w:t>罚款单</w:t>
      </w:r>
    </w:p>
    <w:p>
      <w:pPr>
        <w:pStyle w:val="15"/>
        <w:rPr>
          <w:rFonts w:hint="default"/>
          <w:color w:val="auto"/>
          <w:lang w:eastAsia="zh-CN"/>
        </w:rPr>
      </w:pPr>
    </w:p>
    <w:p>
      <w:pPr>
        <w:pStyle w:val="32"/>
        <w:bidi w:val="0"/>
        <w:rPr>
          <w:rFonts w:hint="default"/>
          <w:color w:val="auto"/>
          <w:lang w:eastAsia="zh-CN"/>
        </w:rPr>
      </w:pPr>
      <w:r>
        <w:rPr>
          <w:rFonts w:hint="default"/>
          <w:color w:val="auto"/>
          <w:lang w:eastAsia="zh-CN"/>
        </w:rPr>
        <w:drawing>
          <wp:inline distT="0" distB="0" distL="114300" distR="114300">
            <wp:extent cx="5725160" cy="3059430"/>
            <wp:effectExtent l="0" t="0" r="7620" b="8890"/>
            <wp:docPr id="68" name="图片 36" descr="罚款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6" descr="罚款单"/>
                    <pic:cNvPicPr>
                      <a:picLocks noChangeAspect="1"/>
                    </pic:cNvPicPr>
                  </pic:nvPicPr>
                  <pic:blipFill>
                    <a:blip r:embed="rId21"/>
                    <a:stretch>
                      <a:fillRect/>
                    </a:stretch>
                  </pic:blipFill>
                  <pic:spPr>
                    <a:xfrm rot="-5400000">
                      <a:off x="0" y="0"/>
                      <a:ext cx="5725160" cy="3059430"/>
                    </a:xfrm>
                    <a:prstGeom prst="rect">
                      <a:avLst/>
                    </a:prstGeom>
                    <a:noFill/>
                    <a:ln>
                      <a:noFill/>
                    </a:ln>
                  </pic:spPr>
                </pic:pic>
              </a:graphicData>
            </a:graphic>
          </wp:inline>
        </w:drawing>
      </w:r>
    </w:p>
    <w:p>
      <w:pPr>
        <w:pStyle w:val="32"/>
        <w:bidi w:val="0"/>
        <w:rPr>
          <w:rFonts w:hint="default"/>
          <w:color w:val="auto"/>
          <w:lang w:eastAsia="zh-CN"/>
        </w:rPr>
      </w:pPr>
    </w:p>
    <w:p>
      <w:pPr>
        <w:pStyle w:val="32"/>
        <w:bidi w:val="0"/>
        <w:rPr>
          <w:rFonts w:hint="default"/>
          <w:color w:val="auto"/>
          <w:lang w:eastAsia="zh-CN"/>
        </w:rPr>
      </w:pPr>
    </w:p>
    <w:p>
      <w:pPr>
        <w:pStyle w:val="32"/>
        <w:bidi w:val="0"/>
        <w:rPr>
          <w:rFonts w:hint="default"/>
          <w:color w:val="auto"/>
          <w:lang w:eastAsia="zh-CN"/>
        </w:rPr>
      </w:pPr>
    </w:p>
    <w:p>
      <w:pPr>
        <w:pStyle w:val="32"/>
        <w:bidi w:val="0"/>
        <w:rPr>
          <w:rFonts w:hint="default"/>
          <w:color w:val="auto"/>
          <w:lang w:eastAsia="zh-CN"/>
        </w:rPr>
      </w:pPr>
    </w:p>
    <w:p>
      <w:pPr>
        <w:pStyle w:val="32"/>
        <w:bidi w:val="0"/>
        <w:rPr>
          <w:rFonts w:hint="default"/>
          <w:color w:val="auto"/>
          <w:lang w:eastAsia="zh-CN"/>
        </w:rPr>
      </w:pPr>
    </w:p>
    <w:p>
      <w:pPr>
        <w:jc w:val="left"/>
        <w:rPr>
          <w:rFonts w:hint="default" w:ascii="Times New Roman" w:hAnsi="Times New Roman" w:eastAsia="宋体" w:cs="Times New Roman"/>
          <w:b/>
          <w:bCs/>
          <w:color w:val="auto"/>
          <w:sz w:val="52"/>
          <w:szCs w:val="52"/>
          <w:lang w:val="en-US" w:eastAsia="zh-CN"/>
        </w:rPr>
      </w:pPr>
      <w:r>
        <w:rPr>
          <w:rFonts w:hint="default" w:ascii="Times New Roman" w:hAnsi="Times New Roman" w:cs="Times New Roman"/>
          <w:b/>
          <w:bCs/>
          <w:color w:val="auto"/>
          <w:sz w:val="36"/>
          <w:szCs w:val="36"/>
        </w:rPr>
        <w:t>附件</w:t>
      </w:r>
      <w:r>
        <w:rPr>
          <w:rFonts w:hint="eastAsia" w:cs="Times New Roman"/>
          <w:b/>
          <w:bCs/>
          <w:color w:val="auto"/>
          <w:sz w:val="36"/>
          <w:szCs w:val="36"/>
          <w:lang w:val="en-US" w:eastAsia="zh-CN"/>
        </w:rPr>
        <w:t>6</w:t>
      </w:r>
      <w:r>
        <w:rPr>
          <w:rFonts w:hint="default" w:ascii="Times New Roman" w:hAnsi="Times New Roman" w:cs="Times New Roman"/>
          <w:b/>
          <w:bCs/>
          <w:color w:val="auto"/>
          <w:sz w:val="36"/>
          <w:szCs w:val="36"/>
        </w:rPr>
        <w:t xml:space="preserve">  </w:t>
      </w:r>
      <w:r>
        <w:rPr>
          <w:rFonts w:hint="eastAsia" w:ascii="Times New Roman" w:hAnsi="Times New Roman" w:cs="Times New Roman"/>
          <w:b/>
          <w:bCs/>
          <w:color w:val="auto"/>
          <w:sz w:val="36"/>
          <w:szCs w:val="36"/>
          <w:lang w:val="en-US" w:eastAsia="zh-CN"/>
        </w:rPr>
        <w:t>租赁协议</w:t>
      </w:r>
    </w:p>
    <w:p>
      <w:pPr>
        <w:pStyle w:val="32"/>
        <w:bidi w:val="0"/>
        <w:ind w:left="0" w:leftChars="0" w:firstLine="0" w:firstLineChars="0"/>
        <w:rPr>
          <w:rFonts w:hint="default"/>
          <w:color w:val="auto"/>
          <w:lang w:eastAsia="zh-CN"/>
        </w:rPr>
        <w:sectPr>
          <w:pgSz w:w="11906" w:h="16838"/>
          <w:pgMar w:top="1440" w:right="1440" w:bottom="1440" w:left="1440" w:header="851" w:footer="992" w:gutter="0"/>
          <w:pgNumType w:fmt="decimal"/>
          <w:cols w:space="720" w:num="1"/>
          <w:docGrid w:type="lines" w:linePitch="312" w:charSpace="0"/>
        </w:sectPr>
      </w:pPr>
      <w:r>
        <w:rPr>
          <w:rFonts w:hint="default"/>
          <w:color w:val="auto"/>
          <w:lang w:eastAsia="zh-CN"/>
        </w:rPr>
        <w:drawing>
          <wp:inline distT="0" distB="0" distL="114300" distR="114300">
            <wp:extent cx="5463540" cy="7630160"/>
            <wp:effectExtent l="0" t="0" r="3810" b="8890"/>
            <wp:docPr id="69" name="图片 38" descr="租赁合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8" descr="租赁合同2"/>
                    <pic:cNvPicPr>
                      <a:picLocks noChangeAspect="1"/>
                    </pic:cNvPicPr>
                  </pic:nvPicPr>
                  <pic:blipFill>
                    <a:blip r:embed="rId22"/>
                    <a:srcRect r="4495"/>
                    <a:stretch>
                      <a:fillRect/>
                    </a:stretch>
                  </pic:blipFill>
                  <pic:spPr>
                    <a:xfrm>
                      <a:off x="0" y="0"/>
                      <a:ext cx="5463540" cy="7630160"/>
                    </a:xfrm>
                    <a:prstGeom prst="rect">
                      <a:avLst/>
                    </a:prstGeom>
                    <a:noFill/>
                    <a:ln>
                      <a:noFill/>
                    </a:ln>
                  </pic:spPr>
                </pic:pic>
              </a:graphicData>
            </a:graphic>
          </wp:inline>
        </w:drawing>
      </w:r>
    </w:p>
    <w:p>
      <w:pPr>
        <w:jc w:val="center"/>
        <w:rPr>
          <w:rFonts w:hint="default" w:ascii="Times New Roman" w:hAnsi="Times New Roman" w:cs="Times New Roman"/>
          <w:color w:val="auto"/>
          <w:sz w:val="24"/>
        </w:rPr>
      </w:pPr>
      <w:r>
        <w:rPr>
          <w:rFonts w:hint="default" w:ascii="Times New Roman" w:hAnsi="Times New Roman" w:cs="Times New Roman"/>
          <w:color w:val="auto"/>
        </w:rPr>
        <w:drawing>
          <wp:anchor distT="0" distB="0" distL="114300" distR="114300" simplePos="0" relativeHeight="251667456" behindDoc="0" locked="0" layoutInCell="1" allowOverlap="1">
            <wp:simplePos x="0" y="0"/>
            <wp:positionH relativeFrom="column">
              <wp:posOffset>269240</wp:posOffset>
            </wp:positionH>
            <wp:positionV relativeFrom="paragraph">
              <wp:posOffset>123190</wp:posOffset>
            </wp:positionV>
            <wp:extent cx="952500" cy="762000"/>
            <wp:effectExtent l="0" t="0" r="0" b="0"/>
            <wp:wrapNone/>
            <wp:docPr id="9"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4"/>
                    <pic:cNvPicPr>
                      <a:picLocks noChangeAspect="1"/>
                    </pic:cNvPicPr>
                  </pic:nvPicPr>
                  <pic:blipFill>
                    <a:blip r:embed="rId23"/>
                    <a:stretch>
                      <a:fillRect/>
                    </a:stretch>
                  </pic:blipFill>
                  <pic:spPr>
                    <a:xfrm>
                      <a:off x="0" y="0"/>
                      <a:ext cx="952500" cy="762000"/>
                    </a:xfrm>
                    <a:prstGeom prst="rect">
                      <a:avLst/>
                    </a:prstGeom>
                    <a:noFill/>
                    <a:ln>
                      <a:noFill/>
                    </a:ln>
                  </pic:spPr>
                </pic:pic>
              </a:graphicData>
            </a:graphic>
          </wp:anchor>
        </w:drawing>
      </w:r>
      <w:r>
        <w:rPr>
          <w:rFonts w:hint="default" w:ascii="Times New Roman" w:hAnsi="Times New Roman" w:cs="Times New Roman"/>
          <w:color w:val="auto"/>
        </w:rPr>
        <w:drawing>
          <wp:anchor distT="0" distB="0" distL="114300" distR="114300" simplePos="0" relativeHeight="251666432" behindDoc="0" locked="0" layoutInCell="1" allowOverlap="1">
            <wp:simplePos x="0" y="0"/>
            <wp:positionH relativeFrom="column">
              <wp:posOffset>7087870</wp:posOffset>
            </wp:positionH>
            <wp:positionV relativeFrom="paragraph">
              <wp:posOffset>92710</wp:posOffset>
            </wp:positionV>
            <wp:extent cx="1584325" cy="1704340"/>
            <wp:effectExtent l="0" t="0" r="15875" b="1016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24"/>
                    <a:stretch>
                      <a:fillRect/>
                    </a:stretch>
                  </pic:blipFill>
                  <pic:spPr>
                    <a:xfrm>
                      <a:off x="0" y="0"/>
                      <a:ext cx="1584325" cy="1704340"/>
                    </a:xfrm>
                    <a:prstGeom prst="rect">
                      <a:avLst/>
                    </a:prstGeom>
                    <a:noFill/>
                    <a:ln>
                      <a:noFill/>
                    </a:ln>
                  </pic:spPr>
                </pic:pic>
              </a:graphicData>
            </a:graphic>
          </wp:anchor>
        </w:drawing>
      </w:r>
      <w:r>
        <w:rPr>
          <w:rFonts w:hint="default" w:ascii="Times New Roman" w:hAnsi="Times New Roman" w:cs="Times New Roman"/>
          <w:color w:val="auto"/>
        </w:rPr>
        <mc:AlternateContent>
          <mc:Choice Requires="wps">
            <w:drawing>
              <wp:anchor distT="0" distB="0" distL="114300" distR="114300" simplePos="0" relativeHeight="251665408" behindDoc="0" locked="0" layoutInCell="1" allowOverlap="1">
                <wp:simplePos x="0" y="0"/>
                <wp:positionH relativeFrom="column">
                  <wp:posOffset>3693160</wp:posOffset>
                </wp:positionH>
                <wp:positionV relativeFrom="paragraph">
                  <wp:posOffset>1959610</wp:posOffset>
                </wp:positionV>
                <wp:extent cx="1072515" cy="314960"/>
                <wp:effectExtent l="4445" t="5080" r="313690" b="327660"/>
                <wp:wrapNone/>
                <wp:docPr id="7" name="AutoShape 4"/>
                <wp:cNvGraphicFramePr/>
                <a:graphic xmlns:a="http://schemas.openxmlformats.org/drawingml/2006/main">
                  <a:graphicData uri="http://schemas.microsoft.com/office/word/2010/wordprocessingShape">
                    <wps:wsp>
                      <wps:cNvSpPr/>
                      <wps:spPr>
                        <a:xfrm>
                          <a:off x="0" y="0"/>
                          <a:ext cx="1072515" cy="314960"/>
                        </a:xfrm>
                        <a:prstGeom prst="wedgeRoundRectCallout">
                          <a:avLst>
                            <a:gd name="adj1" fmla="val 75398"/>
                            <a:gd name="adj2" fmla="val 14757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本项目位置</w:t>
                            </w:r>
                          </w:p>
                        </w:txbxContent>
                      </wps:txbx>
                      <wps:bodyPr wrap="square" upright="1"/>
                    </wps:wsp>
                  </a:graphicData>
                </a:graphic>
              </wp:anchor>
            </w:drawing>
          </mc:Choice>
          <mc:Fallback>
            <w:pict>
              <v:shape id="AutoShape 4" o:spid="_x0000_s1026" o:spt="62" type="#_x0000_t62" style="position:absolute;left:0pt;margin-left:290.8pt;margin-top:154.3pt;height:24.8pt;width:84.45pt;z-index:251665408;mso-width-relative:page;mso-height-relative:page;" fillcolor="#FFFFFF" filled="t" stroked="t" coordsize="21600,21600" o:gfxdata="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sW/EvYAAAACwEAAA8AAAAAAAAAAQAgAAAAIgAAAGRycy9k&#10;b3ducmV2LnhtbFBLAQIUABQAAAAIAIdO4kANYlbvOwIAAMEEAAAOAAAAAAAAAAEAIAAAACcBAABk&#10;cnMvZTJvRG9jLnhtbFBLBQYAAAAABgAGAFkBAADUBQAAAAA=&#10;" adj="27086,42677,14400">
                <v:fill on="t" focussize="0,0"/>
                <v:stroke color="#FF0000" joinstyle="miter"/>
                <v:imagedata o:title=""/>
                <o:lock v:ext="edit" aspectratio="f"/>
                <v:textbox>
                  <w:txbxContent>
                    <w:p>
                      <w:pPr>
                        <w:rPr>
                          <w:sz w:val="24"/>
                        </w:rPr>
                      </w:pPr>
                      <w:r>
                        <w:rPr>
                          <w:rFonts w:hint="eastAsia"/>
                          <w:sz w:val="24"/>
                        </w:rPr>
                        <w:t>本项目位置</w:t>
                      </w:r>
                    </w:p>
                  </w:txbxContent>
                </v:textbox>
              </v:shape>
            </w:pict>
          </mc:Fallback>
        </mc:AlternateContent>
      </w:r>
      <w:r>
        <w:rPr>
          <w:color w:val="auto"/>
        </w:rPr>
        <w:drawing>
          <wp:inline distT="0" distB="0" distL="114300" distR="114300">
            <wp:extent cx="8558530" cy="5204460"/>
            <wp:effectExtent l="19050" t="19050" r="33020" b="34290"/>
            <wp:docPr id="7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4"/>
                    <pic:cNvPicPr>
                      <a:picLocks noChangeAspect="1"/>
                    </pic:cNvPicPr>
                  </pic:nvPicPr>
                  <pic:blipFill>
                    <a:blip r:embed="rId25"/>
                    <a:stretch>
                      <a:fillRect/>
                    </a:stretch>
                  </pic:blipFill>
                  <pic:spPr>
                    <a:xfrm>
                      <a:off x="0" y="0"/>
                      <a:ext cx="8558530" cy="5204460"/>
                    </a:xfrm>
                    <a:prstGeom prst="rect">
                      <a:avLst/>
                    </a:prstGeom>
                    <a:noFill/>
                    <a:ln w="19050" cap="flat" cmpd="sng">
                      <a:solidFill>
                        <a:srgbClr val="000000"/>
                      </a:solidFill>
                      <a:prstDash val="solid"/>
                      <a:miter/>
                      <a:headEnd type="none" w="med" len="med"/>
                      <a:tailEnd type="none" w="med" len="med"/>
                    </a:ln>
                  </pic:spPr>
                </pic:pic>
              </a:graphicData>
            </a:graphic>
          </wp:inline>
        </w:drawing>
      </w:r>
    </w:p>
    <w:p>
      <w:pPr>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附图1   项目地理位置图</w:t>
      </w:r>
    </w:p>
    <w:p>
      <w:pPr>
        <w:jc w:val="center"/>
        <w:rPr>
          <w:rFonts w:hint="default" w:ascii="Times New Roman" w:hAnsi="Times New Roman" w:cs="Times New Roman"/>
          <w:b/>
          <w:bCs/>
          <w:color w:val="auto"/>
          <w:sz w:val="32"/>
          <w:szCs w:val="32"/>
        </w:rPr>
        <w:sectPr>
          <w:pgSz w:w="16838" w:h="11906" w:orient="landscape"/>
          <w:pgMar w:top="1440" w:right="1440" w:bottom="1440" w:left="1440" w:header="851" w:footer="992" w:gutter="0"/>
          <w:pgNumType w:fmt="decimal"/>
          <w:cols w:space="720" w:num="1"/>
          <w:docGrid w:type="lines" w:linePitch="322" w:charSpace="0"/>
        </w:sectPr>
      </w:pPr>
    </w:p>
    <w:p>
      <w:pPr>
        <w:jc w:val="center"/>
        <w:rPr>
          <w:rFonts w:hint="default" w:ascii="Times New Roman" w:hAnsi="Times New Roman" w:cs="Times New Roman"/>
          <w:b/>
          <w:bCs/>
          <w:color w:val="auto"/>
          <w:sz w:val="32"/>
          <w:szCs w:val="32"/>
          <w:highlight w:val="none"/>
        </w:rPr>
      </w:pPr>
      <w:r>
        <w:rPr>
          <w:rFonts w:hint="default" w:ascii="Times New Roman" w:hAnsi="Times New Roman" w:cs="Times New Roman"/>
          <w:color w:val="auto"/>
          <w:highlight w:val="none"/>
        </w:rPr>
        <w:drawing>
          <wp:anchor distT="0" distB="0" distL="114300" distR="114300" simplePos="0" relativeHeight="251668480" behindDoc="0" locked="0" layoutInCell="1" allowOverlap="1">
            <wp:simplePos x="0" y="0"/>
            <wp:positionH relativeFrom="column">
              <wp:posOffset>81280</wp:posOffset>
            </wp:positionH>
            <wp:positionV relativeFrom="paragraph">
              <wp:posOffset>163195</wp:posOffset>
            </wp:positionV>
            <wp:extent cx="793115" cy="635000"/>
            <wp:effectExtent l="0" t="0" r="6985" b="12700"/>
            <wp:wrapNone/>
            <wp:docPr id="10"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7"/>
                    <pic:cNvPicPr>
                      <a:picLocks noChangeAspect="1"/>
                    </pic:cNvPicPr>
                  </pic:nvPicPr>
                  <pic:blipFill>
                    <a:blip r:embed="rId23"/>
                    <a:stretch>
                      <a:fillRect/>
                    </a:stretch>
                  </pic:blipFill>
                  <pic:spPr>
                    <a:xfrm>
                      <a:off x="0" y="0"/>
                      <a:ext cx="793115" cy="635000"/>
                    </a:xfrm>
                    <a:prstGeom prst="rect">
                      <a:avLst/>
                    </a:prstGeom>
                    <a:noFill/>
                    <a:ln>
                      <a:noFill/>
                    </a:ln>
                  </pic:spPr>
                </pic:pic>
              </a:graphicData>
            </a:graphic>
          </wp:anchor>
        </w:drawing>
      </w:r>
      <w:r>
        <w:rPr>
          <w:color w:val="auto"/>
          <w:sz w:val="32"/>
          <w:highlight w:val="none"/>
        </w:rPr>
        <mc:AlternateContent>
          <mc:Choice Requires="wps">
            <w:drawing>
              <wp:anchor distT="0" distB="0" distL="114300" distR="114300" simplePos="0" relativeHeight="251659264" behindDoc="1" locked="0" layoutInCell="1" allowOverlap="1">
                <wp:simplePos x="0" y="0"/>
                <wp:positionH relativeFrom="column">
                  <wp:posOffset>20955</wp:posOffset>
                </wp:positionH>
                <wp:positionV relativeFrom="paragraph">
                  <wp:posOffset>84455</wp:posOffset>
                </wp:positionV>
                <wp:extent cx="5796915" cy="8105140"/>
                <wp:effectExtent l="4445" t="4445" r="8890" b="5715"/>
                <wp:wrapNone/>
                <wp:docPr id="1" name="矩形 69"/>
                <wp:cNvGraphicFramePr/>
                <a:graphic xmlns:a="http://schemas.openxmlformats.org/drawingml/2006/main">
                  <a:graphicData uri="http://schemas.microsoft.com/office/word/2010/wordprocessingShape">
                    <wps:wsp>
                      <wps:cNvSpPr/>
                      <wps:spPr>
                        <a:xfrm>
                          <a:off x="0" y="0"/>
                          <a:ext cx="5796915" cy="810514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rect id="矩形 69" o:spid="_x0000_s1026" o:spt="1" style="position:absolute;left:0pt;margin-left:1.65pt;margin-top:6.65pt;height:638.2pt;width:456.45pt;z-index:-251657216;mso-width-relative:page;mso-height-relative:page;" fillcolor="#FFFFFF" filled="t" stroked="t" coordsize="21600,21600" o:gfxdata="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y2q&#10;09cAAAAJAQAADwAAAAAAAAABACAAAAAiAAAAZHJzL2Rvd25yZXYueG1sUEsBAhQAFAAAAAgAh07i&#10;QKu+2sIjAgAAXgQAAA4AAAAAAAAAAQAgAAAAJgEAAGRycy9lMm9Eb2MueG1sUEsFBgAAAAAGAAYA&#10;WQEAALsFAAAAAA==&#10;">
                <v:fill on="t" focussize="0,0"/>
                <v:stroke color="#000000" joinstyle="miter"/>
                <v:imagedata o:title=""/>
                <o:lock v:ext="edit" aspectratio="f"/>
                <v:textbox>
                  <w:txbxContent>
                    <w:p/>
                  </w:txbxContent>
                </v:textbox>
              </v:rect>
            </w:pict>
          </mc:Fallback>
        </mc:AlternateContent>
      </w: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664384" behindDoc="0" locked="0" layoutInCell="1" allowOverlap="1">
                <wp:simplePos x="0" y="0"/>
                <wp:positionH relativeFrom="column">
                  <wp:posOffset>977900</wp:posOffset>
                </wp:positionH>
                <wp:positionV relativeFrom="paragraph">
                  <wp:posOffset>64135</wp:posOffset>
                </wp:positionV>
                <wp:extent cx="4570730" cy="7649845"/>
                <wp:effectExtent l="4445" t="4445" r="15875" b="22860"/>
                <wp:wrapNone/>
                <wp:docPr id="6" name="矩形 72"/>
                <wp:cNvGraphicFramePr/>
                <a:graphic xmlns:a="http://schemas.openxmlformats.org/drawingml/2006/main">
                  <a:graphicData uri="http://schemas.microsoft.com/office/word/2010/wordprocessingShape">
                    <wps:wsp>
                      <wps:cNvSpPr/>
                      <wps:spPr>
                        <a:xfrm>
                          <a:off x="0" y="0"/>
                          <a:ext cx="4570730" cy="7649845"/>
                        </a:xfrm>
                        <a:prstGeom prst="rect">
                          <a:avLst/>
                        </a:prstGeom>
                        <a:no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rect id="矩形 72" o:spid="_x0000_s1026" o:spt="1" style="position:absolute;left:0pt;margin-left:77pt;margin-top:5.05pt;height:602.35pt;width:359.9pt;z-index:251664384;mso-width-relative:page;mso-height-relative:page;" filled="f" stroked="t" coordsize="21600,21600" o:gfxdata="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m8ftjYAAAA&#10;CwEAAA8AAAAAAAAAAQAgAAAAIgAAAGRycy9kb3ducmV2LnhtbFBLAQIUABQAAAAIAIdO4kA8VIYE&#10;HQIAADUEAAAOAAAAAAAAAAEAIAAAACcBAABkcnMvZTJvRG9jLnhtbFBLBQYAAAAABgAGAFkBAAC2&#10;BQAAAAA=&#10;">
                <v:fill on="f" focussize="0,0"/>
                <v:stroke color="#000000" joinstyle="miter"/>
                <v:imagedata o:title=""/>
                <o:lock v:ext="edit" aspectratio="f"/>
                <v:textbox>
                  <w:txbxContent>
                    <w:p/>
                  </w:txbxContent>
                </v:textbox>
              </v:rect>
            </w:pict>
          </mc:Fallback>
        </mc:AlternateContent>
      </w:r>
      <w:r>
        <w:rPr>
          <w:color w:val="auto"/>
          <w:sz w:val="32"/>
          <w:highlight w:val="none"/>
        </w:rPr>
        <mc:AlternateContent>
          <mc:Choice Requires="wps">
            <w:drawing>
              <wp:anchor distT="0" distB="0" distL="114300" distR="114300" simplePos="0" relativeHeight="251695104" behindDoc="0" locked="0" layoutInCell="1" allowOverlap="1">
                <wp:simplePos x="0" y="0"/>
                <wp:positionH relativeFrom="column">
                  <wp:posOffset>2633980</wp:posOffset>
                </wp:positionH>
                <wp:positionV relativeFrom="paragraph">
                  <wp:posOffset>227965</wp:posOffset>
                </wp:positionV>
                <wp:extent cx="1053465" cy="519430"/>
                <wp:effectExtent l="0" t="0" r="13335" b="13970"/>
                <wp:wrapNone/>
                <wp:docPr id="26" name="文本框 70"/>
                <wp:cNvGraphicFramePr/>
                <a:graphic xmlns:a="http://schemas.openxmlformats.org/drawingml/2006/main">
                  <a:graphicData uri="http://schemas.microsoft.com/office/word/2010/wordprocessingShape">
                    <wps:wsp>
                      <wps:cNvSpPr txBox="1"/>
                      <wps:spPr>
                        <a:xfrm>
                          <a:off x="0" y="0"/>
                          <a:ext cx="1053465" cy="519430"/>
                        </a:xfrm>
                        <a:prstGeom prst="rect">
                          <a:avLst/>
                        </a:prstGeom>
                        <a:solidFill>
                          <a:srgbClr val="FFFFFF"/>
                        </a:solidFill>
                        <a:ln>
                          <a:noFill/>
                        </a:ln>
                      </wps:spPr>
                      <wps:txbx>
                        <w:txbxContent>
                          <w:p>
                            <w:pPr>
                              <w:rPr>
                                <w:rFonts w:hint="default" w:eastAsia="宋体"/>
                                <w:sz w:val="32"/>
                                <w:szCs w:val="32"/>
                                <w:lang w:val="en-US" w:eastAsia="zh-CN"/>
                              </w:rPr>
                            </w:pPr>
                            <w:r>
                              <w:rPr>
                                <w:rFonts w:hint="eastAsia"/>
                                <w:sz w:val="32"/>
                                <w:szCs w:val="32"/>
                                <w:lang w:val="en-US" w:eastAsia="zh-CN"/>
                              </w:rPr>
                              <w:t>办公区</w:t>
                            </w:r>
                          </w:p>
                        </w:txbxContent>
                      </wps:txbx>
                      <wps:bodyPr vert="horz" wrap="square" anchor="t" anchorCtr="0" upright="1"/>
                    </wps:wsp>
                  </a:graphicData>
                </a:graphic>
              </wp:anchor>
            </w:drawing>
          </mc:Choice>
          <mc:Fallback>
            <w:pict>
              <v:shape id="文本框 70" o:spid="_x0000_s1026" o:spt="202" type="#_x0000_t202" style="position:absolute;left:0pt;margin-left:207.4pt;margin-top:17.95pt;height:40.9pt;width:82.95pt;z-index:251695104;mso-width-relative:page;mso-height-relative:page;" fillcolor="#FFFFFF" filled="t" stroked="f" coordsize="21600,21600" o:gfxdata="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onlwXYAAAACgEA&#10;AA8AAAAAAAAAAQAgAAAAIgAAAGRycy9kb3ducmV2LnhtbFBLAQIUABQAAAAIAIdO4kDMfpnW4QEA&#10;AKwDAAAOAAAAAAAAAAEAIAAAACcBAABkcnMvZTJvRG9jLnhtbFBLBQYAAAAABgAGAFkBAAB6BQAA&#10;AAA=&#10;">
                <v:fill on="t" focussize="0,0"/>
                <v:stroke on="f"/>
                <v:imagedata o:title=""/>
                <o:lock v:ext="edit" aspectratio="f"/>
                <v:textbox>
                  <w:txbxContent>
                    <w:p>
                      <w:pPr>
                        <w:rPr>
                          <w:rFonts w:hint="default" w:eastAsia="宋体"/>
                          <w:sz w:val="32"/>
                          <w:szCs w:val="32"/>
                          <w:lang w:val="en-US" w:eastAsia="zh-CN"/>
                        </w:rPr>
                      </w:pPr>
                      <w:r>
                        <w:rPr>
                          <w:rFonts w:hint="eastAsia"/>
                          <w:sz w:val="32"/>
                          <w:szCs w:val="32"/>
                          <w:lang w:val="en-US" w:eastAsia="zh-CN"/>
                        </w:rPr>
                        <w:t>办公区</w:t>
                      </w:r>
                    </w:p>
                  </w:txbxContent>
                </v:textbox>
              </v:shape>
            </w:pict>
          </mc:Fallback>
        </mc:AlternateContent>
      </w:r>
      <w:r>
        <w:rPr>
          <w:color w:val="auto"/>
          <w:sz w:val="32"/>
          <w:highlight w:val="none"/>
        </w:rPr>
        <mc:AlternateContent>
          <mc:Choice Requires="wps">
            <w:drawing>
              <wp:anchor distT="0" distB="0" distL="114300" distR="114300" simplePos="0" relativeHeight="251694080" behindDoc="0" locked="0" layoutInCell="1" allowOverlap="1">
                <wp:simplePos x="0" y="0"/>
                <wp:positionH relativeFrom="column">
                  <wp:posOffset>2296795</wp:posOffset>
                </wp:positionH>
                <wp:positionV relativeFrom="paragraph">
                  <wp:posOffset>195580</wp:posOffset>
                </wp:positionV>
                <wp:extent cx="1536065" cy="617220"/>
                <wp:effectExtent l="4445" t="4445" r="21590" b="6985"/>
                <wp:wrapNone/>
                <wp:docPr id="24" name="矩形 71"/>
                <wp:cNvGraphicFramePr/>
                <a:graphic xmlns:a="http://schemas.openxmlformats.org/drawingml/2006/main">
                  <a:graphicData uri="http://schemas.microsoft.com/office/word/2010/wordprocessingShape">
                    <wps:wsp>
                      <wps:cNvSpPr/>
                      <wps:spPr>
                        <a:xfrm>
                          <a:off x="0" y="0"/>
                          <a:ext cx="1536065" cy="617220"/>
                        </a:xfrm>
                        <a:prstGeom prst="rect">
                          <a:avLst/>
                        </a:prstGeom>
                        <a:no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rect id="矩形 71" o:spid="_x0000_s1026" o:spt="1" style="position:absolute;left:0pt;margin-left:180.85pt;margin-top:15.4pt;height:48.6pt;width:120.95pt;z-index:251694080;mso-width-relative:page;mso-height-relative:page;" filled="f" stroked="t" coordsize="21600,21600" o:gfxdata="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msy/fXAAAACgEA&#10;AA8AAAAAAAAAAQAgAAAAIgAAAGRycy9kb3ducmV2LnhtbFBLAQIUABQAAAAIAIdO4kBskSkBGwIA&#10;ADUEAAAOAAAAAAAAAAEAIAAAACYBAABkcnMvZTJvRG9jLnhtbFBLBQYAAAAABgAGAFkBAACzBQAA&#10;AAA=&#10;">
                <v:fill on="f" focussize="0,0"/>
                <v:stroke color="#000000" joinstyle="miter"/>
                <v:imagedata o:title=""/>
                <o:lock v:ext="edit" aspectratio="f"/>
                <v:textbox>
                  <w:txbxContent>
                    <w:p/>
                  </w:txbxContent>
                </v:textbox>
              </v:rect>
            </w:pict>
          </mc:Fallback>
        </mc:AlternateContent>
      </w: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676672" behindDoc="0" locked="0" layoutInCell="1" allowOverlap="1">
                <wp:simplePos x="0" y="0"/>
                <wp:positionH relativeFrom="column">
                  <wp:posOffset>772160</wp:posOffset>
                </wp:positionH>
                <wp:positionV relativeFrom="paragraph">
                  <wp:posOffset>274955</wp:posOffset>
                </wp:positionV>
                <wp:extent cx="1052195" cy="467360"/>
                <wp:effectExtent l="0" t="0" r="14605" b="8890"/>
                <wp:wrapNone/>
                <wp:docPr id="16" name="文本框 92"/>
                <wp:cNvGraphicFramePr/>
                <a:graphic xmlns:a="http://schemas.openxmlformats.org/drawingml/2006/main">
                  <a:graphicData uri="http://schemas.microsoft.com/office/word/2010/wordprocessingShape">
                    <wps:wsp>
                      <wps:cNvSpPr txBox="1"/>
                      <wps:spPr>
                        <a:xfrm>
                          <a:off x="0" y="0"/>
                          <a:ext cx="1052195" cy="467360"/>
                        </a:xfrm>
                        <a:prstGeom prst="rect">
                          <a:avLst/>
                        </a:prstGeom>
                        <a:solidFill>
                          <a:srgbClr val="FFFFFF"/>
                        </a:solidFill>
                        <a:ln>
                          <a:noFill/>
                        </a:ln>
                      </wps:spPr>
                      <wps:txbx>
                        <w:txbxContent>
                          <w:p>
                            <w:pPr>
                              <w:rPr>
                                <w:rFonts w:hint="eastAsia" w:eastAsia="宋体"/>
                                <w:sz w:val="32"/>
                                <w:szCs w:val="32"/>
                                <w:lang w:val="en-US" w:eastAsia="zh-CN"/>
                              </w:rPr>
                            </w:pPr>
                            <w:r>
                              <w:rPr>
                                <w:rFonts w:hint="eastAsia"/>
                                <w:sz w:val="32"/>
                                <w:szCs w:val="32"/>
                                <w:lang w:val="en-US" w:eastAsia="zh-CN"/>
                              </w:rPr>
                              <w:t>出入口</w:t>
                            </w:r>
                          </w:p>
                        </w:txbxContent>
                      </wps:txbx>
                      <wps:bodyPr vert="horz" wrap="square" anchor="t" anchorCtr="0" upright="1"/>
                    </wps:wsp>
                  </a:graphicData>
                </a:graphic>
              </wp:anchor>
            </w:drawing>
          </mc:Choice>
          <mc:Fallback>
            <w:pict>
              <v:shape id="文本框 92" o:spid="_x0000_s1026" o:spt="202" type="#_x0000_t202" style="position:absolute;left:0pt;margin-left:60.8pt;margin-top:21.65pt;height:36.8pt;width:82.85pt;z-index:251676672;mso-width-relative:page;mso-height-relative:page;" fillcolor="#FFFFFF" filled="t" stroked="f" coordsize="21600,21600" o:gfxdata="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1wbHP1wAAAAoBAAAP&#10;AAAAAAAAAAEAIAAAACIAAABkcnMvZG93bnJldi54bWxQSwECFAAUAAAACACHTuJA/OEf4+ABAACs&#10;AwAADgAAAAAAAAABACAAAAAmAQAAZHJzL2Uyb0RvYy54bWxQSwUGAAAAAAYABgBZAQAAeAUAAAAA&#10;">
                <v:fill on="t" focussize="0,0"/>
                <v:stroke on="f"/>
                <v:imagedata o:title=""/>
                <o:lock v:ext="edit" aspectratio="f"/>
                <v:textbox>
                  <w:txbxContent>
                    <w:p>
                      <w:pPr>
                        <w:rPr>
                          <w:rFonts w:hint="eastAsia" w:eastAsia="宋体"/>
                          <w:sz w:val="32"/>
                          <w:szCs w:val="32"/>
                          <w:lang w:val="en-US" w:eastAsia="zh-CN"/>
                        </w:rPr>
                      </w:pPr>
                      <w:r>
                        <w:rPr>
                          <w:rFonts w:hint="eastAsia"/>
                          <w:sz w:val="32"/>
                          <w:szCs w:val="32"/>
                          <w:lang w:val="en-US" w:eastAsia="zh-CN"/>
                        </w:rPr>
                        <w:t>出入口</w:t>
                      </w:r>
                    </w:p>
                  </w:txbxContent>
                </v:textbox>
              </v:shape>
            </w:pict>
          </mc:Fallback>
        </mc:AlternateContent>
      </w:r>
    </w:p>
    <w:p>
      <w:pPr>
        <w:jc w:val="center"/>
        <w:rPr>
          <w:rFonts w:hint="default" w:ascii="Times New Roman" w:hAnsi="Times New Roman" w:cs="Times New Roman"/>
          <w:b/>
          <w:bCs/>
          <w:color w:val="auto"/>
          <w:sz w:val="32"/>
          <w:szCs w:val="32"/>
          <w:highlight w:val="none"/>
        </w:rPr>
      </w:pPr>
    </w:p>
    <w:p>
      <w:pPr>
        <w:jc w:val="center"/>
        <w:rPr>
          <w:rFonts w:hint="default" w:ascii="Times New Roman" w:hAnsi="Times New Roman" w:cs="Times New Roman"/>
          <w:b/>
          <w:bCs/>
          <w:color w:val="auto"/>
          <w:sz w:val="32"/>
          <w:szCs w:val="32"/>
          <w:highlight w:val="none"/>
        </w:rPr>
      </w:pPr>
    </w:p>
    <w:p>
      <w:pPr>
        <w:jc w:val="center"/>
        <w:rPr>
          <w:rFonts w:hint="default" w:ascii="Times New Roman" w:hAnsi="Times New Roman" w:cs="Times New Roman"/>
          <w:b/>
          <w:bCs/>
          <w:color w:val="auto"/>
          <w:sz w:val="32"/>
          <w:szCs w:val="32"/>
          <w:highlight w:val="none"/>
        </w:rPr>
      </w:pP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709440" behindDoc="0" locked="0" layoutInCell="1" allowOverlap="1">
                <wp:simplePos x="0" y="0"/>
                <wp:positionH relativeFrom="column">
                  <wp:posOffset>1016000</wp:posOffset>
                </wp:positionH>
                <wp:positionV relativeFrom="paragraph">
                  <wp:posOffset>161925</wp:posOffset>
                </wp:positionV>
                <wp:extent cx="415290" cy="2129790"/>
                <wp:effectExtent l="5080" t="4445" r="17780" b="18415"/>
                <wp:wrapNone/>
                <wp:docPr id="44" name="矩形 133"/>
                <wp:cNvGraphicFramePr/>
                <a:graphic xmlns:a="http://schemas.openxmlformats.org/drawingml/2006/main">
                  <a:graphicData uri="http://schemas.microsoft.com/office/word/2010/wordprocessingShape">
                    <wps:wsp>
                      <wps:cNvSpPr/>
                      <wps:spPr>
                        <a:xfrm>
                          <a:off x="0" y="0"/>
                          <a:ext cx="415290" cy="2129790"/>
                        </a:xfrm>
                        <a:prstGeom prst="rect">
                          <a:avLst/>
                        </a:prstGeom>
                        <a:no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rect id="矩形 133" o:spid="_x0000_s1026" o:spt="1" style="position:absolute;left:0pt;margin-left:80pt;margin-top:12.75pt;height:167.7pt;width:32.7pt;z-index:251709440;mso-width-relative:page;mso-height-relative:page;" filled="f" stroked="t" coordsize="21600,21600" o:gfxdata="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kVsCvYAAAA&#10;CgEAAA8AAAAAAAAAAQAgAAAAIgAAAGRycy9kb3ducmV2LnhtbFBLAQIUABQAAAAIAIdO4kAMT8QR&#10;HQIAADYEAAAOAAAAAAAAAAEAIAAAACcBAABkcnMvZTJvRG9jLnhtbFBLBQYAAAAABgAGAFkBAAC2&#10;BQAAAAA=&#10;">
                <v:fill on="f" focussize="0,0"/>
                <v:stroke color="#000000" joinstyle="miter"/>
                <v:imagedata o:title=""/>
                <o:lock v:ext="edit" aspectratio="f"/>
                <v:textbox>
                  <w:txbxContent>
                    <w:p/>
                  </w:txbxContent>
                </v:textbox>
              </v:rect>
            </w:pict>
          </mc:Fallback>
        </mc:AlternateContent>
      </w:r>
      <w:r>
        <w:rPr>
          <w:color w:val="auto"/>
          <w:sz w:val="32"/>
          <w:highlight w:val="none"/>
        </w:rPr>
        <mc:AlternateContent>
          <mc:Choice Requires="wps">
            <w:drawing>
              <wp:anchor distT="0" distB="0" distL="114300" distR="114300" simplePos="0" relativeHeight="251660288" behindDoc="1" locked="0" layoutInCell="1" allowOverlap="1">
                <wp:simplePos x="0" y="0"/>
                <wp:positionH relativeFrom="column">
                  <wp:posOffset>2550160</wp:posOffset>
                </wp:positionH>
                <wp:positionV relativeFrom="paragraph">
                  <wp:posOffset>246380</wp:posOffset>
                </wp:positionV>
                <wp:extent cx="2891155" cy="5241290"/>
                <wp:effectExtent l="5080" t="4445" r="18415" b="12065"/>
                <wp:wrapNone/>
                <wp:docPr id="2" name="矩形 81"/>
                <wp:cNvGraphicFramePr/>
                <a:graphic xmlns:a="http://schemas.openxmlformats.org/drawingml/2006/main">
                  <a:graphicData uri="http://schemas.microsoft.com/office/word/2010/wordprocessingShape">
                    <wps:wsp>
                      <wps:cNvSpPr/>
                      <wps:spPr>
                        <a:xfrm>
                          <a:off x="0" y="0"/>
                          <a:ext cx="2891155" cy="5241290"/>
                        </a:xfrm>
                        <a:prstGeom prst="rect">
                          <a:avLst/>
                        </a:prstGeom>
                        <a:no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rect id="矩形 81" o:spid="_x0000_s1026" o:spt="1" style="position:absolute;left:0pt;margin-left:200.8pt;margin-top:19.4pt;height:412.7pt;width:227.65pt;z-index:-251656192;mso-width-relative:page;mso-height-relative:page;" filled="f" stroked="t" coordsize="21600,21600" o:gfxdata="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Qx1F2AAAAAoB&#10;AAAPAAAAAAAAAAEAIAAAACIAAABkcnMvZG93bnJldi54bWxQSwECFAAUAAAACACHTuJAcaMCXxsC&#10;AAA1BAAADgAAAAAAAAABACAAAAAnAQAAZHJzL2Uyb0RvYy54bWxQSwUGAAAAAAYABgBZAQAAtAUA&#10;AAAA&#10;">
                <v:fill on="f" focussize="0,0"/>
                <v:stroke color="#000000" joinstyle="miter"/>
                <v:imagedata o:title=""/>
                <o:lock v:ext="edit" aspectratio="f"/>
                <v:textbox>
                  <w:txbxContent>
                    <w:p/>
                  </w:txbxContent>
                </v:textbox>
              </v:rect>
            </w:pict>
          </mc:Fallback>
        </mc:AlternateContent>
      </w: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710464" behindDoc="0" locked="0" layoutInCell="1" allowOverlap="1">
                <wp:simplePos x="0" y="0"/>
                <wp:positionH relativeFrom="column">
                  <wp:posOffset>1035050</wp:posOffset>
                </wp:positionH>
                <wp:positionV relativeFrom="paragraph">
                  <wp:posOffset>282575</wp:posOffset>
                </wp:positionV>
                <wp:extent cx="354965" cy="1047750"/>
                <wp:effectExtent l="0" t="0" r="0" b="0"/>
                <wp:wrapNone/>
                <wp:docPr id="45" name="文本框 134"/>
                <wp:cNvGraphicFramePr/>
                <a:graphic xmlns:a="http://schemas.openxmlformats.org/drawingml/2006/main">
                  <a:graphicData uri="http://schemas.microsoft.com/office/word/2010/wordprocessingShape">
                    <wps:wsp>
                      <wps:cNvSpPr txBox="1"/>
                      <wps:spPr>
                        <a:xfrm>
                          <a:off x="0" y="0"/>
                          <a:ext cx="354965" cy="1047750"/>
                        </a:xfrm>
                        <a:prstGeom prst="rect">
                          <a:avLst/>
                        </a:prstGeom>
                        <a:noFill/>
                        <a:ln>
                          <a:noFill/>
                        </a:ln>
                      </wps:spPr>
                      <wps:txbx>
                        <w:txbxContent>
                          <w:p>
                            <w:pPr>
                              <w:rPr>
                                <w:rFonts w:hint="eastAsia"/>
                                <w:sz w:val="32"/>
                                <w:szCs w:val="32"/>
                                <w:lang w:val="en-US" w:eastAsia="zh-CN"/>
                              </w:rPr>
                            </w:pPr>
                            <w:r>
                              <w:rPr>
                                <w:rFonts w:hint="eastAsia"/>
                                <w:sz w:val="32"/>
                                <w:szCs w:val="32"/>
                                <w:lang w:val="en-US" w:eastAsia="zh-CN"/>
                              </w:rPr>
                              <w:t>宿</w:t>
                            </w:r>
                          </w:p>
                          <w:p>
                            <w:pPr>
                              <w:rPr>
                                <w:rFonts w:hint="default" w:eastAsia="宋体"/>
                                <w:sz w:val="32"/>
                                <w:szCs w:val="32"/>
                                <w:lang w:val="en-US" w:eastAsia="zh-CN"/>
                              </w:rPr>
                            </w:pPr>
                            <w:r>
                              <w:rPr>
                                <w:rFonts w:hint="eastAsia"/>
                                <w:sz w:val="32"/>
                                <w:szCs w:val="32"/>
                                <w:lang w:val="en-US" w:eastAsia="zh-CN"/>
                              </w:rPr>
                              <w:t>舍</w:t>
                            </w:r>
                          </w:p>
                        </w:txbxContent>
                      </wps:txbx>
                      <wps:bodyPr vert="horz" wrap="square" anchor="t" anchorCtr="0" upright="1"/>
                    </wps:wsp>
                  </a:graphicData>
                </a:graphic>
              </wp:anchor>
            </w:drawing>
          </mc:Choice>
          <mc:Fallback>
            <w:pict>
              <v:shape id="文本框 134" o:spid="_x0000_s1026" o:spt="202" type="#_x0000_t202" style="position:absolute;left:0pt;margin-left:81.5pt;margin-top:22.25pt;height:82.5pt;width:27.95pt;z-index:251710464;mso-width-relative:page;mso-height-relative:page;" filled="f" stroked="f" coordsize="21600,21600" o:gfxdata="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tuRo2AAAAAoBAAAPAAAAAAAAAAEAIAAAACIA&#10;AABkcnMvZG93bnJldi54bWxQSwECFAAUAAAACACHTuJAPozDvNABAACEAwAADgAAAAAAAAABACAA&#10;AAAnAQAAZHJzL2Uyb0RvYy54bWxQSwUGAAAAAAYABgBZAQAAaQUAAAAA&#10;">
                <v:fill on="f" focussize="0,0"/>
                <v:stroke on="f"/>
                <v:imagedata o:title=""/>
                <o:lock v:ext="edit" aspectratio="f"/>
                <v:textbox>
                  <w:txbxContent>
                    <w:p>
                      <w:pPr>
                        <w:rPr>
                          <w:rFonts w:hint="eastAsia"/>
                          <w:sz w:val="32"/>
                          <w:szCs w:val="32"/>
                          <w:lang w:val="en-US" w:eastAsia="zh-CN"/>
                        </w:rPr>
                      </w:pPr>
                      <w:r>
                        <w:rPr>
                          <w:rFonts w:hint="eastAsia"/>
                          <w:sz w:val="32"/>
                          <w:szCs w:val="32"/>
                          <w:lang w:val="en-US" w:eastAsia="zh-CN"/>
                        </w:rPr>
                        <w:t>宿</w:t>
                      </w:r>
                    </w:p>
                    <w:p>
                      <w:pPr>
                        <w:rPr>
                          <w:rFonts w:hint="default" w:eastAsia="宋体"/>
                          <w:sz w:val="32"/>
                          <w:szCs w:val="32"/>
                          <w:lang w:val="en-US" w:eastAsia="zh-CN"/>
                        </w:rPr>
                      </w:pPr>
                      <w:r>
                        <w:rPr>
                          <w:rFonts w:hint="eastAsia"/>
                          <w:sz w:val="32"/>
                          <w:szCs w:val="32"/>
                          <w:lang w:val="en-US" w:eastAsia="zh-CN"/>
                        </w:rPr>
                        <w:t>舍</w:t>
                      </w:r>
                    </w:p>
                  </w:txbxContent>
                </v:textbox>
              </v:shape>
            </w:pict>
          </mc:Fallback>
        </mc:AlternateContent>
      </w:r>
      <w:r>
        <w:rPr>
          <w:color w:val="auto"/>
          <w:sz w:val="32"/>
          <w:highlight w:val="none"/>
        </w:rPr>
        <mc:AlternateContent>
          <mc:Choice Requires="wps">
            <w:drawing>
              <wp:anchor distT="0" distB="0" distL="114300" distR="114300" simplePos="0" relativeHeight="251707392" behindDoc="0" locked="0" layoutInCell="1" allowOverlap="1">
                <wp:simplePos x="0" y="0"/>
                <wp:positionH relativeFrom="column">
                  <wp:posOffset>2624455</wp:posOffset>
                </wp:positionH>
                <wp:positionV relativeFrom="paragraph">
                  <wp:posOffset>91440</wp:posOffset>
                </wp:positionV>
                <wp:extent cx="1812925" cy="2574290"/>
                <wp:effectExtent l="4445" t="4445" r="11430" b="12065"/>
                <wp:wrapNone/>
                <wp:docPr id="42" name="矩形 131"/>
                <wp:cNvGraphicFramePr/>
                <a:graphic xmlns:a="http://schemas.openxmlformats.org/drawingml/2006/main">
                  <a:graphicData uri="http://schemas.microsoft.com/office/word/2010/wordprocessingShape">
                    <wps:wsp>
                      <wps:cNvSpPr/>
                      <wps:spPr>
                        <a:xfrm>
                          <a:off x="0" y="0"/>
                          <a:ext cx="1812925" cy="2574290"/>
                        </a:xfrm>
                        <a:prstGeom prst="rect">
                          <a:avLst/>
                        </a:prstGeom>
                        <a:noFill/>
                        <a:ln w="9525" cap="flat" cmpd="sng">
                          <a:solidFill>
                            <a:srgbClr val="000000"/>
                          </a:solidFill>
                          <a:prstDash val="dashDot"/>
                          <a:miter/>
                          <a:headEnd type="none" w="med" len="med"/>
                          <a:tailEnd type="none" w="med" len="med"/>
                        </a:ln>
                      </wps:spPr>
                      <wps:txbx>
                        <w:txbxContent>
                          <w:p/>
                        </w:txbxContent>
                      </wps:txbx>
                      <wps:bodyPr vert="horz" wrap="square" anchor="t" anchorCtr="0" upright="1"/>
                    </wps:wsp>
                  </a:graphicData>
                </a:graphic>
              </wp:anchor>
            </w:drawing>
          </mc:Choice>
          <mc:Fallback>
            <w:pict>
              <v:rect id="矩形 131" o:spid="_x0000_s1026" o:spt="1" style="position:absolute;left:0pt;margin-left:206.65pt;margin-top:7.2pt;height:202.7pt;width:142.75pt;z-index:251707392;mso-width-relative:page;mso-height-relative:page;" filled="f" stroked="t" coordsize="21600,21600" o:gfxdata="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C4dxdcA&#10;AAAKAQAADwAAAAAAAAABACAAAAAiAAAAZHJzL2Rvd25yZXYueG1sUEsBAhQAFAAAAAgAh07iQC5V&#10;WsAgAgAAOQQAAA4AAAAAAAAAAQAgAAAAJgEAAGRycy9lMm9Eb2MueG1sUEsFBgAAAAAGAAYAWQEA&#10;ALgFAAAAAA==&#10;">
                <v:fill on="f" focussize="0,0"/>
                <v:stroke color="#000000" joinstyle="miter" dashstyle="dashDot"/>
                <v:imagedata o:title=""/>
                <o:lock v:ext="edit" aspectratio="f"/>
                <v:textbox>
                  <w:txbxContent>
                    <w:p/>
                  </w:txbxContent>
                </v:textbox>
              </v:rect>
            </w:pict>
          </mc:Fallback>
        </mc:AlternateContent>
      </w:r>
      <w:r>
        <w:rPr>
          <w:color w:val="auto"/>
          <w:sz w:val="32"/>
          <w:highlight w:val="none"/>
        </w:rPr>
        <mc:AlternateContent>
          <mc:Choice Requires="wps">
            <w:drawing>
              <wp:anchor distT="0" distB="0" distL="114300" distR="114300" simplePos="0" relativeHeight="251661312" behindDoc="1" locked="0" layoutInCell="1" allowOverlap="1">
                <wp:simplePos x="0" y="0"/>
                <wp:positionH relativeFrom="column">
                  <wp:posOffset>4530090</wp:posOffset>
                </wp:positionH>
                <wp:positionV relativeFrom="paragraph">
                  <wp:posOffset>90805</wp:posOffset>
                </wp:positionV>
                <wp:extent cx="892175" cy="3940810"/>
                <wp:effectExtent l="4445" t="5080" r="17780" b="16510"/>
                <wp:wrapNone/>
                <wp:docPr id="3" name="矩形 126"/>
                <wp:cNvGraphicFramePr/>
                <a:graphic xmlns:a="http://schemas.openxmlformats.org/drawingml/2006/main">
                  <a:graphicData uri="http://schemas.microsoft.com/office/word/2010/wordprocessingShape">
                    <wps:wsp>
                      <wps:cNvSpPr/>
                      <wps:spPr>
                        <a:xfrm>
                          <a:off x="0" y="0"/>
                          <a:ext cx="892175" cy="3940810"/>
                        </a:xfrm>
                        <a:prstGeom prst="rect">
                          <a:avLst/>
                        </a:prstGeom>
                        <a:noFill/>
                        <a:ln w="9525" cap="flat" cmpd="sng">
                          <a:solidFill>
                            <a:srgbClr val="000000"/>
                          </a:solidFill>
                          <a:prstDash val="dashDot"/>
                          <a:miter/>
                          <a:headEnd type="none" w="med" len="med"/>
                          <a:tailEnd type="none" w="med" len="med"/>
                        </a:ln>
                      </wps:spPr>
                      <wps:txbx>
                        <w:txbxContent>
                          <w:p/>
                        </w:txbxContent>
                      </wps:txbx>
                      <wps:bodyPr vert="horz" wrap="square" anchor="t" anchorCtr="0" upright="1"/>
                    </wps:wsp>
                  </a:graphicData>
                </a:graphic>
              </wp:anchor>
            </w:drawing>
          </mc:Choice>
          <mc:Fallback>
            <w:pict>
              <v:rect id="矩形 126" o:spid="_x0000_s1026" o:spt="1" style="position:absolute;left:0pt;margin-left:356.7pt;margin-top:7.15pt;height:310.3pt;width:70.25pt;z-index:-251655168;mso-width-relative:page;mso-height-relative:page;" filled="f" stroked="t" coordsize="21600,21600" o:gfxdata="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UcIVLZ&#10;AAAACgEAAA8AAAAAAAAAAQAgAAAAIgAAAGRycy9kb3ducmV2LnhtbFBLAQIUABQAAAAIAIdO4kAK&#10;mUFkHwIAADcEAAAOAAAAAAAAAAEAIAAAACgBAABkcnMvZTJvRG9jLnhtbFBLBQYAAAAABgAGAFkB&#10;AAC5BQAAAAA=&#10;">
                <v:fill on="f" focussize="0,0"/>
                <v:stroke color="#000000" joinstyle="miter" dashstyle="dashDot"/>
                <v:imagedata o:title=""/>
                <o:lock v:ext="edit" aspectratio="f"/>
                <v:textbox>
                  <w:txbxContent>
                    <w:p/>
                  </w:txbxContent>
                </v:textbox>
              </v:rect>
            </w:pict>
          </mc:Fallback>
        </mc:AlternateContent>
      </w:r>
    </w:p>
    <w:p>
      <w:pPr>
        <w:jc w:val="center"/>
        <w:rPr>
          <w:rFonts w:hint="default" w:ascii="Times New Roman" w:hAnsi="Times New Roman" w:cs="Times New Roman"/>
          <w:b/>
          <w:bCs/>
          <w:color w:val="auto"/>
          <w:sz w:val="32"/>
          <w:szCs w:val="32"/>
          <w:highlight w:val="none"/>
        </w:rPr>
      </w:pP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708416" behindDoc="0" locked="0" layoutInCell="1" allowOverlap="1">
                <wp:simplePos x="0" y="0"/>
                <wp:positionH relativeFrom="column">
                  <wp:posOffset>3054350</wp:posOffset>
                </wp:positionH>
                <wp:positionV relativeFrom="paragraph">
                  <wp:posOffset>226695</wp:posOffset>
                </wp:positionV>
                <wp:extent cx="830580" cy="519430"/>
                <wp:effectExtent l="0" t="0" r="7620" b="13970"/>
                <wp:wrapNone/>
                <wp:docPr id="43" name="文本框 132"/>
                <wp:cNvGraphicFramePr/>
                <a:graphic xmlns:a="http://schemas.openxmlformats.org/drawingml/2006/main">
                  <a:graphicData uri="http://schemas.microsoft.com/office/word/2010/wordprocessingShape">
                    <wps:wsp>
                      <wps:cNvSpPr txBox="1"/>
                      <wps:spPr>
                        <a:xfrm>
                          <a:off x="0" y="0"/>
                          <a:ext cx="830580" cy="519430"/>
                        </a:xfrm>
                        <a:prstGeom prst="rect">
                          <a:avLst/>
                        </a:prstGeom>
                        <a:solidFill>
                          <a:srgbClr val="FFFFFF"/>
                        </a:solidFill>
                        <a:ln>
                          <a:noFill/>
                        </a:ln>
                      </wps:spPr>
                      <wps:txbx>
                        <w:txbxContent>
                          <w:p>
                            <w:pPr>
                              <w:rPr>
                                <w:rFonts w:hint="default" w:eastAsia="宋体"/>
                                <w:sz w:val="32"/>
                                <w:szCs w:val="32"/>
                                <w:lang w:val="en-US" w:eastAsia="zh-CN"/>
                              </w:rPr>
                            </w:pPr>
                            <w:r>
                              <w:rPr>
                                <w:rFonts w:hint="eastAsia"/>
                                <w:sz w:val="32"/>
                                <w:szCs w:val="32"/>
                                <w:lang w:val="en-US" w:eastAsia="zh-CN"/>
                              </w:rPr>
                              <w:t>制袋区</w:t>
                            </w:r>
                          </w:p>
                        </w:txbxContent>
                      </wps:txbx>
                      <wps:bodyPr wrap="square" upright="1"/>
                    </wps:wsp>
                  </a:graphicData>
                </a:graphic>
              </wp:anchor>
            </w:drawing>
          </mc:Choice>
          <mc:Fallback>
            <w:pict>
              <v:shape id="文本框 132" o:spid="_x0000_s1026" o:spt="202" type="#_x0000_t202" style="position:absolute;left:0pt;margin-left:240.5pt;margin-top:17.85pt;height:40.9pt;width:65.4pt;z-index:251708416;mso-width-relative:page;mso-height-relative:page;" fillcolor="#FFFFFF" filled="t" stroked="f" coordsize="21600,21600" o:gfxdata="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YK87fYAAAACgEAAA8AAAAAAAAAAQAgAAAAIgAA&#10;AGRycy9kb3ducmV2LnhtbFBLAQIUABQAAAAIAIdO4kCIJuOGzwEAAIcDAAAOAAAAAAAAAAEAIAAA&#10;ACcBAABkcnMvZTJvRG9jLnhtbFBLBQYAAAAABgAGAFkBAABoBQAAAAA=&#10;">
                <v:fill on="t" focussize="0,0"/>
                <v:stroke on="f"/>
                <v:imagedata o:title=""/>
                <o:lock v:ext="edit" aspectratio="f"/>
                <v:textbox>
                  <w:txbxContent>
                    <w:p>
                      <w:pPr>
                        <w:rPr>
                          <w:rFonts w:hint="default" w:eastAsia="宋体"/>
                          <w:sz w:val="32"/>
                          <w:szCs w:val="32"/>
                          <w:lang w:val="en-US" w:eastAsia="zh-CN"/>
                        </w:rPr>
                      </w:pPr>
                      <w:r>
                        <w:rPr>
                          <w:rFonts w:hint="eastAsia"/>
                          <w:sz w:val="32"/>
                          <w:szCs w:val="32"/>
                          <w:lang w:val="en-US" w:eastAsia="zh-CN"/>
                        </w:rPr>
                        <w:t>制袋区</w:t>
                      </w:r>
                    </w:p>
                  </w:txbxContent>
                </v:textbox>
              </v:shape>
            </w:pict>
          </mc:Fallback>
        </mc:AlternateContent>
      </w:r>
      <w:r>
        <w:rPr>
          <w:color w:val="auto"/>
          <w:sz w:val="32"/>
          <w:highlight w:val="none"/>
        </w:rPr>
        <mc:AlternateContent>
          <mc:Choice Requires="wps">
            <w:drawing>
              <wp:anchor distT="0" distB="0" distL="114300" distR="114300" simplePos="0" relativeHeight="251705344" behindDoc="0" locked="0" layoutInCell="1" allowOverlap="1">
                <wp:simplePos x="0" y="0"/>
                <wp:positionH relativeFrom="column">
                  <wp:posOffset>4443095</wp:posOffset>
                </wp:positionH>
                <wp:positionV relativeFrom="paragraph">
                  <wp:posOffset>247650</wp:posOffset>
                </wp:positionV>
                <wp:extent cx="1021080" cy="519430"/>
                <wp:effectExtent l="0" t="0" r="0" b="0"/>
                <wp:wrapNone/>
                <wp:docPr id="37" name="文本框 129"/>
                <wp:cNvGraphicFramePr/>
                <a:graphic xmlns:a="http://schemas.openxmlformats.org/drawingml/2006/main">
                  <a:graphicData uri="http://schemas.microsoft.com/office/word/2010/wordprocessingShape">
                    <wps:wsp>
                      <wps:cNvSpPr txBox="1"/>
                      <wps:spPr>
                        <a:xfrm>
                          <a:off x="0" y="0"/>
                          <a:ext cx="1021080" cy="519430"/>
                        </a:xfrm>
                        <a:prstGeom prst="rect">
                          <a:avLst/>
                        </a:prstGeom>
                        <a:noFill/>
                        <a:ln>
                          <a:noFill/>
                        </a:ln>
                      </wps:spPr>
                      <wps:txbx>
                        <w:txbxContent>
                          <w:p>
                            <w:pPr>
                              <w:rPr>
                                <w:rFonts w:hint="default" w:eastAsia="宋体"/>
                                <w:sz w:val="32"/>
                                <w:szCs w:val="32"/>
                                <w:lang w:val="en-US" w:eastAsia="zh-CN"/>
                              </w:rPr>
                            </w:pPr>
                            <w:r>
                              <w:rPr>
                                <w:rFonts w:hint="eastAsia"/>
                                <w:sz w:val="32"/>
                                <w:szCs w:val="32"/>
                                <w:lang w:val="en-US" w:eastAsia="zh-CN"/>
                              </w:rPr>
                              <w:t>产品仓库</w:t>
                            </w:r>
                          </w:p>
                        </w:txbxContent>
                      </wps:txbx>
                      <wps:bodyPr vert="horz" wrap="square" anchor="t" anchorCtr="0" upright="1"/>
                    </wps:wsp>
                  </a:graphicData>
                </a:graphic>
              </wp:anchor>
            </w:drawing>
          </mc:Choice>
          <mc:Fallback>
            <w:pict>
              <v:shape id="文本框 129" o:spid="_x0000_s1026" o:spt="202" type="#_x0000_t202" style="position:absolute;left:0pt;margin-left:349.85pt;margin-top:19.5pt;height:40.9pt;width:80.4pt;z-index:251705344;mso-width-relative:page;mso-height-relative:page;" filled="f" stroked="f" coordsize="21600,21600" o:gfxdata="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&#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9qRXtcAAAAKAQAADwAAAAAAAAABACAAAAAiAAAA&#10;ZHJzL2Rvd25yZXYueG1sUEsBAhQAFAAAAAgAh07iQERC97rPAQAAhAMAAA4AAAAAAAAAAQAgAAAA&#10;JgEAAGRycy9lMm9Eb2MueG1sUEsFBgAAAAAGAAYAWQEAAGcFAAAAAA==&#10;">
                <v:fill on="f" focussize="0,0"/>
                <v:stroke on="f"/>
                <v:imagedata o:title=""/>
                <o:lock v:ext="edit" aspectratio="f"/>
                <v:textbox>
                  <w:txbxContent>
                    <w:p>
                      <w:pPr>
                        <w:rPr>
                          <w:rFonts w:hint="default" w:eastAsia="宋体"/>
                          <w:sz w:val="32"/>
                          <w:szCs w:val="32"/>
                          <w:lang w:val="en-US" w:eastAsia="zh-CN"/>
                        </w:rPr>
                      </w:pPr>
                      <w:r>
                        <w:rPr>
                          <w:rFonts w:hint="eastAsia"/>
                          <w:sz w:val="32"/>
                          <w:szCs w:val="32"/>
                          <w:lang w:val="en-US" w:eastAsia="zh-CN"/>
                        </w:rPr>
                        <w:t>产品仓库</w:t>
                      </w:r>
                    </w:p>
                  </w:txbxContent>
                </v:textbox>
              </v:shape>
            </w:pict>
          </mc:Fallback>
        </mc:AlternateContent>
      </w:r>
    </w:p>
    <w:p>
      <w:pPr>
        <w:jc w:val="center"/>
        <w:rPr>
          <w:rFonts w:hint="default" w:ascii="Times New Roman" w:hAnsi="Times New Roman" w:cs="Times New Roman"/>
          <w:b/>
          <w:bCs/>
          <w:color w:val="auto"/>
          <w:sz w:val="32"/>
          <w:szCs w:val="32"/>
          <w:highlight w:val="none"/>
        </w:rPr>
      </w:pPr>
    </w:p>
    <w:p>
      <w:pPr>
        <w:jc w:val="center"/>
        <w:rPr>
          <w:rFonts w:hint="default" w:ascii="Times New Roman" w:hAnsi="Times New Roman" w:cs="Times New Roman"/>
          <w:b/>
          <w:bCs/>
          <w:color w:val="auto"/>
          <w:sz w:val="32"/>
          <w:szCs w:val="32"/>
          <w:highlight w:val="none"/>
        </w:rPr>
      </w:pP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698176" behindDoc="0" locked="0" layoutInCell="1" allowOverlap="1">
                <wp:simplePos x="0" y="0"/>
                <wp:positionH relativeFrom="column">
                  <wp:posOffset>1089660</wp:posOffset>
                </wp:positionH>
                <wp:positionV relativeFrom="paragraph">
                  <wp:posOffset>268605</wp:posOffset>
                </wp:positionV>
                <wp:extent cx="1336040" cy="2797175"/>
                <wp:effectExtent l="4445" t="4445" r="12065" b="17780"/>
                <wp:wrapNone/>
                <wp:docPr id="29" name="矩形 121"/>
                <wp:cNvGraphicFramePr/>
                <a:graphic xmlns:a="http://schemas.openxmlformats.org/drawingml/2006/main">
                  <a:graphicData uri="http://schemas.microsoft.com/office/word/2010/wordprocessingShape">
                    <wps:wsp>
                      <wps:cNvSpPr/>
                      <wps:spPr>
                        <a:xfrm>
                          <a:off x="0" y="0"/>
                          <a:ext cx="1336040" cy="2797175"/>
                        </a:xfrm>
                        <a:prstGeom prst="rect">
                          <a:avLst/>
                        </a:prstGeom>
                        <a:no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rect id="矩形 121" o:spid="_x0000_s1026" o:spt="1" style="position:absolute;left:0pt;margin-left:85.8pt;margin-top:21.15pt;height:220.25pt;width:105.2pt;z-index:251698176;mso-width-relative:page;mso-height-relative:page;" filled="f" stroked="t" coordsize="21600,21600" o:gfxdata="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PNkI3XAAAA&#10;CgEAAA8AAAAAAAAAAQAgAAAAIgAAAGRycy9kb3ducmV2LnhtbFBLAQIUABQAAAAIAIdO4kCL3pFO&#10;HgIAADcEAAAOAAAAAAAAAAEAIAAAACYBAABkcnMvZTJvRG9jLnhtbFBLBQYAAAAABgAGAFkBAAC2&#10;BQAAAAA=&#10;">
                <v:fill on="f" focussize="0,0"/>
                <v:stroke color="#000000" joinstyle="miter"/>
                <v:imagedata o:title=""/>
                <o:lock v:ext="edit" aspectratio="f"/>
                <v:textbox>
                  <w:txbxContent>
                    <w:p/>
                  </w:txbxContent>
                </v:textbox>
              </v:rect>
            </w:pict>
          </mc:Fallback>
        </mc:AlternateContent>
      </w: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693056" behindDoc="0" locked="0" layoutInCell="1" allowOverlap="1">
                <wp:simplePos x="0" y="0"/>
                <wp:positionH relativeFrom="column">
                  <wp:posOffset>2624455</wp:posOffset>
                </wp:positionH>
                <wp:positionV relativeFrom="paragraph">
                  <wp:posOffset>273050</wp:posOffset>
                </wp:positionV>
                <wp:extent cx="1812925" cy="1346835"/>
                <wp:effectExtent l="4445" t="4445" r="11430" b="20320"/>
                <wp:wrapNone/>
                <wp:docPr id="23" name="矩形 73"/>
                <wp:cNvGraphicFramePr/>
                <a:graphic xmlns:a="http://schemas.openxmlformats.org/drawingml/2006/main">
                  <a:graphicData uri="http://schemas.microsoft.com/office/word/2010/wordprocessingShape">
                    <wps:wsp>
                      <wps:cNvSpPr/>
                      <wps:spPr>
                        <a:xfrm>
                          <a:off x="0" y="0"/>
                          <a:ext cx="1812925" cy="1346835"/>
                        </a:xfrm>
                        <a:prstGeom prst="rect">
                          <a:avLst/>
                        </a:prstGeom>
                        <a:noFill/>
                        <a:ln w="9525" cap="flat" cmpd="sng">
                          <a:solidFill>
                            <a:srgbClr val="000000"/>
                          </a:solidFill>
                          <a:prstDash val="dashDot"/>
                          <a:miter/>
                          <a:headEnd type="none" w="med" len="med"/>
                          <a:tailEnd type="none" w="med" len="med"/>
                        </a:ln>
                      </wps:spPr>
                      <wps:txbx>
                        <w:txbxContent>
                          <w:p/>
                        </w:txbxContent>
                      </wps:txbx>
                      <wps:bodyPr vert="horz" wrap="square" anchor="t" anchorCtr="0" upright="1"/>
                    </wps:wsp>
                  </a:graphicData>
                </a:graphic>
              </wp:anchor>
            </w:drawing>
          </mc:Choice>
          <mc:Fallback>
            <w:pict>
              <v:rect id="矩形 73" o:spid="_x0000_s1026" o:spt="1" style="position:absolute;left:0pt;margin-left:206.65pt;margin-top:21.5pt;height:106.05pt;width:142.75pt;z-index:251693056;mso-width-relative:page;mso-height-relative:page;" filled="f" stroked="t" coordsize="21600,21600" o:gfxdata="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5Yt3/Z&#10;AAAACgEAAA8AAAAAAAAAAQAgAAAAIgAAAGRycy9kb3ducmV2LnhtbFBLAQIUABQAAAAIAIdO4kCB&#10;Z5KwHwIAADgEAAAOAAAAAAAAAAEAIAAAACgBAABkcnMvZTJvRG9jLnhtbFBLBQYAAAAABgAGAFkB&#10;AAC5BQAAAAA=&#10;">
                <v:fill on="f" focussize="0,0"/>
                <v:stroke color="#000000" joinstyle="miter" dashstyle="dashDot"/>
                <v:imagedata o:title=""/>
                <o:lock v:ext="edit" aspectratio="f"/>
                <v:textbox>
                  <w:txbxContent>
                    <w:p/>
                  </w:txbxContent>
                </v:textbox>
              </v:rect>
            </w:pict>
          </mc:Fallback>
        </mc:AlternateContent>
      </w: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697152" behindDoc="0" locked="0" layoutInCell="1" allowOverlap="1">
                <wp:simplePos x="0" y="0"/>
                <wp:positionH relativeFrom="column">
                  <wp:posOffset>4598035</wp:posOffset>
                </wp:positionH>
                <wp:positionV relativeFrom="paragraph">
                  <wp:posOffset>213995</wp:posOffset>
                </wp:positionV>
                <wp:extent cx="925195" cy="361315"/>
                <wp:effectExtent l="0" t="0" r="0" b="0"/>
                <wp:wrapNone/>
                <wp:docPr id="28" name="文本框 78"/>
                <wp:cNvGraphicFramePr/>
                <a:graphic xmlns:a="http://schemas.openxmlformats.org/drawingml/2006/main">
                  <a:graphicData uri="http://schemas.microsoft.com/office/word/2010/wordprocessingShape">
                    <wps:wsp>
                      <wps:cNvSpPr txBox="1"/>
                      <wps:spPr>
                        <a:xfrm>
                          <a:off x="0" y="0"/>
                          <a:ext cx="925195" cy="36131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危废暂存间</w:t>
                            </w:r>
                          </w:p>
                        </w:txbxContent>
                      </wps:txbx>
                      <wps:bodyPr wrap="square" upright="1"/>
                    </wps:wsp>
                  </a:graphicData>
                </a:graphic>
              </wp:anchor>
            </w:drawing>
          </mc:Choice>
          <mc:Fallback>
            <w:pict>
              <v:shape id="文本框 78" o:spid="_x0000_s1026" o:spt="202" type="#_x0000_t202" style="position:absolute;left:0pt;margin-left:362.05pt;margin-top:16.85pt;height:28.45pt;width:72.85pt;z-index:251697152;mso-width-relative:page;mso-height-relative:page;" filled="f" stroked="f" coordsize="21600,21600" o:gfxdata="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nzNY1wAAAAkBAAAPAAAAAAAAAAEAIAAAACIAAABkcnMvZG93bnJldi54bWxQSwECFAAU&#10;AAAACACHTuJAFbq/wrkBAABdAwAADgAAAAAAAAABACAAAAAmAQAAZHJzL2Uyb0RvYy54bWxQSwUG&#10;AAAAAAYABgBZAQAAUQU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危废暂存间</w:t>
                      </w:r>
                    </w:p>
                  </w:txbxContent>
                </v:textbox>
              </v:shape>
            </w:pict>
          </mc:Fallback>
        </mc:AlternateContent>
      </w:r>
      <w:r>
        <w:rPr>
          <w:color w:val="auto"/>
          <w:sz w:val="32"/>
          <w:highlight w:val="none"/>
        </w:rPr>
        <mc:AlternateContent>
          <mc:Choice Requires="wps">
            <w:drawing>
              <wp:anchor distT="0" distB="0" distL="114300" distR="114300" simplePos="0" relativeHeight="251696128" behindDoc="0" locked="0" layoutInCell="1" allowOverlap="1">
                <wp:simplePos x="0" y="0"/>
                <wp:positionH relativeFrom="column">
                  <wp:posOffset>5005705</wp:posOffset>
                </wp:positionH>
                <wp:positionV relativeFrom="paragraph">
                  <wp:posOffset>330200</wp:posOffset>
                </wp:positionV>
                <wp:extent cx="415290" cy="195580"/>
                <wp:effectExtent l="5080" t="4445" r="17780" b="9525"/>
                <wp:wrapNone/>
                <wp:docPr id="27" name="矩形 79"/>
                <wp:cNvGraphicFramePr/>
                <a:graphic xmlns:a="http://schemas.openxmlformats.org/drawingml/2006/main">
                  <a:graphicData uri="http://schemas.microsoft.com/office/word/2010/wordprocessingShape">
                    <wps:wsp>
                      <wps:cNvSpPr/>
                      <wps:spPr>
                        <a:xfrm>
                          <a:off x="0" y="0"/>
                          <a:ext cx="415290" cy="195580"/>
                        </a:xfrm>
                        <a:prstGeom prst="rect">
                          <a:avLst/>
                        </a:prstGeom>
                        <a:noFill/>
                        <a:ln w="9525" cap="flat" cmpd="sng">
                          <a:solidFill>
                            <a:srgbClr val="000000"/>
                          </a:solidFill>
                          <a:prstDash val="dashDot"/>
                          <a:miter/>
                          <a:headEnd type="none" w="med" len="med"/>
                          <a:tailEnd type="none" w="med" len="med"/>
                        </a:ln>
                      </wps:spPr>
                      <wps:txbx>
                        <w:txbxContent>
                          <w:p/>
                        </w:txbxContent>
                      </wps:txbx>
                      <wps:bodyPr wrap="square" upright="1"/>
                    </wps:wsp>
                  </a:graphicData>
                </a:graphic>
              </wp:anchor>
            </w:drawing>
          </mc:Choice>
          <mc:Fallback>
            <w:pict>
              <v:rect id="矩形 79" o:spid="_x0000_s1026" o:spt="1" style="position:absolute;left:0pt;margin-left:394.15pt;margin-top:26pt;height:15.4pt;width:32.7pt;z-index:251696128;mso-width-relative:page;mso-height-relative:page;" filled="f" stroked="t" coordsize="21600,21600" o:gfxdata="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cfyONgAAAAJAQAADwAAAAAAAAABACAAAAAi&#10;AAAAZHJzL2Rvd25yZXYueG1sUEsBAhQAFAAAAAgAh07iQMP7gtcKAgAAEQQAAA4AAAAAAAAAAQAg&#10;AAAAJwEAAGRycy9lMm9Eb2MueG1sUEsFBgAAAAAGAAYAWQEAAKMFAAAAAA==&#10;">
                <v:fill on="f" focussize="0,0"/>
                <v:stroke color="#000000" joinstyle="miter" dashstyle="dashDot"/>
                <v:imagedata o:title=""/>
                <o:lock v:ext="edit" aspectratio="f"/>
                <v:textbox>
                  <w:txbxContent>
                    <w:p/>
                  </w:txbxContent>
                </v:textbox>
              </v:rect>
            </w:pict>
          </mc:Fallback>
        </mc:AlternateContent>
      </w:r>
      <w:r>
        <w:rPr>
          <w:color w:val="auto"/>
          <w:sz w:val="32"/>
          <w:highlight w:val="none"/>
        </w:rPr>
        <mc:AlternateContent>
          <mc:Choice Requires="wps">
            <w:drawing>
              <wp:anchor distT="0" distB="0" distL="114300" distR="114300" simplePos="0" relativeHeight="251700224" behindDoc="0" locked="0" layoutInCell="1" allowOverlap="1">
                <wp:simplePos x="0" y="0"/>
                <wp:positionH relativeFrom="column">
                  <wp:posOffset>3160395</wp:posOffset>
                </wp:positionH>
                <wp:positionV relativeFrom="paragraph">
                  <wp:posOffset>362585</wp:posOffset>
                </wp:positionV>
                <wp:extent cx="830580" cy="519430"/>
                <wp:effectExtent l="0" t="0" r="7620" b="13970"/>
                <wp:wrapNone/>
                <wp:docPr id="31" name="文本框 123"/>
                <wp:cNvGraphicFramePr/>
                <a:graphic xmlns:a="http://schemas.openxmlformats.org/drawingml/2006/main">
                  <a:graphicData uri="http://schemas.microsoft.com/office/word/2010/wordprocessingShape">
                    <wps:wsp>
                      <wps:cNvSpPr txBox="1"/>
                      <wps:spPr>
                        <a:xfrm>
                          <a:off x="0" y="0"/>
                          <a:ext cx="830580" cy="519430"/>
                        </a:xfrm>
                        <a:prstGeom prst="rect">
                          <a:avLst/>
                        </a:prstGeom>
                        <a:solidFill>
                          <a:srgbClr val="FFFFFF"/>
                        </a:solidFill>
                        <a:ln>
                          <a:noFill/>
                        </a:ln>
                      </wps:spPr>
                      <wps:txbx>
                        <w:txbxContent>
                          <w:p>
                            <w:pPr>
                              <w:rPr>
                                <w:rFonts w:hint="default" w:eastAsia="宋体"/>
                                <w:sz w:val="32"/>
                                <w:szCs w:val="32"/>
                                <w:lang w:val="en-US" w:eastAsia="zh-CN"/>
                              </w:rPr>
                            </w:pPr>
                            <w:r>
                              <w:rPr>
                                <w:rFonts w:hint="eastAsia"/>
                                <w:sz w:val="32"/>
                                <w:szCs w:val="32"/>
                                <w:lang w:val="en-US" w:eastAsia="zh-CN"/>
                              </w:rPr>
                              <w:t>吹膜区</w:t>
                            </w:r>
                          </w:p>
                        </w:txbxContent>
                      </wps:txbx>
                      <wps:bodyPr wrap="square" upright="1"/>
                    </wps:wsp>
                  </a:graphicData>
                </a:graphic>
              </wp:anchor>
            </w:drawing>
          </mc:Choice>
          <mc:Fallback>
            <w:pict>
              <v:shape id="文本框 123" o:spid="_x0000_s1026" o:spt="202" type="#_x0000_t202" style="position:absolute;left:0pt;margin-left:248.85pt;margin-top:28.55pt;height:40.9pt;width:65.4pt;z-index:251700224;mso-width-relative:page;mso-height-relative:page;" fillcolor="#FFFFFF" filled="t" stroked="f" coordsize="21600,21600" o:gfxdata="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6OKtgAAAAKAQAADwAAAAAAAAABACAAAAAiAAAA&#10;ZHJzL2Rvd25yZXYueG1sUEsBAhQAFAAAAAgAh07iQMIMdlXOAQAAhwMAAA4AAAAAAAAAAQAgAAAA&#10;JwEAAGRycy9lMm9Eb2MueG1sUEsFBgAAAAAGAAYAWQEAAGcFAAAAAA==&#10;">
                <v:fill on="t" focussize="0,0"/>
                <v:stroke on="f"/>
                <v:imagedata o:title=""/>
                <o:lock v:ext="edit" aspectratio="f"/>
                <v:textbox>
                  <w:txbxContent>
                    <w:p>
                      <w:pPr>
                        <w:rPr>
                          <w:rFonts w:hint="default" w:eastAsia="宋体"/>
                          <w:sz w:val="32"/>
                          <w:szCs w:val="32"/>
                          <w:lang w:val="en-US" w:eastAsia="zh-CN"/>
                        </w:rPr>
                      </w:pPr>
                      <w:r>
                        <w:rPr>
                          <w:rFonts w:hint="eastAsia"/>
                          <w:sz w:val="32"/>
                          <w:szCs w:val="32"/>
                          <w:lang w:val="en-US" w:eastAsia="zh-CN"/>
                        </w:rPr>
                        <w:t>吹膜区</w:t>
                      </w:r>
                    </w:p>
                  </w:txbxContent>
                </v:textbox>
              </v:shape>
            </w:pict>
          </mc:Fallback>
        </mc:AlternateContent>
      </w: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706368" behindDoc="0" locked="0" layoutInCell="1" allowOverlap="1">
                <wp:simplePos x="0" y="0"/>
                <wp:positionH relativeFrom="column">
                  <wp:posOffset>4567555</wp:posOffset>
                </wp:positionH>
                <wp:positionV relativeFrom="paragraph">
                  <wp:posOffset>217170</wp:posOffset>
                </wp:positionV>
                <wp:extent cx="925195" cy="361315"/>
                <wp:effectExtent l="0" t="0" r="0" b="0"/>
                <wp:wrapNone/>
                <wp:docPr id="40" name="文本框 130"/>
                <wp:cNvGraphicFramePr/>
                <a:graphic xmlns:a="http://schemas.openxmlformats.org/drawingml/2006/main">
                  <a:graphicData uri="http://schemas.microsoft.com/office/word/2010/wordprocessingShape">
                    <wps:wsp>
                      <wps:cNvSpPr txBox="1"/>
                      <wps:spPr>
                        <a:xfrm>
                          <a:off x="0" y="0"/>
                          <a:ext cx="925195" cy="36131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一般固废间</w:t>
                            </w:r>
                          </w:p>
                        </w:txbxContent>
                      </wps:txbx>
                      <wps:bodyPr wrap="square" upright="1"/>
                    </wps:wsp>
                  </a:graphicData>
                </a:graphic>
              </wp:anchor>
            </w:drawing>
          </mc:Choice>
          <mc:Fallback>
            <w:pict>
              <v:shape id="文本框 130" o:spid="_x0000_s1026" o:spt="202" type="#_x0000_t202" style="position:absolute;left:0pt;margin-left:359.65pt;margin-top:17.1pt;height:28.45pt;width:72.85pt;z-index:251706368;mso-width-relative:page;mso-height-relative:page;" filled="f" stroked="f" coordsize="21600,21600" o:gfxdata="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DjOv1gAAAAkBAAAPAAAAAAAAAAEAIAAAACIAAABkcnMvZG93bnJldi54bWxQSwECFAAUAAAA&#10;CACHTuJAJU9g+LcBAABeAwAADgAAAAAAAAABACAAAAAlAQAAZHJzL2Uyb0RvYy54bWxQSwUGAAAA&#10;AAYABgBZAQAATgU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一般固废间</w:t>
                      </w:r>
                    </w:p>
                  </w:txbxContent>
                </v:textbox>
              </v:shape>
            </w:pict>
          </mc:Fallback>
        </mc:AlternateContent>
      </w:r>
      <w:r>
        <w:rPr>
          <w:color w:val="auto"/>
          <w:sz w:val="32"/>
          <w:highlight w:val="none"/>
        </w:rPr>
        <mc:AlternateContent>
          <mc:Choice Requires="wps">
            <w:drawing>
              <wp:anchor distT="0" distB="0" distL="114300" distR="114300" simplePos="0" relativeHeight="251699200" behindDoc="0" locked="0" layoutInCell="1" allowOverlap="1">
                <wp:simplePos x="0" y="0"/>
                <wp:positionH relativeFrom="column">
                  <wp:posOffset>1308100</wp:posOffset>
                </wp:positionH>
                <wp:positionV relativeFrom="paragraph">
                  <wp:posOffset>112395</wp:posOffset>
                </wp:positionV>
                <wp:extent cx="1094740" cy="519430"/>
                <wp:effectExtent l="0" t="0" r="10160" b="13970"/>
                <wp:wrapNone/>
                <wp:docPr id="30" name="文本框 122"/>
                <wp:cNvGraphicFramePr/>
                <a:graphic xmlns:a="http://schemas.openxmlformats.org/drawingml/2006/main">
                  <a:graphicData uri="http://schemas.microsoft.com/office/word/2010/wordprocessingShape">
                    <wps:wsp>
                      <wps:cNvSpPr txBox="1"/>
                      <wps:spPr>
                        <a:xfrm>
                          <a:off x="0" y="0"/>
                          <a:ext cx="1094740" cy="519430"/>
                        </a:xfrm>
                        <a:prstGeom prst="rect">
                          <a:avLst/>
                        </a:prstGeom>
                        <a:solidFill>
                          <a:srgbClr val="FFFFFF"/>
                        </a:solidFill>
                        <a:ln>
                          <a:noFill/>
                        </a:ln>
                      </wps:spPr>
                      <wps:txbx>
                        <w:txbxContent>
                          <w:p>
                            <w:pPr>
                              <w:rPr>
                                <w:rFonts w:hint="default" w:eastAsia="宋体"/>
                                <w:sz w:val="32"/>
                                <w:szCs w:val="32"/>
                                <w:lang w:val="en-US" w:eastAsia="zh-CN"/>
                              </w:rPr>
                            </w:pPr>
                            <w:r>
                              <w:rPr>
                                <w:rFonts w:hint="eastAsia"/>
                                <w:sz w:val="32"/>
                                <w:szCs w:val="32"/>
                                <w:lang w:val="en-US" w:eastAsia="zh-CN"/>
                              </w:rPr>
                              <w:t>原料仓库</w:t>
                            </w:r>
                          </w:p>
                        </w:txbxContent>
                      </wps:txbx>
                      <wps:bodyPr vert="horz" wrap="square" anchor="t" anchorCtr="0" upright="1"/>
                    </wps:wsp>
                  </a:graphicData>
                </a:graphic>
              </wp:anchor>
            </w:drawing>
          </mc:Choice>
          <mc:Fallback>
            <w:pict>
              <v:shape id="文本框 122" o:spid="_x0000_s1026" o:spt="202" type="#_x0000_t202" style="position:absolute;left:0pt;margin-left:103pt;margin-top:8.85pt;height:40.9pt;width:86.2pt;z-index:251699200;mso-width-relative:page;mso-height-relative:page;" fillcolor="#FFFFFF" filled="t" stroked="f" coordsize="21600,21600" o:gfxdata="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piudf2AAAAAkBAAAP&#10;AAAAAAAAAAEAIAAAACIAAABkcnMvZG93bnJldi54bWxQSwECFAAUAAAACACHTuJAYtxsp98BAACt&#10;AwAADgAAAAAAAAABACAAAAAnAQAAZHJzL2Uyb0RvYy54bWxQSwUGAAAAAAYABgBZAQAAeAUAAAAA&#10;">
                <v:fill on="t" focussize="0,0"/>
                <v:stroke on="f"/>
                <v:imagedata o:title=""/>
                <o:lock v:ext="edit" aspectratio="f"/>
                <v:textbox>
                  <w:txbxContent>
                    <w:p>
                      <w:pPr>
                        <w:rPr>
                          <w:rFonts w:hint="default" w:eastAsia="宋体"/>
                          <w:sz w:val="32"/>
                          <w:szCs w:val="32"/>
                          <w:lang w:val="en-US" w:eastAsia="zh-CN"/>
                        </w:rPr>
                      </w:pPr>
                      <w:r>
                        <w:rPr>
                          <w:rFonts w:hint="eastAsia"/>
                          <w:sz w:val="32"/>
                          <w:szCs w:val="32"/>
                          <w:lang w:val="en-US" w:eastAsia="zh-CN"/>
                        </w:rPr>
                        <w:t>原料仓库</w:t>
                      </w:r>
                    </w:p>
                  </w:txbxContent>
                </v:textbox>
              </v:shape>
            </w:pict>
          </mc:Fallback>
        </mc:AlternateContent>
      </w:r>
    </w:p>
    <w:p>
      <w:pPr>
        <w:jc w:val="center"/>
        <w:rPr>
          <w:rFonts w:hint="default" w:ascii="Times New Roman" w:hAnsi="Times New Roman" w:cs="Times New Roman"/>
          <w:b/>
          <w:bCs/>
          <w:color w:val="auto"/>
          <w:sz w:val="32"/>
          <w:szCs w:val="32"/>
          <w:highlight w:val="none"/>
        </w:rPr>
      </w:pPr>
    </w:p>
    <w:p>
      <w:pPr>
        <w:jc w:val="center"/>
        <w:rPr>
          <w:rFonts w:hint="default" w:ascii="Times New Roman" w:hAnsi="Times New Roman" w:cs="Times New Roman"/>
          <w:b/>
          <w:bCs/>
          <w:color w:val="auto"/>
          <w:sz w:val="32"/>
          <w:szCs w:val="32"/>
          <w:highlight w:val="none"/>
        </w:rPr>
      </w:pPr>
      <w:r>
        <w:rPr>
          <w:color w:val="auto"/>
          <w:sz w:val="32"/>
          <w:highlight w:val="none"/>
        </w:rPr>
        <mc:AlternateContent>
          <mc:Choice Requires="wps">
            <w:drawing>
              <wp:anchor distT="0" distB="0" distL="114300" distR="114300" simplePos="0" relativeHeight="251704320" behindDoc="0" locked="0" layoutInCell="1" allowOverlap="1">
                <wp:simplePos x="0" y="0"/>
                <wp:positionH relativeFrom="column">
                  <wp:posOffset>4599940</wp:posOffset>
                </wp:positionH>
                <wp:positionV relativeFrom="paragraph">
                  <wp:posOffset>289560</wp:posOffset>
                </wp:positionV>
                <wp:extent cx="830580" cy="519430"/>
                <wp:effectExtent l="0" t="0" r="7620" b="13970"/>
                <wp:wrapNone/>
                <wp:docPr id="36" name="文本框 128"/>
                <wp:cNvGraphicFramePr/>
                <a:graphic xmlns:a="http://schemas.openxmlformats.org/drawingml/2006/main">
                  <a:graphicData uri="http://schemas.microsoft.com/office/word/2010/wordprocessingShape">
                    <wps:wsp>
                      <wps:cNvSpPr txBox="1"/>
                      <wps:spPr>
                        <a:xfrm>
                          <a:off x="0" y="0"/>
                          <a:ext cx="830580" cy="519430"/>
                        </a:xfrm>
                        <a:prstGeom prst="rect">
                          <a:avLst/>
                        </a:prstGeom>
                        <a:solidFill>
                          <a:srgbClr val="FFFFFF"/>
                        </a:solidFill>
                        <a:ln>
                          <a:noFill/>
                        </a:ln>
                      </wps:spPr>
                      <wps:txbx>
                        <w:txbxContent>
                          <w:p>
                            <w:pPr>
                              <w:rPr>
                                <w:rFonts w:hint="default" w:eastAsia="宋体"/>
                                <w:sz w:val="32"/>
                                <w:szCs w:val="32"/>
                                <w:lang w:val="en-US" w:eastAsia="zh-CN"/>
                              </w:rPr>
                            </w:pPr>
                            <w:r>
                              <w:rPr>
                                <w:rFonts w:hint="eastAsia"/>
                                <w:sz w:val="32"/>
                                <w:szCs w:val="32"/>
                                <w:lang w:val="en-US" w:eastAsia="zh-CN"/>
                              </w:rPr>
                              <w:t>造粒区</w:t>
                            </w:r>
                          </w:p>
                        </w:txbxContent>
                      </wps:txbx>
                      <wps:bodyPr wrap="square" upright="1"/>
                    </wps:wsp>
                  </a:graphicData>
                </a:graphic>
              </wp:anchor>
            </w:drawing>
          </mc:Choice>
          <mc:Fallback>
            <w:pict>
              <v:shape id="文本框 128" o:spid="_x0000_s1026" o:spt="202" type="#_x0000_t202" style="position:absolute;left:0pt;margin-left:362.2pt;margin-top:22.8pt;height:40.9pt;width:65.4pt;z-index:251704320;mso-width-relative:page;mso-height-relative:page;" fillcolor="#FFFFFF" filled="t" stroked="f" coordsize="21600,21600" o:gfxdata="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jPKIHYAAAACgEAAA8AAAAAAAAAAQAgAAAAIgAA&#10;AGRycy9kb3ducmV2LnhtbFBLAQIUABQAAAAIAIdO4kB1ueE9zwEAAIcDAAAOAAAAAAAAAAEAIAAA&#10;ACcBAABkcnMvZTJvRG9jLnhtbFBLBQYAAAAABgAGAFkBAABoBQAAAAA=&#10;">
                <v:fill on="t" focussize="0,0"/>
                <v:stroke on="f"/>
                <v:imagedata o:title=""/>
                <o:lock v:ext="edit" aspectratio="f"/>
                <v:textbox>
                  <w:txbxContent>
                    <w:p>
                      <w:pPr>
                        <w:rPr>
                          <w:rFonts w:hint="default" w:eastAsia="宋体"/>
                          <w:sz w:val="32"/>
                          <w:szCs w:val="32"/>
                          <w:lang w:val="en-US" w:eastAsia="zh-CN"/>
                        </w:rPr>
                      </w:pPr>
                      <w:r>
                        <w:rPr>
                          <w:rFonts w:hint="eastAsia"/>
                          <w:sz w:val="32"/>
                          <w:szCs w:val="32"/>
                          <w:lang w:val="en-US" w:eastAsia="zh-CN"/>
                        </w:rPr>
                        <w:t>造粒区</w:t>
                      </w:r>
                    </w:p>
                  </w:txbxContent>
                </v:textbox>
              </v:shape>
            </w:pict>
          </mc:Fallback>
        </mc:AlternateContent>
      </w:r>
      <w:r>
        <w:rPr>
          <w:color w:val="auto"/>
          <w:sz w:val="32"/>
          <w:highlight w:val="none"/>
        </w:rPr>
        <mc:AlternateContent>
          <mc:Choice Requires="wps">
            <w:drawing>
              <wp:anchor distT="0" distB="0" distL="114300" distR="114300" simplePos="0" relativeHeight="251703296" behindDoc="0" locked="0" layoutInCell="1" allowOverlap="1">
                <wp:simplePos x="0" y="0"/>
                <wp:positionH relativeFrom="column">
                  <wp:posOffset>4509135</wp:posOffset>
                </wp:positionH>
                <wp:positionV relativeFrom="paragraph">
                  <wp:posOffset>75565</wp:posOffset>
                </wp:positionV>
                <wp:extent cx="892175" cy="819150"/>
                <wp:effectExtent l="4445" t="4445" r="17780" b="14605"/>
                <wp:wrapNone/>
                <wp:docPr id="35" name="矩形 127"/>
                <wp:cNvGraphicFramePr/>
                <a:graphic xmlns:a="http://schemas.openxmlformats.org/drawingml/2006/main">
                  <a:graphicData uri="http://schemas.microsoft.com/office/word/2010/wordprocessingShape">
                    <wps:wsp>
                      <wps:cNvSpPr/>
                      <wps:spPr>
                        <a:xfrm>
                          <a:off x="0" y="0"/>
                          <a:ext cx="892175" cy="819150"/>
                        </a:xfrm>
                        <a:prstGeom prst="rect">
                          <a:avLst/>
                        </a:prstGeom>
                        <a:noFill/>
                        <a:ln w="9525" cap="flat" cmpd="sng">
                          <a:solidFill>
                            <a:srgbClr val="000000"/>
                          </a:solidFill>
                          <a:prstDash val="dashDot"/>
                          <a:miter/>
                          <a:headEnd type="none" w="med" len="med"/>
                          <a:tailEnd type="none" w="med" len="med"/>
                        </a:ln>
                      </wps:spPr>
                      <wps:txbx>
                        <w:txbxContent>
                          <w:p/>
                        </w:txbxContent>
                      </wps:txbx>
                      <wps:bodyPr vert="horz" wrap="square" anchor="t" anchorCtr="0" upright="1"/>
                    </wps:wsp>
                  </a:graphicData>
                </a:graphic>
              </wp:anchor>
            </w:drawing>
          </mc:Choice>
          <mc:Fallback>
            <w:pict>
              <v:rect id="矩形 127" o:spid="_x0000_s1026" o:spt="1" style="position:absolute;left:0pt;margin-left:355.05pt;margin-top:5.95pt;height:64.5pt;width:70.25pt;z-index:251703296;mso-width-relative:page;mso-height-relative:page;" filled="f" stroked="t" coordsize="21600,21600" o:gfxdata="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lVSs2AAA&#10;AAoBAAAPAAAAAAAAAAEAIAAAACIAAABkcnMvZG93bnJldi54bWxQSwECFAAUAAAACACHTuJAsIGr&#10;ih4CAAA3BAAADgAAAAAAAAABACAAAAAnAQAAZHJzL2Uyb0RvYy54bWxQSwUGAAAAAAYABgBZAQAA&#10;twUAAAAA&#10;">
                <v:fill on="f" focussize="0,0"/>
                <v:stroke color="#000000" joinstyle="miter" dashstyle="dashDot"/>
                <v:imagedata o:title=""/>
                <o:lock v:ext="edit" aspectratio="f"/>
                <v:textbox>
                  <w:txbxContent>
                    <w:p/>
                  </w:txbxContent>
                </v:textbox>
              </v:rect>
            </w:pict>
          </mc:Fallback>
        </mc:AlternateContent>
      </w:r>
      <w:r>
        <w:rPr>
          <w:color w:val="auto"/>
          <w:sz w:val="32"/>
          <w:highlight w:val="none"/>
        </w:rPr>
        <mc:AlternateContent>
          <mc:Choice Requires="wps">
            <w:drawing>
              <wp:anchor distT="0" distB="0" distL="114300" distR="114300" simplePos="0" relativeHeight="251702272" behindDoc="0" locked="0" layoutInCell="1" allowOverlap="1">
                <wp:simplePos x="0" y="0"/>
                <wp:positionH relativeFrom="column">
                  <wp:posOffset>3171190</wp:posOffset>
                </wp:positionH>
                <wp:positionV relativeFrom="paragraph">
                  <wp:posOffset>321310</wp:posOffset>
                </wp:positionV>
                <wp:extent cx="830580" cy="519430"/>
                <wp:effectExtent l="0" t="0" r="7620" b="13970"/>
                <wp:wrapNone/>
                <wp:docPr id="34" name="文本框 125"/>
                <wp:cNvGraphicFramePr/>
                <a:graphic xmlns:a="http://schemas.openxmlformats.org/drawingml/2006/main">
                  <a:graphicData uri="http://schemas.microsoft.com/office/word/2010/wordprocessingShape">
                    <wps:wsp>
                      <wps:cNvSpPr txBox="1"/>
                      <wps:spPr>
                        <a:xfrm>
                          <a:off x="0" y="0"/>
                          <a:ext cx="830580" cy="519430"/>
                        </a:xfrm>
                        <a:prstGeom prst="rect">
                          <a:avLst/>
                        </a:prstGeom>
                        <a:solidFill>
                          <a:srgbClr val="FFFFFF"/>
                        </a:solidFill>
                        <a:ln>
                          <a:noFill/>
                        </a:ln>
                      </wps:spPr>
                      <wps:txbx>
                        <w:txbxContent>
                          <w:p>
                            <w:pPr>
                              <w:rPr>
                                <w:rFonts w:hint="default" w:eastAsia="宋体"/>
                                <w:sz w:val="32"/>
                                <w:szCs w:val="32"/>
                                <w:lang w:val="en-US" w:eastAsia="zh-CN"/>
                              </w:rPr>
                            </w:pPr>
                            <w:r>
                              <w:rPr>
                                <w:rFonts w:hint="eastAsia"/>
                                <w:sz w:val="32"/>
                                <w:szCs w:val="32"/>
                                <w:lang w:val="en-US" w:eastAsia="zh-CN"/>
                              </w:rPr>
                              <w:t>搅拌区</w:t>
                            </w:r>
                          </w:p>
                        </w:txbxContent>
                      </wps:txbx>
                      <wps:bodyPr wrap="square" upright="1"/>
                    </wps:wsp>
                  </a:graphicData>
                </a:graphic>
              </wp:anchor>
            </w:drawing>
          </mc:Choice>
          <mc:Fallback>
            <w:pict>
              <v:shape id="文本框 125" o:spid="_x0000_s1026" o:spt="202" type="#_x0000_t202" style="position:absolute;left:0pt;margin-left:249.7pt;margin-top:25.3pt;height:40.9pt;width:65.4pt;z-index:251702272;mso-width-relative:page;mso-height-relative:page;" fillcolor="#FFFFFF" filled="t" stroked="f" coordsize="21600,21600" o:gfxdata="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7OUtgAAAAKAQAADwAAAAAAAAABACAAAAAiAAAA&#10;ZHJzL2Rvd25yZXYueG1sUEsBAhQAFAAAAAgAh07iQF7F82vOAQAAhwMAAA4AAAAAAAAAAQAgAAAA&#10;JwEAAGRycy9lMm9Eb2MueG1sUEsFBgAAAAAGAAYAWQEAAGcFAAAAAA==&#10;">
                <v:fill on="t" focussize="0,0"/>
                <v:stroke on="f"/>
                <v:imagedata o:title=""/>
                <o:lock v:ext="edit" aspectratio="f"/>
                <v:textbox>
                  <w:txbxContent>
                    <w:p>
                      <w:pPr>
                        <w:rPr>
                          <w:rFonts w:hint="default" w:eastAsia="宋体"/>
                          <w:sz w:val="32"/>
                          <w:szCs w:val="32"/>
                          <w:lang w:val="en-US" w:eastAsia="zh-CN"/>
                        </w:rPr>
                      </w:pPr>
                      <w:r>
                        <w:rPr>
                          <w:rFonts w:hint="eastAsia"/>
                          <w:sz w:val="32"/>
                          <w:szCs w:val="32"/>
                          <w:lang w:val="en-US" w:eastAsia="zh-CN"/>
                        </w:rPr>
                        <w:t>搅拌区</w:t>
                      </w:r>
                    </w:p>
                  </w:txbxContent>
                </v:textbox>
              </v:shape>
            </w:pict>
          </mc:Fallback>
        </mc:AlternateContent>
      </w:r>
      <w:r>
        <w:rPr>
          <w:color w:val="auto"/>
          <w:sz w:val="32"/>
          <w:highlight w:val="none"/>
        </w:rPr>
        <mc:AlternateContent>
          <mc:Choice Requires="wps">
            <w:drawing>
              <wp:anchor distT="0" distB="0" distL="114300" distR="114300" simplePos="0" relativeHeight="251701248" behindDoc="0" locked="0" layoutInCell="1" allowOverlap="1">
                <wp:simplePos x="0" y="0"/>
                <wp:positionH relativeFrom="column">
                  <wp:posOffset>2635250</wp:posOffset>
                </wp:positionH>
                <wp:positionV relativeFrom="paragraph">
                  <wp:posOffset>86995</wp:posOffset>
                </wp:positionV>
                <wp:extent cx="1812925" cy="786130"/>
                <wp:effectExtent l="4445" t="4445" r="11430" b="9525"/>
                <wp:wrapNone/>
                <wp:docPr id="33" name="矩形 124"/>
                <wp:cNvGraphicFramePr/>
                <a:graphic xmlns:a="http://schemas.openxmlformats.org/drawingml/2006/main">
                  <a:graphicData uri="http://schemas.microsoft.com/office/word/2010/wordprocessingShape">
                    <wps:wsp>
                      <wps:cNvSpPr/>
                      <wps:spPr>
                        <a:xfrm>
                          <a:off x="0" y="0"/>
                          <a:ext cx="1812925" cy="786130"/>
                        </a:xfrm>
                        <a:prstGeom prst="rect">
                          <a:avLst/>
                        </a:prstGeom>
                        <a:noFill/>
                        <a:ln w="9525" cap="flat" cmpd="sng">
                          <a:solidFill>
                            <a:srgbClr val="000000"/>
                          </a:solidFill>
                          <a:prstDash val="dashDot"/>
                          <a:miter/>
                          <a:headEnd type="none" w="med" len="med"/>
                          <a:tailEnd type="none" w="med" len="med"/>
                        </a:ln>
                      </wps:spPr>
                      <wps:txbx>
                        <w:txbxContent>
                          <w:p/>
                        </w:txbxContent>
                      </wps:txbx>
                      <wps:bodyPr vert="horz" wrap="square" anchor="t" anchorCtr="0" upright="1"/>
                    </wps:wsp>
                  </a:graphicData>
                </a:graphic>
              </wp:anchor>
            </w:drawing>
          </mc:Choice>
          <mc:Fallback>
            <w:pict>
              <v:rect id="矩形 124" o:spid="_x0000_s1026" o:spt="1" style="position:absolute;left:0pt;margin-left:207.5pt;margin-top:6.85pt;height:61.9pt;width:142.75pt;z-index:251701248;mso-width-relative:page;mso-height-relative:page;" filled="f" stroked="t" coordsize="21600,21600" o:gfxdata="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DRVULY&#10;AAAACgEAAA8AAAAAAAAAAQAgAAAAIgAAAGRycy9kb3ducmV2LnhtbFBLAQIUABQAAAAIAIdO4kAt&#10;UsK2IAIAADgEAAAOAAAAAAAAAAEAIAAAACcBAABkcnMvZTJvRG9jLnhtbFBLBQYAAAAABgAGAFkB&#10;AAC5BQAAAAA=&#10;">
                <v:fill on="f" focussize="0,0"/>
                <v:stroke color="#000000" joinstyle="miter" dashstyle="dashDot"/>
                <v:imagedata o:title=""/>
                <o:lock v:ext="edit" aspectratio="f"/>
                <v:textbox>
                  <w:txbxContent>
                    <w:p/>
                  </w:txbxContent>
                </v:textbox>
              </v:rect>
            </w:pict>
          </mc:Fallback>
        </mc:AlternateContent>
      </w:r>
    </w:p>
    <w:p>
      <w:pPr>
        <w:jc w:val="center"/>
        <w:rPr>
          <w:rFonts w:hint="default" w:ascii="Times New Roman" w:hAnsi="Times New Roman" w:cs="Times New Roman"/>
          <w:b/>
          <w:bCs/>
          <w:color w:val="auto"/>
          <w:sz w:val="32"/>
          <w:szCs w:val="32"/>
          <w:highlight w:val="none"/>
        </w:rPr>
      </w:pPr>
    </w:p>
    <w:p>
      <w:pPr>
        <w:jc w:val="center"/>
        <w:rPr>
          <w:rFonts w:hint="default" w:ascii="Times New Roman" w:hAnsi="Times New Roman" w:cs="Times New Roman"/>
          <w:b/>
          <w:bCs/>
          <w:color w:val="auto"/>
          <w:sz w:val="32"/>
          <w:szCs w:val="32"/>
          <w:highlight w:val="none"/>
        </w:rPr>
      </w:pPr>
    </w:p>
    <w:p>
      <w:pPr>
        <w:jc w:val="center"/>
        <w:rPr>
          <w:rFonts w:hint="default" w:ascii="Times New Roman" w:hAnsi="Times New Roman" w:cs="Times New Roman"/>
          <w:b/>
          <w:bCs/>
          <w:color w:val="auto"/>
          <w:sz w:val="32"/>
          <w:szCs w:val="32"/>
          <w:highlight w:val="red"/>
        </w:rPr>
      </w:pPr>
      <w:r>
        <w:rPr>
          <w:rFonts w:hint="default" w:ascii="Times New Roman" w:hAnsi="Times New Roman" w:cs="Times New Roman"/>
          <w:b/>
          <w:bCs/>
          <w:color w:val="auto"/>
          <w:sz w:val="32"/>
          <w:szCs w:val="32"/>
          <w:highlight w:val="none"/>
        </w:rPr>
        <w:t>附图2   项目平面布置图</w:t>
      </w:r>
    </w:p>
    <w:p>
      <w:pPr>
        <w:rPr>
          <w:rFonts w:hint="default" w:ascii="Times New Roman" w:hAnsi="Times New Roman" w:cs="Times New Roman"/>
          <w:color w:val="auto"/>
        </w:rPr>
        <w:sectPr>
          <w:pgSz w:w="11906" w:h="16838"/>
          <w:pgMar w:top="1440" w:right="1440" w:bottom="1440" w:left="1440" w:header="851" w:footer="992" w:gutter="0"/>
          <w:pgNumType w:fmt="decimal"/>
          <w:cols w:space="720" w:num="1"/>
          <w:rtlGutter w:val="0"/>
          <w:docGrid w:type="lines" w:linePitch="322" w:charSpace="0"/>
        </w:sectPr>
      </w:pPr>
    </w:p>
    <w:p>
      <w:pPr>
        <w:jc w:val="left"/>
        <w:rPr>
          <w:rFonts w:hint="default" w:ascii="Times New Roman" w:hAnsi="Times New Roman" w:cs="Times New Roman"/>
          <w:color w:val="auto"/>
        </w:rPr>
      </w:pPr>
      <w:r>
        <w:rPr>
          <w:color w:val="auto"/>
        </w:rPr>
        <w:drawing>
          <wp:anchor distT="0" distB="0" distL="114300" distR="114300" simplePos="0" relativeHeight="251662336" behindDoc="1" locked="0" layoutInCell="1" allowOverlap="1">
            <wp:simplePos x="0" y="0"/>
            <wp:positionH relativeFrom="column">
              <wp:posOffset>-187960</wp:posOffset>
            </wp:positionH>
            <wp:positionV relativeFrom="paragraph">
              <wp:posOffset>86360</wp:posOffset>
            </wp:positionV>
            <wp:extent cx="8909050" cy="5137150"/>
            <wp:effectExtent l="0" t="0" r="6350" b="6350"/>
            <wp:wrapNone/>
            <wp:docPr id="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5"/>
                    <pic:cNvPicPr>
                      <a:picLocks noChangeAspect="1"/>
                    </pic:cNvPicPr>
                  </pic:nvPicPr>
                  <pic:blipFill>
                    <a:blip r:embed="rId26"/>
                    <a:stretch>
                      <a:fillRect/>
                    </a:stretch>
                  </pic:blipFill>
                  <pic:spPr>
                    <a:xfrm>
                      <a:off x="0" y="0"/>
                      <a:ext cx="8909050" cy="5137150"/>
                    </a:xfrm>
                    <a:prstGeom prst="rect">
                      <a:avLst/>
                    </a:prstGeom>
                    <a:noFill/>
                    <a:ln>
                      <a:noFill/>
                    </a:ln>
                  </pic:spPr>
                </pic:pic>
              </a:graphicData>
            </a:graphic>
          </wp:anchor>
        </w:drawing>
      </w:r>
      <w:r>
        <w:rPr>
          <w:rFonts w:hint="default" w:ascii="Times New Roman" w:hAnsi="Times New Roman" w:cs="Times New Roman"/>
          <w:color w:val="auto"/>
          <w:lang w:val="zh-CN"/>
        </w:rPr>
        <mc:AlternateContent>
          <mc:Choice Requires="wps">
            <w:drawing>
              <wp:anchor distT="0" distB="0" distL="114300" distR="114300" simplePos="0" relativeHeight="251670528" behindDoc="0" locked="0" layoutInCell="1" allowOverlap="1">
                <wp:simplePos x="0" y="0"/>
                <wp:positionH relativeFrom="column">
                  <wp:posOffset>5939155</wp:posOffset>
                </wp:positionH>
                <wp:positionV relativeFrom="paragraph">
                  <wp:posOffset>129540</wp:posOffset>
                </wp:positionV>
                <wp:extent cx="1486535" cy="633095"/>
                <wp:effectExtent l="822960" t="4445" r="14605" b="124460"/>
                <wp:wrapNone/>
                <wp:docPr id="12" name="AutoShape 300"/>
                <wp:cNvGraphicFramePr/>
                <a:graphic xmlns:a="http://schemas.openxmlformats.org/drawingml/2006/main">
                  <a:graphicData uri="http://schemas.microsoft.com/office/word/2010/wordprocessingShape">
                    <wps:wsp>
                      <wps:cNvSpPr/>
                      <wps:spPr>
                        <a:xfrm>
                          <a:off x="0" y="0"/>
                          <a:ext cx="1486535" cy="633095"/>
                        </a:xfrm>
                        <a:prstGeom prst="wedgeRoundRectCallout">
                          <a:avLst>
                            <a:gd name="adj1" fmla="val -102921"/>
                            <a:gd name="adj2" fmla="val 65745"/>
                            <a:gd name="adj3" fmla="val 16667"/>
                          </a:avLst>
                        </a:prstGeom>
                        <a:solidFill>
                          <a:srgbClr val="FFFFFF"/>
                        </a:solidFill>
                        <a:ln w="9525" cap="flat" cmpd="sng">
                          <a:solidFill>
                            <a:srgbClr val="0070C0"/>
                          </a:solidFill>
                          <a:prstDash val="solid"/>
                          <a:miter/>
                          <a:headEnd type="none" w="med" len="med"/>
                          <a:tailEnd type="none" w="med" len="med"/>
                        </a:ln>
                      </wps:spPr>
                      <wps:txb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北面</w:t>
                            </w:r>
                            <w:r>
                              <w:rPr>
                                <w:rFonts w:hint="eastAsia" w:ascii="Times New Roman" w:hAnsi="Times New Roman" w:eastAsia="宋体" w:cs="Times New Roman"/>
                                <w:sz w:val="24"/>
                                <w:lang w:val="en-US" w:eastAsia="zh-CN"/>
                              </w:rPr>
                              <w:t>280m</w:t>
                            </w:r>
                            <w:r>
                              <w:rPr>
                                <w:rFonts w:hint="eastAsia" w:ascii="Times New Roman" w:hAnsi="Times New Roman" w:eastAsia="宋体" w:cs="Times New Roman"/>
                                <w:sz w:val="24"/>
                                <w:lang w:val="zh-CN"/>
                              </w:rPr>
                              <w:t>兔子坪村居民点</w:t>
                            </w:r>
                          </w:p>
                        </w:txbxContent>
                      </wps:txbx>
                      <wps:bodyPr vert="horz" wrap="square" anchor="t" anchorCtr="0" upright="1"/>
                    </wps:wsp>
                  </a:graphicData>
                </a:graphic>
              </wp:anchor>
            </w:drawing>
          </mc:Choice>
          <mc:Fallback>
            <w:pict>
              <v:shape id="AutoShape 300" o:spid="_x0000_s1026" o:spt="62" type="#_x0000_t62" style="position:absolute;left:0pt;margin-left:467.65pt;margin-top:10.2pt;height:49.85pt;width:117.05pt;z-index:251670528;mso-width-relative:page;mso-height-relative:page;" fillcolor="#FFFFFF" filled="t" stroked="t" coordsize="21600,21600" o:gfxdata="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s&#10;Ffkq2wAAAAsBAAAPAAAAAAAAAAEAIAAAACIAAABkcnMvZG93bnJldi54bWxQSwECFAAUAAAACACH&#10;TuJAH9hIKFoCAADqBAAADgAAAAAAAAABACAAAAAqAQAAZHJzL2Uyb0RvYy54bWxQSwUGAAAAAAYA&#10;BgBZAQAA9gUAAAAA&#10;" adj="-11431,25001,14400">
                <v:fill on="t" focussize="0,0"/>
                <v:stroke color="#0070C0" joinstyle="miter"/>
                <v:imagedata o:title=""/>
                <o:lock v:ext="edit" aspectratio="f"/>
                <v:textbo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北面</w:t>
                      </w:r>
                      <w:r>
                        <w:rPr>
                          <w:rFonts w:hint="eastAsia" w:ascii="Times New Roman" w:hAnsi="Times New Roman" w:eastAsia="宋体" w:cs="Times New Roman"/>
                          <w:sz w:val="24"/>
                          <w:lang w:val="en-US" w:eastAsia="zh-CN"/>
                        </w:rPr>
                        <w:t>280m</w:t>
                      </w:r>
                      <w:r>
                        <w:rPr>
                          <w:rFonts w:hint="eastAsia" w:ascii="Times New Roman" w:hAnsi="Times New Roman" w:eastAsia="宋体" w:cs="Times New Roman"/>
                          <w:sz w:val="24"/>
                          <w:lang w:val="zh-CN"/>
                        </w:rPr>
                        <w:t>兔子坪村居民点</w:t>
                      </w:r>
                    </w:p>
                  </w:txbxContent>
                </v:textbox>
              </v:shape>
            </w:pict>
          </mc:Fallback>
        </mc:AlternateContent>
      </w:r>
      <w:r>
        <w:rPr>
          <w:rFonts w:hint="default" w:ascii="Times New Roman" w:hAnsi="Times New Roman" w:cs="Times New Roman"/>
          <w:color w:val="auto"/>
        </w:rPr>
        <w:drawing>
          <wp:anchor distT="0" distB="0" distL="114300" distR="114300" simplePos="0" relativeHeight="251669504" behindDoc="0" locked="0" layoutInCell="1" allowOverlap="1">
            <wp:simplePos x="0" y="0"/>
            <wp:positionH relativeFrom="column">
              <wp:posOffset>177800</wp:posOffset>
            </wp:positionH>
            <wp:positionV relativeFrom="paragraph">
              <wp:posOffset>130810</wp:posOffset>
            </wp:positionV>
            <wp:extent cx="952500" cy="76200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a:stretch>
                      <a:fillRect/>
                    </a:stretch>
                  </pic:blipFill>
                  <pic:spPr>
                    <a:xfrm>
                      <a:off x="0" y="0"/>
                      <a:ext cx="952500" cy="762000"/>
                    </a:xfrm>
                    <a:prstGeom prst="rect">
                      <a:avLst/>
                    </a:prstGeom>
                    <a:noFill/>
                    <a:ln>
                      <a:noFill/>
                    </a:ln>
                  </pic:spPr>
                </pic:pic>
              </a:graphicData>
            </a:graphic>
          </wp:anchor>
        </w:drawing>
      </w:r>
    </w:p>
    <w:p>
      <w:pPr>
        <w:jc w:val="left"/>
        <w:rPr>
          <w:rFonts w:hint="default" w:ascii="Times New Roman" w:hAnsi="Times New Roman" w:cs="Times New Roman"/>
          <w:color w:val="auto"/>
        </w:rPr>
      </w:pPr>
      <w:r>
        <w:rPr>
          <w:rFonts w:hint="default" w:ascii="Times New Roman" w:hAnsi="Times New Roman" w:cs="Times New Roman"/>
          <w:color w:val="auto"/>
        </w:rPr>
        <w:t xml:space="preserve"> </w:t>
      </w:r>
    </w:p>
    <w:p>
      <w:pPr>
        <w:jc w:val="center"/>
        <w:rPr>
          <w:rFonts w:hint="default" w:ascii="Times New Roman" w:hAnsi="Times New Roman" w:cs="Times New Roman"/>
          <w:color w:val="auto"/>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3456" w:firstLineChars="1646"/>
        <w:rPr>
          <w:rFonts w:hint="default" w:ascii="Times New Roman" w:hAnsi="Times New Roman" w:cs="Times New Roman"/>
          <w:b/>
          <w:color w:val="auto"/>
          <w:sz w:val="32"/>
          <w:szCs w:val="32"/>
        </w:rPr>
      </w:pPr>
      <w:r>
        <w:rPr>
          <w:rFonts w:hint="default" w:ascii="Times New Roman" w:hAnsi="Times New Roman" w:cs="Times New Roman"/>
          <w:color w:val="auto"/>
          <w:lang w:val="zh-CN"/>
        </w:rPr>
        <mc:AlternateContent>
          <mc:Choice Requires="wps">
            <w:drawing>
              <wp:anchor distT="0" distB="0" distL="114300" distR="114300" simplePos="0" relativeHeight="251673600" behindDoc="0" locked="0" layoutInCell="1" allowOverlap="1">
                <wp:simplePos x="0" y="0"/>
                <wp:positionH relativeFrom="column">
                  <wp:posOffset>2578100</wp:posOffset>
                </wp:positionH>
                <wp:positionV relativeFrom="paragraph">
                  <wp:posOffset>198755</wp:posOffset>
                </wp:positionV>
                <wp:extent cx="1486535" cy="633095"/>
                <wp:effectExtent l="4445" t="4445" r="356870" b="276860"/>
                <wp:wrapNone/>
                <wp:docPr id="21" name="AutoShape 324"/>
                <wp:cNvGraphicFramePr/>
                <a:graphic xmlns:a="http://schemas.openxmlformats.org/drawingml/2006/main">
                  <a:graphicData uri="http://schemas.microsoft.com/office/word/2010/wordprocessingShape">
                    <wps:wsp>
                      <wps:cNvSpPr>
                        <a:spLocks noChangeArrowheads="1"/>
                      </wps:cNvSpPr>
                      <wps:spPr bwMode="auto">
                        <a:xfrm>
                          <a:off x="0" y="0"/>
                          <a:ext cx="1486535" cy="633095"/>
                        </a:xfrm>
                        <a:prstGeom prst="wedgeRoundRectCallout">
                          <a:avLst>
                            <a:gd name="adj1" fmla="val 71358"/>
                            <a:gd name="adj2" fmla="val 90020"/>
                            <a:gd name="adj3" fmla="val 16667"/>
                          </a:avLst>
                        </a:prstGeom>
                        <a:solidFill>
                          <a:srgbClr val="FFFFFF"/>
                        </a:solidFill>
                        <a:ln w="9525">
                          <a:solidFill>
                            <a:srgbClr val="0070C0"/>
                          </a:solidFill>
                          <a:miter lim="800000"/>
                        </a:ln>
                        <a:effectLst/>
                      </wps:spPr>
                      <wps:txb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西面</w:t>
                            </w:r>
                            <w:r>
                              <w:rPr>
                                <w:rFonts w:hint="eastAsia" w:ascii="Times New Roman" w:hAnsi="Times New Roman" w:eastAsia="宋体" w:cs="Times New Roman"/>
                                <w:sz w:val="24"/>
                                <w:lang w:val="en-US" w:eastAsia="zh-CN"/>
                              </w:rPr>
                              <w:t>15</w:t>
                            </w:r>
                            <w:r>
                              <w:rPr>
                                <w:rFonts w:hint="eastAsia" w:ascii="Times New Roman" w:hAnsi="Times New Roman" w:eastAsia="宋体" w:cs="Times New Roman"/>
                                <w:sz w:val="24"/>
                              </w:rPr>
                              <w:t>m</w:t>
                            </w:r>
                            <w:r>
                              <w:rPr>
                                <w:rFonts w:hint="eastAsia" w:ascii="Times New Roman" w:hAnsi="Times New Roman" w:eastAsia="宋体" w:cs="Times New Roman"/>
                                <w:sz w:val="24"/>
                                <w:lang w:val="zh-CN"/>
                              </w:rPr>
                              <w:t>兔子坪村居民点</w:t>
                            </w:r>
                          </w:p>
                        </w:txbxContent>
                      </wps:txbx>
                      <wps:bodyPr rot="0" vert="horz" wrap="square" lIns="91440" tIns="45720" rIns="91440" bIns="45720" anchor="t" anchorCtr="0" upright="1">
                        <a:noAutofit/>
                      </wps:bodyPr>
                    </wps:wsp>
                  </a:graphicData>
                </a:graphic>
              </wp:anchor>
            </w:drawing>
          </mc:Choice>
          <mc:Fallback>
            <w:pict>
              <v:shape id="AutoShape 324" o:spid="_x0000_s1026" o:spt="62" type="#_x0000_t62" style="position:absolute;left:0pt;margin-left:203pt;margin-top:15.65pt;height:49.85pt;width:117.05pt;z-index:251673600;mso-width-relative:page;mso-height-relative:page;" fillcolor="#FFFFFF" filled="t" stroked="t" coordsize="21600,21600" o:gfxdata="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0SpmtkAAAAKAQAADwAAAAAAAAABACAAAAAiAAAAZHJzL2Rv&#10;d25yZXYueG1sUEsBAhQAFAAAAAgAh07iQPnKf7JyAgAAFAUAAA4AAAAAAAAAAQAgAAAAKAEAAGRy&#10;cy9lMm9Eb2MueG1sUEsFBgAAAAAGAAYAWQEAAAwGAAAAAA==&#10;" adj="26213,30244,14400">
                <v:fill on="t" focussize="0,0"/>
                <v:stroke color="#0070C0" miterlimit="8" joinstyle="miter"/>
                <v:imagedata o:title=""/>
                <o:lock v:ext="edit" aspectratio="f"/>
                <v:textbo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西面</w:t>
                      </w:r>
                      <w:r>
                        <w:rPr>
                          <w:rFonts w:hint="eastAsia" w:ascii="Times New Roman" w:hAnsi="Times New Roman" w:eastAsia="宋体" w:cs="Times New Roman"/>
                          <w:sz w:val="24"/>
                          <w:lang w:val="en-US" w:eastAsia="zh-CN"/>
                        </w:rPr>
                        <w:t>15</w:t>
                      </w:r>
                      <w:r>
                        <w:rPr>
                          <w:rFonts w:hint="eastAsia" w:ascii="Times New Roman" w:hAnsi="Times New Roman" w:eastAsia="宋体" w:cs="Times New Roman"/>
                          <w:sz w:val="24"/>
                        </w:rPr>
                        <w:t>m</w:t>
                      </w:r>
                      <w:r>
                        <w:rPr>
                          <w:rFonts w:hint="eastAsia" w:ascii="Times New Roman" w:hAnsi="Times New Roman" w:eastAsia="宋体" w:cs="Times New Roman"/>
                          <w:sz w:val="24"/>
                          <w:lang w:val="zh-CN"/>
                        </w:rPr>
                        <w:t>兔子坪村居民点</w:t>
                      </w:r>
                    </w:p>
                  </w:txbxContent>
                </v:textbox>
              </v:shape>
            </w:pict>
          </mc:Fallback>
        </mc:AlternateContent>
      </w:r>
      <w:r>
        <w:rPr>
          <w:rFonts w:hint="default" w:ascii="Times New Roman" w:hAnsi="Times New Roman" w:cs="Times New Roman"/>
          <w:color w:val="auto"/>
          <w:lang w:val="zh-CN"/>
        </w:rPr>
        <mc:AlternateContent>
          <mc:Choice Requires="wps">
            <w:drawing>
              <wp:anchor distT="0" distB="0" distL="114300" distR="114300" simplePos="0" relativeHeight="251672576" behindDoc="0" locked="0" layoutInCell="1" allowOverlap="1">
                <wp:simplePos x="0" y="0"/>
                <wp:positionH relativeFrom="column">
                  <wp:posOffset>5053330</wp:posOffset>
                </wp:positionH>
                <wp:positionV relativeFrom="paragraph">
                  <wp:posOffset>160020</wp:posOffset>
                </wp:positionV>
                <wp:extent cx="1026160" cy="393065"/>
                <wp:effectExtent l="180975" t="4445" r="12065" b="478790"/>
                <wp:wrapNone/>
                <wp:docPr id="14" name="自选图形 1059"/>
                <wp:cNvGraphicFramePr/>
                <a:graphic xmlns:a="http://schemas.openxmlformats.org/drawingml/2006/main">
                  <a:graphicData uri="http://schemas.microsoft.com/office/word/2010/wordprocessingShape">
                    <wps:wsp>
                      <wps:cNvSpPr/>
                      <wps:spPr>
                        <a:xfrm>
                          <a:off x="0" y="0"/>
                          <a:ext cx="1026160" cy="393065"/>
                        </a:xfrm>
                        <a:prstGeom prst="wedgeRoundRectCallout">
                          <a:avLst>
                            <a:gd name="adj1" fmla="val -65343"/>
                            <a:gd name="adj2" fmla="val 16163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项目所在地</w:t>
                            </w:r>
                          </w:p>
                        </w:txbxContent>
                      </wps:txbx>
                      <wps:bodyPr vert="horz" wrap="square" anchor="t" anchorCtr="0" upright="1"/>
                    </wps:wsp>
                  </a:graphicData>
                </a:graphic>
              </wp:anchor>
            </w:drawing>
          </mc:Choice>
          <mc:Fallback>
            <w:pict>
              <v:shape id="自选图形 1059" o:spid="_x0000_s1026" o:spt="62" type="#_x0000_t62" style="position:absolute;left:0pt;margin-left:397.9pt;margin-top:12.6pt;height:30.95pt;width:80.8pt;z-index:251672576;mso-width-relative:page;mso-height-relative:page;" fillcolor="#FFFFFF" filled="t" stroked="t" coordsize="21600,21600" o:gfxdata="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wK9X3ZAAAACQEAAA8AAAAAAAAAAQAgAAAAIgAAAGRycy9kb3ducmV2Lnht&#10;bFBLAQIUABQAAAAIAIdO4kDFff+QagIAAO4EAAAOAAAAAAAAAAEAIAAAACgBAABkcnMvZTJvRG9j&#10;LnhtbFBLBQYAAAAABgAGAFkBAAAEBgAAAAA=&#10;" adj="-3314,45712,14400">
                <v:fill on="t" focussize="0,0"/>
                <v:stroke color="#FF0000" joinstyle="miter"/>
                <v:imagedata o:title=""/>
                <o:lock v:ext="edit" aspectratio="f"/>
                <v:textbox>
                  <w:txbxContent>
                    <w:p>
                      <w:pPr>
                        <w:rPr>
                          <w:sz w:val="24"/>
                        </w:rPr>
                      </w:pPr>
                      <w:r>
                        <w:rPr>
                          <w:rFonts w:hint="eastAsia"/>
                          <w:sz w:val="24"/>
                        </w:rPr>
                        <w:t>项目所在地</w:t>
                      </w:r>
                    </w:p>
                  </w:txbxContent>
                </v:textbox>
              </v:shape>
            </w:pict>
          </mc:Fallback>
        </mc:AlternateContent>
      </w: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3456" w:firstLineChars="1646"/>
        <w:rPr>
          <w:rFonts w:hint="default" w:ascii="Times New Roman" w:hAnsi="Times New Roman" w:cs="Times New Roman"/>
          <w:b/>
          <w:color w:val="auto"/>
          <w:sz w:val="32"/>
          <w:szCs w:val="32"/>
        </w:rPr>
      </w:pPr>
      <w:r>
        <w:rPr>
          <w:rFonts w:hint="default" w:ascii="Times New Roman" w:hAnsi="Times New Roman" w:cs="Times New Roman"/>
          <w:color w:val="auto"/>
          <w:lang w:val="zh-CN"/>
        </w:rPr>
        <mc:AlternateContent>
          <mc:Choice Requires="wps">
            <w:drawing>
              <wp:anchor distT="0" distB="0" distL="114300" distR="114300" simplePos="0" relativeHeight="251715584" behindDoc="0" locked="0" layoutInCell="1" allowOverlap="1">
                <wp:simplePos x="0" y="0"/>
                <wp:positionH relativeFrom="column">
                  <wp:posOffset>756285</wp:posOffset>
                </wp:positionH>
                <wp:positionV relativeFrom="paragraph">
                  <wp:posOffset>273685</wp:posOffset>
                </wp:positionV>
                <wp:extent cx="1486535" cy="633095"/>
                <wp:effectExtent l="4445" t="4445" r="356870" b="276860"/>
                <wp:wrapNone/>
                <wp:docPr id="50" name="AutoShape 324"/>
                <wp:cNvGraphicFramePr/>
                <a:graphic xmlns:a="http://schemas.openxmlformats.org/drawingml/2006/main">
                  <a:graphicData uri="http://schemas.microsoft.com/office/word/2010/wordprocessingShape">
                    <wps:wsp>
                      <wps:cNvSpPr>
                        <a:spLocks noChangeArrowheads="1"/>
                      </wps:cNvSpPr>
                      <wps:spPr bwMode="auto">
                        <a:xfrm>
                          <a:off x="0" y="0"/>
                          <a:ext cx="1486535" cy="633095"/>
                        </a:xfrm>
                        <a:prstGeom prst="wedgeRoundRectCallout">
                          <a:avLst>
                            <a:gd name="adj1" fmla="val 71358"/>
                            <a:gd name="adj2" fmla="val 90020"/>
                            <a:gd name="adj3" fmla="val 16667"/>
                          </a:avLst>
                        </a:prstGeom>
                        <a:solidFill>
                          <a:srgbClr val="FFFFFF"/>
                        </a:solidFill>
                        <a:ln w="9525">
                          <a:solidFill>
                            <a:srgbClr val="0070C0"/>
                          </a:solidFill>
                          <a:miter lim="800000"/>
                        </a:ln>
                        <a:effectLst/>
                      </wps:spPr>
                      <wps:txb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西面</w:t>
                            </w:r>
                            <w:r>
                              <w:rPr>
                                <w:rFonts w:hint="eastAsia" w:ascii="Times New Roman" w:hAnsi="Times New Roman" w:eastAsia="宋体" w:cs="Times New Roman"/>
                                <w:sz w:val="24"/>
                                <w:lang w:val="en-US" w:eastAsia="zh-CN"/>
                              </w:rPr>
                              <w:t>292</w:t>
                            </w:r>
                            <w:r>
                              <w:rPr>
                                <w:rFonts w:hint="eastAsia" w:ascii="Times New Roman" w:hAnsi="Times New Roman" w:eastAsia="宋体" w:cs="Times New Roman"/>
                                <w:sz w:val="24"/>
                              </w:rPr>
                              <w:t>m</w:t>
                            </w:r>
                            <w:r>
                              <w:rPr>
                                <w:rFonts w:hint="eastAsia" w:ascii="Times New Roman" w:hAnsi="Times New Roman" w:eastAsia="宋体" w:cs="Times New Roman"/>
                                <w:sz w:val="24"/>
                                <w:lang w:val="zh-CN"/>
                              </w:rPr>
                              <w:t>车公堂居民点</w:t>
                            </w:r>
                          </w:p>
                        </w:txbxContent>
                      </wps:txbx>
                      <wps:bodyPr rot="0" vert="horz" wrap="square" lIns="91440" tIns="45720" rIns="91440" bIns="45720" anchor="t" anchorCtr="0" upright="1">
                        <a:noAutofit/>
                      </wps:bodyPr>
                    </wps:wsp>
                  </a:graphicData>
                </a:graphic>
              </wp:anchor>
            </w:drawing>
          </mc:Choice>
          <mc:Fallback>
            <w:pict>
              <v:shape id="AutoShape 324" o:spid="_x0000_s1026" o:spt="62" type="#_x0000_t62" style="position:absolute;left:0pt;margin-left:59.55pt;margin-top:21.55pt;height:49.85pt;width:117.05pt;z-index:251715584;mso-width-relative:page;mso-height-relative:page;" fillcolor="#FFFFFF" filled="t" stroked="t" coordsize="21600,21600" o:gfxdata="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3fjT7ZAAAACgEAAA8AAAAAAAAAAQAgAAAAIgAAAGRycy9k&#10;b3ducmV2LnhtbFBLAQIUABQAAAAIAIdO4kAsA3UwcwIAABQFAAAOAAAAAAAAAAEAIAAAACgBAABk&#10;cnMvZTJvRG9jLnhtbFBLBQYAAAAABgAGAFkBAAANBgAAAAA=&#10;" adj="26213,30244,14400">
                <v:fill on="t" focussize="0,0"/>
                <v:stroke color="#0070C0" miterlimit="8" joinstyle="miter"/>
                <v:imagedata o:title=""/>
                <o:lock v:ext="edit" aspectratio="f"/>
                <v:textbo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西面</w:t>
                      </w:r>
                      <w:r>
                        <w:rPr>
                          <w:rFonts w:hint="eastAsia" w:ascii="Times New Roman" w:hAnsi="Times New Roman" w:eastAsia="宋体" w:cs="Times New Roman"/>
                          <w:sz w:val="24"/>
                          <w:lang w:val="en-US" w:eastAsia="zh-CN"/>
                        </w:rPr>
                        <w:t>292</w:t>
                      </w:r>
                      <w:r>
                        <w:rPr>
                          <w:rFonts w:hint="eastAsia" w:ascii="Times New Roman" w:hAnsi="Times New Roman" w:eastAsia="宋体" w:cs="Times New Roman"/>
                          <w:sz w:val="24"/>
                        </w:rPr>
                        <w:t>m</w:t>
                      </w:r>
                      <w:r>
                        <w:rPr>
                          <w:rFonts w:hint="eastAsia" w:ascii="Times New Roman" w:hAnsi="Times New Roman" w:eastAsia="宋体" w:cs="Times New Roman"/>
                          <w:sz w:val="24"/>
                          <w:lang w:val="zh-CN"/>
                        </w:rPr>
                        <w:t>车公堂居民点</w:t>
                      </w:r>
                    </w:p>
                  </w:txbxContent>
                </v:textbox>
              </v:shape>
            </w:pict>
          </mc:Fallback>
        </mc:AlternateContent>
      </w:r>
      <w:r>
        <w:rPr>
          <w:rFonts w:hint="default" w:ascii="Times New Roman" w:hAnsi="Times New Roman" w:cs="Times New Roman"/>
          <w:color w:val="auto"/>
          <w:lang w:val="zh-CN"/>
        </w:rPr>
        <mc:AlternateContent>
          <mc:Choice Requires="wps">
            <w:drawing>
              <wp:anchor distT="0" distB="0" distL="114300" distR="114300" simplePos="0" relativeHeight="251674624" behindDoc="0" locked="0" layoutInCell="1" allowOverlap="1">
                <wp:simplePos x="0" y="0"/>
                <wp:positionH relativeFrom="column">
                  <wp:posOffset>4457065</wp:posOffset>
                </wp:positionH>
                <wp:positionV relativeFrom="paragraph">
                  <wp:posOffset>321945</wp:posOffset>
                </wp:positionV>
                <wp:extent cx="621665" cy="441325"/>
                <wp:effectExtent l="41275" t="31115" r="50800" b="33020"/>
                <wp:wrapNone/>
                <wp:docPr id="15" name="Rectangle 327"/>
                <wp:cNvGraphicFramePr/>
                <a:graphic xmlns:a="http://schemas.openxmlformats.org/drawingml/2006/main">
                  <a:graphicData uri="http://schemas.microsoft.com/office/word/2010/wordprocessingShape">
                    <wps:wsp>
                      <wps:cNvSpPr/>
                      <wps:spPr>
                        <a:xfrm rot="5775298">
                          <a:off x="0" y="0"/>
                          <a:ext cx="621665" cy="441325"/>
                        </a:xfrm>
                        <a:prstGeom prst="rect">
                          <a:avLst/>
                        </a:prstGeom>
                        <a:gradFill rotWithShape="1">
                          <a:gsLst>
                            <a:gs pos="0">
                              <a:srgbClr val="FE4444"/>
                            </a:gs>
                            <a:gs pos="100000">
                              <a:srgbClr val="832B2B"/>
                            </a:gs>
                          </a:gsLst>
                          <a:lin ang="5400000"/>
                          <a:tileRect/>
                        </a:gradFill>
                        <a:ln w="15875"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Rectangle 327" o:spid="_x0000_s1026" o:spt="1" style="position:absolute;left:0pt;margin-left:350.95pt;margin-top:25.35pt;height:34.75pt;width:48.95pt;rotation:6308165f;z-index:251674624;mso-width-relative:page;mso-height-relative:page;" fillcolor="#FE4444" filled="t" stroked="t" coordsize="21600,21600" o:gfxdata="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0&#10;pzxY1wAAAAoBAAAPAAAAAAAAAAEAIAAAACIAAABkcnMvZG93bnJldi54bWxQSwECFAAUAAAACACH&#10;TuJA1qhTY14CAADyBAAADgAAAAAAAAABACAAAAAmAQAAZHJzL2Uyb0RvYy54bWxQSwUGAAAAAAYA&#10;BgBZAQAA9gUAAAAA&#10;">
                <v:fill type="gradient" on="t" color2="#832B2B" focus="100%" focussize="0f,0f" focusposition="0f,0f" rotate="t">
                  <o:fill type="gradientUnscaled" v:ext="backwardCompatible"/>
                </v:fill>
                <v:stroke weight="1.25pt" color="#FF0000" joinstyle="miter"/>
                <v:imagedata o:title=""/>
                <o:lock v:ext="edit" aspectratio="f"/>
              </v:rect>
            </w:pict>
          </mc:Fallback>
        </mc:AlternateContent>
      </w:r>
    </w:p>
    <w:p>
      <w:pPr>
        <w:spacing w:line="560" w:lineRule="exact"/>
        <w:ind w:firstLine="3456" w:firstLineChars="1646"/>
        <w:rPr>
          <w:rFonts w:hint="default" w:ascii="Times New Roman" w:hAnsi="Times New Roman" w:cs="Times New Roman"/>
          <w:b/>
          <w:color w:val="auto"/>
          <w:sz w:val="32"/>
          <w:szCs w:val="32"/>
        </w:rPr>
      </w:pPr>
      <w:r>
        <w:rPr>
          <w:rFonts w:hint="default" w:ascii="Times New Roman" w:hAnsi="Times New Roman" w:cs="Times New Roman"/>
          <w:color w:val="auto"/>
          <w:lang w:val="zh-CN"/>
        </w:rPr>
        <mc:AlternateContent>
          <mc:Choice Requires="wps">
            <w:drawing>
              <wp:anchor distT="0" distB="0" distL="114300" distR="114300" simplePos="0" relativeHeight="251671552" behindDoc="0" locked="0" layoutInCell="1" allowOverlap="1">
                <wp:simplePos x="0" y="0"/>
                <wp:positionH relativeFrom="column">
                  <wp:posOffset>6822440</wp:posOffset>
                </wp:positionH>
                <wp:positionV relativeFrom="paragraph">
                  <wp:posOffset>112395</wp:posOffset>
                </wp:positionV>
                <wp:extent cx="1486535" cy="633095"/>
                <wp:effectExtent l="4445" t="4445" r="414020" b="410210"/>
                <wp:wrapNone/>
                <wp:docPr id="13" name="AutoShape 299"/>
                <wp:cNvGraphicFramePr/>
                <a:graphic xmlns:a="http://schemas.openxmlformats.org/drawingml/2006/main">
                  <a:graphicData uri="http://schemas.microsoft.com/office/word/2010/wordprocessingShape">
                    <wps:wsp>
                      <wps:cNvSpPr/>
                      <wps:spPr>
                        <a:xfrm>
                          <a:off x="0" y="0"/>
                          <a:ext cx="1486535" cy="633095"/>
                        </a:xfrm>
                        <a:prstGeom prst="wedgeRoundRectCallout">
                          <a:avLst>
                            <a:gd name="adj1" fmla="val 74477"/>
                            <a:gd name="adj2" fmla="val 109380"/>
                            <a:gd name="adj3" fmla="val 16667"/>
                          </a:avLst>
                        </a:prstGeom>
                        <a:solidFill>
                          <a:srgbClr val="FFFFFF"/>
                        </a:solidFill>
                        <a:ln w="9525" cap="flat" cmpd="sng">
                          <a:solidFill>
                            <a:srgbClr val="0070C0"/>
                          </a:solidFill>
                          <a:prstDash val="solid"/>
                          <a:miter/>
                          <a:headEnd type="none" w="med" len="med"/>
                          <a:tailEnd type="none" w="med" len="med"/>
                        </a:ln>
                      </wps:spPr>
                      <wps:txb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东面</w:t>
                            </w:r>
                            <w:r>
                              <w:rPr>
                                <w:rFonts w:hint="eastAsia" w:ascii="Times New Roman" w:hAnsi="Times New Roman" w:eastAsia="宋体" w:cs="Times New Roman"/>
                                <w:sz w:val="24"/>
                                <w:lang w:val="en-US" w:eastAsia="zh-CN"/>
                              </w:rPr>
                              <w:t>610</w:t>
                            </w:r>
                            <w:r>
                              <w:rPr>
                                <w:rFonts w:hint="eastAsia" w:ascii="Times New Roman" w:hAnsi="Times New Roman" w:eastAsia="宋体" w:cs="Times New Roman"/>
                                <w:sz w:val="24"/>
                              </w:rPr>
                              <w:t>m</w:t>
                            </w:r>
                            <w:r>
                              <w:rPr>
                                <w:rFonts w:hint="eastAsia" w:ascii="Times New Roman" w:hAnsi="Times New Roman" w:eastAsia="宋体" w:cs="Times New Roman"/>
                                <w:sz w:val="24"/>
                                <w:lang w:val="zh-CN"/>
                              </w:rPr>
                              <w:t>兔子坪村居民点</w:t>
                            </w:r>
                          </w:p>
                        </w:txbxContent>
                      </wps:txbx>
                      <wps:bodyPr vert="horz" wrap="square" anchor="t" anchorCtr="0" upright="1"/>
                    </wps:wsp>
                  </a:graphicData>
                </a:graphic>
              </wp:anchor>
            </w:drawing>
          </mc:Choice>
          <mc:Fallback>
            <w:pict>
              <v:shape id="AutoShape 299" o:spid="_x0000_s1026" o:spt="62" type="#_x0000_t62" style="position:absolute;left:0pt;margin-left:537.2pt;margin-top:8.85pt;height:49.85pt;width:117.05pt;z-index:251671552;mso-width-relative:page;mso-height-relative:page;" fillcolor="#FFFFFF" filled="t" stroked="t" coordsize="21600,21600" o:gfxdata="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vxQ&#10;INoAAAAMAQAADwAAAAAAAAABACAAAAAiAAAAZHJzL2Rvd25yZXYueG1sUEsBAhQAFAAAAAgAh07i&#10;QF1wMdRZAgAA6QQAAA4AAAAAAAAAAQAgAAAAKQEAAGRycy9lMm9Eb2MueG1sUEsFBgAAAAAGAAYA&#10;WQEAAPQFAAAAAA==&#10;" adj="26887,34426,14400">
                <v:fill on="t" focussize="0,0"/>
                <v:stroke color="#0070C0" joinstyle="miter"/>
                <v:imagedata o:title=""/>
                <o:lock v:ext="edit" aspectratio="f"/>
                <v:textbo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东面</w:t>
                      </w:r>
                      <w:r>
                        <w:rPr>
                          <w:rFonts w:hint="eastAsia" w:ascii="Times New Roman" w:hAnsi="Times New Roman" w:eastAsia="宋体" w:cs="Times New Roman"/>
                          <w:sz w:val="24"/>
                          <w:lang w:val="en-US" w:eastAsia="zh-CN"/>
                        </w:rPr>
                        <w:t>610</w:t>
                      </w:r>
                      <w:r>
                        <w:rPr>
                          <w:rFonts w:hint="eastAsia" w:ascii="Times New Roman" w:hAnsi="Times New Roman" w:eastAsia="宋体" w:cs="Times New Roman"/>
                          <w:sz w:val="24"/>
                        </w:rPr>
                        <w:t>m</w:t>
                      </w:r>
                      <w:r>
                        <w:rPr>
                          <w:rFonts w:hint="eastAsia" w:ascii="Times New Roman" w:hAnsi="Times New Roman" w:eastAsia="宋体" w:cs="Times New Roman"/>
                          <w:sz w:val="24"/>
                          <w:lang w:val="zh-CN"/>
                        </w:rPr>
                        <w:t>兔子坪村居民点</w:t>
                      </w:r>
                    </w:p>
                  </w:txbxContent>
                </v:textbox>
              </v:shape>
            </w:pict>
          </mc:Fallback>
        </mc:AlternateContent>
      </w: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3456" w:firstLineChars="1646"/>
        <w:rPr>
          <w:rFonts w:hint="default" w:ascii="Times New Roman" w:hAnsi="Times New Roman" w:cs="Times New Roman"/>
          <w:b/>
          <w:color w:val="auto"/>
          <w:sz w:val="32"/>
          <w:szCs w:val="32"/>
        </w:rPr>
      </w:pPr>
      <w:r>
        <w:rPr>
          <w:rFonts w:hint="default" w:ascii="Times New Roman" w:hAnsi="Times New Roman" w:cs="Times New Roman"/>
          <w:color w:val="auto"/>
          <w:lang w:val="zh-CN"/>
        </w:rPr>
        <mc:AlternateContent>
          <mc:Choice Requires="wps">
            <w:drawing>
              <wp:anchor distT="0" distB="0" distL="114300" distR="114300" simplePos="0" relativeHeight="251675648" behindDoc="0" locked="0" layoutInCell="1" allowOverlap="1">
                <wp:simplePos x="0" y="0"/>
                <wp:positionH relativeFrom="column">
                  <wp:posOffset>5288280</wp:posOffset>
                </wp:positionH>
                <wp:positionV relativeFrom="paragraph">
                  <wp:posOffset>195580</wp:posOffset>
                </wp:positionV>
                <wp:extent cx="1486535" cy="633095"/>
                <wp:effectExtent l="554990" t="163830" r="15875" b="22225"/>
                <wp:wrapNone/>
                <wp:docPr id="19" name="AutoShape 323"/>
                <wp:cNvGraphicFramePr/>
                <a:graphic xmlns:a="http://schemas.openxmlformats.org/drawingml/2006/main">
                  <a:graphicData uri="http://schemas.microsoft.com/office/word/2010/wordprocessingShape">
                    <wps:wsp>
                      <wps:cNvSpPr>
                        <a:spLocks noChangeArrowheads="1"/>
                      </wps:cNvSpPr>
                      <wps:spPr bwMode="auto">
                        <a:xfrm>
                          <a:off x="0" y="0"/>
                          <a:ext cx="1486535" cy="633095"/>
                        </a:xfrm>
                        <a:prstGeom prst="wedgeRoundRectCallout">
                          <a:avLst>
                            <a:gd name="adj1" fmla="val -85113"/>
                            <a:gd name="adj2" fmla="val -72668"/>
                            <a:gd name="adj3" fmla="val 16667"/>
                          </a:avLst>
                        </a:prstGeom>
                        <a:solidFill>
                          <a:srgbClr val="FFFFFF"/>
                        </a:solidFill>
                        <a:ln w="9525">
                          <a:solidFill>
                            <a:srgbClr val="0070C0"/>
                          </a:solidFill>
                          <a:miter lim="800000"/>
                        </a:ln>
                        <a:effectLst/>
                      </wps:spPr>
                      <wps:txb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南面</w:t>
                            </w:r>
                            <w:r>
                              <w:rPr>
                                <w:rFonts w:hint="eastAsia" w:ascii="Times New Roman" w:hAnsi="Times New Roman" w:eastAsia="宋体" w:cs="Times New Roman"/>
                                <w:sz w:val="24"/>
                                <w:lang w:val="en-US" w:eastAsia="zh-CN"/>
                              </w:rPr>
                              <w:t>190m</w:t>
                            </w:r>
                            <w:r>
                              <w:rPr>
                                <w:rFonts w:hint="eastAsia" w:ascii="Times New Roman" w:hAnsi="Times New Roman" w:eastAsia="宋体" w:cs="Times New Roman"/>
                                <w:sz w:val="24"/>
                                <w:lang w:val="zh-CN"/>
                              </w:rPr>
                              <w:t>兔子坪村居民点</w:t>
                            </w:r>
                          </w:p>
                        </w:txbxContent>
                      </wps:txbx>
                      <wps:bodyPr rot="0" vert="horz" wrap="square" lIns="91440" tIns="45720" rIns="91440" bIns="45720" anchor="t" anchorCtr="0" upright="1">
                        <a:noAutofit/>
                      </wps:bodyPr>
                    </wps:wsp>
                  </a:graphicData>
                </a:graphic>
              </wp:anchor>
            </w:drawing>
          </mc:Choice>
          <mc:Fallback>
            <w:pict>
              <v:shape id="AutoShape 323" o:spid="_x0000_s1026" o:spt="62" type="#_x0000_t62" style="position:absolute;left:0pt;margin-left:416.4pt;margin-top:15.4pt;height:49.85pt;width:117.05pt;z-index:251675648;mso-width-relative:page;mso-height-relative:page;" fillcolor="#FFFFFF" filled="t" stroked="t" coordsize="21600,21600" o:gfxdata="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H2c9tsAAAALAQAADwAAAAAAAAABACAAAAAiAAAA&#10;ZHJzL2Rvd25yZXYueG1sUEsBAhQAFAAAAAgAh07iQCjONT12AgAAFgUAAA4AAAAAAAAAAQAgAAAA&#10;KgEAAGRycy9lMm9Eb2MueG1sUEsFBgAAAAAGAAYAWQEAABIGAAAAAA==&#10;" adj="-7584,-4896,14400">
                <v:fill on="t" focussize="0,0"/>
                <v:stroke color="#0070C0" miterlimit="8" joinstyle="miter"/>
                <v:imagedata o:title=""/>
                <o:lock v:ext="edit" aspectratio="f"/>
                <v:textbo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南面</w:t>
                      </w:r>
                      <w:r>
                        <w:rPr>
                          <w:rFonts w:hint="eastAsia" w:ascii="Times New Roman" w:hAnsi="Times New Roman" w:eastAsia="宋体" w:cs="Times New Roman"/>
                          <w:sz w:val="24"/>
                          <w:lang w:val="en-US" w:eastAsia="zh-CN"/>
                        </w:rPr>
                        <w:t>190m</w:t>
                      </w:r>
                      <w:r>
                        <w:rPr>
                          <w:rFonts w:hint="eastAsia" w:ascii="Times New Roman" w:hAnsi="Times New Roman" w:eastAsia="宋体" w:cs="Times New Roman"/>
                          <w:sz w:val="24"/>
                          <w:lang w:val="zh-CN"/>
                        </w:rPr>
                        <w:t>兔子坪村居民点</w:t>
                      </w:r>
                    </w:p>
                  </w:txbxContent>
                </v:textbox>
              </v:shape>
            </w:pict>
          </mc:Fallback>
        </mc:AlternateContent>
      </w:r>
    </w:p>
    <w:p>
      <w:pPr>
        <w:spacing w:line="560" w:lineRule="exact"/>
        <w:ind w:firstLine="3456" w:firstLineChars="1646"/>
        <w:rPr>
          <w:rFonts w:hint="default" w:ascii="Times New Roman" w:hAnsi="Times New Roman" w:cs="Times New Roman"/>
          <w:b/>
          <w:color w:val="auto"/>
          <w:sz w:val="32"/>
          <w:szCs w:val="32"/>
        </w:rPr>
      </w:pPr>
      <w:r>
        <w:rPr>
          <w:rFonts w:hint="default" w:ascii="Times New Roman" w:hAnsi="Times New Roman" w:cs="Times New Roman"/>
          <w:color w:val="auto"/>
          <w:lang w:val="zh-CN"/>
        </w:rPr>
        <mc:AlternateContent>
          <mc:Choice Requires="wps">
            <w:drawing>
              <wp:anchor distT="0" distB="0" distL="114300" distR="114300" simplePos="0" relativeHeight="251716608" behindDoc="0" locked="0" layoutInCell="1" allowOverlap="1">
                <wp:simplePos x="0" y="0"/>
                <wp:positionH relativeFrom="column">
                  <wp:posOffset>1375410</wp:posOffset>
                </wp:positionH>
                <wp:positionV relativeFrom="paragraph">
                  <wp:posOffset>80645</wp:posOffset>
                </wp:positionV>
                <wp:extent cx="1486535" cy="633095"/>
                <wp:effectExtent l="4445" t="4445" r="356870" b="276860"/>
                <wp:wrapNone/>
                <wp:docPr id="51" name="AutoShape 324"/>
                <wp:cNvGraphicFramePr/>
                <a:graphic xmlns:a="http://schemas.openxmlformats.org/drawingml/2006/main">
                  <a:graphicData uri="http://schemas.microsoft.com/office/word/2010/wordprocessingShape">
                    <wps:wsp>
                      <wps:cNvSpPr>
                        <a:spLocks noChangeArrowheads="1"/>
                      </wps:cNvSpPr>
                      <wps:spPr bwMode="auto">
                        <a:xfrm>
                          <a:off x="0" y="0"/>
                          <a:ext cx="1486535" cy="633095"/>
                        </a:xfrm>
                        <a:prstGeom prst="wedgeRoundRectCallout">
                          <a:avLst>
                            <a:gd name="adj1" fmla="val 71358"/>
                            <a:gd name="adj2" fmla="val 90020"/>
                            <a:gd name="adj3" fmla="val 16667"/>
                          </a:avLst>
                        </a:prstGeom>
                        <a:solidFill>
                          <a:srgbClr val="FFFFFF"/>
                        </a:solidFill>
                        <a:ln w="9525">
                          <a:solidFill>
                            <a:srgbClr val="0070C0"/>
                          </a:solidFill>
                          <a:miter lim="800000"/>
                        </a:ln>
                        <a:effectLst/>
                      </wps:spPr>
                      <wps:txb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西</w:t>
                            </w:r>
                            <w:r>
                              <w:rPr>
                                <w:rFonts w:hint="eastAsia" w:ascii="Times New Roman" w:hAnsi="Times New Roman" w:eastAsia="宋体" w:cs="Times New Roman"/>
                                <w:sz w:val="24"/>
                                <w:lang w:eastAsia="zh-CN"/>
                              </w:rPr>
                              <w:t>南</w:t>
                            </w:r>
                            <w:r>
                              <w:rPr>
                                <w:rFonts w:hint="eastAsia" w:ascii="Times New Roman" w:hAnsi="Times New Roman" w:eastAsia="宋体" w:cs="Times New Roman"/>
                                <w:sz w:val="24"/>
                              </w:rPr>
                              <w:t>面</w:t>
                            </w:r>
                            <w:r>
                              <w:rPr>
                                <w:rFonts w:hint="eastAsia" w:ascii="Times New Roman" w:hAnsi="Times New Roman" w:eastAsia="宋体" w:cs="Times New Roman"/>
                                <w:sz w:val="24"/>
                                <w:lang w:val="en-US" w:eastAsia="zh-CN"/>
                              </w:rPr>
                              <w:t>450</w:t>
                            </w:r>
                            <w:r>
                              <w:rPr>
                                <w:rFonts w:hint="eastAsia" w:ascii="Times New Roman" w:hAnsi="Times New Roman" w:eastAsia="宋体" w:cs="Times New Roman"/>
                                <w:sz w:val="24"/>
                              </w:rPr>
                              <w:t>m</w:t>
                            </w:r>
                            <w:r>
                              <w:rPr>
                                <w:rFonts w:hint="eastAsia" w:ascii="Times New Roman" w:hAnsi="Times New Roman" w:eastAsia="宋体" w:cs="Times New Roman"/>
                                <w:sz w:val="24"/>
                                <w:lang w:val="zh-CN"/>
                              </w:rPr>
                              <w:t>铁芦冲居民点</w:t>
                            </w:r>
                          </w:p>
                        </w:txbxContent>
                      </wps:txbx>
                      <wps:bodyPr rot="0" vert="horz" wrap="square" lIns="91440" tIns="45720" rIns="91440" bIns="45720" anchor="t" anchorCtr="0" upright="1">
                        <a:noAutofit/>
                      </wps:bodyPr>
                    </wps:wsp>
                  </a:graphicData>
                </a:graphic>
              </wp:anchor>
            </w:drawing>
          </mc:Choice>
          <mc:Fallback>
            <w:pict>
              <v:shape id="AutoShape 324" o:spid="_x0000_s1026" o:spt="62" type="#_x0000_t62" style="position:absolute;left:0pt;margin-left:108.3pt;margin-top:6.35pt;height:49.85pt;width:117.05pt;z-index:251716608;mso-width-relative:page;mso-height-relative:page;" fillcolor="#FFFFFF" filled="t" stroked="t" coordsize="21600,21600" o:gfxdata="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5F052AAAAAoBAAAPAAAAAAAAAAEAIAAAACIAAABkcnMvZG93&#10;bnJldi54bWxQSwECFAAUAAAACACHTuJAkCqpkHICAAAUBQAADgAAAAAAAAABACAAAAAnAQAAZHJz&#10;L2Uyb0RvYy54bWxQSwUGAAAAAAYABgBZAQAACwYAAAAA&#10;" adj="26213,30244,14400">
                <v:fill on="t" focussize="0,0"/>
                <v:stroke color="#0070C0" miterlimit="8" joinstyle="miter"/>
                <v:imagedata o:title=""/>
                <o:lock v:ext="edit" aspectratio="f"/>
                <v:textbox>
                  <w:txbxContent>
                    <w:p>
                      <w:pPr>
                        <w:rPr>
                          <w:rFonts w:hint="eastAsia" w:ascii="Times New Roman" w:hAnsi="Times New Roman" w:eastAsia="宋体" w:cs="Times New Roman"/>
                          <w:sz w:val="24"/>
                          <w:lang w:val="zh-CN"/>
                        </w:rPr>
                      </w:pPr>
                      <w:r>
                        <w:rPr>
                          <w:rFonts w:hint="eastAsia" w:ascii="Times New Roman" w:hAnsi="Times New Roman" w:eastAsia="宋体" w:cs="Times New Roman"/>
                          <w:sz w:val="24"/>
                        </w:rPr>
                        <w:t>西</w:t>
                      </w:r>
                      <w:r>
                        <w:rPr>
                          <w:rFonts w:hint="eastAsia" w:ascii="Times New Roman" w:hAnsi="Times New Roman" w:eastAsia="宋体" w:cs="Times New Roman"/>
                          <w:sz w:val="24"/>
                          <w:lang w:eastAsia="zh-CN"/>
                        </w:rPr>
                        <w:t>南</w:t>
                      </w:r>
                      <w:r>
                        <w:rPr>
                          <w:rFonts w:hint="eastAsia" w:ascii="Times New Roman" w:hAnsi="Times New Roman" w:eastAsia="宋体" w:cs="Times New Roman"/>
                          <w:sz w:val="24"/>
                        </w:rPr>
                        <w:t>面</w:t>
                      </w:r>
                      <w:r>
                        <w:rPr>
                          <w:rFonts w:hint="eastAsia" w:ascii="Times New Roman" w:hAnsi="Times New Roman" w:eastAsia="宋体" w:cs="Times New Roman"/>
                          <w:sz w:val="24"/>
                          <w:lang w:val="en-US" w:eastAsia="zh-CN"/>
                        </w:rPr>
                        <w:t>450</w:t>
                      </w:r>
                      <w:r>
                        <w:rPr>
                          <w:rFonts w:hint="eastAsia" w:ascii="Times New Roman" w:hAnsi="Times New Roman" w:eastAsia="宋体" w:cs="Times New Roman"/>
                          <w:sz w:val="24"/>
                        </w:rPr>
                        <w:t>m</w:t>
                      </w:r>
                      <w:r>
                        <w:rPr>
                          <w:rFonts w:hint="eastAsia" w:ascii="Times New Roman" w:hAnsi="Times New Roman" w:eastAsia="宋体" w:cs="Times New Roman"/>
                          <w:sz w:val="24"/>
                          <w:lang w:val="zh-CN"/>
                        </w:rPr>
                        <w:t>铁芦冲居民点</w:t>
                      </w:r>
                    </w:p>
                  </w:txbxContent>
                </v:textbox>
              </v:shape>
            </w:pict>
          </mc:Fallback>
        </mc:AlternateContent>
      </w: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jc w:val="center"/>
        <w:rPr>
          <w:rFonts w:hint="default" w:ascii="Times New Roman" w:hAnsi="Times New Roman" w:cs="Times New Roman"/>
          <w:b/>
          <w:color w:val="auto"/>
          <w:sz w:val="32"/>
          <w:szCs w:val="32"/>
          <w:highlight w:val="none"/>
        </w:rPr>
        <w:sectPr>
          <w:headerReference r:id="rId10" w:type="default"/>
          <w:footerReference r:id="rId11" w:type="default"/>
          <w:pgSz w:w="16838" w:h="11906" w:orient="landscape"/>
          <w:pgMar w:top="1531" w:right="1701" w:bottom="1531" w:left="1701" w:header="851" w:footer="992" w:gutter="0"/>
          <w:paperSrc/>
          <w:pgNumType w:fmt="decimal"/>
          <w:cols w:space="720" w:num="1"/>
          <w:rtlGutter w:val="0"/>
          <w:docGrid w:type="lines" w:linePitch="322" w:charSpace="0"/>
        </w:sectPr>
      </w:pPr>
      <w:r>
        <w:rPr>
          <w:rFonts w:hint="default" w:ascii="Times New Roman" w:hAnsi="Times New Roman" w:cs="Times New Roman"/>
          <w:b/>
          <w:color w:val="auto"/>
          <w:sz w:val="32"/>
          <w:szCs w:val="32"/>
        </w:rPr>
        <w:t xml:space="preserve">附图3    </w:t>
      </w:r>
      <w:r>
        <w:rPr>
          <w:rFonts w:hint="default" w:ascii="Times New Roman" w:hAnsi="Times New Roman" w:cs="Times New Roman"/>
          <w:b/>
          <w:color w:val="auto"/>
          <w:sz w:val="32"/>
          <w:szCs w:val="32"/>
          <w:highlight w:val="none"/>
        </w:rPr>
        <w:t>周边环境敏感目标分布图</w:t>
      </w:r>
    </w:p>
    <w:p>
      <w:pPr>
        <w:jc w:val="center"/>
        <w:rPr>
          <w:rFonts w:hint="default" w:ascii="Times New Roman" w:hAnsi="Times New Roman" w:cs="Times New Roman"/>
          <w:b/>
          <w:bCs/>
          <w:color w:val="auto"/>
          <w:sz w:val="32"/>
          <w:szCs w:val="32"/>
        </w:rPr>
      </w:pPr>
      <w:r>
        <w:rPr>
          <w:rFonts w:hint="default" w:ascii="Times New Roman" w:hAnsi="Times New Roman" w:cs="Times New Roman"/>
          <w:color w:val="auto"/>
        </w:rPr>
        <w:drawing>
          <wp:anchor distT="0" distB="0" distL="114300" distR="114300" simplePos="0" relativeHeight="251677696" behindDoc="0" locked="0" layoutInCell="1" allowOverlap="1">
            <wp:simplePos x="0" y="0"/>
            <wp:positionH relativeFrom="column">
              <wp:posOffset>81280</wp:posOffset>
            </wp:positionH>
            <wp:positionV relativeFrom="paragraph">
              <wp:posOffset>163195</wp:posOffset>
            </wp:positionV>
            <wp:extent cx="952500" cy="762000"/>
            <wp:effectExtent l="0" t="0" r="0" b="0"/>
            <wp:wrapNone/>
            <wp:docPr id="1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2"/>
                    <pic:cNvPicPr>
                      <a:picLocks noChangeAspect="1"/>
                    </pic:cNvPicPr>
                  </pic:nvPicPr>
                  <pic:blipFill>
                    <a:blip r:embed="rId23"/>
                    <a:stretch>
                      <a:fillRect/>
                    </a:stretch>
                  </pic:blipFill>
                  <pic:spPr>
                    <a:xfrm>
                      <a:off x="0" y="0"/>
                      <a:ext cx="952500" cy="762000"/>
                    </a:xfrm>
                    <a:prstGeom prst="rect">
                      <a:avLst/>
                    </a:prstGeom>
                    <a:noFill/>
                    <a:ln>
                      <a:noFill/>
                    </a:ln>
                  </pic:spPr>
                </pic:pic>
              </a:graphicData>
            </a:graphic>
          </wp:anchor>
        </w:drawing>
      </w:r>
    </w:p>
    <w:p>
      <w:pPr>
        <w:jc w:val="center"/>
        <w:rPr>
          <w:rFonts w:hint="default" w:ascii="Times New Roman" w:hAnsi="Times New Roman" w:cs="Times New Roman"/>
          <w:b/>
          <w:bCs/>
          <w:color w:val="auto"/>
          <w:sz w:val="32"/>
          <w:szCs w:val="32"/>
        </w:rPr>
      </w:pPr>
    </w:p>
    <w:p>
      <w:pPr>
        <w:jc w:val="center"/>
        <w:rPr>
          <w:rFonts w:hint="default" w:ascii="Times New Roman" w:hAnsi="Times New Roman" w:cs="Times New Roman"/>
          <w:b/>
          <w:bCs/>
          <w:color w:val="auto"/>
          <w:sz w:val="32"/>
          <w:szCs w:val="32"/>
        </w:rPr>
      </w:pPr>
      <w:r>
        <w:rPr>
          <w:color w:val="auto"/>
        </w:rPr>
        <w:drawing>
          <wp:anchor distT="0" distB="0" distL="114300" distR="114300" simplePos="0" relativeHeight="251663360" behindDoc="1" locked="0" layoutInCell="1" allowOverlap="1">
            <wp:simplePos x="0" y="0"/>
            <wp:positionH relativeFrom="column">
              <wp:posOffset>-200025</wp:posOffset>
            </wp:positionH>
            <wp:positionV relativeFrom="paragraph">
              <wp:posOffset>-392430</wp:posOffset>
            </wp:positionV>
            <wp:extent cx="8909050" cy="5022850"/>
            <wp:effectExtent l="0" t="0" r="6350" b="6350"/>
            <wp:wrapNone/>
            <wp:docPr id="5"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6"/>
                    <pic:cNvPicPr>
                      <a:picLocks noChangeAspect="1"/>
                    </pic:cNvPicPr>
                  </pic:nvPicPr>
                  <pic:blipFill>
                    <a:blip r:embed="rId26"/>
                    <a:stretch>
                      <a:fillRect/>
                    </a:stretch>
                  </pic:blipFill>
                  <pic:spPr>
                    <a:xfrm>
                      <a:off x="0" y="0"/>
                      <a:ext cx="8909050" cy="5022850"/>
                    </a:xfrm>
                    <a:prstGeom prst="rect">
                      <a:avLst/>
                    </a:prstGeom>
                    <a:noFill/>
                    <a:ln>
                      <a:noFill/>
                    </a:ln>
                  </pic:spPr>
                </pic:pic>
              </a:graphicData>
            </a:graphic>
          </wp:anchor>
        </w:drawing>
      </w:r>
    </w:p>
    <w:p>
      <w:pPr>
        <w:jc w:val="center"/>
        <w:rPr>
          <w:rFonts w:hint="default" w:ascii="Times New Roman" w:hAnsi="Times New Roman" w:cs="Times New Roman"/>
          <w:b/>
          <w:bCs/>
          <w:color w:val="auto"/>
          <w:sz w:val="32"/>
          <w:szCs w:val="32"/>
        </w:rPr>
      </w:pPr>
    </w:p>
    <w:p>
      <w:pPr>
        <w:jc w:val="center"/>
        <w:rPr>
          <w:rFonts w:hint="default" w:ascii="Times New Roman" w:hAnsi="Times New Roman" w:cs="Times New Roman"/>
          <w:b/>
          <w:bCs/>
          <w:color w:val="auto"/>
          <w:sz w:val="32"/>
          <w:szCs w:val="32"/>
        </w:rPr>
      </w:pPr>
    </w:p>
    <w:p>
      <w:pPr>
        <w:jc w:val="center"/>
        <w:rPr>
          <w:rFonts w:hint="default" w:ascii="Times New Roman" w:hAnsi="Times New Roman" w:cs="Times New Roman"/>
          <w:b/>
          <w:bCs/>
          <w:color w:val="auto"/>
          <w:sz w:val="32"/>
          <w:szCs w:val="32"/>
        </w:rPr>
      </w:pPr>
    </w:p>
    <w:p>
      <w:pPr>
        <w:jc w:val="center"/>
        <w:rPr>
          <w:rFonts w:hint="default" w:ascii="Times New Roman" w:hAnsi="Times New Roman" w:cs="Times New Roman"/>
          <w:b/>
          <w:bCs/>
          <w:color w:val="auto"/>
          <w:sz w:val="32"/>
          <w:szCs w:val="32"/>
        </w:rPr>
      </w:pPr>
    </w:p>
    <w:p>
      <w:pPr>
        <w:jc w:val="center"/>
        <w:rPr>
          <w:rFonts w:hint="default" w:ascii="Times New Roman" w:hAnsi="Times New Roman" w:cs="Times New Roman"/>
          <w:b/>
          <w:bCs/>
          <w:color w:val="auto"/>
          <w:sz w:val="32"/>
          <w:szCs w:val="32"/>
        </w:rPr>
      </w:pPr>
    </w:p>
    <w:p>
      <w:pPr>
        <w:jc w:val="center"/>
        <w:rPr>
          <w:rFonts w:hint="default" w:ascii="Times New Roman" w:hAnsi="Times New Roman" w:cs="Times New Roman"/>
          <w:b/>
          <w:bCs/>
          <w:color w:val="auto"/>
          <w:sz w:val="32"/>
          <w:szCs w:val="32"/>
        </w:rPr>
      </w:pPr>
      <w:r>
        <w:rPr>
          <w:rFonts w:hint="default" w:ascii="Times New Roman" w:hAnsi="Times New Roman" w:cs="Times New Roman"/>
          <w:color w:val="auto"/>
          <w:sz w:val="28"/>
        </w:rPr>
        <mc:AlternateContent>
          <mc:Choice Requires="wps">
            <w:drawing>
              <wp:anchor distT="0" distB="0" distL="114300" distR="114300" simplePos="0" relativeHeight="251678720" behindDoc="0" locked="0" layoutInCell="1" allowOverlap="1">
                <wp:simplePos x="0" y="0"/>
                <wp:positionH relativeFrom="column">
                  <wp:posOffset>4171315</wp:posOffset>
                </wp:positionH>
                <wp:positionV relativeFrom="paragraph">
                  <wp:posOffset>200660</wp:posOffset>
                </wp:positionV>
                <wp:extent cx="492760" cy="320040"/>
                <wp:effectExtent l="0" t="0" r="0" b="0"/>
                <wp:wrapNone/>
                <wp:docPr id="18" name="Text Box 349"/>
                <wp:cNvGraphicFramePr/>
                <a:graphic xmlns:a="http://schemas.openxmlformats.org/drawingml/2006/main">
                  <a:graphicData uri="http://schemas.microsoft.com/office/word/2010/wordprocessingShape">
                    <wps:wsp>
                      <wps:cNvSpPr txBox="1">
                        <a:spLocks noChangeArrowheads="1"/>
                      </wps:cNvSpPr>
                      <wps:spPr bwMode="auto">
                        <a:xfrm>
                          <a:off x="0" y="0"/>
                          <a:ext cx="492760" cy="320040"/>
                        </a:xfrm>
                        <a:prstGeom prst="rect">
                          <a:avLst/>
                        </a:prstGeom>
                        <a:noFill/>
                        <a:ln>
                          <a:noFill/>
                        </a:ln>
                        <a:effectLst/>
                      </wps:spPr>
                      <wps:txbx>
                        <w:txbxContent>
                          <w:p>
                            <w:pPr>
                              <w:rPr>
                                <w:rFonts w:hint="eastAsia" w:eastAsia="宋体"/>
                                <w:highlight w:val="yellow"/>
                                <w:lang w:val="en-US" w:eastAsia="zh-CN"/>
                              </w:rPr>
                            </w:pPr>
                            <w:r>
                              <w:rPr>
                                <w:rFonts w:hint="eastAsia"/>
                                <w:highlight w:val="yellow"/>
                              </w:rPr>
                              <w:t>G</w:t>
                            </w:r>
                            <w:r>
                              <w:rPr>
                                <w:rFonts w:hint="eastAsia"/>
                                <w:highlight w:val="yellow"/>
                                <w:lang w:val="en-US" w:eastAsia="zh-CN"/>
                              </w:rPr>
                              <w:t>1</w:t>
                            </w:r>
                          </w:p>
                        </w:txbxContent>
                      </wps:txbx>
                      <wps:bodyPr rot="0" vert="horz" wrap="square" lIns="91440" tIns="45720" rIns="91440" bIns="45720" anchor="t" anchorCtr="0" upright="1">
                        <a:noAutofit/>
                      </wps:bodyPr>
                    </wps:wsp>
                  </a:graphicData>
                </a:graphic>
              </wp:anchor>
            </w:drawing>
          </mc:Choice>
          <mc:Fallback>
            <w:pict>
              <v:shape id="Text Box 349" o:spid="_x0000_s1026" o:spt="202" type="#_x0000_t202" style="position:absolute;left:0pt;margin-left:328.45pt;margin-top:15.8pt;height:25.2pt;width:38.8pt;z-index:251678720;mso-width-relative:page;mso-height-relative:page;" filled="f" stroked="f" coordsize="21600,21600" o:gfxdata="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qKvHrXAAAACQEAAA8AAAAAAAAAAQAgAAAA&#10;IgAAAGRycy9kb3ducmV2LnhtbFBLAQIUABQAAAAIAIdO4kD7lgQUDAIAACQEAAAOAAAAAAAAAAEA&#10;IAAAACYBAABkcnMvZTJvRG9jLnhtbFBLBQYAAAAABgAGAFkBAACkBQAAAAA=&#10;">
                <v:fill on="f" focussize="0,0"/>
                <v:stroke on="f"/>
                <v:imagedata o:title=""/>
                <o:lock v:ext="edit" aspectratio="f"/>
                <v:textbox>
                  <w:txbxContent>
                    <w:p>
                      <w:pPr>
                        <w:rPr>
                          <w:rFonts w:hint="eastAsia" w:eastAsia="宋体"/>
                          <w:highlight w:val="yellow"/>
                          <w:lang w:val="en-US" w:eastAsia="zh-CN"/>
                        </w:rPr>
                      </w:pPr>
                      <w:r>
                        <w:rPr>
                          <w:rFonts w:hint="eastAsia"/>
                          <w:highlight w:val="yellow"/>
                        </w:rPr>
                        <w:t>G</w:t>
                      </w:r>
                      <w:r>
                        <w:rPr>
                          <w:rFonts w:hint="eastAsia"/>
                          <w:highlight w:val="yellow"/>
                          <w:lang w:val="en-US" w:eastAsia="zh-CN"/>
                        </w:rPr>
                        <w:t>1</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9984" behindDoc="0" locked="0" layoutInCell="1" allowOverlap="1">
                <wp:simplePos x="0" y="0"/>
                <wp:positionH relativeFrom="column">
                  <wp:posOffset>4695825</wp:posOffset>
                </wp:positionH>
                <wp:positionV relativeFrom="paragraph">
                  <wp:posOffset>24130</wp:posOffset>
                </wp:positionV>
                <wp:extent cx="596265" cy="320040"/>
                <wp:effectExtent l="0" t="0" r="0" b="0"/>
                <wp:wrapNone/>
                <wp:docPr id="25"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a:effectLst/>
                      </wps:spPr>
                      <wps:txbx>
                        <w:txbxContent>
                          <w:p>
                            <w:pPr>
                              <w:rPr>
                                <w:rFonts w:hint="eastAsia" w:eastAsia="宋体"/>
                                <w:highlight w:val="yellow"/>
                                <w:lang w:eastAsia="zh-CN"/>
                              </w:rPr>
                            </w:pPr>
                            <w:r>
                              <w:rPr>
                                <w:rFonts w:hint="eastAsia"/>
                                <w:highlight w:val="yellow"/>
                              </w:rPr>
                              <w:t>N</w:t>
                            </w:r>
                            <w:r>
                              <w:rPr>
                                <w:rFonts w:hint="eastAsia"/>
                                <w:highlight w:val="yellow"/>
                                <w:lang w:val="en-US" w:eastAsia="zh-CN"/>
                              </w:rPr>
                              <w:t>4</w:t>
                            </w:r>
                          </w:p>
                        </w:txbxContent>
                      </wps:txbx>
                      <wps:bodyPr rot="0" vert="horz" wrap="square" lIns="91440" tIns="45720" rIns="91440" bIns="45720" anchor="t" anchorCtr="0" upright="1">
                        <a:noAutofit/>
                      </wps:bodyPr>
                    </wps:wsp>
                  </a:graphicData>
                </a:graphic>
              </wp:anchor>
            </w:drawing>
          </mc:Choice>
          <mc:Fallback>
            <w:pict>
              <v:shape id="Text Box 345" o:spid="_x0000_s1026" o:spt="202" type="#_x0000_t202" style="position:absolute;left:0pt;margin-left:369.75pt;margin-top:1.9pt;height:25.2pt;width:46.95pt;z-index:251689984;mso-width-relative:page;mso-height-relative:page;" filled="f" stroked="f" coordsize="21600,21600" o:gfxdata="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e4Y+3WAAAACAEAAA8AAAAAAAAAAQAgAAAA&#10;IgAAAGRycy9kb3ducmV2LnhtbFBLAQIUABQAAAAIAIdO4kDRp35VDQIAACQEAAAOAAAAAAAAAAEA&#10;IAAAACUBAABkcnMvZTJvRG9jLnhtbFBLBQYAAAAABgAGAFkBAACkBQAAAAA=&#10;">
                <v:fill on="f" focussize="0,0"/>
                <v:stroke on="f"/>
                <v:imagedata o:title=""/>
                <o:lock v:ext="edit" aspectratio="f"/>
                <v:textbox>
                  <w:txbxContent>
                    <w:p>
                      <w:pPr>
                        <w:rPr>
                          <w:rFonts w:hint="eastAsia" w:eastAsia="宋体"/>
                          <w:highlight w:val="yellow"/>
                          <w:lang w:eastAsia="zh-CN"/>
                        </w:rPr>
                      </w:pPr>
                      <w:r>
                        <w:rPr>
                          <w:rFonts w:hint="eastAsia"/>
                          <w:highlight w:val="yellow"/>
                        </w:rPr>
                        <w:t>N</w:t>
                      </w:r>
                      <w:r>
                        <w:rPr>
                          <w:rFonts w:hint="eastAsia"/>
                          <w:highlight w:val="yellow"/>
                          <w:lang w:val="en-US" w:eastAsia="zh-CN"/>
                        </w:rPr>
                        <w:t>4</w:t>
                      </w:r>
                    </w:p>
                  </w:txbxContent>
                </v:textbox>
              </v:shape>
            </w:pict>
          </mc:Fallback>
        </mc:AlternateContent>
      </w:r>
    </w:p>
    <w:p>
      <w:pPr>
        <w:jc w:val="center"/>
        <w:rPr>
          <w:rFonts w:hint="default" w:ascii="Times New Roman" w:hAnsi="Times New Roman" w:cs="Times New Roman"/>
          <w:b/>
          <w:bCs/>
          <w:color w:val="auto"/>
          <w:sz w:val="32"/>
          <w:szCs w:val="32"/>
        </w:rPr>
      </w:pPr>
      <w:r>
        <w:rPr>
          <w:rFonts w:hint="default" w:ascii="Times New Roman" w:hAnsi="Times New Roman" w:cs="Times New Roman"/>
          <w:color w:val="auto"/>
          <w:sz w:val="28"/>
        </w:rPr>
        <mc:AlternateContent>
          <mc:Choice Requires="wps">
            <w:drawing>
              <wp:anchor distT="0" distB="0" distL="114300" distR="114300" simplePos="0" relativeHeight="251712512" behindDoc="0" locked="0" layoutInCell="1" allowOverlap="1">
                <wp:simplePos x="0" y="0"/>
                <wp:positionH relativeFrom="column">
                  <wp:posOffset>4403725</wp:posOffset>
                </wp:positionH>
                <wp:positionV relativeFrom="paragraph">
                  <wp:posOffset>177165</wp:posOffset>
                </wp:positionV>
                <wp:extent cx="115570" cy="113030"/>
                <wp:effectExtent l="7620" t="7620" r="10160" b="12700"/>
                <wp:wrapNone/>
                <wp:docPr id="47" name="AutoShape 348"/>
                <wp:cNvGraphicFramePr/>
                <a:graphic xmlns:a="http://schemas.openxmlformats.org/drawingml/2006/main">
                  <a:graphicData uri="http://schemas.microsoft.com/office/word/2010/wordprocessingShape">
                    <wps:wsp>
                      <wps:cNvSpPr>
                        <a:spLocks noChangeArrowheads="1"/>
                      </wps:cNvSpPr>
                      <wps:spPr bwMode="auto">
                        <a:xfrm>
                          <a:off x="0" y="0"/>
                          <a:ext cx="115570" cy="113030"/>
                        </a:xfrm>
                        <a:prstGeom prst="donut">
                          <a:avLst>
                            <a:gd name="adj" fmla="val 25278"/>
                          </a:avLst>
                        </a:prstGeom>
                        <a:solidFill>
                          <a:srgbClr val="FF0000"/>
                        </a:solidFill>
                        <a:ln w="15875">
                          <a:solidFill>
                            <a:srgbClr val="FF0000"/>
                          </a:solidFill>
                          <a:round/>
                        </a:ln>
                        <a:effectLst/>
                      </wps:spPr>
                      <wps:bodyPr rot="0" vert="horz" wrap="square" lIns="91440" tIns="45720" rIns="91440" bIns="45720" anchor="t" anchorCtr="0" upright="1">
                        <a:noAutofit/>
                      </wps:bodyPr>
                    </wps:wsp>
                  </a:graphicData>
                </a:graphic>
              </wp:anchor>
            </w:drawing>
          </mc:Choice>
          <mc:Fallback>
            <w:pict>
              <v:shape id="AutoShape 348" o:spid="_x0000_s1026" o:spt="23" type="#_x0000_t23" style="position:absolute;left:0pt;margin-left:346.75pt;margin-top:13.95pt;height:8.9pt;width:9.1pt;z-index:251712512;mso-width-relative:page;mso-height-relative:page;" fillcolor="#FF0000" filled="t" stroked="t" coordsize="21600,21600" o:gfxdata="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KhKpzYAAAACQEAAA8AAAAAAAAAAQAgAAAAIgAAAGRy&#10;cy9kb3ducmV2LnhtbFBLAQIUABQAAAAIAIdO4kCes8EOPgIAAKMEAAAOAAAAAAAAAAEAIAAAACcB&#10;AABkcnMvZTJvRG9jLnhtbFBLBQYAAAAABgAGAFkBAADXBQAAAAA=&#10;" adj="5340">
                <v:fill on="t" focussize="0,0"/>
                <v:stroke weight="1.25pt" color="#FF0000" joinstyle="round"/>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5888" behindDoc="0" locked="0" layoutInCell="1" allowOverlap="1">
                <wp:simplePos x="0" y="0"/>
                <wp:positionH relativeFrom="column">
                  <wp:posOffset>4180205</wp:posOffset>
                </wp:positionH>
                <wp:positionV relativeFrom="paragraph">
                  <wp:posOffset>225425</wp:posOffset>
                </wp:positionV>
                <wp:extent cx="596265" cy="320040"/>
                <wp:effectExtent l="0" t="0" r="0" b="0"/>
                <wp:wrapNone/>
                <wp:docPr id="142"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a:effectLst/>
                      </wps:spPr>
                      <wps:txbx>
                        <w:txbxContent>
                          <w:p>
                            <w:pPr>
                              <w:rPr>
                                <w:rFonts w:hint="eastAsia" w:eastAsia="宋体"/>
                                <w:highlight w:val="yellow"/>
                                <w:lang w:eastAsia="zh-CN"/>
                              </w:rPr>
                            </w:pPr>
                            <w:r>
                              <w:rPr>
                                <w:rFonts w:hint="eastAsia"/>
                                <w:highlight w:val="yellow"/>
                              </w:rPr>
                              <w:t>N</w:t>
                            </w:r>
                            <w:r>
                              <w:rPr>
                                <w:rFonts w:hint="eastAsia"/>
                                <w:highlight w:val="yellow"/>
                                <w:lang w:val="en-US" w:eastAsia="zh-CN"/>
                              </w:rPr>
                              <w:t>3</w:t>
                            </w:r>
                          </w:p>
                        </w:txbxContent>
                      </wps:txbx>
                      <wps:bodyPr rot="0" vert="horz" wrap="square" lIns="91440" tIns="45720" rIns="91440" bIns="45720" anchor="t" anchorCtr="0" upright="1">
                        <a:noAutofit/>
                      </wps:bodyPr>
                    </wps:wsp>
                  </a:graphicData>
                </a:graphic>
              </wp:anchor>
            </w:drawing>
          </mc:Choice>
          <mc:Fallback>
            <w:pict>
              <v:shape id="Text Box 345" o:spid="_x0000_s1026" o:spt="202" type="#_x0000_t202" style="position:absolute;left:0pt;margin-left:329.15pt;margin-top:17.75pt;height:25.2pt;width:46.95pt;z-index:251685888;mso-width-relative:page;mso-height-relative:page;" filled="f" stroked="f" coordsize="21600,21600" o:gfxdata="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0QtNcAAAAJAQAADwAAAAAAAAABACAA&#10;AAAiAAAAZHJzL2Rvd25yZXYueG1sUEsBAhQAFAAAAAgAh07iQJpsgdUOAgAAJQQAAA4AAAAAAAAA&#10;AQAgAAAAJgEAAGRycy9lMm9Eb2MueG1sUEsFBgAAAAAGAAYAWQEAAKYFAAAAAA==&#10;">
                <v:fill on="f" focussize="0,0"/>
                <v:stroke on="f"/>
                <v:imagedata o:title=""/>
                <o:lock v:ext="edit" aspectratio="f"/>
                <v:textbox>
                  <w:txbxContent>
                    <w:p>
                      <w:pPr>
                        <w:rPr>
                          <w:rFonts w:hint="eastAsia" w:eastAsia="宋体"/>
                          <w:highlight w:val="yellow"/>
                          <w:lang w:eastAsia="zh-CN"/>
                        </w:rPr>
                      </w:pPr>
                      <w:r>
                        <w:rPr>
                          <w:rFonts w:hint="eastAsia"/>
                          <w:highlight w:val="yellow"/>
                        </w:rPr>
                        <w:t>N</w:t>
                      </w:r>
                      <w:r>
                        <w:rPr>
                          <w:rFonts w:hint="eastAsia"/>
                          <w:highlight w:val="yellow"/>
                          <w:lang w:val="en-US" w:eastAsia="zh-CN"/>
                        </w:rPr>
                        <w:t>3</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2816" behindDoc="0" locked="0" layoutInCell="1" allowOverlap="1">
                <wp:simplePos x="0" y="0"/>
                <wp:positionH relativeFrom="column">
                  <wp:posOffset>4697095</wp:posOffset>
                </wp:positionH>
                <wp:positionV relativeFrom="paragraph">
                  <wp:posOffset>20320</wp:posOffset>
                </wp:positionV>
                <wp:extent cx="86360" cy="113030"/>
                <wp:effectExtent l="11430" t="22225" r="16510" b="17145"/>
                <wp:wrapNone/>
                <wp:docPr id="138" name="AutoShape 351"/>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a:effectLst/>
                      </wps:spPr>
                      <wps:bodyPr rot="0" vert="horz" wrap="square" lIns="91440" tIns="45720" rIns="91440" bIns="45720" anchor="t" anchorCtr="0" upright="1">
                        <a:noAutofit/>
                      </wps:bodyPr>
                    </wps:wsp>
                  </a:graphicData>
                </a:graphic>
              </wp:anchor>
            </w:drawing>
          </mc:Choice>
          <mc:Fallback>
            <w:pict>
              <v:shape id="AutoShape 351" o:spid="_x0000_s1026" o:spt="5" type="#_x0000_t5" style="position:absolute;left:0pt;margin-left:369.85pt;margin-top:1.6pt;height:8.9pt;width:6.8pt;z-index:251682816;mso-width-relative:page;mso-height-relative:page;" fillcolor="#FF0000" filled="t" stroked="t" coordsize="21600,21600" o:gfxdata="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LnGqm2QAAAAgBAAAPAAAAAAAA&#10;AAEAIAAAACIAAABkcnMvZG93bnJldi54bWxQSwECFAAUAAAACACHTuJAI/xyvUoCAACzBAAADgAA&#10;AAAAAAABACAAAAAoAQAAZHJzL2Uyb0RvYy54bWxQSwUGAAAAAAYABgBZAQAA5AUAAAAA&#10;" adj="10800">
                <v:fill on="t" focussize="0,0"/>
                <v:stroke weight="1.25pt" color="#739CC3" miterlimit="8" joinstyle="miter"/>
                <v:imagedata o:title=""/>
                <o:lock v:ext="edit" aspectratio="f"/>
              </v:shape>
            </w:pict>
          </mc:Fallback>
        </mc:AlternateContent>
      </w:r>
    </w:p>
    <w:p>
      <w:pPr>
        <w:jc w:val="center"/>
        <w:rPr>
          <w:rFonts w:hint="default" w:ascii="Times New Roman" w:hAnsi="Times New Roman" w:cs="Times New Roman"/>
          <w:b/>
          <w:bCs/>
          <w:color w:val="auto"/>
          <w:sz w:val="32"/>
          <w:szCs w:val="32"/>
        </w:rPr>
      </w:pPr>
      <w:r>
        <w:rPr>
          <w:rFonts w:hint="default" w:ascii="Times New Roman" w:hAnsi="Times New Roman" w:cs="Times New Roman"/>
          <w:color w:val="auto"/>
          <w:sz w:val="28"/>
        </w:rPr>
        <mc:AlternateContent>
          <mc:Choice Requires="wps">
            <w:drawing>
              <wp:anchor distT="0" distB="0" distL="114300" distR="114300" simplePos="0" relativeHeight="251686912" behindDoc="0" locked="0" layoutInCell="1" allowOverlap="1">
                <wp:simplePos x="0" y="0"/>
                <wp:positionH relativeFrom="column">
                  <wp:posOffset>4034155</wp:posOffset>
                </wp:positionH>
                <wp:positionV relativeFrom="paragraph">
                  <wp:posOffset>160020</wp:posOffset>
                </wp:positionV>
                <wp:extent cx="596265" cy="320040"/>
                <wp:effectExtent l="0" t="0" r="0" b="0"/>
                <wp:wrapNone/>
                <wp:docPr id="143"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a:effectLst/>
                      </wps:spPr>
                      <wps:txbx>
                        <w:txbxContent>
                          <w:p>
                            <w:pPr>
                              <w:rPr>
                                <w:rFonts w:hint="eastAsia" w:eastAsia="宋体"/>
                                <w:highlight w:val="yellow"/>
                                <w:lang w:eastAsia="zh-CN"/>
                              </w:rPr>
                            </w:pPr>
                            <w:r>
                              <w:rPr>
                                <w:rFonts w:hint="eastAsia"/>
                                <w:highlight w:val="yellow"/>
                              </w:rPr>
                              <w:t>N</w:t>
                            </w:r>
                            <w:r>
                              <w:rPr>
                                <w:rFonts w:hint="eastAsia"/>
                                <w:highlight w:val="yellow"/>
                                <w:lang w:val="en-US" w:eastAsia="zh-CN"/>
                              </w:rPr>
                              <w:t>5</w:t>
                            </w:r>
                          </w:p>
                        </w:txbxContent>
                      </wps:txbx>
                      <wps:bodyPr rot="0" vert="horz" wrap="square" lIns="91440" tIns="45720" rIns="91440" bIns="45720" anchor="t" anchorCtr="0" upright="1">
                        <a:noAutofit/>
                      </wps:bodyPr>
                    </wps:wsp>
                  </a:graphicData>
                </a:graphic>
              </wp:anchor>
            </w:drawing>
          </mc:Choice>
          <mc:Fallback>
            <w:pict>
              <v:shape id="Text Box 345" o:spid="_x0000_s1026" o:spt="202" type="#_x0000_t202" style="position:absolute;left:0pt;margin-left:317.65pt;margin-top:12.6pt;height:25.2pt;width:46.95pt;z-index:251686912;mso-width-relative:page;mso-height-relative:page;" filled="f" stroked="f" coordsize="21600,21600" o:gfxdata="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axyhDWAAAACQEAAA8AAAAAAAAAAQAgAAAA&#10;IgAAAGRycy9kb3ducmV2LnhtbFBLAQIUABQAAAAIAIdO4kB5+vKWDQIAACUEAAAOAAAAAAAAAAEA&#10;IAAAACUBAABkcnMvZTJvRG9jLnhtbFBLBQYAAAAABgAGAFkBAACkBQAAAAA=&#10;">
                <v:fill on="f" focussize="0,0"/>
                <v:stroke on="f"/>
                <v:imagedata o:title=""/>
                <o:lock v:ext="edit" aspectratio="f"/>
                <v:textbox>
                  <w:txbxContent>
                    <w:p>
                      <w:pPr>
                        <w:rPr>
                          <w:rFonts w:hint="eastAsia" w:eastAsia="宋体"/>
                          <w:highlight w:val="yellow"/>
                          <w:lang w:eastAsia="zh-CN"/>
                        </w:rPr>
                      </w:pPr>
                      <w:r>
                        <w:rPr>
                          <w:rFonts w:hint="eastAsia"/>
                          <w:highlight w:val="yellow"/>
                        </w:rPr>
                        <w:t>N</w:t>
                      </w:r>
                      <w:r>
                        <w:rPr>
                          <w:rFonts w:hint="eastAsia"/>
                          <w:highlight w:val="yellow"/>
                          <w:lang w:val="en-US" w:eastAsia="zh-CN"/>
                        </w:rPr>
                        <w:t>5</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4864" behindDoc="0" locked="0" layoutInCell="1" allowOverlap="1">
                <wp:simplePos x="0" y="0"/>
                <wp:positionH relativeFrom="column">
                  <wp:posOffset>4450715</wp:posOffset>
                </wp:positionH>
                <wp:positionV relativeFrom="paragraph">
                  <wp:posOffset>112395</wp:posOffset>
                </wp:positionV>
                <wp:extent cx="86360" cy="113030"/>
                <wp:effectExtent l="11430" t="22225" r="16510" b="17145"/>
                <wp:wrapNone/>
                <wp:docPr id="140" name="AutoShape 351"/>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a:effectLst/>
                      </wps:spPr>
                      <wps:bodyPr rot="0" vert="horz" wrap="square" lIns="91440" tIns="45720" rIns="91440" bIns="45720" anchor="t" anchorCtr="0" upright="1">
                        <a:noAutofit/>
                      </wps:bodyPr>
                    </wps:wsp>
                  </a:graphicData>
                </a:graphic>
              </wp:anchor>
            </w:drawing>
          </mc:Choice>
          <mc:Fallback>
            <w:pict>
              <v:shape id="AutoShape 351" o:spid="_x0000_s1026" o:spt="5" type="#_x0000_t5" style="position:absolute;left:0pt;margin-left:350.45pt;margin-top:8.85pt;height:8.9pt;width:6.8pt;z-index:251684864;mso-width-relative:page;mso-height-relative:page;" fillcolor="#FF0000" filled="t" stroked="t" coordsize="21600,21600" o:gfxdata="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TA6CfZAAAACQEAAA8AAAAAAAAA&#10;AQAgAAAAIgAAAGRycy9kb3ducmV2LnhtbFBLAQIUABQAAAAIAIdO4kC2rPDRSQIAALMEAAAOAAAA&#10;AAAAAAEAIAAAACgBAABkcnMvZTJvRG9jLnhtbFBLBQYAAAAABgAGAFkBAADjBQAAAAA=&#10;" adj="10800">
                <v:fill on="t" focussize="0,0"/>
                <v:stroke weight="1.25pt" color="#739CC3" miterlimit="8" joinstyle="miter"/>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0768" behindDoc="0" locked="0" layoutInCell="1" allowOverlap="1">
                <wp:simplePos x="0" y="0"/>
                <wp:positionH relativeFrom="column">
                  <wp:posOffset>5008245</wp:posOffset>
                </wp:positionH>
                <wp:positionV relativeFrom="paragraph">
                  <wp:posOffset>158750</wp:posOffset>
                </wp:positionV>
                <wp:extent cx="596265" cy="320040"/>
                <wp:effectExtent l="0" t="0" r="0" b="0"/>
                <wp:wrapNone/>
                <wp:docPr id="38"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a:effectLst/>
                      </wps:spPr>
                      <wps:txbx>
                        <w:txbxContent>
                          <w:p>
                            <w:pPr>
                              <w:rPr>
                                <w:highlight w:val="yellow"/>
                              </w:rPr>
                            </w:pPr>
                            <w:r>
                              <w:rPr>
                                <w:rFonts w:hint="eastAsia"/>
                                <w:highlight w:val="yellow"/>
                              </w:rPr>
                              <w:t>N1</w:t>
                            </w:r>
                          </w:p>
                        </w:txbxContent>
                      </wps:txbx>
                      <wps:bodyPr rot="0" vert="horz" wrap="square" lIns="91440" tIns="45720" rIns="91440" bIns="45720" anchor="t" anchorCtr="0" upright="1">
                        <a:noAutofit/>
                      </wps:bodyPr>
                    </wps:wsp>
                  </a:graphicData>
                </a:graphic>
              </wp:anchor>
            </w:drawing>
          </mc:Choice>
          <mc:Fallback>
            <w:pict>
              <v:shape id="文本框 94" o:spid="_x0000_s1026" o:spt="202" type="#_x0000_t202" style="position:absolute;left:0pt;margin-left:394.35pt;margin-top:12.5pt;height:25.2pt;width:46.95pt;z-index:251680768;mso-width-relative:page;mso-height-relative:page;" filled="f" stroked="f" coordsize="21600,21600" o:gfxdata="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GM9L1gAAAAkB&#10;AAAPAAAAAAAAAAEAIAAAACIAAABkcnMvZG93bnJldi54bWxQSwECFAAUAAAACACHTuJAhT1uTx0C&#10;AAAkBAAADgAAAAAAAAABACAAAAAlAQAAZHJzL2Uyb0RvYy54bWxQSwUGAAAAAAYABgBZAQAAtAUA&#10;AAAA&#10;">
                <v:fill on="f" focussize="0,0"/>
                <v:stroke on="f"/>
                <v:imagedata o:title=""/>
                <o:lock v:ext="edit" aspectratio="f"/>
                <v:textbox>
                  <w:txbxContent>
                    <w:p>
                      <w:pPr>
                        <w:rPr>
                          <w:highlight w:val="yellow"/>
                        </w:rPr>
                      </w:pPr>
                      <w:r>
                        <w:rPr>
                          <w:rFonts w:hint="eastAsia"/>
                          <w:highlight w:val="yellow"/>
                        </w:rPr>
                        <w:t>N1</w:t>
                      </w:r>
                    </w:p>
                  </w:txbxContent>
                </v:textbox>
              </v:shape>
            </w:pict>
          </mc:Fallback>
        </mc:AlternateContent>
      </w:r>
    </w:p>
    <w:p>
      <w:pPr>
        <w:jc w:val="center"/>
        <w:rPr>
          <w:rFonts w:hint="default" w:ascii="Times New Roman" w:hAnsi="Times New Roman" w:cs="Times New Roman"/>
          <w:b/>
          <w:bCs/>
          <w:color w:val="auto"/>
          <w:sz w:val="32"/>
          <w:szCs w:val="32"/>
        </w:rPr>
      </w:pPr>
      <w:r>
        <w:rPr>
          <w:rFonts w:hint="default" w:ascii="Times New Roman" w:hAnsi="Times New Roman" w:cs="Times New Roman"/>
          <w:color w:val="auto"/>
          <w:sz w:val="28"/>
        </w:rPr>
        <mc:AlternateContent>
          <mc:Choice Requires="wps">
            <w:drawing>
              <wp:anchor distT="0" distB="0" distL="114300" distR="114300" simplePos="0" relativeHeight="251713536" behindDoc="0" locked="0" layoutInCell="1" allowOverlap="1">
                <wp:simplePos x="0" y="0"/>
                <wp:positionH relativeFrom="column">
                  <wp:posOffset>4227195</wp:posOffset>
                </wp:positionH>
                <wp:positionV relativeFrom="paragraph">
                  <wp:posOffset>118745</wp:posOffset>
                </wp:positionV>
                <wp:extent cx="492760" cy="320040"/>
                <wp:effectExtent l="0" t="0" r="0" b="0"/>
                <wp:wrapNone/>
                <wp:docPr id="48" name="Text Box 349"/>
                <wp:cNvGraphicFramePr/>
                <a:graphic xmlns:a="http://schemas.openxmlformats.org/drawingml/2006/main">
                  <a:graphicData uri="http://schemas.microsoft.com/office/word/2010/wordprocessingShape">
                    <wps:wsp>
                      <wps:cNvSpPr txBox="1">
                        <a:spLocks noChangeArrowheads="1"/>
                      </wps:cNvSpPr>
                      <wps:spPr bwMode="auto">
                        <a:xfrm>
                          <a:off x="0" y="0"/>
                          <a:ext cx="492760" cy="320040"/>
                        </a:xfrm>
                        <a:prstGeom prst="rect">
                          <a:avLst/>
                        </a:prstGeom>
                        <a:noFill/>
                        <a:ln>
                          <a:noFill/>
                        </a:ln>
                        <a:effectLst/>
                      </wps:spPr>
                      <wps:txbx>
                        <w:txbxContent>
                          <w:p>
                            <w:pPr>
                              <w:rPr>
                                <w:rFonts w:hint="eastAsia" w:eastAsia="宋体"/>
                                <w:highlight w:val="yellow"/>
                                <w:lang w:val="en-US" w:eastAsia="zh-CN"/>
                              </w:rPr>
                            </w:pPr>
                            <w:r>
                              <w:rPr>
                                <w:rFonts w:hint="eastAsia"/>
                                <w:highlight w:val="yellow"/>
                              </w:rPr>
                              <w:t>G</w:t>
                            </w:r>
                            <w:r>
                              <w:rPr>
                                <w:rFonts w:hint="eastAsia"/>
                                <w:highlight w:val="yellow"/>
                                <w:lang w:val="en-US" w:eastAsia="zh-CN"/>
                              </w:rPr>
                              <w:t>2</w:t>
                            </w:r>
                          </w:p>
                        </w:txbxContent>
                      </wps:txbx>
                      <wps:bodyPr rot="0" vert="horz" wrap="square" lIns="91440" tIns="45720" rIns="91440" bIns="45720" anchor="t" anchorCtr="0" upright="1">
                        <a:noAutofit/>
                      </wps:bodyPr>
                    </wps:wsp>
                  </a:graphicData>
                </a:graphic>
              </wp:anchor>
            </w:drawing>
          </mc:Choice>
          <mc:Fallback>
            <w:pict>
              <v:shape id="Text Box 349" o:spid="_x0000_s1026" o:spt="202" type="#_x0000_t202" style="position:absolute;left:0pt;margin-left:332.85pt;margin-top:9.35pt;height:25.2pt;width:38.8pt;z-index:251713536;mso-width-relative:page;mso-height-relative:page;" filled="f" stroked="f" coordsize="21600,21600" o:gfxdata="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L8LG1wAAAAkBAAAPAAAAAAAAAAEAIAAA&#10;ACIAAABkcnMvZG93bnJldi54bWxQSwECFAAUAAAACACHTuJA/1dHyA0CAAAkBAAADgAAAAAAAAAB&#10;ACAAAAAmAQAAZHJzL2Uyb0RvYy54bWxQSwUGAAAAAAYABgBZAQAApQUAAAAA&#10;">
                <v:fill on="f" focussize="0,0"/>
                <v:stroke on="f"/>
                <v:imagedata o:title=""/>
                <o:lock v:ext="edit" aspectratio="f"/>
                <v:textbox>
                  <w:txbxContent>
                    <w:p>
                      <w:pPr>
                        <w:rPr>
                          <w:rFonts w:hint="eastAsia" w:eastAsia="宋体"/>
                          <w:highlight w:val="yellow"/>
                          <w:lang w:val="en-US" w:eastAsia="zh-CN"/>
                        </w:rPr>
                      </w:pPr>
                      <w:r>
                        <w:rPr>
                          <w:rFonts w:hint="eastAsia"/>
                          <w:highlight w:val="yellow"/>
                        </w:rPr>
                        <w:t>G</w:t>
                      </w:r>
                      <w:r>
                        <w:rPr>
                          <w:rFonts w:hint="eastAsia"/>
                          <w:highlight w:val="yellow"/>
                          <w:lang w:val="en-US" w:eastAsia="zh-CN"/>
                        </w:rPr>
                        <w:t>2</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7936" behindDoc="0" locked="0" layoutInCell="1" allowOverlap="1">
                <wp:simplePos x="0" y="0"/>
                <wp:positionH relativeFrom="column">
                  <wp:posOffset>4435475</wp:posOffset>
                </wp:positionH>
                <wp:positionV relativeFrom="paragraph">
                  <wp:posOffset>51435</wp:posOffset>
                </wp:positionV>
                <wp:extent cx="115570" cy="113030"/>
                <wp:effectExtent l="7620" t="7620" r="10160" b="12700"/>
                <wp:wrapNone/>
                <wp:docPr id="145" name="AutoShape 348"/>
                <wp:cNvGraphicFramePr/>
                <a:graphic xmlns:a="http://schemas.openxmlformats.org/drawingml/2006/main">
                  <a:graphicData uri="http://schemas.microsoft.com/office/word/2010/wordprocessingShape">
                    <wps:wsp>
                      <wps:cNvSpPr>
                        <a:spLocks noChangeArrowheads="1"/>
                      </wps:cNvSpPr>
                      <wps:spPr bwMode="auto">
                        <a:xfrm>
                          <a:off x="0" y="0"/>
                          <a:ext cx="115570" cy="113030"/>
                        </a:xfrm>
                        <a:prstGeom prst="donut">
                          <a:avLst>
                            <a:gd name="adj" fmla="val 25278"/>
                          </a:avLst>
                        </a:prstGeom>
                        <a:solidFill>
                          <a:srgbClr val="FF0000"/>
                        </a:solidFill>
                        <a:ln w="15875">
                          <a:solidFill>
                            <a:srgbClr val="FF0000"/>
                          </a:solidFill>
                          <a:round/>
                        </a:ln>
                        <a:effectLst/>
                      </wps:spPr>
                      <wps:bodyPr rot="0" vert="horz" wrap="square" lIns="91440" tIns="45720" rIns="91440" bIns="45720" anchor="t" anchorCtr="0" upright="1">
                        <a:noAutofit/>
                      </wps:bodyPr>
                    </wps:wsp>
                  </a:graphicData>
                </a:graphic>
              </wp:anchor>
            </w:drawing>
          </mc:Choice>
          <mc:Fallback>
            <w:pict>
              <v:shape id="AutoShape 348" o:spid="_x0000_s1026" o:spt="23" type="#_x0000_t23" style="position:absolute;left:0pt;margin-left:349.25pt;margin-top:4.05pt;height:8.9pt;width:9.1pt;z-index:251687936;mso-width-relative:page;mso-height-relative:page;" fillcolor="#FF0000" filled="t" stroked="t" coordsize="21600,21600" o:gfxdata="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sX4vnXAAAACAEAAA8AAAAAAAAAAQAgAAAAIgAAAGRy&#10;cy9kb3ducmV2LnhtbFBLAQIUABQAAAAIAIdO4kApzZF3PwIAAKQEAAAOAAAAAAAAAAEAIAAAACYB&#10;AABkcnMvZTJvRG9jLnhtbFBLBQYAAAAABgAGAFkBAADXBQAAAAA=&#10;" adj="5340">
                <v:fill on="t" focussize="0,0"/>
                <v:stroke weight="1.25pt" color="#FF0000" joinstyle="round"/>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8960" behindDoc="0" locked="0" layoutInCell="1" allowOverlap="1">
                <wp:simplePos x="0" y="0"/>
                <wp:positionH relativeFrom="column">
                  <wp:posOffset>4345305</wp:posOffset>
                </wp:positionH>
                <wp:positionV relativeFrom="paragraph">
                  <wp:posOffset>10795</wp:posOffset>
                </wp:positionV>
                <wp:extent cx="86360" cy="113030"/>
                <wp:effectExtent l="11430" t="22225" r="16510" b="17145"/>
                <wp:wrapNone/>
                <wp:docPr id="32" name="自选图形 106"/>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a:effectLst/>
                      </wps:spPr>
                      <wps:bodyPr rot="0" vert="horz" wrap="square" lIns="91440" tIns="45720" rIns="91440" bIns="45720" anchor="t" anchorCtr="0" upright="1">
                        <a:noAutofit/>
                      </wps:bodyPr>
                    </wps:wsp>
                  </a:graphicData>
                </a:graphic>
              </wp:anchor>
            </w:drawing>
          </mc:Choice>
          <mc:Fallback>
            <w:pict>
              <v:shape id="自选图形 106" o:spid="_x0000_s1026" o:spt="5" type="#_x0000_t5" style="position:absolute;left:0pt;margin-left:342.15pt;margin-top:0.85pt;height:8.9pt;width:6.8pt;z-index:251688960;mso-width-relative:page;mso-height-relative:page;" fillcolor="#FF0000" filled="t" stroked="t" coordsize="21600,21600" o:gfxdata="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xGlG2QAAAAgBAAAPAAAAAAAAAAEAIAAAACIAAABkcnMvZG93bnJldi54bWxQSwECFAAUAAAA&#10;CACHTuJAQe8Ym18CAAC1BAAADgAAAAAAAAABACAAAAAoAQAAZHJzL2Uyb0RvYy54bWxQSwUGAAAA&#10;AAYABgBZAQAA+QUAAAAA&#10;" adj="10800">
                <v:fill on="t" focussize="0,0"/>
                <v:stroke weight="1.25pt" color="#739CC3" miterlimit="8" joinstyle="miter"/>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3840" behindDoc="0" locked="0" layoutInCell="1" allowOverlap="1">
                <wp:simplePos x="0" y="0"/>
                <wp:positionH relativeFrom="column">
                  <wp:posOffset>4666615</wp:posOffset>
                </wp:positionH>
                <wp:positionV relativeFrom="paragraph">
                  <wp:posOffset>179070</wp:posOffset>
                </wp:positionV>
                <wp:extent cx="86360" cy="113030"/>
                <wp:effectExtent l="11430" t="22225" r="16510" b="17145"/>
                <wp:wrapNone/>
                <wp:docPr id="139" name="AutoShape 351"/>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a:effectLst/>
                      </wps:spPr>
                      <wps:bodyPr rot="0" vert="horz" wrap="square" lIns="91440" tIns="45720" rIns="91440" bIns="45720" anchor="t" anchorCtr="0" upright="1">
                        <a:noAutofit/>
                      </wps:bodyPr>
                    </wps:wsp>
                  </a:graphicData>
                </a:graphic>
              </wp:anchor>
            </w:drawing>
          </mc:Choice>
          <mc:Fallback>
            <w:pict>
              <v:shape id="AutoShape 351" o:spid="_x0000_s1026" o:spt="5" type="#_x0000_t5" style="position:absolute;left:0pt;margin-left:367.45pt;margin-top:14.1pt;height:8.9pt;width:6.8pt;z-index:251683840;mso-width-relative:page;mso-height-relative:page;" fillcolor="#FF0000" filled="t" stroked="t" coordsize="21600,21600" o:gfxdata="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du8IvbAAAACQEAAA8AAAAA&#10;AAAAAQAgAAAAIgAAAGRycy9kb3ducmV2LnhtbFBLAQIUABQAAAAIAIdO4kDS82NlSgIAALMEAAAO&#10;AAAAAAAAAAEAIAAAACoBAABkcnMvZTJvRG9jLnhtbFBLBQYAAAAABgAGAFkBAADmBQAAAAA=&#10;" adj="10800">
                <v:fill on="t" focussize="0,0"/>
                <v:stroke weight="1.25pt" color="#739CC3" miterlimit="8" joinstyle="miter"/>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79744" behindDoc="0" locked="0" layoutInCell="1" allowOverlap="1">
                <wp:simplePos x="0" y="0"/>
                <wp:positionH relativeFrom="column">
                  <wp:posOffset>4947920</wp:posOffset>
                </wp:positionH>
                <wp:positionV relativeFrom="paragraph">
                  <wp:posOffset>8890</wp:posOffset>
                </wp:positionV>
                <wp:extent cx="86360" cy="113030"/>
                <wp:effectExtent l="11430" t="22225" r="16510" b="17145"/>
                <wp:wrapNone/>
                <wp:docPr id="39" name="自选图形 106"/>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a:effectLst/>
                      </wps:spPr>
                      <wps:bodyPr rot="0" vert="horz" wrap="square" lIns="91440" tIns="45720" rIns="91440" bIns="45720" anchor="t" anchorCtr="0" upright="1">
                        <a:noAutofit/>
                      </wps:bodyPr>
                    </wps:wsp>
                  </a:graphicData>
                </a:graphic>
              </wp:anchor>
            </w:drawing>
          </mc:Choice>
          <mc:Fallback>
            <w:pict>
              <v:shape id="自选图形 106" o:spid="_x0000_s1026" o:spt="5" type="#_x0000_t5" style="position:absolute;left:0pt;margin-left:389.6pt;margin-top:0.7pt;height:8.9pt;width:6.8pt;z-index:251679744;mso-width-relative:page;mso-height-relative:page;" fillcolor="#FF0000" filled="t" stroked="t" coordsize="21600,21600" o:gfxdata="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q&#10;ML3N1gAAAAgBAAAPAAAAAAAAAAEAIAAAACIAAABkcnMvZG93bnJldi54bWxQSwECFAAUAAAACACH&#10;TuJAlKKI1F8CAAC1BAAADgAAAAAAAAABACAAAAAlAQAAZHJzL2Uyb0RvYy54bWxQSwUGAAAAAAYA&#10;BgBZAQAA9gUAAAAA&#10;" adj="10800">
                <v:fill on="t" focussize="0,0"/>
                <v:stroke weight="1.25pt" color="#739CC3" miterlimit="8" joinstyle="miter"/>
                <v:imagedata o:title=""/>
                <o:lock v:ext="edit" aspectratio="f"/>
              </v:shape>
            </w:pict>
          </mc:Fallback>
        </mc:AlternateContent>
      </w:r>
    </w:p>
    <w:p>
      <w:pPr>
        <w:jc w:val="center"/>
        <w:rPr>
          <w:rFonts w:hint="default" w:ascii="Times New Roman" w:hAnsi="Times New Roman" w:cs="Times New Roman"/>
          <w:b/>
          <w:bCs/>
          <w:color w:val="auto"/>
          <w:sz w:val="32"/>
          <w:szCs w:val="32"/>
        </w:rPr>
      </w:pPr>
      <w:r>
        <w:rPr>
          <w:rFonts w:hint="default" w:ascii="Times New Roman" w:hAnsi="Times New Roman" w:cs="Times New Roman"/>
          <w:color w:val="auto"/>
          <w:sz w:val="28"/>
        </w:rPr>
        <mc:AlternateContent>
          <mc:Choice Requires="wps">
            <w:drawing>
              <wp:anchor distT="0" distB="0" distL="114300" distR="114300" simplePos="0" relativeHeight="251681792" behindDoc="0" locked="0" layoutInCell="1" allowOverlap="1">
                <wp:simplePos x="0" y="0"/>
                <wp:positionH relativeFrom="column">
                  <wp:posOffset>4556760</wp:posOffset>
                </wp:positionH>
                <wp:positionV relativeFrom="paragraph">
                  <wp:posOffset>75565</wp:posOffset>
                </wp:positionV>
                <wp:extent cx="596265" cy="320040"/>
                <wp:effectExtent l="0" t="0" r="0" b="0"/>
                <wp:wrapNone/>
                <wp:docPr id="41" name="Text Box 344"/>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a:effectLst/>
                      </wps:spPr>
                      <wps:txbx>
                        <w:txbxContent>
                          <w:p>
                            <w:pPr>
                              <w:rPr>
                                <w:highlight w:val="yellow"/>
                              </w:rPr>
                            </w:pPr>
                            <w:r>
                              <w:rPr>
                                <w:rFonts w:hint="eastAsia"/>
                                <w:highlight w:val="yellow"/>
                              </w:rPr>
                              <w:t>N2</w:t>
                            </w:r>
                          </w:p>
                        </w:txbxContent>
                      </wps:txbx>
                      <wps:bodyPr rot="0" vert="horz" wrap="square" lIns="91440" tIns="45720" rIns="91440" bIns="45720" anchor="t" anchorCtr="0" upright="1">
                        <a:noAutofit/>
                      </wps:bodyPr>
                    </wps:wsp>
                  </a:graphicData>
                </a:graphic>
              </wp:anchor>
            </w:drawing>
          </mc:Choice>
          <mc:Fallback>
            <w:pict>
              <v:shape id="Text Box 344" o:spid="_x0000_s1026" o:spt="202" type="#_x0000_t202" style="position:absolute;left:0pt;margin-left:358.8pt;margin-top:5.95pt;height:25.2pt;width:46.95pt;z-index:251681792;mso-width-relative:page;mso-height-relative:page;" filled="f" stroked="f" coordsize="21600,21600" o:gfxdata="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Q8GNcAAAAJAQAADwAAAAAAAAABACAA&#10;AAAiAAAAZHJzL2Rvd25yZXYueG1sUEsBAhQAFAAAAAgAh07iQDRktCkOAgAAJAQAAA4AAAAAAAAA&#10;AQAgAAAAJgEAAGRycy9lMm9Eb2MueG1sUEsFBgAAAAAGAAYAWQEAAKYFAAAAAA==&#10;">
                <v:fill on="f" focussize="0,0"/>
                <v:stroke on="f"/>
                <v:imagedata o:title=""/>
                <o:lock v:ext="edit" aspectratio="f"/>
                <v:textbox>
                  <w:txbxContent>
                    <w:p>
                      <w:pPr>
                        <w:rPr>
                          <w:highlight w:val="yellow"/>
                        </w:rPr>
                      </w:pPr>
                      <w:r>
                        <w:rPr>
                          <w:rFonts w:hint="eastAsia"/>
                          <w:highlight w:val="yellow"/>
                        </w:rPr>
                        <w:t>N2</w:t>
                      </w:r>
                    </w:p>
                  </w:txbxContent>
                </v:textbox>
              </v:shape>
            </w:pict>
          </mc:Fallback>
        </mc:AlternateContent>
      </w:r>
    </w:p>
    <w:p>
      <w:pPr>
        <w:jc w:val="center"/>
        <w:rPr>
          <w:rFonts w:hint="default" w:ascii="Times New Roman" w:hAnsi="Times New Roman" w:cs="Times New Roman"/>
          <w:b/>
          <w:bCs/>
          <w:color w:val="auto"/>
          <w:sz w:val="32"/>
          <w:szCs w:val="32"/>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714560" behindDoc="0" locked="0" layoutInCell="1" allowOverlap="1">
                <wp:simplePos x="0" y="0"/>
                <wp:positionH relativeFrom="column">
                  <wp:posOffset>4518660</wp:posOffset>
                </wp:positionH>
                <wp:positionV relativeFrom="paragraph">
                  <wp:posOffset>14605</wp:posOffset>
                </wp:positionV>
                <wp:extent cx="823595" cy="672465"/>
                <wp:effectExtent l="0" t="0" r="0" b="0"/>
                <wp:wrapNone/>
                <wp:docPr id="49"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a:effectLst/>
                      </wps:spPr>
                      <wps:txbx>
                        <w:txbxContent>
                          <w:p>
                            <w:pPr>
                              <w:rPr>
                                <w:rFonts w:hint="eastAsia" w:eastAsia="宋体"/>
                                <w:highlight w:val="yellow"/>
                                <w:lang w:eastAsia="zh-CN"/>
                              </w:rPr>
                            </w:pPr>
                            <w:r>
                              <w:rPr>
                                <w:rFonts w:hint="eastAsia" w:eastAsia="宋体"/>
                                <w:highlight w:val="yellow"/>
                                <w:lang w:eastAsia="zh-CN"/>
                              </w:rPr>
                              <w:t>引用数据监测点</w:t>
                            </w:r>
                          </w:p>
                        </w:txbxContent>
                      </wps:txbx>
                      <wps:bodyPr rot="0" vert="horz" wrap="square" lIns="91440" tIns="45720" rIns="91440" bIns="45720" anchor="t" anchorCtr="0" upright="1">
                        <a:noAutofit/>
                      </wps:bodyPr>
                    </wps:wsp>
                  </a:graphicData>
                </a:graphic>
              </wp:anchor>
            </w:drawing>
          </mc:Choice>
          <mc:Fallback>
            <w:pict>
              <v:shape id="Text Box 345" o:spid="_x0000_s1026" o:spt="202" type="#_x0000_t202" style="position:absolute;left:0pt;margin-left:355.8pt;margin-top:1.15pt;height:52.95pt;width:64.85pt;z-index:251714560;mso-width-relative:page;mso-height-relative:page;" filled="f" stroked="f" coordsize="21600,21600" o:gfxdata="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jP4X1gAAAAkBAAAPAAAAAAAAAAEAIAAA&#10;ACIAAABkcnMvZG93bnJldi54bWxQSwECFAAUAAAACACHTuJAP8ZMYg4CAAAkBAAADgAAAAAAAAAB&#10;ACAAAAAlAQAAZHJzL2Uyb0RvYy54bWxQSwUGAAAAAAYABgBZAQAApQUAAAAA&#10;">
                <v:fill on="f" focussize="0,0"/>
                <v:stroke on="f"/>
                <v:imagedata o:title=""/>
                <o:lock v:ext="edit" aspectratio="f"/>
                <v:textbox>
                  <w:txbxContent>
                    <w:p>
                      <w:pPr>
                        <w:rPr>
                          <w:rFonts w:hint="eastAsia" w:eastAsia="宋体"/>
                          <w:highlight w:val="yellow"/>
                          <w:lang w:eastAsia="zh-CN"/>
                        </w:rPr>
                      </w:pPr>
                      <w:r>
                        <w:rPr>
                          <w:rFonts w:hint="eastAsia" w:eastAsia="宋体"/>
                          <w:highlight w:val="yellow"/>
                          <w:lang w:eastAsia="zh-CN"/>
                        </w:rPr>
                        <w:t>引用数据监测点</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11488" behindDoc="0" locked="0" layoutInCell="1" allowOverlap="1">
                <wp:simplePos x="0" y="0"/>
                <wp:positionH relativeFrom="column">
                  <wp:posOffset>4395470</wp:posOffset>
                </wp:positionH>
                <wp:positionV relativeFrom="paragraph">
                  <wp:posOffset>5080</wp:posOffset>
                </wp:positionV>
                <wp:extent cx="115570" cy="113030"/>
                <wp:effectExtent l="7620" t="7620" r="10160" b="12700"/>
                <wp:wrapNone/>
                <wp:docPr id="46" name="AutoShape 348"/>
                <wp:cNvGraphicFramePr/>
                <a:graphic xmlns:a="http://schemas.openxmlformats.org/drawingml/2006/main">
                  <a:graphicData uri="http://schemas.microsoft.com/office/word/2010/wordprocessingShape">
                    <wps:wsp>
                      <wps:cNvSpPr>
                        <a:spLocks noChangeArrowheads="1"/>
                      </wps:cNvSpPr>
                      <wps:spPr bwMode="auto">
                        <a:xfrm>
                          <a:off x="0" y="0"/>
                          <a:ext cx="115570" cy="113030"/>
                        </a:xfrm>
                        <a:prstGeom prst="donut">
                          <a:avLst>
                            <a:gd name="adj" fmla="val 25278"/>
                          </a:avLst>
                        </a:prstGeom>
                        <a:solidFill>
                          <a:srgbClr val="FF0000"/>
                        </a:solidFill>
                        <a:ln w="15875">
                          <a:solidFill>
                            <a:srgbClr val="FF0000"/>
                          </a:solidFill>
                          <a:round/>
                        </a:ln>
                        <a:effectLst/>
                      </wps:spPr>
                      <wps:bodyPr rot="0" vert="horz" wrap="square" lIns="91440" tIns="45720" rIns="91440" bIns="45720" anchor="t" anchorCtr="0" upright="1">
                        <a:noAutofit/>
                      </wps:bodyPr>
                    </wps:wsp>
                  </a:graphicData>
                </a:graphic>
              </wp:anchor>
            </w:drawing>
          </mc:Choice>
          <mc:Fallback>
            <w:pict>
              <v:shape id="AutoShape 348" o:spid="_x0000_s1026" o:spt="23" type="#_x0000_t23" style="position:absolute;left:0pt;margin-left:346.1pt;margin-top:0.4pt;height:8.9pt;width:9.1pt;z-index:251711488;mso-width-relative:page;mso-height-relative:page;" fillcolor="#FF0000" filled="t" stroked="t" coordsize="21600,21600" o:gfxdata="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68MQ3VAAAABwEAAA8AAAAAAAAAAQAgAAAAIgAAAGRycy9k&#10;b3ducmV2LnhtbFBLAQIUABQAAAAIAIdO4kALI8D3PgIAAKMEAAAOAAAAAAAAAAEAIAAAACQBAABk&#10;cnMvZTJvRG9jLnhtbFBLBQYAAAAABgAGAFkBAADUBQAAAAA=&#10;" adj="5340">
                <v:fill on="t" focussize="0,0"/>
                <v:stroke weight="1.25pt" color="#FF0000" joinstyle="round"/>
                <v:imagedata o:title=""/>
                <o:lock v:ext="edit" aspectratio="f"/>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color w:val="auto"/>
        </w:rPr>
        <w:drawing>
          <wp:anchor distT="0" distB="0" distL="114300" distR="114300" simplePos="0" relativeHeight="251691008" behindDoc="0" locked="0" layoutInCell="1" allowOverlap="1">
            <wp:simplePos x="0" y="0"/>
            <wp:positionH relativeFrom="column">
              <wp:posOffset>7125970</wp:posOffset>
            </wp:positionH>
            <wp:positionV relativeFrom="paragraph">
              <wp:posOffset>131445</wp:posOffset>
            </wp:positionV>
            <wp:extent cx="1533525" cy="838200"/>
            <wp:effectExtent l="0" t="0" r="9525" b="0"/>
            <wp:wrapNone/>
            <wp:docPr id="2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9"/>
                    <pic:cNvPicPr>
                      <a:picLocks noChangeAspect="1"/>
                    </pic:cNvPicPr>
                  </pic:nvPicPr>
                  <pic:blipFill>
                    <a:blip r:embed="rId27"/>
                    <a:stretch>
                      <a:fillRect/>
                    </a:stretch>
                  </pic:blipFill>
                  <pic:spPr>
                    <a:xfrm>
                      <a:off x="0" y="0"/>
                      <a:ext cx="1533525" cy="838200"/>
                    </a:xfrm>
                    <a:prstGeom prst="rect">
                      <a:avLst/>
                    </a:prstGeom>
                    <a:noFill/>
                    <a:ln>
                      <a:noFill/>
                    </a:ln>
                  </pic:spPr>
                </pic:pic>
              </a:graphicData>
            </a:graphic>
          </wp:anchor>
        </w:drawing>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ascii="宋体" w:hAnsi="宋体" w:eastAsia="黑体"/>
          <w:color w:val="auto"/>
          <w:highlight w:val="none"/>
        </w:rPr>
      </w:pPr>
      <w:r>
        <w:rPr>
          <w:rFonts w:hint="default" w:ascii="Times New Roman" w:hAnsi="Times New Roman" w:cs="Times New Roman"/>
          <w:b/>
          <w:bCs/>
          <w:color w:val="auto"/>
          <w:sz w:val="32"/>
          <w:szCs w:val="32"/>
          <w:highlight w:val="none"/>
        </w:rPr>
        <w:t>附图</w:t>
      </w:r>
      <w:r>
        <w:rPr>
          <w:rFonts w:hint="eastAsia" w:ascii="Times New Roman" w:hAnsi="Times New Roman" w:cs="Times New Roman"/>
          <w:b/>
          <w:bCs/>
          <w:color w:val="auto"/>
          <w:sz w:val="32"/>
          <w:szCs w:val="32"/>
          <w:highlight w:val="none"/>
          <w:lang w:val="en-US" w:eastAsia="zh-CN"/>
        </w:rPr>
        <w:t>4</w:t>
      </w:r>
      <w:r>
        <w:rPr>
          <w:rFonts w:hint="default" w:ascii="Times New Roman" w:hAnsi="Times New Roman" w:cs="Times New Roman"/>
          <w:b/>
          <w:bCs/>
          <w:color w:val="auto"/>
          <w:sz w:val="32"/>
          <w:szCs w:val="32"/>
          <w:highlight w:val="none"/>
        </w:rPr>
        <w:t xml:space="preserve">   监测点位示意图</w:t>
      </w:r>
    </w:p>
    <w:p>
      <w:pPr>
        <w:pStyle w:val="7"/>
        <w:rPr>
          <w:rFonts w:hint="default"/>
          <w:color w:val="auto"/>
        </w:rPr>
        <w:sectPr>
          <w:footerReference r:id="rId12" w:type="default"/>
          <w:pgSz w:w="16838" w:h="11906" w:orient="landscape"/>
          <w:pgMar w:top="1531" w:right="1701" w:bottom="1531" w:left="1701" w:header="851" w:footer="851" w:gutter="0"/>
          <w:paperSrc/>
          <w:pgNumType w:fmt="decimal"/>
          <w:cols w:space="720" w:num="1"/>
          <w:rtlGutter w:val="0"/>
          <w:docGrid w:linePitch="312" w:charSpace="0"/>
        </w:sectPr>
      </w:pPr>
    </w:p>
    <w:p>
      <w:pPr>
        <w:jc w:val="left"/>
        <w:rPr>
          <w:color w:val="auto"/>
        </w:rPr>
      </w:pPr>
      <w:r>
        <w:rPr>
          <w:rFonts w:hint="default" w:ascii="Times New Roman" w:hAnsi="Times New Roman" w:cs="Times New Roman"/>
          <w:color w:val="auto"/>
          <w:lang w:val="zh-CN"/>
        </w:rPr>
        <mc:AlternateContent>
          <mc:Choice Requires="wps">
            <w:drawing>
              <wp:anchor distT="0" distB="0" distL="114300" distR="114300" simplePos="0" relativeHeight="251737088" behindDoc="0" locked="0" layoutInCell="1" allowOverlap="1">
                <wp:simplePos x="0" y="0"/>
                <wp:positionH relativeFrom="column">
                  <wp:posOffset>1760855</wp:posOffset>
                </wp:positionH>
                <wp:positionV relativeFrom="paragraph">
                  <wp:posOffset>1576705</wp:posOffset>
                </wp:positionV>
                <wp:extent cx="1026160" cy="393065"/>
                <wp:effectExtent l="4445" t="4445" r="17145" b="212090"/>
                <wp:wrapNone/>
                <wp:docPr id="53" name="自选图形 1059"/>
                <wp:cNvGraphicFramePr/>
                <a:graphic xmlns:a="http://schemas.openxmlformats.org/drawingml/2006/main">
                  <a:graphicData uri="http://schemas.microsoft.com/office/word/2010/wordprocessingShape">
                    <wps:wsp>
                      <wps:cNvSpPr/>
                      <wps:spPr>
                        <a:xfrm>
                          <a:off x="0" y="0"/>
                          <a:ext cx="1026160" cy="393065"/>
                        </a:xfrm>
                        <a:prstGeom prst="wedgeRoundRectCallout">
                          <a:avLst>
                            <a:gd name="adj1" fmla="val 49815"/>
                            <a:gd name="adj2" fmla="val 9620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项目所在地</w:t>
                            </w:r>
                          </w:p>
                        </w:txbxContent>
                      </wps:txbx>
                      <wps:bodyPr vert="horz" wrap="square" anchor="t" anchorCtr="0" upright="1"/>
                    </wps:wsp>
                  </a:graphicData>
                </a:graphic>
              </wp:anchor>
            </w:drawing>
          </mc:Choice>
          <mc:Fallback>
            <w:pict>
              <v:shape id="自选图形 1059" o:spid="_x0000_s1026" o:spt="62" type="#_x0000_t62" style="position:absolute;left:0pt;margin-left:138.65pt;margin-top:124.15pt;height:30.95pt;width:80.8pt;z-index:251737088;mso-width-relative:page;mso-height-relative:page;" fillcolor="#FFFFFF" filled="t" stroked="t" coordsize="21600,21600" o:gfxdata="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j4049sAAAALAQAADwAAAAAAAAABACAAAAAiAAAAZHJzL2Rvd25y&#10;ZXYueG1sUEsBAhQAFAAAAAgAh07iQDzo8BhtAgAA7AQAAA4AAAAAAAAAAQAgAAAAKgEAAGRycy9l&#10;Mm9Eb2MueG1sUEsFBgAAAAAGAAYAWQEAAAkGAAAAAA==&#10;" adj="21560,31580,14400">
                <v:fill on="t" focussize="0,0"/>
                <v:stroke color="#FF0000" joinstyle="miter"/>
                <v:imagedata o:title=""/>
                <o:lock v:ext="edit" aspectratio="f"/>
                <v:textbox>
                  <w:txbxContent>
                    <w:p>
                      <w:pPr>
                        <w:rPr>
                          <w:sz w:val="24"/>
                        </w:rPr>
                      </w:pPr>
                      <w:r>
                        <w:rPr>
                          <w:rFonts w:hint="eastAsia"/>
                          <w:sz w:val="24"/>
                        </w:rPr>
                        <w:t>项目所在地</w:t>
                      </w:r>
                    </w:p>
                  </w:txbxContent>
                </v:textbox>
              </v:shape>
            </w:pict>
          </mc:Fallback>
        </mc:AlternateContent>
      </w:r>
      <w:r>
        <w:rPr>
          <w:rFonts w:hint="default" w:ascii="Times New Roman" w:hAnsi="Times New Roman" w:cs="Times New Roman"/>
          <w:b/>
          <w:bCs/>
          <w:color w:val="auto"/>
          <w:sz w:val="32"/>
          <w:szCs w:val="32"/>
          <w:highlight w:val="none"/>
        </w:rPr>
        <w:t>附图</w:t>
      </w:r>
      <w:r>
        <w:rPr>
          <w:rFonts w:hint="eastAsia" w:ascii="Times New Roman" w:hAnsi="Times New Roman" w:cs="Times New Roman"/>
          <w:b/>
          <w:bCs/>
          <w:color w:val="auto"/>
          <w:sz w:val="32"/>
          <w:szCs w:val="32"/>
          <w:highlight w:val="none"/>
          <w:lang w:val="en-US" w:eastAsia="zh-CN"/>
        </w:rPr>
        <w:t>5</w:t>
      </w:r>
      <w:r>
        <w:rPr>
          <w:rFonts w:hint="default" w:ascii="Times New Roman" w:hAnsi="Times New Roman" w:cs="Times New Roman"/>
          <w:b/>
          <w:bCs/>
          <w:color w:val="auto"/>
          <w:sz w:val="32"/>
          <w:szCs w:val="32"/>
          <w:highlight w:val="none"/>
        </w:rPr>
        <w:t xml:space="preserve">   </w:t>
      </w:r>
      <w:r>
        <w:rPr>
          <w:rFonts w:hint="eastAsia" w:ascii="Times New Roman" w:hAnsi="Times New Roman" w:cs="Times New Roman"/>
          <w:b/>
          <w:bCs/>
          <w:color w:val="auto"/>
          <w:sz w:val="32"/>
          <w:szCs w:val="32"/>
          <w:highlight w:val="none"/>
          <w:lang w:val="en-US" w:eastAsia="zh-CN"/>
        </w:rPr>
        <w:t>周边水系</w:t>
      </w:r>
      <w:r>
        <w:rPr>
          <w:rFonts w:hint="default" w:ascii="Times New Roman" w:hAnsi="Times New Roman" w:cs="Times New Roman"/>
          <w:b/>
          <w:bCs/>
          <w:color w:val="auto"/>
          <w:sz w:val="32"/>
          <w:szCs w:val="32"/>
          <w:highlight w:val="none"/>
        </w:rPr>
        <w:t>图</w:t>
      </w:r>
      <w:r>
        <w:rPr>
          <w:color w:val="auto"/>
        </w:rPr>
        <w:drawing>
          <wp:inline distT="0" distB="0" distL="114300" distR="114300">
            <wp:extent cx="5419725" cy="7325360"/>
            <wp:effectExtent l="15875" t="15875" r="31750" b="31115"/>
            <wp:docPr id="7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
                    <pic:cNvPicPr>
                      <a:picLocks noChangeAspect="1"/>
                    </pic:cNvPicPr>
                  </pic:nvPicPr>
                  <pic:blipFill>
                    <a:blip r:embed="rId28"/>
                    <a:stretch>
                      <a:fillRect/>
                    </a:stretch>
                  </pic:blipFill>
                  <pic:spPr>
                    <a:xfrm>
                      <a:off x="0" y="0"/>
                      <a:ext cx="5419725" cy="7325360"/>
                    </a:xfrm>
                    <a:prstGeom prst="rect">
                      <a:avLst/>
                    </a:prstGeom>
                    <a:noFill/>
                    <a:ln w="15875" cap="flat" cmpd="sng">
                      <a:solidFill>
                        <a:srgbClr val="000000"/>
                      </a:solidFill>
                      <a:prstDash val="solid"/>
                      <a:miter/>
                      <a:headEnd type="none" w="med" len="med"/>
                      <a:tailEnd type="none" w="med" len="med"/>
                    </a:ln>
                  </pic:spPr>
                </pic:pic>
              </a:graphicData>
            </a:graphic>
          </wp:inline>
        </w:drawing>
      </w:r>
    </w:p>
    <w:p>
      <w:pPr>
        <w:pStyle w:val="2"/>
        <w:rPr>
          <w:color w:val="auto"/>
        </w:rPr>
      </w:pPr>
    </w:p>
    <w:p>
      <w:pPr>
        <w:rPr>
          <w:color w:val="auto"/>
        </w:rPr>
      </w:pPr>
    </w:p>
    <w:p>
      <w:pPr>
        <w:jc w:val="center"/>
        <w:outlineLvl w:val="0"/>
        <w:rPr>
          <w:rFonts w:hint="eastAsia"/>
          <w:b/>
          <w:bCs/>
          <w:sz w:val="30"/>
          <w:szCs w:val="36"/>
          <w:lang w:eastAsia="zh-CN"/>
        </w:rPr>
      </w:pPr>
    </w:p>
    <w:p>
      <w:pPr>
        <w:jc w:val="center"/>
        <w:outlineLvl w:val="0"/>
        <w:rPr>
          <w:rFonts w:hint="eastAsia"/>
          <w:b/>
          <w:bCs/>
          <w:sz w:val="30"/>
          <w:szCs w:val="28"/>
        </w:rPr>
      </w:pPr>
      <w:r>
        <w:rPr>
          <w:rFonts w:hint="eastAsia"/>
          <w:b/>
          <w:bCs/>
          <w:sz w:val="30"/>
          <w:szCs w:val="36"/>
          <w:lang w:eastAsia="zh-CN"/>
        </w:rPr>
        <w:t>邵东市思逸包装有限公司年产500吨塑料包装材料项目</w:t>
      </w:r>
      <w:r>
        <w:rPr>
          <w:rFonts w:hint="eastAsia"/>
          <w:b/>
          <w:bCs/>
          <w:sz w:val="30"/>
          <w:szCs w:val="36"/>
        </w:rPr>
        <w:t>环境影</w:t>
      </w:r>
      <w:r>
        <w:rPr>
          <w:rFonts w:hint="eastAsia"/>
          <w:b/>
          <w:bCs/>
          <w:sz w:val="30"/>
          <w:szCs w:val="28"/>
        </w:rPr>
        <w:t>响报告表</w:t>
      </w:r>
    </w:p>
    <w:p>
      <w:pPr>
        <w:jc w:val="center"/>
        <w:outlineLvl w:val="0"/>
        <w:rPr>
          <w:rFonts w:hint="eastAsia"/>
          <w:b/>
          <w:bCs/>
          <w:sz w:val="32"/>
          <w:szCs w:val="28"/>
        </w:rPr>
      </w:pPr>
      <w:r>
        <w:rPr>
          <w:rFonts w:hint="eastAsia"/>
          <w:b/>
          <w:bCs/>
          <w:sz w:val="32"/>
          <w:szCs w:val="32"/>
        </w:rPr>
        <w:t xml:space="preserve">评  审 </w:t>
      </w:r>
      <w:r>
        <w:rPr>
          <w:rFonts w:hint="eastAsia"/>
          <w:b/>
          <w:bCs/>
          <w:sz w:val="30"/>
          <w:szCs w:val="28"/>
        </w:rPr>
        <w:t xml:space="preserve"> </w:t>
      </w:r>
      <w:r>
        <w:rPr>
          <w:rFonts w:hint="eastAsia"/>
          <w:b/>
          <w:bCs/>
          <w:sz w:val="32"/>
          <w:szCs w:val="28"/>
        </w:rPr>
        <w:t>意  见</w:t>
      </w:r>
    </w:p>
    <w:p>
      <w:pPr>
        <w:ind w:firstLine="562" w:firstLineChars="200"/>
        <w:rPr>
          <w:rFonts w:hint="eastAsia" w:ascii="仿宋_GB2312" w:hAnsi="宋体" w:eastAsia="仿宋_GB2312"/>
          <w:b/>
          <w:bCs/>
          <w:sz w:val="28"/>
          <w:szCs w:val="28"/>
        </w:rPr>
      </w:pPr>
    </w:p>
    <w:p>
      <w:pPr>
        <w:spacing w:line="360" w:lineRule="auto"/>
        <w:ind w:firstLine="602" w:firstLineChars="200"/>
        <w:rPr>
          <w:rFonts w:hint="eastAsia" w:ascii="仿宋" w:hAnsi="仿宋" w:eastAsia="仿宋"/>
          <w:b/>
          <w:bCs/>
          <w:sz w:val="30"/>
          <w:szCs w:val="30"/>
        </w:rPr>
      </w:pPr>
      <w:r>
        <w:rPr>
          <w:rFonts w:hint="eastAsia" w:ascii="仿宋" w:hAnsi="仿宋" w:eastAsia="仿宋"/>
          <w:b/>
          <w:bCs/>
          <w:sz w:val="30"/>
          <w:szCs w:val="30"/>
        </w:rPr>
        <w:t>202</w:t>
      </w:r>
      <w:r>
        <w:rPr>
          <w:rFonts w:hint="eastAsia" w:ascii="仿宋" w:hAnsi="仿宋" w:eastAsia="仿宋"/>
          <w:b/>
          <w:bCs/>
          <w:sz w:val="30"/>
          <w:szCs w:val="30"/>
          <w:lang w:val="en-US" w:eastAsia="zh-CN"/>
        </w:rPr>
        <w:t>2</w:t>
      </w:r>
      <w:r>
        <w:rPr>
          <w:rFonts w:hint="eastAsia" w:ascii="仿宋" w:hAnsi="仿宋" w:eastAsia="仿宋"/>
          <w:b/>
          <w:bCs/>
          <w:sz w:val="30"/>
          <w:szCs w:val="30"/>
        </w:rPr>
        <w:t>年</w:t>
      </w:r>
      <w:r>
        <w:rPr>
          <w:rFonts w:hint="eastAsia" w:ascii="仿宋" w:hAnsi="仿宋" w:eastAsia="仿宋"/>
          <w:b/>
          <w:bCs/>
          <w:sz w:val="30"/>
          <w:szCs w:val="30"/>
          <w:lang w:val="en-US" w:eastAsia="zh-CN"/>
        </w:rPr>
        <w:t>4</w:t>
      </w:r>
      <w:r>
        <w:rPr>
          <w:rFonts w:hint="eastAsia" w:ascii="仿宋" w:hAnsi="仿宋" w:eastAsia="仿宋"/>
          <w:b/>
          <w:bCs/>
          <w:sz w:val="30"/>
          <w:szCs w:val="30"/>
        </w:rPr>
        <w:t>月</w:t>
      </w:r>
      <w:r>
        <w:rPr>
          <w:rFonts w:hint="eastAsia" w:ascii="仿宋" w:hAnsi="仿宋" w:eastAsia="仿宋"/>
          <w:b/>
          <w:bCs/>
          <w:sz w:val="30"/>
          <w:szCs w:val="30"/>
          <w:lang w:val="en-US" w:eastAsia="zh-CN"/>
        </w:rPr>
        <w:t>5</w:t>
      </w:r>
      <w:r>
        <w:rPr>
          <w:rFonts w:hint="eastAsia" w:ascii="仿宋" w:hAnsi="仿宋" w:eastAsia="仿宋"/>
          <w:b/>
          <w:bCs/>
          <w:sz w:val="30"/>
          <w:szCs w:val="30"/>
        </w:rPr>
        <w:t>日，邵阳市生态环境局</w:t>
      </w:r>
      <w:r>
        <w:rPr>
          <w:rFonts w:hint="eastAsia" w:ascii="仿宋" w:hAnsi="仿宋" w:eastAsia="仿宋"/>
          <w:b/>
          <w:bCs/>
          <w:sz w:val="30"/>
          <w:szCs w:val="30"/>
          <w:lang w:val="en-US" w:eastAsia="zh-CN"/>
        </w:rPr>
        <w:t>邵东</w:t>
      </w:r>
      <w:r>
        <w:rPr>
          <w:rFonts w:hint="eastAsia" w:ascii="仿宋" w:hAnsi="仿宋" w:eastAsia="仿宋"/>
          <w:b/>
          <w:bCs/>
          <w:sz w:val="30"/>
          <w:szCs w:val="30"/>
        </w:rPr>
        <w:t>分局组织对《</w:t>
      </w:r>
      <w:r>
        <w:rPr>
          <w:rFonts w:hint="eastAsia" w:ascii="仿宋" w:hAnsi="仿宋" w:eastAsia="仿宋"/>
          <w:b/>
          <w:bCs/>
          <w:sz w:val="30"/>
          <w:szCs w:val="30"/>
          <w:lang w:eastAsia="zh-CN"/>
        </w:rPr>
        <w:t>邵东市思逸包装有限公司年产500吨塑料包装材料项目</w:t>
      </w:r>
      <w:r>
        <w:rPr>
          <w:rFonts w:hint="eastAsia" w:ascii="仿宋" w:hAnsi="仿宋" w:eastAsia="仿宋"/>
          <w:b/>
          <w:bCs/>
          <w:sz w:val="30"/>
          <w:szCs w:val="30"/>
        </w:rPr>
        <w:t>环境影响报告表》进行书面技术审查。会议邀请了3名专家负责技术评审工作（名单附后）专家组经充分讨论与审议，形成如下评审意见：</w:t>
      </w:r>
    </w:p>
    <w:p>
      <w:pPr>
        <w:spacing w:line="360" w:lineRule="auto"/>
        <w:ind w:firstLine="562" w:firstLineChars="200"/>
        <w:outlineLvl w:val="0"/>
        <w:rPr>
          <w:rFonts w:hint="eastAsia" w:ascii="仿宋" w:hAnsi="仿宋" w:eastAsia="仿宋"/>
          <w:b/>
          <w:bCs/>
          <w:sz w:val="28"/>
        </w:rPr>
      </w:pPr>
      <w:r>
        <w:rPr>
          <w:rFonts w:hint="eastAsia" w:ascii="宋体" w:hAnsi="宋体"/>
          <w:b/>
          <w:bCs/>
          <w:sz w:val="28"/>
        </w:rPr>
        <w:t>一、项目概况</w:t>
      </w:r>
    </w:p>
    <w:p>
      <w:pPr>
        <w:pStyle w:val="8"/>
        <w:tabs>
          <w:tab w:val="left" w:pos="864"/>
        </w:tabs>
        <w:adjustRightInd w:val="0"/>
        <w:snapToGrid w:val="0"/>
        <w:spacing w:before="0" w:after="0" w:line="360" w:lineRule="auto"/>
        <w:ind w:firstLine="482"/>
        <w:rPr>
          <w:rFonts w:hint="default" w:ascii="Times New Roman" w:hAnsi="Times New Roman" w:eastAsia="宋体" w:cs="Times New Roman"/>
          <w:b w:val="0"/>
          <w:bCs w:val="0"/>
          <w:kern w:val="2"/>
          <w:sz w:val="24"/>
          <w:szCs w:val="21"/>
          <w:lang w:val="en-US" w:eastAsia="zh-CN" w:bidi="ar-SA"/>
        </w:rPr>
      </w:pPr>
      <w:r>
        <w:rPr>
          <w:rFonts w:hint="default" w:ascii="Times New Roman" w:hAnsi="Times New Roman" w:eastAsia="宋体" w:cs="Times New Roman"/>
          <w:b w:val="0"/>
          <w:bCs w:val="0"/>
          <w:kern w:val="2"/>
          <w:sz w:val="24"/>
          <w:szCs w:val="21"/>
          <w:lang w:val="en-US" w:eastAsia="zh-CN" w:bidi="ar-SA"/>
        </w:rPr>
        <w:t>项目名称：</w:t>
      </w:r>
      <w:r>
        <w:rPr>
          <w:rFonts w:hint="eastAsia" w:ascii="Times New Roman" w:hAnsi="Times New Roman" w:eastAsia="宋体" w:cs="Times New Roman"/>
          <w:b w:val="0"/>
          <w:bCs w:val="0"/>
          <w:kern w:val="2"/>
          <w:sz w:val="24"/>
          <w:szCs w:val="21"/>
          <w:lang w:val="en-US" w:eastAsia="zh-CN" w:bidi="ar-SA"/>
        </w:rPr>
        <w:t>年产500吨塑料包装材料项目</w:t>
      </w:r>
    </w:p>
    <w:p>
      <w:pPr>
        <w:pStyle w:val="8"/>
        <w:tabs>
          <w:tab w:val="left" w:pos="864"/>
        </w:tabs>
        <w:adjustRightInd w:val="0"/>
        <w:snapToGrid w:val="0"/>
        <w:spacing w:before="0" w:after="0" w:line="360" w:lineRule="auto"/>
        <w:ind w:firstLine="482"/>
        <w:rPr>
          <w:rFonts w:hint="default" w:ascii="Times New Roman" w:hAnsi="Times New Roman" w:eastAsia="宋体" w:cs="Times New Roman"/>
          <w:b w:val="0"/>
          <w:bCs w:val="0"/>
          <w:kern w:val="2"/>
          <w:sz w:val="24"/>
          <w:szCs w:val="21"/>
          <w:lang w:val="en-US" w:eastAsia="zh-CN" w:bidi="ar-SA"/>
        </w:rPr>
      </w:pPr>
      <w:r>
        <w:rPr>
          <w:rFonts w:hint="default" w:ascii="Times New Roman" w:hAnsi="Times New Roman" w:eastAsia="宋体" w:cs="Times New Roman"/>
          <w:b w:val="0"/>
          <w:bCs w:val="0"/>
          <w:kern w:val="2"/>
          <w:sz w:val="24"/>
          <w:szCs w:val="21"/>
          <w:lang w:val="en-US" w:eastAsia="zh-CN" w:bidi="ar-SA"/>
        </w:rPr>
        <w:t>建设单位：</w:t>
      </w:r>
      <w:r>
        <w:rPr>
          <w:rFonts w:hint="eastAsia" w:ascii="Times New Roman" w:hAnsi="Times New Roman" w:eastAsia="宋体" w:cs="Times New Roman"/>
          <w:b w:val="0"/>
          <w:bCs w:val="0"/>
          <w:kern w:val="2"/>
          <w:sz w:val="24"/>
          <w:szCs w:val="21"/>
          <w:lang w:val="en-US" w:eastAsia="zh-CN" w:bidi="ar-SA"/>
        </w:rPr>
        <w:t>邵东市思逸包装有限公司</w:t>
      </w:r>
    </w:p>
    <w:p>
      <w:pPr>
        <w:pStyle w:val="8"/>
        <w:tabs>
          <w:tab w:val="left" w:pos="864"/>
        </w:tabs>
        <w:adjustRightInd w:val="0"/>
        <w:snapToGrid w:val="0"/>
        <w:spacing w:before="0" w:after="0" w:line="360" w:lineRule="auto"/>
        <w:ind w:firstLine="482"/>
        <w:rPr>
          <w:rFonts w:hint="default" w:ascii="Times New Roman" w:hAnsi="Times New Roman" w:eastAsia="宋体" w:cs="Times New Roman"/>
          <w:b w:val="0"/>
          <w:bCs w:val="0"/>
          <w:kern w:val="2"/>
          <w:sz w:val="24"/>
          <w:szCs w:val="21"/>
          <w:lang w:val="en-US" w:eastAsia="zh-CN" w:bidi="ar-SA"/>
        </w:rPr>
      </w:pPr>
      <w:r>
        <w:rPr>
          <w:rFonts w:hint="default" w:ascii="Times New Roman" w:hAnsi="Times New Roman" w:eastAsia="宋体" w:cs="Times New Roman"/>
          <w:b w:val="0"/>
          <w:bCs w:val="0"/>
          <w:kern w:val="2"/>
          <w:sz w:val="24"/>
          <w:szCs w:val="21"/>
          <w:lang w:val="en-US" w:eastAsia="zh-CN" w:bidi="ar-SA"/>
        </w:rPr>
        <w:t>建设性质：新建</w:t>
      </w:r>
      <w:r>
        <w:rPr>
          <w:rFonts w:hint="eastAsia" w:ascii="Times New Roman" w:hAnsi="Times New Roman" w:eastAsia="宋体" w:cs="Times New Roman"/>
          <w:b w:val="0"/>
          <w:bCs w:val="0"/>
          <w:kern w:val="2"/>
          <w:sz w:val="24"/>
          <w:szCs w:val="21"/>
          <w:lang w:val="en-US" w:eastAsia="zh-CN" w:bidi="ar-SA"/>
        </w:rPr>
        <w:t>（补办环评）</w:t>
      </w:r>
    </w:p>
    <w:p>
      <w:pPr>
        <w:pStyle w:val="8"/>
        <w:tabs>
          <w:tab w:val="left" w:pos="864"/>
        </w:tabs>
        <w:adjustRightInd w:val="0"/>
        <w:snapToGrid w:val="0"/>
        <w:spacing w:before="0" w:after="0" w:line="360" w:lineRule="auto"/>
        <w:ind w:firstLine="482"/>
        <w:rPr>
          <w:rFonts w:hint="default" w:ascii="Times New Roman" w:hAnsi="Times New Roman" w:eastAsia="宋体" w:cs="Times New Roman"/>
          <w:b w:val="0"/>
          <w:bCs w:val="0"/>
          <w:kern w:val="2"/>
          <w:sz w:val="24"/>
          <w:szCs w:val="21"/>
          <w:lang w:val="en-US" w:eastAsia="zh-CN" w:bidi="ar-SA"/>
        </w:rPr>
      </w:pPr>
      <w:r>
        <w:rPr>
          <w:rFonts w:hint="default" w:ascii="Times New Roman" w:hAnsi="Times New Roman" w:eastAsia="宋体" w:cs="Times New Roman"/>
          <w:b w:val="0"/>
          <w:bCs w:val="0"/>
          <w:kern w:val="2"/>
          <w:sz w:val="24"/>
          <w:szCs w:val="21"/>
          <w:lang w:val="en-US" w:eastAsia="zh-CN" w:bidi="ar-SA"/>
        </w:rPr>
        <w:t>占地面积：</w:t>
      </w:r>
      <w:r>
        <w:rPr>
          <w:rFonts w:hint="eastAsia" w:ascii="Times New Roman" w:hAnsi="Times New Roman" w:eastAsia="宋体" w:cs="Times New Roman"/>
          <w:b w:val="0"/>
          <w:bCs w:val="0"/>
          <w:kern w:val="2"/>
          <w:sz w:val="24"/>
          <w:szCs w:val="21"/>
          <w:lang w:val="en-US" w:eastAsia="zh-CN" w:bidi="ar-SA"/>
        </w:rPr>
        <w:t>4000</w:t>
      </w:r>
      <w:r>
        <w:rPr>
          <w:rFonts w:hint="default" w:ascii="Times New Roman" w:hAnsi="Times New Roman" w:eastAsia="宋体" w:cs="Times New Roman"/>
          <w:b w:val="0"/>
          <w:bCs w:val="0"/>
          <w:kern w:val="2"/>
          <w:sz w:val="24"/>
          <w:szCs w:val="21"/>
          <w:lang w:val="en-US" w:eastAsia="zh-CN" w:bidi="ar-SA"/>
        </w:rPr>
        <w:t>㎡</w:t>
      </w:r>
    </w:p>
    <w:p>
      <w:pPr>
        <w:pStyle w:val="8"/>
        <w:tabs>
          <w:tab w:val="left" w:pos="864"/>
        </w:tabs>
        <w:adjustRightInd w:val="0"/>
        <w:snapToGrid w:val="0"/>
        <w:spacing w:before="0" w:after="0" w:line="360" w:lineRule="auto"/>
        <w:ind w:firstLine="482"/>
        <w:rPr>
          <w:rFonts w:hint="default" w:ascii="Times New Roman" w:hAnsi="Times New Roman" w:eastAsia="宋体" w:cs="Times New Roman"/>
          <w:b w:val="0"/>
          <w:bCs w:val="0"/>
          <w:kern w:val="2"/>
          <w:sz w:val="24"/>
          <w:szCs w:val="21"/>
          <w:lang w:val="en-US" w:eastAsia="zh-CN" w:bidi="ar-SA"/>
        </w:rPr>
      </w:pPr>
      <w:r>
        <w:rPr>
          <w:rFonts w:hint="default" w:ascii="Times New Roman" w:hAnsi="Times New Roman" w:eastAsia="宋体" w:cs="Times New Roman"/>
          <w:b w:val="0"/>
          <w:bCs w:val="0"/>
          <w:kern w:val="2"/>
          <w:sz w:val="24"/>
          <w:szCs w:val="21"/>
          <w:lang w:val="en-US" w:eastAsia="zh-CN" w:bidi="ar-SA"/>
        </w:rPr>
        <w:t>项目投资：</w:t>
      </w:r>
      <w:r>
        <w:rPr>
          <w:rFonts w:hint="eastAsia" w:ascii="Times New Roman" w:hAnsi="Times New Roman" w:eastAsia="宋体" w:cs="Times New Roman"/>
          <w:b w:val="0"/>
          <w:bCs w:val="0"/>
          <w:kern w:val="2"/>
          <w:sz w:val="24"/>
          <w:szCs w:val="21"/>
          <w:lang w:val="en-US" w:eastAsia="zh-CN" w:bidi="ar-SA"/>
        </w:rPr>
        <w:t>300万</w:t>
      </w:r>
      <w:r>
        <w:rPr>
          <w:rFonts w:hint="default" w:ascii="Times New Roman" w:hAnsi="Times New Roman" w:eastAsia="宋体" w:cs="Times New Roman"/>
          <w:b w:val="0"/>
          <w:bCs w:val="0"/>
          <w:kern w:val="2"/>
          <w:sz w:val="24"/>
          <w:szCs w:val="21"/>
          <w:lang w:val="en-US" w:eastAsia="zh-CN" w:bidi="ar-SA"/>
        </w:rPr>
        <w:t>元</w:t>
      </w:r>
    </w:p>
    <w:p>
      <w:pPr>
        <w:pStyle w:val="8"/>
        <w:tabs>
          <w:tab w:val="left" w:pos="864"/>
        </w:tabs>
        <w:adjustRightInd w:val="0"/>
        <w:snapToGrid w:val="0"/>
        <w:spacing w:before="0" w:after="0" w:line="360" w:lineRule="auto"/>
        <w:ind w:firstLine="482"/>
        <w:rPr>
          <w:rFonts w:hint="default" w:ascii="Times New Roman" w:hAnsi="Times New Roman" w:eastAsia="宋体" w:cs="Times New Roman"/>
          <w:b w:val="0"/>
          <w:bCs w:val="0"/>
          <w:kern w:val="2"/>
          <w:sz w:val="24"/>
          <w:szCs w:val="21"/>
          <w:lang w:val="en-US" w:eastAsia="zh-CN" w:bidi="ar-SA"/>
        </w:rPr>
      </w:pPr>
      <w:r>
        <w:rPr>
          <w:rFonts w:hint="default" w:ascii="Times New Roman" w:hAnsi="Times New Roman" w:eastAsia="宋体" w:cs="Times New Roman"/>
          <w:b w:val="0"/>
          <w:bCs w:val="0"/>
          <w:kern w:val="2"/>
          <w:sz w:val="24"/>
          <w:szCs w:val="21"/>
          <w:lang w:val="en-US" w:eastAsia="zh-CN" w:bidi="ar-SA"/>
        </w:rPr>
        <w:t>建设地点：</w:t>
      </w:r>
      <w:r>
        <w:rPr>
          <w:rFonts w:hint="eastAsia" w:ascii="Times New Roman" w:hAnsi="Times New Roman" w:eastAsia="宋体" w:cs="Times New Roman"/>
          <w:b w:val="0"/>
          <w:bCs w:val="0"/>
          <w:kern w:val="2"/>
          <w:sz w:val="24"/>
          <w:szCs w:val="21"/>
          <w:lang w:val="en-US" w:eastAsia="zh-CN" w:bidi="ar-SA"/>
        </w:rPr>
        <w:t>湖南省邵阳市邵东市廉桥镇兔子坪村5组2号</w:t>
      </w:r>
    </w:p>
    <w:p>
      <w:pPr>
        <w:pStyle w:val="83"/>
        <w:tabs>
          <w:tab w:val="left" w:pos="5040"/>
        </w:tabs>
        <w:ind w:firstLine="482" w:firstLineChars="200"/>
        <w:rPr>
          <w:rFonts w:hint="default" w:ascii="Times New Roman" w:hAnsi="Times New Roman" w:cs="Times New Roman"/>
          <w:bCs/>
        </w:rPr>
      </w:pPr>
      <w:r>
        <w:rPr>
          <w:rFonts w:hint="default" w:ascii="Times New Roman" w:hAnsi="Times New Roman" w:cs="Times New Roman"/>
          <w:bCs/>
        </w:rPr>
        <w:t>（三）工程建设内容</w:t>
      </w:r>
    </w:p>
    <w:p>
      <w:pPr>
        <w:pStyle w:val="83"/>
        <w:tabs>
          <w:tab w:val="left" w:pos="5040"/>
        </w:tabs>
        <w:ind w:firstLine="482" w:firstLineChars="200"/>
        <w:rPr>
          <w:rFonts w:hint="default" w:ascii="Times New Roman" w:hAnsi="Times New Roman" w:cs="Times New Roman"/>
          <w:bCs/>
        </w:rPr>
      </w:pPr>
      <w:r>
        <w:rPr>
          <w:rFonts w:hint="default" w:ascii="Times New Roman" w:hAnsi="Times New Roman" w:cs="Times New Roman"/>
          <w:bCs/>
        </w:rPr>
        <w:t>1.产品方案</w:t>
      </w:r>
    </w:p>
    <w:p>
      <w:pPr>
        <w:pStyle w:val="83"/>
        <w:ind w:firstLine="480" w:firstLineChars="200"/>
        <w:rPr>
          <w:rFonts w:hint="default" w:ascii="Times New Roman" w:hAnsi="Times New Roman" w:eastAsia="宋体" w:cs="Times New Roman"/>
          <w:b w:val="0"/>
          <w:kern w:val="2"/>
          <w:sz w:val="24"/>
          <w:szCs w:val="21"/>
          <w:lang w:val="en-US" w:eastAsia="zh-CN" w:bidi="ar-SA"/>
        </w:rPr>
      </w:pPr>
      <w:r>
        <w:rPr>
          <w:rFonts w:hint="default" w:ascii="Times New Roman" w:hAnsi="Times New Roman" w:eastAsia="宋体" w:cs="Times New Roman"/>
          <w:b w:val="0"/>
          <w:kern w:val="2"/>
          <w:sz w:val="24"/>
          <w:szCs w:val="21"/>
          <w:lang w:val="en-US" w:eastAsia="zh-CN" w:bidi="ar-SA"/>
        </w:rPr>
        <w:t>本项目主体工程及产品方案见表2-1，产品质量标准表见表2-2。</w:t>
      </w:r>
    </w:p>
    <w:p>
      <w:pPr>
        <w:pStyle w:val="83"/>
        <w:jc w:val="center"/>
        <w:rPr>
          <w:rFonts w:hint="default" w:ascii="Times New Roman" w:hAnsi="Times New Roman" w:cs="Times New Roman"/>
        </w:rPr>
      </w:pPr>
      <w:r>
        <w:rPr>
          <w:rFonts w:hint="default" w:ascii="Times New Roman" w:hAnsi="Times New Roman" w:cs="Times New Roman"/>
        </w:rPr>
        <w:t>表2-1  建设项目主体工程及产品方案</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999"/>
        <w:gridCol w:w="2962"/>
        <w:gridCol w:w="1750"/>
        <w:gridCol w:w="15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noWrap w:val="0"/>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1103" w:type="pct"/>
            <w:noWrap w:val="0"/>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产品名称</w:t>
            </w:r>
          </w:p>
        </w:tc>
        <w:tc>
          <w:tcPr>
            <w:tcW w:w="1634" w:type="pct"/>
            <w:noWrap w:val="0"/>
            <w:vAlign w:val="center"/>
          </w:tcPr>
          <w:p>
            <w:pPr>
              <w:adjustRightInd w:val="0"/>
              <w:snapToGrid w:val="0"/>
              <w:jc w:val="center"/>
              <w:rPr>
                <w:rFonts w:hint="eastAsia" w:ascii="Times New Roman" w:hAnsi="Times New Roman" w:eastAsia="宋体" w:cs="Times New Roman"/>
                <w:b/>
                <w:szCs w:val="21"/>
                <w:lang w:val="en-US" w:eastAsia="zh-CN"/>
              </w:rPr>
            </w:pPr>
            <w:r>
              <w:rPr>
                <w:rFonts w:hint="eastAsia" w:ascii="Times New Roman" w:hAnsi="Times New Roman" w:cs="Times New Roman"/>
                <w:b/>
                <w:szCs w:val="21"/>
                <w:lang w:val="en-US" w:eastAsia="zh-CN"/>
              </w:rPr>
              <w:t>产品规格</w:t>
            </w:r>
          </w:p>
        </w:tc>
        <w:tc>
          <w:tcPr>
            <w:tcW w:w="965" w:type="pct"/>
            <w:noWrap w:val="0"/>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设计能力</w:t>
            </w:r>
          </w:p>
        </w:tc>
        <w:tc>
          <w:tcPr>
            <w:tcW w:w="833" w:type="pct"/>
            <w:noWrap w:val="0"/>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noWrap w:val="0"/>
            <w:vAlign w:val="center"/>
          </w:tcPr>
          <w:p>
            <w:pPr>
              <w:pStyle w:val="83"/>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103" w:type="pct"/>
            <w:noWrap w:val="0"/>
            <w:vAlign w:val="center"/>
          </w:tcPr>
          <w:p>
            <w:pPr>
              <w:pStyle w:val="83"/>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sz w:val="21"/>
                <w:szCs w:val="21"/>
                <w:lang w:val="en-US" w:eastAsia="zh-CN"/>
              </w:rPr>
              <w:t>快递包装袋</w:t>
            </w:r>
          </w:p>
        </w:tc>
        <w:tc>
          <w:tcPr>
            <w:tcW w:w="1634" w:type="pct"/>
            <w:noWrap w:val="0"/>
            <w:vAlign w:val="center"/>
          </w:tcPr>
          <w:p>
            <w:pPr>
              <w:pStyle w:val="83"/>
              <w:adjustRightInd w:val="0"/>
              <w:snapToGrid w:val="0"/>
              <w:spacing w:line="240" w:lineRule="auto"/>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lang w:val="en-US" w:eastAsia="zh-CN"/>
              </w:rPr>
              <w:t>0.0</w:t>
            </w:r>
            <w:r>
              <w:rPr>
                <w:rFonts w:hint="eastAsia" w:ascii="Times New Roman" w:hAnsi="Times New Roman" w:cs="Times New Roman"/>
                <w:b w:val="0"/>
                <w:bCs/>
                <w:sz w:val="21"/>
                <w:szCs w:val="21"/>
                <w:lang w:val="en-US" w:eastAsia="zh-CN"/>
              </w:rPr>
              <w:t>3</w:t>
            </w:r>
            <w:r>
              <w:rPr>
                <w:rFonts w:hint="default" w:ascii="Times New Roman" w:hAnsi="Times New Roman" w:cs="Times New Roman"/>
                <w:b w:val="0"/>
                <w:bCs/>
                <w:sz w:val="21"/>
                <w:szCs w:val="21"/>
                <w:lang w:val="en-US" w:eastAsia="zh-CN"/>
              </w:rPr>
              <w:t>mm-0.</w:t>
            </w:r>
            <w:r>
              <w:rPr>
                <w:rFonts w:hint="eastAsia" w:ascii="Times New Roman" w:hAnsi="Times New Roman" w:cs="Times New Roman"/>
                <w:b w:val="0"/>
                <w:bCs/>
                <w:sz w:val="21"/>
                <w:szCs w:val="21"/>
                <w:lang w:val="en-US" w:eastAsia="zh-CN"/>
              </w:rPr>
              <w:t>1</w:t>
            </w:r>
            <w:r>
              <w:rPr>
                <w:rFonts w:hint="default" w:ascii="Times New Roman" w:hAnsi="Times New Roman" w:cs="Times New Roman"/>
                <w:b w:val="0"/>
                <w:bCs/>
                <w:sz w:val="21"/>
                <w:szCs w:val="21"/>
                <w:lang w:val="en-US" w:eastAsia="zh-CN"/>
              </w:rPr>
              <w:t>mm（</w:t>
            </w:r>
            <w:r>
              <w:rPr>
                <w:rFonts w:hint="eastAsia" w:ascii="Times New Roman" w:hAnsi="Times New Roman" w:cs="Times New Roman"/>
                <w:b w:val="0"/>
                <w:bCs/>
                <w:sz w:val="21"/>
                <w:szCs w:val="21"/>
                <w:lang w:val="en-US" w:eastAsia="zh-CN"/>
              </w:rPr>
              <w:t>3</w:t>
            </w:r>
            <w:r>
              <w:rPr>
                <w:rFonts w:hint="default" w:ascii="Times New Roman" w:hAnsi="Times New Roman" w:cs="Times New Roman"/>
                <w:b w:val="0"/>
                <w:bCs/>
                <w:sz w:val="21"/>
                <w:szCs w:val="21"/>
                <w:lang w:val="en-US" w:eastAsia="zh-CN"/>
              </w:rPr>
              <w:t>S-</w:t>
            </w:r>
            <w:r>
              <w:rPr>
                <w:rFonts w:hint="eastAsia" w:ascii="Times New Roman" w:hAnsi="Times New Roman" w:cs="Times New Roman"/>
                <w:b w:val="0"/>
                <w:bCs/>
                <w:sz w:val="21"/>
                <w:szCs w:val="21"/>
                <w:lang w:val="en-US" w:eastAsia="zh-CN"/>
              </w:rPr>
              <w:t>10</w:t>
            </w:r>
            <w:r>
              <w:rPr>
                <w:rFonts w:hint="default" w:ascii="Times New Roman" w:hAnsi="Times New Roman" w:cs="Times New Roman"/>
                <w:b w:val="0"/>
                <w:bCs/>
                <w:sz w:val="21"/>
                <w:szCs w:val="21"/>
                <w:lang w:val="en-US" w:eastAsia="zh-CN"/>
              </w:rPr>
              <w:t>S）</w:t>
            </w:r>
          </w:p>
        </w:tc>
        <w:tc>
          <w:tcPr>
            <w:tcW w:w="965" w:type="pct"/>
            <w:noWrap w:val="0"/>
            <w:vAlign w:val="center"/>
          </w:tcPr>
          <w:p>
            <w:pPr>
              <w:pStyle w:val="83"/>
              <w:adjustRightInd w:val="0"/>
              <w:snapToGrid w:val="0"/>
              <w:spacing w:line="240" w:lineRule="auto"/>
              <w:jc w:val="center"/>
              <w:rPr>
                <w:rFonts w:hint="default" w:ascii="Times New Roman" w:hAnsi="Times New Roman" w:cs="Times New Roman"/>
                <w:b w:val="0"/>
                <w:bCs/>
                <w:sz w:val="21"/>
                <w:szCs w:val="21"/>
              </w:rPr>
            </w:pPr>
            <w:r>
              <w:rPr>
                <w:rFonts w:hint="eastAsia" w:ascii="Times New Roman" w:hAnsi="Times New Roman" w:cs="Times New Roman"/>
                <w:b w:val="0"/>
                <w:bCs/>
                <w:sz w:val="21"/>
                <w:szCs w:val="21"/>
                <w:lang w:val="en-US" w:eastAsia="zh-CN"/>
              </w:rPr>
              <w:t>500t</w:t>
            </w:r>
            <w:r>
              <w:rPr>
                <w:rFonts w:hint="default" w:ascii="Times New Roman" w:hAnsi="Times New Roman" w:cs="Times New Roman"/>
                <w:b w:val="0"/>
                <w:bCs/>
                <w:sz w:val="21"/>
                <w:szCs w:val="21"/>
              </w:rPr>
              <w:t>/</w:t>
            </w:r>
            <w:r>
              <w:rPr>
                <w:rFonts w:hint="default" w:ascii="Times New Roman" w:hAnsi="Times New Roman" w:cs="Times New Roman"/>
                <w:b w:val="0"/>
                <w:bCs/>
                <w:sz w:val="21"/>
                <w:szCs w:val="21"/>
                <w:lang w:val="en-US" w:eastAsia="zh-CN"/>
              </w:rPr>
              <w:t>a</w:t>
            </w:r>
          </w:p>
        </w:tc>
        <w:tc>
          <w:tcPr>
            <w:tcW w:w="833" w:type="pct"/>
            <w:noWrap w:val="0"/>
            <w:vAlign w:val="center"/>
          </w:tcPr>
          <w:p>
            <w:pPr>
              <w:pStyle w:val="83"/>
              <w:adjustRightInd w:val="0"/>
              <w:snapToGrid w:val="0"/>
              <w:spacing w:line="240" w:lineRule="auto"/>
              <w:jc w:val="center"/>
              <w:rPr>
                <w:rFonts w:hint="default" w:ascii="Times New Roman" w:hAnsi="Times New Roman" w:cs="Times New Roman"/>
                <w:b w:val="0"/>
                <w:bCs/>
                <w:sz w:val="21"/>
                <w:szCs w:val="21"/>
              </w:rPr>
            </w:pPr>
            <w:r>
              <w:rPr>
                <w:rFonts w:hint="eastAsia" w:ascii="Times New Roman" w:hAnsi="Times New Roman" w:cs="Times New Roman"/>
                <w:b w:val="0"/>
                <w:bCs/>
                <w:sz w:val="21"/>
                <w:szCs w:val="21"/>
                <w:lang w:val="en-US" w:eastAsia="zh-CN"/>
              </w:rPr>
              <w:t>24</w:t>
            </w:r>
            <w:r>
              <w:rPr>
                <w:rFonts w:hint="default" w:ascii="Times New Roman" w:hAnsi="Times New Roman" w:cs="Times New Roman"/>
                <w:b w:val="0"/>
                <w:bCs/>
                <w:sz w:val="21"/>
                <w:szCs w:val="21"/>
                <w:lang w:val="en-US" w:eastAsia="zh-CN"/>
              </w:rPr>
              <w:t>00h</w:t>
            </w:r>
          </w:p>
        </w:tc>
      </w:tr>
    </w:tbl>
    <w:p>
      <w:pPr>
        <w:pStyle w:val="83"/>
        <w:tabs>
          <w:tab w:val="left" w:pos="5040"/>
        </w:tabs>
        <w:spacing w:line="360" w:lineRule="auto"/>
        <w:ind w:firstLine="482" w:firstLineChars="200"/>
        <w:rPr>
          <w:rFonts w:hint="default" w:ascii="Times New Roman" w:hAnsi="Times New Roman" w:cs="Times New Roman"/>
          <w:bCs/>
        </w:rPr>
      </w:pPr>
      <w:r>
        <w:rPr>
          <w:rFonts w:hint="default" w:ascii="Times New Roman" w:hAnsi="Times New Roman" w:cs="Times New Roman"/>
          <w:bCs/>
        </w:rPr>
        <w:t>2.工程内容及规模</w:t>
      </w:r>
    </w:p>
    <w:p>
      <w:pPr>
        <w:pStyle w:val="83"/>
        <w:ind w:firstLine="480" w:firstLineChars="200"/>
        <w:rPr>
          <w:rFonts w:hint="default" w:ascii="Times New Roman" w:hAnsi="Times New Roman" w:cs="Times New Roman"/>
          <w:color w:val="7F7F7F"/>
        </w:rPr>
      </w:pPr>
      <w:r>
        <w:rPr>
          <w:rFonts w:hint="default" w:ascii="Times New Roman" w:hAnsi="Times New Roman" w:eastAsia="宋体" w:cs="Times New Roman"/>
          <w:b w:val="0"/>
          <w:bCs w:val="0"/>
          <w:kern w:val="2"/>
          <w:sz w:val="24"/>
          <w:szCs w:val="21"/>
          <w:lang w:val="en-US" w:eastAsia="zh-CN" w:bidi="ar-SA"/>
        </w:rPr>
        <w:t>本项目选址于</w:t>
      </w:r>
      <w:r>
        <w:rPr>
          <w:rFonts w:hint="eastAsia" w:ascii="Times New Roman" w:hAnsi="Times New Roman" w:eastAsia="宋体" w:cs="Times New Roman"/>
          <w:b w:val="0"/>
          <w:bCs w:val="0"/>
          <w:kern w:val="2"/>
          <w:sz w:val="24"/>
          <w:szCs w:val="21"/>
          <w:lang w:val="en-US" w:eastAsia="zh-CN" w:bidi="ar-SA"/>
        </w:rPr>
        <w:t>湖南省邵阳市邵东市廉桥镇兔子坪村5组2号</w:t>
      </w:r>
      <w:r>
        <w:rPr>
          <w:rFonts w:hint="default" w:ascii="Times New Roman" w:hAnsi="Times New Roman" w:eastAsia="宋体" w:cs="Times New Roman"/>
          <w:b w:val="0"/>
          <w:bCs w:val="0"/>
          <w:kern w:val="2"/>
          <w:sz w:val="24"/>
          <w:szCs w:val="21"/>
          <w:lang w:val="en-US" w:eastAsia="zh-CN" w:bidi="ar-SA"/>
        </w:rPr>
        <w:t>，租赁</w:t>
      </w:r>
      <w:r>
        <w:rPr>
          <w:rFonts w:hint="eastAsia" w:ascii="Times New Roman" w:hAnsi="Times New Roman" w:eastAsia="宋体" w:cs="Times New Roman"/>
          <w:b w:val="0"/>
          <w:bCs w:val="0"/>
          <w:kern w:val="2"/>
          <w:sz w:val="24"/>
          <w:szCs w:val="21"/>
          <w:lang w:val="en-US" w:eastAsia="zh-CN" w:bidi="ar-SA"/>
        </w:rPr>
        <w:t>湖南壹佰年科技发展有限公司</w:t>
      </w:r>
      <w:r>
        <w:rPr>
          <w:rFonts w:hint="default" w:ascii="Times New Roman" w:hAnsi="Times New Roman" w:eastAsia="宋体" w:cs="Times New Roman"/>
          <w:b w:val="0"/>
          <w:bCs w:val="0"/>
          <w:kern w:val="2"/>
          <w:sz w:val="24"/>
          <w:szCs w:val="21"/>
          <w:lang w:val="en-US" w:eastAsia="zh-CN" w:bidi="ar-SA"/>
        </w:rPr>
        <w:t>厂房，租赁面积</w:t>
      </w:r>
      <w:r>
        <w:rPr>
          <w:rFonts w:hint="eastAsia" w:ascii="Times New Roman" w:hAnsi="Times New Roman" w:eastAsia="宋体" w:cs="Times New Roman"/>
          <w:b w:val="0"/>
          <w:bCs w:val="0"/>
          <w:kern w:val="2"/>
          <w:sz w:val="24"/>
          <w:szCs w:val="21"/>
          <w:lang w:val="en-US" w:eastAsia="zh-CN" w:bidi="ar-SA"/>
        </w:rPr>
        <w:t>4000</w:t>
      </w:r>
      <w:r>
        <w:rPr>
          <w:rFonts w:hint="default" w:ascii="Times New Roman" w:hAnsi="Times New Roman" w:eastAsia="宋体" w:cs="Times New Roman"/>
          <w:b w:val="0"/>
          <w:bCs w:val="0"/>
          <w:kern w:val="2"/>
          <w:sz w:val="24"/>
          <w:szCs w:val="21"/>
          <w:lang w:val="en-US" w:eastAsia="zh-CN" w:bidi="ar-SA"/>
        </w:rPr>
        <w:t>m</w:t>
      </w:r>
      <w:r>
        <w:rPr>
          <w:rFonts w:hint="default" w:ascii="Times New Roman" w:hAnsi="Times New Roman" w:eastAsia="宋体" w:cs="Times New Roman"/>
          <w:b w:val="0"/>
          <w:bCs w:val="0"/>
          <w:kern w:val="2"/>
          <w:sz w:val="24"/>
          <w:szCs w:val="21"/>
          <w:vertAlign w:val="superscript"/>
          <w:lang w:val="en-US" w:eastAsia="zh-CN" w:bidi="ar-SA"/>
        </w:rPr>
        <w:t>2</w:t>
      </w:r>
      <w:r>
        <w:rPr>
          <w:rFonts w:hint="default" w:ascii="Times New Roman" w:hAnsi="Times New Roman" w:eastAsia="宋体" w:cs="Times New Roman"/>
          <w:b w:val="0"/>
          <w:bCs w:val="0"/>
          <w:kern w:val="2"/>
          <w:sz w:val="24"/>
          <w:szCs w:val="21"/>
          <w:lang w:val="en-US" w:eastAsia="zh-CN" w:bidi="ar-SA"/>
        </w:rPr>
        <w:t>，主要建设吹膜生产线及其辅助和环保设施。项目主体工程、公辅工程、环保工程等建设内容见</w:t>
      </w:r>
      <w:r>
        <w:rPr>
          <w:rFonts w:hint="eastAsia" w:ascii="Times New Roman" w:hAnsi="Times New Roman" w:eastAsia="宋体" w:cs="Times New Roman"/>
          <w:b w:val="0"/>
          <w:bCs w:val="0"/>
          <w:kern w:val="2"/>
          <w:sz w:val="24"/>
          <w:szCs w:val="21"/>
          <w:lang w:val="en-US" w:eastAsia="zh-CN" w:bidi="ar-SA"/>
        </w:rPr>
        <w:t>下</w:t>
      </w:r>
      <w:r>
        <w:rPr>
          <w:rFonts w:hint="default" w:ascii="Times New Roman" w:hAnsi="Times New Roman" w:eastAsia="宋体" w:cs="Times New Roman"/>
          <w:b w:val="0"/>
          <w:bCs w:val="0"/>
          <w:kern w:val="2"/>
          <w:sz w:val="24"/>
          <w:szCs w:val="21"/>
          <w:lang w:val="en-US" w:eastAsia="zh-CN" w:bidi="ar-SA"/>
        </w:rPr>
        <w:t>表</w:t>
      </w:r>
      <w:r>
        <w:rPr>
          <w:rFonts w:hint="default" w:ascii="Times New Roman" w:hAnsi="Times New Roman" w:cs="Times New Roman"/>
          <w:color w:val="7F7F7F"/>
          <w:lang w:val="en-US" w:eastAsia="zh-CN"/>
        </w:rPr>
        <w:t>。</w:t>
      </w:r>
    </w:p>
    <w:p>
      <w:pPr>
        <w:pStyle w:val="83"/>
        <w:jc w:val="center"/>
        <w:rPr>
          <w:rFonts w:hint="default" w:ascii="Times New Roman" w:hAnsi="Times New Roman" w:cs="Times New Roman"/>
        </w:rPr>
      </w:pPr>
      <w:r>
        <w:rPr>
          <w:rFonts w:hint="default" w:ascii="Times New Roman" w:hAnsi="Times New Roman" w:cs="Times New Roman"/>
        </w:rPr>
        <w:t>表2-</w:t>
      </w:r>
      <w:r>
        <w:rPr>
          <w:rFonts w:hint="eastAsia" w:ascii="Times New Roman" w:hAnsi="Times New Roman" w:cs="Times New Roman"/>
          <w:lang w:val="en-US" w:eastAsia="zh-CN"/>
        </w:rPr>
        <w:t>2</w:t>
      </w:r>
      <w:r>
        <w:rPr>
          <w:rFonts w:hint="default" w:ascii="Times New Roman" w:hAnsi="Times New Roman" w:cs="Times New Roman"/>
        </w:rPr>
        <w:t xml:space="preserve">  工程内容及规模</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400"/>
        <w:gridCol w:w="5687"/>
        <w:gridCol w:w="10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项目</w:t>
            </w:r>
          </w:p>
        </w:tc>
        <w:tc>
          <w:tcPr>
            <w:tcW w:w="772" w:type="pc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单项工程名称</w:t>
            </w:r>
          </w:p>
        </w:tc>
        <w:tc>
          <w:tcPr>
            <w:tcW w:w="3138" w:type="pc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工程建设内容及设计能力</w:t>
            </w:r>
          </w:p>
        </w:tc>
        <w:tc>
          <w:tcPr>
            <w:tcW w:w="578" w:type="pct"/>
            <w:noWrap w:val="0"/>
            <w:vAlign w:val="center"/>
          </w:tcPr>
          <w:p>
            <w:pPr>
              <w:adjustRightInd w:val="0"/>
              <w:snapToGrid w:val="0"/>
              <w:jc w:val="center"/>
              <w:rPr>
                <w:rFonts w:hint="default" w:ascii="Times New Roman" w:hAnsi="Times New Roman" w:eastAsia="宋体" w:cs="Times New Roman"/>
                <w:b/>
                <w:lang w:eastAsia="zh-CN"/>
              </w:rPr>
            </w:pPr>
            <w:r>
              <w:rPr>
                <w:rFonts w:hint="default" w:ascii="Times New Roman" w:hAnsi="Times New Roman" w:cs="Times New Roman"/>
                <w:b/>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主体工程</w:t>
            </w:r>
          </w:p>
        </w:tc>
        <w:tc>
          <w:tcPr>
            <w:tcW w:w="772" w:type="pct"/>
            <w:noWrap w:val="0"/>
            <w:vAlign w:val="center"/>
          </w:tcPr>
          <w:p>
            <w:pPr>
              <w:adjustRightInd w:val="0"/>
              <w:snapToGrid w:val="0"/>
              <w:jc w:val="center"/>
              <w:rPr>
                <w:rFonts w:hint="default" w:ascii="Times New Roman" w:hAnsi="Times New Roman" w:eastAsia="宋体" w:cs="Times New Roman"/>
                <w:b w:val="0"/>
                <w:bCs/>
                <w:lang w:eastAsia="zh-CN"/>
              </w:rPr>
            </w:pPr>
            <w:r>
              <w:rPr>
                <w:rFonts w:hint="default" w:ascii="Times New Roman" w:hAnsi="Times New Roman" w:cs="Times New Roman"/>
                <w:b w:val="0"/>
                <w:bCs/>
                <w:lang w:eastAsia="zh-CN"/>
              </w:rPr>
              <w:t>生产车间</w:t>
            </w:r>
          </w:p>
        </w:tc>
        <w:tc>
          <w:tcPr>
            <w:tcW w:w="3138" w:type="pct"/>
            <w:noWrap w:val="0"/>
            <w:vAlign w:val="center"/>
          </w:tcPr>
          <w:p>
            <w:pPr>
              <w:adjustRightInd w:val="0"/>
              <w:snapToGrid w:val="0"/>
              <w:jc w:val="center"/>
              <w:rPr>
                <w:rFonts w:hint="default" w:ascii="Times New Roman" w:hAnsi="Times New Roman" w:cs="Times New Roman"/>
                <w:b w:val="0"/>
                <w:bCs/>
              </w:rPr>
            </w:pPr>
            <w:r>
              <w:rPr>
                <w:rFonts w:hint="default" w:ascii="Times New Roman" w:hAnsi="Times New Roman" w:cs="Times New Roman"/>
                <w:b w:val="0"/>
                <w:bCs/>
                <w:lang w:val="en-US" w:eastAsia="zh-CN"/>
              </w:rPr>
              <w:t>租赁标准厂房，生产区建筑面积</w:t>
            </w:r>
            <w:r>
              <w:rPr>
                <w:rFonts w:hint="eastAsia" w:ascii="Times New Roman" w:hAnsi="Times New Roman" w:cs="Times New Roman"/>
                <w:b w:val="0"/>
                <w:bCs/>
                <w:lang w:val="en-US" w:eastAsia="zh-CN"/>
              </w:rPr>
              <w:t>2000</w:t>
            </w:r>
            <w:r>
              <w:rPr>
                <w:rFonts w:hint="default" w:ascii="Times New Roman" w:hAnsi="Times New Roman" w:cs="Times New Roman"/>
                <w:b w:val="0"/>
                <w:bCs/>
                <w:lang w:val="en-US" w:eastAsia="zh-CN"/>
              </w:rPr>
              <w:t>m</w:t>
            </w:r>
            <w:r>
              <w:rPr>
                <w:rFonts w:hint="default" w:ascii="Times New Roman" w:hAnsi="Times New Roman" w:cs="Times New Roman"/>
                <w:b w:val="0"/>
                <w:bCs/>
                <w:vertAlign w:val="superscript"/>
                <w:lang w:val="en-US" w:eastAsia="zh-CN"/>
              </w:rPr>
              <w:t>2</w:t>
            </w:r>
            <w:r>
              <w:rPr>
                <w:rFonts w:hint="default" w:ascii="Times New Roman" w:hAnsi="Times New Roman" w:cs="Times New Roman"/>
                <w:b w:val="0"/>
                <w:bCs/>
                <w:lang w:val="en-US" w:eastAsia="zh-CN"/>
              </w:rPr>
              <w:t>。生产车间布置搅拌机、吹膜机、制袋机以及包装机。</w:t>
            </w:r>
            <w:r>
              <w:rPr>
                <w:rFonts w:hint="default" w:ascii="Times New Roman" w:hAnsi="Times New Roman" w:cs="Times New Roman"/>
                <w:lang w:val="en-US" w:eastAsia="zh-CN"/>
              </w:rPr>
              <w:t>建成后可年产</w:t>
            </w:r>
            <w:r>
              <w:rPr>
                <w:rFonts w:hint="eastAsia" w:ascii="Times New Roman" w:hAnsi="Times New Roman" w:cs="Times New Roman"/>
                <w:lang w:val="en-US" w:eastAsia="zh-CN"/>
              </w:rPr>
              <w:t>快递包装袋500t</w:t>
            </w:r>
          </w:p>
        </w:tc>
        <w:tc>
          <w:tcPr>
            <w:tcW w:w="578" w:type="pct"/>
            <w:noWrap w:val="0"/>
            <w:vAlign w:val="center"/>
          </w:tcPr>
          <w:p>
            <w:pPr>
              <w:adjustRightInd w:val="0"/>
              <w:snapToGrid w:val="0"/>
              <w:jc w:val="center"/>
              <w:rPr>
                <w:rFonts w:hint="default" w:ascii="Times New Roman" w:hAnsi="Times New Roman" w:eastAsia="宋体" w:cs="Times New Roman"/>
                <w:b w:val="0"/>
                <w:bCs/>
                <w:lang w:eastAsia="zh-CN"/>
              </w:rPr>
            </w:pPr>
            <w:r>
              <w:rPr>
                <w:rFonts w:hint="eastAsia" w:ascii="Times New Roman" w:hAnsi="Times New Roman" w:cs="Times New Roman"/>
                <w:b w:val="0"/>
                <w:bCs/>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pPr>
              <w:adjustRightInd w:val="0"/>
              <w:snapToGrid w:val="0"/>
              <w:jc w:val="center"/>
              <w:rPr>
                <w:rFonts w:hint="default" w:ascii="Times New Roman" w:hAnsi="Times New Roman" w:eastAsia="宋体" w:cs="Times New Roman"/>
                <w:b/>
                <w:lang w:eastAsia="zh-CN"/>
              </w:rPr>
            </w:pPr>
            <w:r>
              <w:rPr>
                <w:rFonts w:hint="default" w:ascii="Times New Roman" w:hAnsi="Times New Roman" w:cs="Times New Roman"/>
                <w:b/>
                <w:lang w:eastAsia="zh-CN"/>
              </w:rPr>
              <w:t>辅助工程</w:t>
            </w:r>
          </w:p>
        </w:tc>
        <w:tc>
          <w:tcPr>
            <w:tcW w:w="772" w:type="pct"/>
            <w:noWrap w:val="0"/>
            <w:vAlign w:val="center"/>
          </w:tcPr>
          <w:p>
            <w:pPr>
              <w:adjustRightInd w:val="0"/>
              <w:snapToGrid w:val="0"/>
              <w:jc w:val="center"/>
              <w:rPr>
                <w:rFonts w:hint="default" w:ascii="Times New Roman" w:hAnsi="Times New Roman" w:cs="Times New Roman"/>
                <w:b w:val="0"/>
                <w:bCs/>
                <w:lang w:eastAsia="zh-CN"/>
              </w:rPr>
            </w:pPr>
            <w:r>
              <w:rPr>
                <w:rFonts w:hint="default" w:ascii="Times New Roman" w:hAnsi="Times New Roman" w:cs="Times New Roman"/>
                <w:b w:val="0"/>
                <w:bCs/>
                <w:lang w:eastAsia="zh-CN"/>
              </w:rPr>
              <w:t>办公区</w:t>
            </w:r>
          </w:p>
        </w:tc>
        <w:tc>
          <w:tcPr>
            <w:tcW w:w="3138" w:type="pct"/>
            <w:noWrap w:val="0"/>
            <w:vAlign w:val="center"/>
          </w:tcPr>
          <w:p>
            <w:pPr>
              <w:adjustRightInd w:val="0"/>
              <w:snapToGrid w:val="0"/>
              <w:jc w:val="center"/>
              <w:rPr>
                <w:rFonts w:hint="default" w:ascii="Times New Roman" w:hAnsi="Times New Roman" w:cs="Times New Roman"/>
                <w:b w:val="0"/>
                <w:bCs/>
              </w:rPr>
            </w:pPr>
            <w:r>
              <w:rPr>
                <w:rFonts w:hint="default" w:ascii="Times New Roman" w:hAnsi="Times New Roman" w:cs="Times New Roman"/>
                <w:b w:val="0"/>
                <w:bCs/>
                <w:lang w:val="en-US" w:eastAsia="zh-CN"/>
              </w:rPr>
              <w:t>位于生产车间东面，建筑面积为1</w:t>
            </w:r>
            <w:r>
              <w:rPr>
                <w:rFonts w:hint="eastAsia" w:ascii="Times New Roman" w:hAnsi="Times New Roman" w:cs="Times New Roman"/>
                <w:b w:val="0"/>
                <w:bCs/>
                <w:lang w:val="en-US" w:eastAsia="zh-CN"/>
              </w:rPr>
              <w:t>4</w:t>
            </w:r>
            <w:r>
              <w:rPr>
                <w:rFonts w:hint="default" w:ascii="Times New Roman" w:hAnsi="Times New Roman" w:cs="Times New Roman"/>
                <w:b w:val="0"/>
                <w:bCs/>
                <w:lang w:val="en-US" w:eastAsia="zh-CN"/>
              </w:rPr>
              <w:t>80m</w:t>
            </w:r>
            <w:r>
              <w:rPr>
                <w:rFonts w:hint="default" w:ascii="Times New Roman" w:hAnsi="Times New Roman" w:cs="Times New Roman"/>
                <w:b w:val="0"/>
                <w:bCs/>
                <w:vertAlign w:val="superscript"/>
                <w:lang w:val="en-US" w:eastAsia="zh-CN"/>
              </w:rPr>
              <w:t>2</w:t>
            </w:r>
            <w:r>
              <w:rPr>
                <w:rFonts w:hint="default" w:ascii="Times New Roman" w:hAnsi="Times New Roman" w:cs="Times New Roman"/>
                <w:b w:val="0"/>
                <w:bCs/>
                <w:lang w:val="en-US" w:eastAsia="zh-CN"/>
              </w:rPr>
              <w:t>，用于综合办公</w:t>
            </w:r>
          </w:p>
        </w:tc>
        <w:tc>
          <w:tcPr>
            <w:tcW w:w="578" w:type="pct"/>
            <w:noWrap w:val="0"/>
            <w:vAlign w:val="center"/>
          </w:tcPr>
          <w:p>
            <w:pPr>
              <w:adjustRightInd w:val="0"/>
              <w:snapToGrid w:val="0"/>
              <w:jc w:val="center"/>
              <w:rPr>
                <w:rFonts w:hint="default" w:ascii="Times New Roman" w:hAnsi="Times New Roman" w:eastAsia="宋体" w:cs="Times New Roman"/>
                <w:b w:val="0"/>
                <w:bCs/>
                <w:lang w:eastAsia="zh-CN"/>
              </w:rPr>
            </w:pPr>
            <w:r>
              <w:rPr>
                <w:rFonts w:hint="eastAsia" w:ascii="Times New Roman" w:hAnsi="Times New Roman" w:cs="Times New Roman"/>
                <w:b w:val="0"/>
                <w:bCs/>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0" w:type="pct"/>
            <w:vMerge w:val="restar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贮运工程</w:t>
            </w:r>
          </w:p>
        </w:tc>
        <w:tc>
          <w:tcPr>
            <w:tcW w:w="772" w:type="pct"/>
            <w:noWrap w:val="0"/>
            <w:vAlign w:val="center"/>
          </w:tcPr>
          <w:p>
            <w:pPr>
              <w:adjustRightInd w:val="0"/>
              <w:snapToGrid w:val="0"/>
              <w:jc w:val="center"/>
              <w:rPr>
                <w:rFonts w:hint="default" w:ascii="Times New Roman" w:hAnsi="Times New Roman" w:eastAsia="宋体" w:cs="Times New Roman"/>
                <w:b w:val="0"/>
                <w:bCs/>
                <w:lang w:eastAsia="zh-CN"/>
              </w:rPr>
            </w:pPr>
            <w:r>
              <w:rPr>
                <w:rFonts w:hint="eastAsia" w:ascii="Times New Roman" w:hAnsi="Times New Roman" w:cs="Times New Roman"/>
                <w:b w:val="0"/>
                <w:bCs/>
                <w:lang w:val="en-US" w:eastAsia="zh-CN"/>
              </w:rPr>
              <w:t>原料仓库</w:t>
            </w:r>
          </w:p>
        </w:tc>
        <w:tc>
          <w:tcPr>
            <w:tcW w:w="3138" w:type="pct"/>
            <w:noWrap w:val="0"/>
            <w:vAlign w:val="center"/>
          </w:tcPr>
          <w:p>
            <w:pPr>
              <w:adjustRightInd w:val="0"/>
              <w:snapToGrid w:val="0"/>
              <w:jc w:val="center"/>
              <w:rPr>
                <w:rFonts w:hint="default" w:ascii="Times New Roman" w:hAnsi="Times New Roman" w:eastAsia="宋体" w:cs="Times New Roman"/>
                <w:b w:val="0"/>
                <w:bCs/>
                <w:vertAlign w:val="baseline"/>
                <w:lang w:eastAsia="zh-CN"/>
              </w:rPr>
            </w:pPr>
            <w:r>
              <w:rPr>
                <w:rFonts w:hint="default" w:ascii="Times New Roman" w:hAnsi="Times New Roman" w:cs="Times New Roman"/>
                <w:b w:val="0"/>
                <w:bCs/>
                <w:lang w:val="en-US" w:eastAsia="zh-CN"/>
              </w:rPr>
              <w:t>位于生产车间</w:t>
            </w:r>
            <w:r>
              <w:rPr>
                <w:rFonts w:hint="eastAsia" w:ascii="Times New Roman" w:hAnsi="Times New Roman" w:cs="Times New Roman"/>
                <w:b w:val="0"/>
                <w:bCs/>
                <w:lang w:val="en-US" w:eastAsia="zh-CN"/>
              </w:rPr>
              <w:t>西南部</w:t>
            </w:r>
            <w:r>
              <w:rPr>
                <w:rFonts w:hint="default" w:ascii="Times New Roman" w:hAnsi="Times New Roman" w:cs="Times New Roman"/>
                <w:b w:val="0"/>
                <w:bCs/>
                <w:lang w:val="en-US" w:eastAsia="zh-CN"/>
              </w:rPr>
              <w:t>，标准厂房，建筑面积</w:t>
            </w:r>
            <w:r>
              <w:rPr>
                <w:rFonts w:hint="eastAsia" w:ascii="Times New Roman" w:hAnsi="Times New Roman" w:cs="Times New Roman"/>
                <w:b w:val="0"/>
                <w:bCs/>
                <w:lang w:val="en-US" w:eastAsia="zh-CN"/>
              </w:rPr>
              <w:t>400</w:t>
            </w:r>
            <w:r>
              <w:rPr>
                <w:rFonts w:hint="default" w:ascii="Times New Roman" w:hAnsi="Times New Roman" w:cs="Times New Roman"/>
                <w:b w:val="0"/>
                <w:bCs/>
                <w:lang w:val="en-US" w:eastAsia="zh-CN"/>
              </w:rPr>
              <w:t>m</w:t>
            </w:r>
            <w:r>
              <w:rPr>
                <w:rFonts w:hint="default" w:ascii="Times New Roman" w:hAnsi="Times New Roman" w:cs="Times New Roman"/>
                <w:b w:val="0"/>
                <w:bCs/>
                <w:vertAlign w:val="superscript"/>
                <w:lang w:val="en-US" w:eastAsia="zh-CN"/>
              </w:rPr>
              <w:t>2</w:t>
            </w:r>
            <w:r>
              <w:rPr>
                <w:rFonts w:hint="default" w:ascii="Times New Roman" w:hAnsi="Times New Roman" w:cs="Times New Roman"/>
                <w:b w:val="0"/>
                <w:bCs/>
                <w:lang w:val="en-US" w:eastAsia="zh-CN"/>
              </w:rPr>
              <w:t>。</w:t>
            </w:r>
          </w:p>
        </w:tc>
        <w:tc>
          <w:tcPr>
            <w:tcW w:w="578" w:type="pct"/>
            <w:noWrap w:val="0"/>
            <w:vAlign w:val="center"/>
          </w:tcPr>
          <w:p>
            <w:pPr>
              <w:adjustRightInd w:val="0"/>
              <w:snapToGrid w:val="0"/>
              <w:jc w:val="center"/>
              <w:rPr>
                <w:rFonts w:hint="default" w:ascii="Times New Roman" w:hAnsi="Times New Roman" w:eastAsia="宋体" w:cs="Times New Roman"/>
                <w:b w:val="0"/>
                <w:bCs/>
                <w:lang w:eastAsia="zh-CN"/>
              </w:rPr>
            </w:pPr>
            <w:r>
              <w:rPr>
                <w:rFonts w:hint="eastAsia" w:ascii="Times New Roman" w:hAnsi="Times New Roman" w:cs="Times New Roman"/>
                <w:b w:val="0"/>
                <w:bCs/>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rPr>
            </w:pPr>
          </w:p>
        </w:tc>
        <w:tc>
          <w:tcPr>
            <w:tcW w:w="772" w:type="pct"/>
            <w:noWrap w:val="0"/>
            <w:vAlign w:val="center"/>
          </w:tcPr>
          <w:p>
            <w:pPr>
              <w:adjustRightInd w:val="0"/>
              <w:snapToGrid w:val="0"/>
              <w:jc w:val="center"/>
              <w:rPr>
                <w:rFonts w:hint="default" w:ascii="Times New Roman" w:hAnsi="Times New Roman" w:eastAsia="宋体" w:cs="Times New Roman"/>
                <w:b w:val="0"/>
                <w:bCs/>
                <w:lang w:eastAsia="zh-CN"/>
              </w:rPr>
            </w:pPr>
            <w:r>
              <w:rPr>
                <w:rFonts w:hint="eastAsia" w:ascii="Times New Roman" w:hAnsi="Times New Roman" w:cs="Times New Roman"/>
                <w:b w:val="0"/>
                <w:bCs/>
                <w:lang w:val="en-US" w:eastAsia="zh-CN"/>
              </w:rPr>
              <w:t>产品仓库</w:t>
            </w:r>
          </w:p>
        </w:tc>
        <w:tc>
          <w:tcPr>
            <w:tcW w:w="3138" w:type="pct"/>
            <w:noWrap w:val="0"/>
            <w:vAlign w:val="center"/>
          </w:tcPr>
          <w:p>
            <w:pPr>
              <w:adjustRightInd w:val="0"/>
              <w:snapToGrid w:val="0"/>
              <w:jc w:val="center"/>
              <w:rPr>
                <w:rFonts w:hint="default" w:ascii="Times New Roman" w:hAnsi="Times New Roman" w:cs="Times New Roman"/>
                <w:b w:val="0"/>
                <w:bCs/>
              </w:rPr>
            </w:pPr>
            <w:r>
              <w:rPr>
                <w:rFonts w:hint="default" w:ascii="Times New Roman" w:hAnsi="Times New Roman" w:cs="Times New Roman"/>
                <w:b w:val="0"/>
                <w:bCs/>
                <w:lang w:val="en-US" w:eastAsia="zh-CN"/>
              </w:rPr>
              <w:t>位于生产车间</w:t>
            </w:r>
            <w:r>
              <w:rPr>
                <w:rFonts w:hint="eastAsia" w:ascii="Times New Roman" w:hAnsi="Times New Roman" w:cs="Times New Roman"/>
                <w:b w:val="0"/>
                <w:bCs/>
                <w:lang w:val="en-US" w:eastAsia="zh-CN"/>
              </w:rPr>
              <w:t>东部</w:t>
            </w:r>
            <w:r>
              <w:rPr>
                <w:rFonts w:hint="default" w:ascii="Times New Roman" w:hAnsi="Times New Roman" w:cs="Times New Roman"/>
                <w:b w:val="0"/>
                <w:bCs/>
                <w:lang w:val="en-US" w:eastAsia="zh-CN"/>
              </w:rPr>
              <w:t>，标准厂房，建筑面积</w:t>
            </w:r>
            <w:r>
              <w:rPr>
                <w:rFonts w:hint="eastAsia" w:ascii="Times New Roman" w:hAnsi="Times New Roman" w:cs="Times New Roman"/>
                <w:b w:val="0"/>
                <w:bCs/>
                <w:lang w:val="en-US" w:eastAsia="zh-CN"/>
              </w:rPr>
              <w:t>600</w:t>
            </w:r>
            <w:r>
              <w:rPr>
                <w:rFonts w:hint="default" w:ascii="Times New Roman" w:hAnsi="Times New Roman" w:cs="Times New Roman"/>
                <w:b w:val="0"/>
                <w:bCs/>
                <w:lang w:val="en-US" w:eastAsia="zh-CN"/>
              </w:rPr>
              <w:t>m</w:t>
            </w:r>
            <w:r>
              <w:rPr>
                <w:rFonts w:hint="default" w:ascii="Times New Roman" w:hAnsi="Times New Roman" w:cs="Times New Roman"/>
                <w:b w:val="0"/>
                <w:bCs/>
                <w:vertAlign w:val="superscript"/>
                <w:lang w:val="en-US" w:eastAsia="zh-CN"/>
              </w:rPr>
              <w:t>2</w:t>
            </w:r>
            <w:r>
              <w:rPr>
                <w:rFonts w:hint="default" w:ascii="Times New Roman" w:hAnsi="Times New Roman" w:cs="Times New Roman"/>
                <w:b w:val="0"/>
                <w:bCs/>
                <w:lang w:val="en-US" w:eastAsia="zh-CN"/>
              </w:rPr>
              <w:t>。</w:t>
            </w:r>
            <w:r>
              <w:rPr>
                <w:rFonts w:hint="eastAsia" w:ascii="Times New Roman" w:hAnsi="Times New Roman" w:cs="Times New Roman"/>
                <w:b w:val="0"/>
                <w:bCs/>
                <w:lang w:val="en-US" w:eastAsia="zh-CN"/>
              </w:rPr>
              <w:t>包括</w:t>
            </w:r>
            <w:r>
              <w:rPr>
                <w:rFonts w:hint="default" w:ascii="Times New Roman" w:hAnsi="Times New Roman" w:cs="Times New Roman"/>
                <w:b w:val="0"/>
                <w:bCs/>
                <w:lang w:val="en-US" w:eastAsia="zh-CN"/>
              </w:rPr>
              <w:t>半成品区、成品区</w:t>
            </w:r>
          </w:p>
        </w:tc>
        <w:tc>
          <w:tcPr>
            <w:tcW w:w="578" w:type="pct"/>
            <w:noWrap w:val="0"/>
            <w:vAlign w:val="center"/>
          </w:tcPr>
          <w:p>
            <w:pPr>
              <w:adjustRightInd w:val="0"/>
              <w:snapToGrid w:val="0"/>
              <w:jc w:val="center"/>
              <w:rPr>
                <w:rFonts w:hint="default" w:ascii="Times New Roman" w:hAnsi="Times New Roman" w:eastAsia="宋体" w:cs="Times New Roman"/>
                <w:b w:val="0"/>
                <w:bCs/>
                <w:lang w:eastAsia="zh-CN"/>
              </w:rPr>
            </w:pPr>
            <w:r>
              <w:rPr>
                <w:rFonts w:hint="eastAsia" w:ascii="Times New Roman" w:hAnsi="Times New Roman" w:cs="Times New Roman"/>
                <w:b w:val="0"/>
                <w:bCs/>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510" w:type="pct"/>
            <w:vMerge w:val="restar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公用工程</w:t>
            </w:r>
          </w:p>
        </w:tc>
        <w:tc>
          <w:tcPr>
            <w:tcW w:w="772" w:type="pct"/>
            <w:noWrap w:val="0"/>
            <w:vAlign w:val="center"/>
          </w:tcPr>
          <w:p>
            <w:pPr>
              <w:adjustRightInd w:val="0"/>
              <w:snapToGrid w:val="0"/>
              <w:jc w:val="center"/>
              <w:rPr>
                <w:rFonts w:hint="default" w:ascii="Times New Roman" w:hAnsi="Times New Roman" w:cs="Times New Roman"/>
                <w:b w:val="0"/>
                <w:bCs/>
              </w:rPr>
            </w:pPr>
            <w:r>
              <w:rPr>
                <w:rFonts w:hint="default" w:ascii="Times New Roman" w:hAnsi="Times New Roman" w:cs="Times New Roman"/>
                <w:b w:val="0"/>
                <w:bCs/>
              </w:rPr>
              <w:t>给水</w:t>
            </w:r>
          </w:p>
        </w:tc>
        <w:tc>
          <w:tcPr>
            <w:tcW w:w="3138" w:type="pct"/>
            <w:noWrap w:val="0"/>
            <w:vAlign w:val="center"/>
          </w:tcPr>
          <w:p>
            <w:pPr>
              <w:adjustRightInd w:val="0"/>
              <w:snapToGrid w:val="0"/>
              <w:jc w:val="center"/>
              <w:rPr>
                <w:rFonts w:hint="default" w:ascii="Times New Roman" w:hAnsi="Times New Roman" w:cs="Times New Roman"/>
                <w:b w:val="0"/>
                <w:bCs/>
              </w:rPr>
            </w:pPr>
            <w:r>
              <w:rPr>
                <w:rFonts w:hint="eastAsia" w:ascii="Times New Roman" w:hAnsi="Times New Roman" w:cs="Times New Roman"/>
                <w:b w:val="0"/>
                <w:bCs/>
                <w:color w:val="auto"/>
                <w:lang w:val="en-US" w:eastAsia="zh-CN"/>
              </w:rPr>
              <w:t>自来水</w:t>
            </w:r>
            <w:r>
              <w:rPr>
                <w:rFonts w:hint="default" w:ascii="Times New Roman" w:hAnsi="Times New Roman" w:cs="Times New Roman"/>
                <w:b w:val="0"/>
                <w:bCs/>
                <w:color w:val="auto"/>
                <w:lang w:val="en-US" w:eastAsia="zh-CN"/>
              </w:rPr>
              <w:t>，用水量为</w:t>
            </w:r>
            <w:r>
              <w:rPr>
                <w:rFonts w:hint="eastAsia" w:ascii="Times New Roman" w:hAnsi="Times New Roman" w:cs="Times New Roman"/>
                <w:b w:val="0"/>
                <w:bCs/>
                <w:color w:val="auto"/>
                <w:lang w:val="en-US" w:eastAsia="zh-CN"/>
              </w:rPr>
              <w:t>1026</w:t>
            </w:r>
            <w:r>
              <w:rPr>
                <w:rFonts w:hint="default" w:ascii="Times New Roman" w:hAnsi="Times New Roman" w:cs="Times New Roman"/>
                <w:b w:val="0"/>
                <w:bCs/>
                <w:color w:val="auto"/>
                <w:lang w:val="en-US" w:eastAsia="zh-CN"/>
              </w:rPr>
              <w:t>t/a</w:t>
            </w:r>
          </w:p>
        </w:tc>
        <w:tc>
          <w:tcPr>
            <w:tcW w:w="578" w:type="pct"/>
            <w:noWrap w:val="0"/>
            <w:vAlign w:val="center"/>
          </w:tcPr>
          <w:p>
            <w:pPr>
              <w:adjustRightInd w:val="0"/>
              <w:snapToGrid w:val="0"/>
              <w:jc w:val="center"/>
              <w:rPr>
                <w:rFonts w:hint="default" w:ascii="Times New Roman" w:hAnsi="Times New Roman" w:eastAsia="宋体" w:cs="Times New Roman"/>
                <w:b w:val="0"/>
                <w:bCs/>
                <w:lang w:eastAsia="zh-CN"/>
              </w:rPr>
            </w:pPr>
            <w:r>
              <w:rPr>
                <w:rFonts w:hint="eastAsia" w:ascii="Times New Roman" w:hAnsi="Times New Roman" w:cs="Times New Roman"/>
                <w:b w:val="0"/>
                <w:bCs/>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rPr>
            </w:pPr>
          </w:p>
        </w:tc>
        <w:tc>
          <w:tcPr>
            <w:tcW w:w="772" w:type="pct"/>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排水</w:t>
            </w:r>
          </w:p>
        </w:tc>
        <w:tc>
          <w:tcPr>
            <w:tcW w:w="3138" w:type="pct"/>
            <w:noWrap w:val="0"/>
            <w:vAlign w:val="center"/>
          </w:tcPr>
          <w:p>
            <w:pPr>
              <w:adjustRightInd w:val="0"/>
              <w:snapToGrid w:val="0"/>
              <w:jc w:val="center"/>
              <w:rPr>
                <w:rFonts w:hint="default" w:ascii="Times New Roman" w:hAnsi="Times New Roman" w:cs="Times New Roman"/>
                <w:b/>
              </w:rPr>
            </w:pPr>
            <w:r>
              <w:rPr>
                <w:rFonts w:hint="eastAsia" w:ascii="Times New Roman" w:hAnsi="Times New Roman" w:eastAsia="宋体" w:cs="Times New Roman"/>
                <w:b w:val="0"/>
                <w:bCs/>
                <w:lang w:val="en-US" w:eastAsia="zh-CN"/>
              </w:rPr>
              <w:t>生活污水经化粪池处理后，用作农肥；冷却水循环使用，不外排</w:t>
            </w:r>
          </w:p>
        </w:tc>
        <w:tc>
          <w:tcPr>
            <w:tcW w:w="578" w:type="pct"/>
            <w:noWrap w:val="0"/>
            <w:vAlign w:val="center"/>
          </w:tcPr>
          <w:p>
            <w:pPr>
              <w:adjustRightInd w:val="0"/>
              <w:snapToGrid w:val="0"/>
              <w:jc w:val="center"/>
              <w:rPr>
                <w:rFonts w:hint="default" w:ascii="Times New Roman" w:hAnsi="Times New Roman" w:cs="Times New Roman"/>
                <w:b/>
              </w:rPr>
            </w:pPr>
            <w:r>
              <w:rPr>
                <w:rFonts w:hint="eastAsia" w:ascii="Times New Roman" w:hAnsi="Times New Roman" w:cs="Times New Roman"/>
                <w:b w:val="0"/>
                <w:bCs/>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rPr>
            </w:pPr>
          </w:p>
        </w:tc>
        <w:tc>
          <w:tcPr>
            <w:tcW w:w="772" w:type="pct"/>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供电</w:t>
            </w:r>
          </w:p>
        </w:tc>
        <w:tc>
          <w:tcPr>
            <w:tcW w:w="3138" w:type="pct"/>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val="0"/>
                <w:bCs/>
                <w:color w:val="auto"/>
                <w:lang w:val="en-US" w:eastAsia="zh-CN"/>
              </w:rPr>
              <w:t>市政供电管网，用电量为</w:t>
            </w:r>
            <w:r>
              <w:rPr>
                <w:rFonts w:hint="eastAsia" w:ascii="Times New Roman" w:hAnsi="Times New Roman" w:cs="Times New Roman"/>
                <w:b w:val="0"/>
                <w:bCs/>
                <w:color w:val="auto"/>
                <w:lang w:val="en-US" w:eastAsia="zh-CN"/>
              </w:rPr>
              <w:t>2</w:t>
            </w:r>
            <w:r>
              <w:rPr>
                <w:rFonts w:hint="default" w:ascii="Times New Roman" w:hAnsi="Times New Roman" w:cs="Times New Roman"/>
                <w:b w:val="0"/>
                <w:bCs/>
                <w:color w:val="auto"/>
                <w:lang w:val="en-US" w:eastAsia="zh-CN"/>
              </w:rPr>
              <w:t>0万KWh/a</w:t>
            </w:r>
          </w:p>
        </w:tc>
        <w:tc>
          <w:tcPr>
            <w:tcW w:w="578" w:type="pct"/>
            <w:noWrap w:val="0"/>
            <w:vAlign w:val="center"/>
          </w:tcPr>
          <w:p>
            <w:pPr>
              <w:adjustRightInd w:val="0"/>
              <w:snapToGrid w:val="0"/>
              <w:jc w:val="center"/>
              <w:rPr>
                <w:rFonts w:hint="default" w:ascii="Times New Roman" w:hAnsi="Times New Roman" w:cs="Times New Roman"/>
                <w:b/>
                <w:color w:val="auto"/>
              </w:rPr>
            </w:pPr>
            <w:r>
              <w:rPr>
                <w:rFonts w:hint="eastAsia" w:ascii="Times New Roman" w:hAnsi="Times New Roman" w:cs="Times New Roman"/>
                <w:b w:val="0"/>
                <w:bCs/>
                <w:color w:val="auto"/>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0" w:type="pct"/>
            <w:vMerge w:val="restar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环保工程</w:t>
            </w:r>
          </w:p>
        </w:tc>
        <w:tc>
          <w:tcPr>
            <w:tcW w:w="772" w:type="pct"/>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废气处理</w:t>
            </w:r>
          </w:p>
        </w:tc>
        <w:tc>
          <w:tcPr>
            <w:tcW w:w="3138" w:type="pc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lang w:val="en-US" w:eastAsia="zh-CN"/>
              </w:rPr>
              <w:t>生产车间吹膜</w:t>
            </w:r>
            <w:r>
              <w:rPr>
                <w:rFonts w:hint="eastAsia" w:ascii="Times New Roman" w:hAnsi="Times New Roman" w:cs="Times New Roman"/>
                <w:lang w:val="en-US" w:eastAsia="zh-CN"/>
              </w:rPr>
              <w:t>以及造粒工序</w:t>
            </w:r>
            <w:r>
              <w:rPr>
                <w:rFonts w:hint="default" w:ascii="Times New Roman" w:hAnsi="Times New Roman" w:cs="Times New Roman"/>
                <w:lang w:val="en-US" w:eastAsia="zh-CN"/>
              </w:rPr>
              <w:t>产生的</w:t>
            </w:r>
            <w:r>
              <w:rPr>
                <w:rFonts w:hint="eastAsia" w:ascii="Times New Roman" w:hAnsi="Times New Roman" w:cs="Times New Roman"/>
                <w:lang w:val="en-US" w:eastAsia="zh-CN"/>
              </w:rPr>
              <w:t>有机</w:t>
            </w:r>
            <w:r>
              <w:rPr>
                <w:rFonts w:hint="default" w:ascii="Times New Roman" w:hAnsi="Times New Roman" w:cs="Times New Roman"/>
                <w:lang w:val="en-US" w:eastAsia="zh-CN"/>
              </w:rPr>
              <w:t>废气通过负压收集后经</w:t>
            </w:r>
            <w:r>
              <w:rPr>
                <w:rFonts w:hint="eastAsia" w:ascii="Times New Roman" w:hAnsi="Times New Roman" w:cs="Times New Roman"/>
                <w:lang w:val="en-US" w:eastAsia="zh-CN"/>
              </w:rPr>
              <w:t>两级活性炭吸附装置</w:t>
            </w:r>
            <w:r>
              <w:rPr>
                <w:rFonts w:hint="default" w:ascii="Times New Roman" w:hAnsi="Times New Roman" w:cs="Times New Roman"/>
                <w:lang w:val="en-US" w:eastAsia="zh-CN"/>
              </w:rPr>
              <w:t>处理再通过</w:t>
            </w:r>
            <w:r>
              <w:rPr>
                <w:rFonts w:hint="eastAsia" w:ascii="Times New Roman" w:hAnsi="Times New Roman" w:cs="Times New Roman"/>
                <w:lang w:val="en-US" w:eastAsia="zh-CN"/>
              </w:rPr>
              <w:t>一根</w:t>
            </w:r>
            <w:r>
              <w:rPr>
                <w:rFonts w:hint="default" w:ascii="Times New Roman" w:hAnsi="Times New Roman" w:cs="Times New Roman"/>
                <w:lang w:val="en-US" w:eastAsia="zh-CN"/>
              </w:rPr>
              <w:t>15m高排气筒</w:t>
            </w:r>
            <w:r>
              <w:rPr>
                <w:rFonts w:hint="eastAsia" w:ascii="Times New Roman" w:hAnsi="Times New Roman" w:cs="Times New Roman"/>
                <w:lang w:val="en-US" w:eastAsia="zh-CN"/>
              </w:rPr>
              <w:t>（DA001）</w:t>
            </w:r>
            <w:r>
              <w:rPr>
                <w:rFonts w:hint="default" w:ascii="Times New Roman" w:hAnsi="Times New Roman" w:cs="Times New Roman"/>
                <w:lang w:val="en-US" w:eastAsia="zh-CN"/>
              </w:rPr>
              <w:t>排放</w:t>
            </w:r>
          </w:p>
        </w:tc>
        <w:tc>
          <w:tcPr>
            <w:tcW w:w="578" w:type="pct"/>
            <w:noWrap w:val="0"/>
            <w:vAlign w:val="center"/>
          </w:tcPr>
          <w:p>
            <w:pPr>
              <w:adjustRightInd w:val="0"/>
              <w:snapToGrid w:val="0"/>
              <w:jc w:val="center"/>
              <w:rPr>
                <w:rFonts w:hint="default" w:ascii="Times New Roman" w:hAnsi="Times New Roman" w:eastAsia="宋体" w:cs="Times New Roman"/>
                <w:b/>
                <w:lang w:eastAsia="zh-CN"/>
              </w:rPr>
            </w:pPr>
            <w:r>
              <w:rPr>
                <w:rFonts w:hint="default" w:ascii="Times New Roman" w:hAnsi="Times New Roman" w:cs="Times New Roman"/>
                <w:b w:val="0"/>
                <w:bCs/>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0" w:type="pct"/>
            <w:vMerge w:val="continue"/>
            <w:noWrap w:val="0"/>
            <w:vAlign w:val="center"/>
          </w:tcPr>
          <w:p>
            <w:pPr>
              <w:adjustRightInd w:val="0"/>
              <w:snapToGrid w:val="0"/>
              <w:jc w:val="center"/>
              <w:rPr>
                <w:rFonts w:hint="default" w:ascii="Times New Roman" w:hAnsi="Times New Roman" w:cs="Times New Roman"/>
                <w:b/>
              </w:rPr>
            </w:pPr>
          </w:p>
        </w:tc>
        <w:tc>
          <w:tcPr>
            <w:tcW w:w="772" w:type="pct"/>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废水处理</w:t>
            </w:r>
          </w:p>
        </w:tc>
        <w:tc>
          <w:tcPr>
            <w:tcW w:w="3138" w:type="pc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val="0"/>
                <w:bCs/>
                <w:lang w:val="en-US" w:eastAsia="zh-CN"/>
              </w:rPr>
              <w:t>本项目</w:t>
            </w:r>
            <w:r>
              <w:rPr>
                <w:rFonts w:hint="eastAsia" w:ascii="Times New Roman" w:hAnsi="Times New Roman" w:eastAsia="宋体" w:cs="Times New Roman"/>
                <w:b w:val="0"/>
                <w:bCs/>
                <w:lang w:val="en-US" w:eastAsia="zh-CN"/>
              </w:rPr>
              <w:t>生活污水经化粪池处理后，用作农肥；冷却水循环使用，不外排</w:t>
            </w:r>
          </w:p>
        </w:tc>
        <w:tc>
          <w:tcPr>
            <w:tcW w:w="578" w:type="pct"/>
            <w:noWrap w:val="0"/>
            <w:vAlign w:val="center"/>
          </w:tcPr>
          <w:p>
            <w:pPr>
              <w:adjustRightInd w:val="0"/>
              <w:snapToGrid w:val="0"/>
              <w:jc w:val="center"/>
              <w:rPr>
                <w:rFonts w:hint="default" w:ascii="Times New Roman" w:hAnsi="Times New Roman" w:eastAsia="宋体" w:cs="Times New Roman"/>
                <w:b/>
                <w:lang w:eastAsia="zh-CN"/>
              </w:rPr>
            </w:pPr>
            <w:r>
              <w:rPr>
                <w:rFonts w:hint="eastAsia" w:ascii="Times New Roman" w:hAnsi="Times New Roman" w:cs="Times New Roman"/>
                <w:b w:val="0"/>
                <w:bCs/>
                <w:color w:val="auto"/>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rPr>
            </w:pPr>
          </w:p>
        </w:tc>
        <w:tc>
          <w:tcPr>
            <w:tcW w:w="772" w:type="pct"/>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固废处理处置</w:t>
            </w:r>
          </w:p>
        </w:tc>
        <w:tc>
          <w:tcPr>
            <w:tcW w:w="3138" w:type="pct"/>
            <w:noWrap w:val="0"/>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color w:val="000000"/>
                <w:lang w:val="en-US" w:eastAsia="zh-CN"/>
              </w:rPr>
              <w:t>边角料、不合格</w:t>
            </w:r>
            <w:r>
              <w:rPr>
                <w:rFonts w:hint="eastAsia" w:ascii="Times New Roman" w:hAnsi="Times New Roman" w:cs="Times New Roman"/>
                <w:color w:val="000000"/>
                <w:lang w:val="en-US" w:eastAsia="zh-CN"/>
              </w:rPr>
              <w:t>以及废薄膜收集后经过造粒回用于生产包装袋</w:t>
            </w:r>
            <w:r>
              <w:rPr>
                <w:rFonts w:hint="default" w:ascii="Times New Roman" w:hAnsi="Times New Roman" w:cs="Times New Roman"/>
                <w:color w:val="000000"/>
                <w:lang w:val="en-US" w:eastAsia="zh-CN"/>
              </w:rPr>
              <w:t>；</w:t>
            </w:r>
            <w:r>
              <w:rPr>
                <w:rFonts w:hint="eastAsia" w:ascii="Times New Roman" w:hAnsi="Times New Roman" w:cs="Times New Roman"/>
                <w:color w:val="000000"/>
                <w:lang w:val="en-US" w:eastAsia="zh-CN"/>
              </w:rPr>
              <w:t>废包装袋以及印刷次品收集后外售物资回收单位；活性炭、</w:t>
            </w:r>
            <w:r>
              <w:rPr>
                <w:rFonts w:hint="default" w:ascii="Times New Roman" w:hAnsi="Times New Roman" w:cs="Times New Roman"/>
                <w:color w:val="000000"/>
                <w:lang w:val="en-US" w:eastAsia="zh-CN"/>
              </w:rPr>
              <w:t>废润滑油</w:t>
            </w:r>
            <w:r>
              <w:rPr>
                <w:rFonts w:hint="eastAsia" w:ascii="Times New Roman" w:hAnsi="Times New Roman" w:cs="Times New Roman"/>
                <w:color w:val="000000"/>
                <w:lang w:val="en-US" w:eastAsia="zh-CN"/>
              </w:rPr>
              <w:t>以及</w:t>
            </w:r>
            <w:r>
              <w:rPr>
                <w:rFonts w:hint="default" w:ascii="Times New Roman" w:hAnsi="Times New Roman" w:cs="Times New Roman"/>
                <w:color w:val="000000"/>
                <w:lang w:val="en-US" w:eastAsia="zh-CN"/>
              </w:rPr>
              <w:t>废</w:t>
            </w:r>
            <w:r>
              <w:rPr>
                <w:rFonts w:hint="eastAsia" w:ascii="Times New Roman" w:hAnsi="Times New Roman" w:cs="Times New Roman"/>
                <w:color w:val="000000"/>
                <w:lang w:val="en-US" w:eastAsia="zh-CN"/>
              </w:rPr>
              <w:t>润滑油</w:t>
            </w:r>
            <w:r>
              <w:rPr>
                <w:rFonts w:hint="default" w:ascii="Times New Roman" w:hAnsi="Times New Roman" w:cs="Times New Roman"/>
                <w:color w:val="000000"/>
                <w:lang w:val="en-US" w:eastAsia="zh-CN"/>
              </w:rPr>
              <w:t>桶</w:t>
            </w:r>
            <w:r>
              <w:rPr>
                <w:rFonts w:hint="eastAsia" w:ascii="Times New Roman" w:hAnsi="Times New Roman" w:cs="Times New Roman"/>
                <w:color w:val="000000"/>
                <w:lang w:val="en-US" w:eastAsia="zh-CN"/>
              </w:rPr>
              <w:t>经</w:t>
            </w:r>
            <w:r>
              <w:rPr>
                <w:rFonts w:hint="default" w:ascii="Times New Roman" w:hAnsi="Times New Roman" w:cs="Times New Roman"/>
                <w:color w:val="000000"/>
                <w:lang w:val="en-US" w:eastAsia="zh-CN"/>
              </w:rPr>
              <w:t>收集后暂存</w:t>
            </w:r>
            <w:r>
              <w:rPr>
                <w:rFonts w:hint="eastAsia" w:ascii="Times New Roman" w:hAnsi="Times New Roman" w:cs="Times New Roman"/>
                <w:color w:val="000000"/>
                <w:lang w:val="en-US" w:eastAsia="zh-CN"/>
              </w:rPr>
              <w:t>危险废物暂存间</w:t>
            </w:r>
            <w:r>
              <w:rPr>
                <w:rFonts w:hint="default" w:ascii="Times New Roman" w:hAnsi="Times New Roman" w:cs="Times New Roman"/>
                <w:color w:val="000000"/>
                <w:lang w:val="en-US" w:eastAsia="zh-CN"/>
              </w:rPr>
              <w:t>交由有资质单位处置；生活垃圾收集后交由环卫部门处置</w:t>
            </w:r>
          </w:p>
        </w:tc>
        <w:tc>
          <w:tcPr>
            <w:tcW w:w="578" w:type="pct"/>
            <w:noWrap w:val="0"/>
            <w:vAlign w:val="center"/>
          </w:tcPr>
          <w:p>
            <w:pPr>
              <w:adjustRightInd w:val="0"/>
              <w:snapToGrid w:val="0"/>
              <w:jc w:val="center"/>
              <w:rPr>
                <w:rFonts w:hint="default" w:ascii="Times New Roman" w:hAnsi="Times New Roman" w:eastAsia="宋体" w:cs="Times New Roman"/>
                <w:b/>
                <w:lang w:eastAsia="zh-CN"/>
              </w:rPr>
            </w:pPr>
            <w:r>
              <w:rPr>
                <w:rFonts w:hint="default" w:ascii="Times New Roman" w:hAnsi="Times New Roman" w:cs="Times New Roman"/>
                <w:b w:val="0"/>
                <w:bCs/>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510" w:type="pct"/>
            <w:vMerge w:val="continue"/>
            <w:noWrap w:val="0"/>
            <w:vAlign w:val="center"/>
          </w:tcPr>
          <w:p>
            <w:pPr>
              <w:adjustRightInd w:val="0"/>
              <w:snapToGrid w:val="0"/>
              <w:jc w:val="center"/>
              <w:rPr>
                <w:rFonts w:hint="default" w:ascii="Times New Roman" w:hAnsi="Times New Roman" w:cs="Times New Roman"/>
                <w:b/>
              </w:rPr>
            </w:pPr>
          </w:p>
        </w:tc>
        <w:tc>
          <w:tcPr>
            <w:tcW w:w="772" w:type="pct"/>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噪声治理</w:t>
            </w:r>
          </w:p>
        </w:tc>
        <w:tc>
          <w:tcPr>
            <w:tcW w:w="3138" w:type="pct"/>
            <w:noWrap w:val="0"/>
            <w:vAlign w:val="center"/>
          </w:tcPr>
          <w:p>
            <w:pPr>
              <w:adjustRightInd w:val="0"/>
              <w:snapToGrid w:val="0"/>
              <w:jc w:val="center"/>
              <w:rPr>
                <w:rFonts w:hint="default" w:ascii="Times New Roman" w:hAnsi="Times New Roman" w:cs="Times New Roman"/>
                <w:b/>
                <w:kern w:val="2"/>
                <w:sz w:val="21"/>
                <w:szCs w:val="24"/>
                <w:lang w:val="en-US" w:eastAsia="zh-CN" w:bidi="ar-SA"/>
              </w:rPr>
            </w:pPr>
            <w:r>
              <w:rPr>
                <w:rFonts w:hint="eastAsia" w:ascii="Times New Roman" w:hAnsi="Times New Roman" w:cs="Times New Roman"/>
                <w:b w:val="0"/>
                <w:bCs/>
                <w:lang w:val="en-US" w:eastAsia="zh-CN"/>
              </w:rPr>
              <w:t>选用低噪声设备、</w:t>
            </w:r>
            <w:r>
              <w:rPr>
                <w:rFonts w:hint="default" w:ascii="Times New Roman" w:hAnsi="Times New Roman" w:cs="Times New Roman"/>
                <w:b w:val="0"/>
                <w:bCs/>
                <w:lang w:val="en-US" w:eastAsia="zh-CN"/>
              </w:rPr>
              <w:t>设备基础减震、厂房隔声等措施</w:t>
            </w:r>
          </w:p>
        </w:tc>
        <w:tc>
          <w:tcPr>
            <w:tcW w:w="578" w:type="pct"/>
            <w:noWrap w:val="0"/>
            <w:vAlign w:val="center"/>
          </w:tcPr>
          <w:p>
            <w:pPr>
              <w:adjustRightInd w:val="0"/>
              <w:snapToGrid w:val="0"/>
              <w:jc w:val="center"/>
              <w:rPr>
                <w:rFonts w:hint="default" w:ascii="Times New Roman" w:hAnsi="Times New Roman" w:eastAsia="宋体" w:cs="Times New Roman"/>
                <w:b/>
                <w:kern w:val="2"/>
                <w:sz w:val="21"/>
                <w:szCs w:val="24"/>
                <w:lang w:val="en-US" w:eastAsia="zh-CN" w:bidi="ar-SA"/>
              </w:rPr>
            </w:pPr>
            <w:r>
              <w:rPr>
                <w:rFonts w:hint="eastAsia" w:ascii="Times New Roman" w:hAnsi="Times New Roman" w:cs="Times New Roman"/>
                <w:b w:val="0"/>
                <w:bCs/>
                <w:color w:val="auto"/>
                <w:lang w:val="en-US" w:eastAsia="zh-CN"/>
              </w:rPr>
              <w:t>现有</w:t>
            </w:r>
          </w:p>
        </w:tc>
      </w:tr>
    </w:tbl>
    <w:p>
      <w:pPr>
        <w:adjustRightInd w:val="0"/>
        <w:snapToGrid w:val="0"/>
        <w:spacing w:line="360" w:lineRule="auto"/>
        <w:ind w:firstLine="548" w:firstLineChars="196"/>
        <w:rPr>
          <w:rFonts w:hint="eastAsia" w:ascii="宋体" w:hAnsi="宋体"/>
          <w:b/>
          <w:bCs/>
          <w:sz w:val="28"/>
        </w:rPr>
      </w:pPr>
      <w:r>
        <w:rPr>
          <w:rFonts w:hint="eastAsia" w:ascii="宋体" w:hAnsi="宋体"/>
          <w:sz w:val="28"/>
        </w:rPr>
        <w:t>二、</w:t>
      </w:r>
      <w:r>
        <w:rPr>
          <w:rFonts w:hint="eastAsia" w:ascii="宋体" w:hAnsi="宋体"/>
          <w:b/>
          <w:bCs/>
          <w:sz w:val="28"/>
        </w:rPr>
        <w:t>环评报告编制质量</w:t>
      </w:r>
    </w:p>
    <w:p>
      <w:pPr>
        <w:snapToGrid w:val="0"/>
        <w:spacing w:line="360" w:lineRule="auto"/>
        <w:ind w:firstLine="562" w:firstLineChars="200"/>
        <w:rPr>
          <w:rFonts w:hint="eastAsia" w:ascii="仿宋_GB2312" w:eastAsia="仿宋_GB2312"/>
          <w:b/>
          <w:bCs/>
          <w:sz w:val="28"/>
        </w:rPr>
      </w:pPr>
      <w:r>
        <w:rPr>
          <w:rFonts w:hint="eastAsia" w:ascii="仿宋_GB2312" w:hAnsi="宋体" w:eastAsia="仿宋_GB2312"/>
          <w:b/>
          <w:sz w:val="28"/>
        </w:rPr>
        <w:t>该环评报告</w:t>
      </w:r>
      <w:r>
        <w:rPr>
          <w:rFonts w:hint="eastAsia" w:ascii="仿宋_GB2312" w:eastAsia="仿宋_GB2312"/>
          <w:b/>
          <w:bCs/>
          <w:sz w:val="28"/>
        </w:rPr>
        <w:t>编制规范，内容全面，工程分析与环境现状基本清楚，提出的污染防治与生态保护措施基本可行，评价结论总体可信，经修改完善后可上报审批。</w:t>
      </w:r>
    </w:p>
    <w:p>
      <w:pPr>
        <w:adjustRightInd w:val="0"/>
        <w:snapToGrid w:val="0"/>
        <w:spacing w:line="360" w:lineRule="auto"/>
        <w:ind w:firstLine="562" w:firstLineChars="200"/>
        <w:rPr>
          <w:rFonts w:hint="eastAsia" w:ascii="宋体" w:hAnsi="宋体"/>
          <w:b/>
          <w:sz w:val="28"/>
        </w:rPr>
      </w:pPr>
      <w:r>
        <w:rPr>
          <w:rFonts w:hint="eastAsia" w:ascii="宋体" w:hAnsi="宋体"/>
          <w:b/>
          <w:sz w:val="28"/>
        </w:rPr>
        <w:t>三、对环评报告修改与完善的主要意见</w:t>
      </w:r>
    </w:p>
    <w:p>
      <w:pPr>
        <w:adjustRightInd w:val="0"/>
        <w:snapToGrid w:val="0"/>
        <w:spacing w:line="360" w:lineRule="auto"/>
        <w:ind w:firstLine="560" w:firstLineChars="200"/>
        <w:rPr>
          <w:rFonts w:hint="eastAsia"/>
          <w:b w:val="0"/>
          <w:bCs/>
          <w:sz w:val="28"/>
          <w:szCs w:val="28"/>
          <w:lang w:val="en-US" w:eastAsia="zh-CN"/>
        </w:rPr>
      </w:pPr>
      <w:r>
        <w:rPr>
          <w:rFonts w:hint="eastAsia"/>
          <w:b w:val="0"/>
          <w:bCs/>
          <w:sz w:val="28"/>
          <w:szCs w:val="28"/>
          <w:lang w:val="en-US" w:eastAsia="zh-CN"/>
        </w:rPr>
        <w:t>1</w:t>
      </w:r>
      <w:r>
        <w:rPr>
          <w:rFonts w:hint="eastAsia"/>
          <w:b w:val="0"/>
          <w:bCs/>
          <w:sz w:val="28"/>
          <w:szCs w:val="28"/>
        </w:rPr>
        <w:t>、</w:t>
      </w:r>
      <w:r>
        <w:rPr>
          <w:rFonts w:hint="eastAsia" w:ascii="Times New Roman" w:hAnsi="Times New Roman" w:eastAsia="宋体" w:cs="Times New Roman"/>
          <w:b w:val="0"/>
          <w:bCs/>
          <w:sz w:val="28"/>
          <w:szCs w:val="28"/>
          <w:lang w:val="en-US" w:eastAsia="zh-CN"/>
        </w:rPr>
        <w:t>完善项目与</w:t>
      </w:r>
      <w:r>
        <w:rPr>
          <w:rFonts w:hint="eastAsia" w:ascii="Times New Roman" w:hAnsi="Times New Roman" w:eastAsia="宋体" w:cs="Times New Roman"/>
          <w:b w:val="0"/>
          <w:bCs/>
          <w:sz w:val="28"/>
          <w:szCs w:val="28"/>
        </w:rPr>
        <w:t>湘政办函[2018]15号和湘环发[2020]27号文件</w:t>
      </w:r>
      <w:r>
        <w:rPr>
          <w:rFonts w:hint="eastAsia" w:ascii="Times New Roman" w:hAnsi="Times New Roman" w:eastAsia="宋体" w:cs="Times New Roman"/>
          <w:b w:val="0"/>
          <w:bCs/>
          <w:sz w:val="28"/>
          <w:szCs w:val="28"/>
          <w:lang w:val="en-US" w:eastAsia="zh-CN"/>
        </w:rPr>
        <w:t>符合性分析。完善选址合理性分析。结合《邵阳市人民政府关于实施“三线一单”生态环境分区管控的意见》，完善项目“三线一单”符合性分析。完善项目产业政策相符性分析。核实项目与《关于进一步加强塑料污染治理的意见》（发改环资〔2020〕80号）相关规定的符合性分析。补充项目地为工业用地的支撑材料。</w:t>
      </w:r>
    </w:p>
    <w:p>
      <w:pPr>
        <w:pStyle w:val="72"/>
        <w:ind w:firstLine="560" w:firstLineChars="200"/>
        <w:rPr>
          <w:rFonts w:hint="default" w:ascii="Times New Roman" w:hAnsi="Times New Roman" w:eastAsia="宋体" w:cs="Times New Roman"/>
          <w:b w:val="0"/>
          <w:bCs/>
          <w:color w:val="auto"/>
          <w:kern w:val="2"/>
          <w:sz w:val="28"/>
          <w:szCs w:val="28"/>
          <w:lang w:val="en-US" w:eastAsia="zh-CN" w:bidi="ar-SA"/>
        </w:rPr>
      </w:pPr>
      <w:r>
        <w:rPr>
          <w:rFonts w:hint="eastAsia" w:ascii="Times New Roman" w:hAnsi="Times New Roman" w:eastAsia="宋体" w:cs="Times New Roman"/>
          <w:b w:val="0"/>
          <w:bCs/>
          <w:color w:val="auto"/>
          <w:kern w:val="2"/>
          <w:sz w:val="28"/>
          <w:szCs w:val="28"/>
          <w:lang w:val="en-US" w:eastAsia="zh-CN" w:bidi="ar-SA"/>
        </w:rPr>
        <w:t>2、核实建设内容、说明项目与租赁场地依托关系，完善项目组成一览表，完善平面布置及合理性分析。核实产品方案、设备清单、原辅材料、环保投资。完善湖南壹佰年科技发展有限公司基本情况、环保设施建设、存在的环境问题等情况介绍。</w:t>
      </w:r>
    </w:p>
    <w:p>
      <w:pPr>
        <w:adjustRightInd w:val="0"/>
        <w:snapToGrid w:val="0"/>
        <w:spacing w:line="360" w:lineRule="auto"/>
        <w:ind w:firstLine="560" w:firstLineChars="200"/>
        <w:rPr>
          <w:bCs/>
          <w:sz w:val="28"/>
          <w:szCs w:val="28"/>
        </w:rPr>
      </w:pPr>
      <w:r>
        <w:rPr>
          <w:rFonts w:hint="eastAsia"/>
          <w:bCs/>
          <w:sz w:val="28"/>
          <w:szCs w:val="28"/>
          <w:lang w:val="en-US" w:eastAsia="zh-CN"/>
        </w:rPr>
        <w:t>3</w:t>
      </w:r>
      <w:r>
        <w:rPr>
          <w:rFonts w:hint="eastAsia"/>
          <w:bCs/>
          <w:sz w:val="28"/>
          <w:szCs w:val="28"/>
        </w:rPr>
        <w:t>、</w:t>
      </w:r>
      <w:r>
        <w:rPr>
          <w:rFonts w:hint="eastAsia"/>
          <w:b w:val="0"/>
          <w:bCs/>
          <w:sz w:val="28"/>
          <w:szCs w:val="28"/>
        </w:rPr>
        <w:t>完善周边环境</w:t>
      </w:r>
      <w:r>
        <w:rPr>
          <w:rFonts w:hint="eastAsia"/>
          <w:b w:val="0"/>
          <w:bCs/>
          <w:sz w:val="28"/>
          <w:szCs w:val="28"/>
          <w:lang w:val="en-US" w:eastAsia="zh-CN"/>
        </w:rPr>
        <w:t>及区域污染源调查，</w:t>
      </w:r>
      <w:r>
        <w:rPr>
          <w:rFonts w:hint="eastAsia"/>
          <w:b w:val="0"/>
          <w:bCs/>
          <w:sz w:val="28"/>
          <w:szCs w:val="28"/>
        </w:rPr>
        <w:t>核实环境保护目标</w:t>
      </w:r>
      <w:r>
        <w:rPr>
          <w:rFonts w:hint="eastAsia"/>
          <w:b w:val="0"/>
          <w:bCs/>
          <w:sz w:val="28"/>
          <w:szCs w:val="28"/>
          <w:lang w:eastAsia="zh-CN"/>
        </w:rPr>
        <w:t>、</w:t>
      </w:r>
      <w:r>
        <w:rPr>
          <w:rFonts w:hint="eastAsia"/>
          <w:b w:val="0"/>
          <w:bCs/>
          <w:sz w:val="28"/>
          <w:szCs w:val="28"/>
          <w:lang w:val="en-US" w:eastAsia="zh-CN"/>
        </w:rPr>
        <w:t>排放标准</w:t>
      </w:r>
      <w:r>
        <w:rPr>
          <w:rFonts w:hint="eastAsia"/>
          <w:b w:val="0"/>
          <w:bCs/>
          <w:sz w:val="28"/>
          <w:szCs w:val="28"/>
        </w:rPr>
        <w:t>。</w:t>
      </w:r>
      <w:r>
        <w:rPr>
          <w:rFonts w:hint="eastAsia"/>
          <w:b w:val="0"/>
          <w:bCs/>
          <w:sz w:val="28"/>
          <w:szCs w:val="28"/>
          <w:lang w:eastAsia="zh-CN"/>
        </w:rPr>
        <w:t>核实环境质量现状监测数据的代表性、有效性、准确性</w:t>
      </w:r>
      <w:r>
        <w:rPr>
          <w:rFonts w:hint="eastAsia"/>
          <w:b w:val="0"/>
          <w:bCs/>
          <w:sz w:val="28"/>
          <w:szCs w:val="28"/>
        </w:rPr>
        <w:t>。</w:t>
      </w:r>
    </w:p>
    <w:p>
      <w:pPr>
        <w:adjustRightInd w:val="0"/>
        <w:snapToGrid w:val="0"/>
        <w:spacing w:line="360" w:lineRule="auto"/>
        <w:ind w:firstLine="560" w:firstLineChars="200"/>
        <w:rPr>
          <w:rFonts w:hint="eastAsia"/>
          <w:bCs/>
          <w:sz w:val="28"/>
          <w:szCs w:val="28"/>
          <w:lang w:eastAsia="zh-CN"/>
        </w:rPr>
      </w:pPr>
      <w:r>
        <w:rPr>
          <w:rFonts w:hint="eastAsia"/>
          <w:bCs/>
          <w:sz w:val="28"/>
          <w:szCs w:val="28"/>
          <w:lang w:val="en-US" w:eastAsia="zh-CN"/>
        </w:rPr>
        <w:t>4</w:t>
      </w:r>
      <w:r>
        <w:rPr>
          <w:rFonts w:hint="eastAsia"/>
          <w:bCs/>
          <w:sz w:val="28"/>
          <w:szCs w:val="28"/>
        </w:rPr>
        <w:t>、</w:t>
      </w:r>
      <w:r>
        <w:rPr>
          <w:rFonts w:hint="eastAsia"/>
          <w:bCs/>
          <w:sz w:val="28"/>
          <w:szCs w:val="28"/>
          <w:lang w:eastAsia="zh-CN"/>
        </w:rPr>
        <w:t>完善工艺流程及简介、核实产污节点：</w:t>
      </w:r>
      <w:r>
        <w:rPr>
          <w:rFonts w:hint="eastAsia"/>
          <w:bCs/>
          <w:sz w:val="28"/>
          <w:szCs w:val="28"/>
          <w:lang w:val="en-US" w:eastAsia="zh-CN"/>
        </w:rPr>
        <w:t>核实是否进行商标印刷及其污染物产排情况，核实造粒工序工艺原理，核实挤出后是否需要冷却成型、切粒。核实废薄膜、边角料以及不合格品处置措施</w:t>
      </w:r>
      <w:r>
        <w:rPr>
          <w:rFonts w:hint="eastAsia" w:ascii="Times New Roman" w:hAnsi="Times New Roman" w:eastAsia="宋体" w:cs="Times New Roman"/>
          <w:bCs/>
          <w:sz w:val="28"/>
          <w:szCs w:val="28"/>
          <w:lang w:val="en-US" w:eastAsia="zh-CN"/>
        </w:rPr>
        <w:t>。</w:t>
      </w:r>
    </w:p>
    <w:p>
      <w:pPr>
        <w:adjustRightInd w:val="0"/>
        <w:snapToGrid w:val="0"/>
        <w:spacing w:line="360" w:lineRule="auto"/>
        <w:ind w:firstLine="560" w:firstLineChars="200"/>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5、核实项目吹膜、造粒等工序有机废气产污系数、产生量、处理工艺、处理效率、废气量，据此核实有组织、无组织VOCs排放情况。核实粉尘产生节点、产排情况、收集、处理措施及效率。据此完善废气环境影响分析。</w:t>
      </w:r>
    </w:p>
    <w:p>
      <w:pPr>
        <w:adjustRightInd w:val="0"/>
        <w:snapToGrid w:val="0"/>
        <w:spacing w:line="360" w:lineRule="auto"/>
        <w:ind w:firstLine="560" w:firstLineChars="200"/>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6、核实新鲜水消耗情况、水平衡。说明项目冷却水产生节点、产生量、处理措施，说明廉桥镇污水处理厂建设地点、服务范围、处理规模、建设进度、运行情况，核实生活污水处理措施，完善项目生活污水处理措施可行性分析。</w:t>
      </w:r>
      <w:r>
        <w:rPr>
          <w:rFonts w:hint="eastAsia" w:ascii="Times New Roman" w:hAnsi="Times New Roman" w:eastAsia="宋体" w:cs="Times New Roman"/>
          <w:bCs/>
          <w:sz w:val="28"/>
          <w:szCs w:val="28"/>
          <w:lang w:eastAsia="zh-CN"/>
        </w:rPr>
        <w:t>核实固废</w:t>
      </w:r>
      <w:r>
        <w:rPr>
          <w:rFonts w:hint="eastAsia" w:ascii="Times New Roman" w:hAnsi="Times New Roman" w:eastAsia="宋体" w:cs="Times New Roman"/>
          <w:bCs/>
          <w:sz w:val="28"/>
          <w:szCs w:val="28"/>
          <w:lang w:val="en-US" w:eastAsia="zh-CN"/>
        </w:rPr>
        <w:t>种类、</w:t>
      </w:r>
      <w:r>
        <w:rPr>
          <w:rFonts w:hint="eastAsia" w:ascii="Times New Roman" w:hAnsi="Times New Roman" w:eastAsia="宋体" w:cs="Times New Roman"/>
          <w:bCs/>
          <w:sz w:val="28"/>
          <w:szCs w:val="28"/>
          <w:lang w:eastAsia="zh-CN"/>
        </w:rPr>
        <w:t>属性、产生量、暂存处置措施及</w:t>
      </w:r>
      <w:r>
        <w:rPr>
          <w:rFonts w:hint="eastAsia" w:ascii="Times New Roman" w:hAnsi="Times New Roman" w:eastAsia="宋体" w:cs="Times New Roman"/>
          <w:bCs/>
          <w:sz w:val="28"/>
          <w:szCs w:val="28"/>
          <w:lang w:val="en-US" w:eastAsia="zh-CN"/>
        </w:rPr>
        <w:t>去向</w:t>
      </w:r>
      <w:r>
        <w:rPr>
          <w:rFonts w:hint="eastAsia" w:ascii="Times New Roman" w:hAnsi="Times New Roman" w:eastAsia="宋体" w:cs="Times New Roman"/>
          <w:bCs/>
          <w:sz w:val="28"/>
          <w:szCs w:val="28"/>
          <w:lang w:eastAsia="zh-CN"/>
        </w:rPr>
        <w:t>。</w:t>
      </w:r>
      <w:r>
        <w:rPr>
          <w:rFonts w:hint="eastAsia" w:ascii="Times New Roman" w:hAnsi="Times New Roman" w:eastAsia="宋体" w:cs="Times New Roman"/>
          <w:bCs/>
          <w:sz w:val="28"/>
          <w:szCs w:val="28"/>
          <w:lang w:val="en-US" w:eastAsia="zh-CN"/>
        </w:rPr>
        <w:t>核实噪声设备分布情况及</w:t>
      </w:r>
      <w:r>
        <w:rPr>
          <w:rFonts w:hint="eastAsia" w:ascii="Times New Roman" w:hAnsi="Times New Roman" w:eastAsia="宋体" w:cs="Times New Roman"/>
          <w:bCs/>
          <w:sz w:val="28"/>
          <w:szCs w:val="28"/>
          <w:lang w:eastAsia="zh-CN"/>
        </w:rPr>
        <w:t>噪声预测</w:t>
      </w:r>
      <w:r>
        <w:rPr>
          <w:rFonts w:hint="eastAsia" w:ascii="Times New Roman" w:hAnsi="Times New Roman" w:eastAsia="宋体" w:cs="Times New Roman"/>
          <w:bCs/>
          <w:sz w:val="28"/>
          <w:szCs w:val="28"/>
          <w:lang w:val="en-US" w:eastAsia="zh-CN"/>
        </w:rPr>
        <w:t>结果</w:t>
      </w:r>
      <w:r>
        <w:rPr>
          <w:rFonts w:hint="eastAsia" w:ascii="Times New Roman" w:hAnsi="Times New Roman" w:eastAsia="宋体" w:cs="Times New Roman"/>
          <w:bCs/>
          <w:sz w:val="28"/>
          <w:szCs w:val="28"/>
          <w:lang w:eastAsia="zh-CN"/>
        </w:rPr>
        <w:t>，</w:t>
      </w:r>
      <w:r>
        <w:rPr>
          <w:rFonts w:hint="eastAsia" w:ascii="Times New Roman" w:hAnsi="Times New Roman" w:eastAsia="宋体" w:cs="Times New Roman"/>
          <w:bCs/>
          <w:sz w:val="28"/>
          <w:szCs w:val="28"/>
          <w:lang w:val="en-US" w:eastAsia="zh-CN"/>
        </w:rPr>
        <w:t>完善声环境影响分析。核实项目风险物质，说明风险物质分布情况、影响环境途径、风险防范措施，完善风险分析。</w:t>
      </w:r>
    </w:p>
    <w:p>
      <w:pPr>
        <w:adjustRightInd w:val="0"/>
        <w:snapToGrid w:val="0"/>
        <w:spacing w:line="360" w:lineRule="auto"/>
        <w:ind w:firstLine="560" w:firstLineChars="200"/>
        <w:rPr>
          <w:rFonts w:hint="eastAsia" w:ascii="Times New Roman" w:hAnsi="Times New Roman" w:eastAsia="宋体" w:cs="Times New Roman"/>
          <w:bCs/>
          <w:sz w:val="28"/>
          <w:szCs w:val="28"/>
          <w:lang w:eastAsia="zh-CN"/>
        </w:rPr>
      </w:pPr>
      <w:r>
        <w:rPr>
          <w:rFonts w:hint="eastAsia" w:ascii="Times New Roman" w:hAnsi="Times New Roman" w:eastAsia="宋体" w:cs="Times New Roman"/>
          <w:bCs/>
          <w:sz w:val="28"/>
          <w:szCs w:val="28"/>
          <w:lang w:val="en-US" w:eastAsia="zh-CN"/>
        </w:rPr>
        <w:t>7</w:t>
      </w:r>
      <w:r>
        <w:rPr>
          <w:rFonts w:hint="eastAsia" w:ascii="Times New Roman" w:hAnsi="Times New Roman" w:eastAsia="宋体" w:cs="Times New Roman"/>
          <w:bCs/>
          <w:sz w:val="28"/>
          <w:szCs w:val="28"/>
          <w:lang w:eastAsia="zh-CN"/>
        </w:rPr>
        <w:t>、</w:t>
      </w:r>
      <w:r>
        <w:rPr>
          <w:rFonts w:hint="eastAsia" w:ascii="Times New Roman" w:hAnsi="Times New Roman" w:eastAsia="宋体" w:cs="Times New Roman"/>
          <w:bCs/>
          <w:sz w:val="28"/>
          <w:szCs w:val="28"/>
          <w:lang w:val="en-US" w:eastAsia="zh-CN"/>
        </w:rPr>
        <w:t>完善环境保护措施监督检查清单、</w:t>
      </w:r>
      <w:r>
        <w:rPr>
          <w:rFonts w:hint="eastAsia" w:ascii="Times New Roman" w:hAnsi="Times New Roman" w:eastAsia="宋体" w:cs="Times New Roman"/>
          <w:bCs/>
          <w:sz w:val="28"/>
          <w:szCs w:val="28"/>
          <w:lang w:val="zh-CN" w:eastAsia="zh-CN"/>
        </w:rPr>
        <w:t>营运期环境监测计划</w:t>
      </w:r>
      <w:r>
        <w:rPr>
          <w:rFonts w:hint="eastAsia" w:ascii="Times New Roman" w:hAnsi="Times New Roman" w:eastAsia="宋体" w:cs="Times New Roman"/>
          <w:bCs/>
          <w:sz w:val="28"/>
          <w:szCs w:val="28"/>
          <w:lang w:eastAsia="zh-CN"/>
        </w:rPr>
        <w:t>、</w:t>
      </w:r>
      <w:r>
        <w:rPr>
          <w:rFonts w:hint="eastAsia" w:ascii="Times New Roman" w:hAnsi="Times New Roman" w:eastAsia="宋体" w:cs="Times New Roman"/>
          <w:bCs/>
          <w:sz w:val="28"/>
          <w:szCs w:val="28"/>
          <w:lang w:val="en-US" w:eastAsia="zh-CN"/>
        </w:rPr>
        <w:t>附图附件。</w:t>
      </w:r>
    </w:p>
    <w:p>
      <w:pPr>
        <w:adjustRightInd w:val="0"/>
        <w:snapToGrid w:val="0"/>
        <w:spacing w:line="360" w:lineRule="auto"/>
        <w:ind w:firstLine="480"/>
        <w:rPr>
          <w:rFonts w:hint="eastAsia" w:ascii="仿宋_GB2312" w:hAnsi="宋体" w:eastAsia="仿宋_GB2312"/>
          <w:b/>
          <w:bCs/>
          <w:sz w:val="28"/>
        </w:rPr>
      </w:pPr>
      <w:r>
        <w:rPr>
          <w:rFonts w:hint="eastAsia" w:ascii="仿宋_GB2312" w:hAnsi="宋体" w:eastAsia="仿宋_GB2312"/>
          <w:b/>
          <w:bCs/>
          <w:sz w:val="28"/>
        </w:rPr>
        <w:t>四、项目的可行性结论</w:t>
      </w:r>
    </w:p>
    <w:p>
      <w:pPr>
        <w:adjustRightInd w:val="0"/>
        <w:snapToGrid w:val="0"/>
        <w:spacing w:line="360" w:lineRule="auto"/>
        <w:ind w:firstLine="480"/>
        <w:rPr>
          <w:rFonts w:hint="eastAsia" w:ascii="仿宋_GB2312" w:eastAsia="仿宋_GB2312"/>
          <w:b/>
          <w:bCs/>
          <w:sz w:val="28"/>
        </w:rPr>
      </w:pPr>
      <w:r>
        <w:rPr>
          <w:rFonts w:hint="eastAsia" w:ascii="仿宋_GB2312" w:hAnsi="宋体" w:eastAsia="仿宋_GB2312"/>
          <w:b/>
          <w:sz w:val="28"/>
          <w:szCs w:val="28"/>
        </w:rPr>
        <w:t>本项目建设符合国家产业政策及相关规划要求，</w:t>
      </w:r>
      <w:r>
        <w:rPr>
          <w:rFonts w:hint="eastAsia" w:ascii="仿宋_GB2312" w:eastAsia="仿宋_GB2312"/>
          <w:b/>
          <w:sz w:val="28"/>
          <w:szCs w:val="28"/>
        </w:rPr>
        <w:t>项目建设在施工、运营期对区域生态环境有一定不良影响。</w:t>
      </w:r>
      <w:r>
        <w:rPr>
          <w:rFonts w:hint="eastAsia" w:ascii="仿宋_GB2312" w:eastAsia="仿宋_GB2312"/>
          <w:b/>
          <w:bCs/>
          <w:sz w:val="28"/>
          <w:szCs w:val="28"/>
        </w:rPr>
        <w:t>在落实环评报告和评审提出的各项环保措施后，项目建设对环境产生的不利影响可以得到有效控制与减缓，从环境保护角度分析，该项目建设可行。</w:t>
      </w:r>
    </w:p>
    <w:p>
      <w:pPr>
        <w:spacing w:line="360" w:lineRule="auto"/>
        <w:ind w:firstLine="1968" w:firstLineChars="700"/>
        <w:rPr>
          <w:rFonts w:hint="eastAsia" w:ascii="仿宋_GB2312" w:eastAsia="仿宋_GB2312"/>
          <w:b/>
          <w:bCs/>
          <w:color w:val="auto"/>
          <w:sz w:val="28"/>
        </w:rPr>
      </w:pPr>
      <w:r>
        <w:rPr>
          <w:rFonts w:hint="eastAsia" w:ascii="仿宋_GB2312" w:eastAsia="仿宋_GB2312"/>
          <w:b/>
          <w:bCs/>
          <w:color w:val="auto"/>
          <w:sz w:val="28"/>
        </w:rPr>
        <w:t xml:space="preserve">专家组： </w:t>
      </w:r>
      <w:r>
        <w:rPr>
          <w:rFonts w:hint="eastAsia" w:ascii="仿宋_GB2312" w:eastAsia="仿宋_GB2312"/>
          <w:b/>
          <w:bCs/>
          <w:color w:val="auto"/>
          <w:sz w:val="28"/>
          <w:lang w:val="en-US" w:eastAsia="zh-CN"/>
        </w:rPr>
        <w:t>王晚英(</w:t>
      </w:r>
      <w:r>
        <w:rPr>
          <w:rFonts w:hint="eastAsia" w:ascii="仿宋_GB2312" w:eastAsia="仿宋_GB2312"/>
          <w:b/>
          <w:bCs/>
          <w:color w:val="auto"/>
          <w:sz w:val="28"/>
        </w:rPr>
        <w:t>组长）、</w:t>
      </w:r>
      <w:r>
        <w:rPr>
          <w:rFonts w:hint="eastAsia" w:ascii="仿宋_GB2312" w:eastAsia="仿宋_GB2312"/>
          <w:b/>
          <w:bCs/>
          <w:color w:val="auto"/>
          <w:sz w:val="28"/>
          <w:lang w:val="en-US" w:eastAsia="zh-CN"/>
        </w:rPr>
        <w:t>刘易平</w:t>
      </w:r>
      <w:r>
        <w:rPr>
          <w:rFonts w:hint="eastAsia" w:ascii="仿宋_GB2312" w:eastAsia="仿宋_GB2312"/>
          <w:b/>
          <w:bCs/>
          <w:color w:val="auto"/>
          <w:sz w:val="28"/>
        </w:rPr>
        <w:t xml:space="preserve"> 、</w:t>
      </w:r>
      <w:r>
        <w:rPr>
          <w:rFonts w:hint="eastAsia" w:ascii="仿宋_GB2312" w:eastAsia="仿宋_GB2312"/>
          <w:b/>
          <w:bCs/>
          <w:color w:val="auto"/>
          <w:sz w:val="28"/>
          <w:lang w:val="en-US" w:eastAsia="zh-CN"/>
        </w:rPr>
        <w:t>邹铁牛</w:t>
      </w:r>
      <w:r>
        <w:rPr>
          <w:rFonts w:hint="eastAsia" w:ascii="仿宋_GB2312" w:eastAsia="仿宋_GB2312"/>
          <w:b/>
          <w:bCs/>
          <w:color w:val="auto"/>
          <w:sz w:val="28"/>
        </w:rPr>
        <w:t>（执笔）</w:t>
      </w:r>
    </w:p>
    <w:p>
      <w:pPr>
        <w:adjustRightInd w:val="0"/>
        <w:snapToGrid w:val="0"/>
        <w:spacing w:line="360" w:lineRule="auto"/>
        <w:ind w:firstLine="480"/>
        <w:rPr>
          <w:rFonts w:hint="eastAsia" w:ascii="仿宋_GB2312" w:hAnsi="宋体" w:eastAsia="仿宋_GB2312"/>
          <w:b/>
          <w:color w:val="auto"/>
          <w:sz w:val="28"/>
        </w:rPr>
      </w:pPr>
      <w:r>
        <w:rPr>
          <w:rFonts w:hint="eastAsia" w:ascii="仿宋_GB2312" w:hAnsi="宋体" w:eastAsia="仿宋_GB2312"/>
          <w:b/>
          <w:color w:val="auto"/>
          <w:sz w:val="28"/>
        </w:rPr>
        <w:t xml:space="preserve">                                     202</w:t>
      </w:r>
      <w:r>
        <w:rPr>
          <w:rFonts w:hint="eastAsia" w:ascii="仿宋_GB2312" w:hAnsi="宋体" w:eastAsia="仿宋_GB2312"/>
          <w:b/>
          <w:color w:val="auto"/>
          <w:sz w:val="28"/>
          <w:lang w:val="en-US" w:eastAsia="zh-CN"/>
        </w:rPr>
        <w:t>2</w:t>
      </w:r>
      <w:r>
        <w:rPr>
          <w:rFonts w:hint="eastAsia" w:ascii="仿宋_GB2312" w:hAnsi="宋体" w:eastAsia="仿宋_GB2312"/>
          <w:b/>
          <w:color w:val="auto"/>
          <w:sz w:val="28"/>
        </w:rPr>
        <w:t>年</w:t>
      </w:r>
      <w:r>
        <w:rPr>
          <w:rFonts w:hint="eastAsia" w:ascii="仿宋_GB2312" w:hAnsi="宋体" w:eastAsia="仿宋_GB2312"/>
          <w:b/>
          <w:color w:val="auto"/>
          <w:sz w:val="28"/>
          <w:lang w:val="en-US" w:eastAsia="zh-CN"/>
        </w:rPr>
        <w:t>4</w:t>
      </w:r>
      <w:r>
        <w:rPr>
          <w:rFonts w:hint="eastAsia" w:ascii="仿宋_GB2312" w:hAnsi="宋体" w:eastAsia="仿宋_GB2312"/>
          <w:b/>
          <w:color w:val="auto"/>
          <w:sz w:val="28"/>
        </w:rPr>
        <w:t>月</w:t>
      </w:r>
      <w:r>
        <w:rPr>
          <w:rFonts w:hint="eastAsia" w:ascii="仿宋_GB2312" w:hAnsi="宋体" w:eastAsia="仿宋_GB2312"/>
          <w:b/>
          <w:color w:val="auto"/>
          <w:sz w:val="28"/>
          <w:lang w:val="en-US" w:eastAsia="zh-CN"/>
        </w:rPr>
        <w:t>5</w:t>
      </w:r>
      <w:r>
        <w:rPr>
          <w:rFonts w:hint="eastAsia" w:ascii="仿宋_GB2312" w:hAnsi="宋体" w:eastAsia="仿宋_GB2312"/>
          <w:b/>
          <w:color w:val="auto"/>
          <w:sz w:val="28"/>
        </w:rPr>
        <w:t>日</w:t>
      </w:r>
    </w:p>
    <w:p>
      <w:pPr>
        <w:adjustRightInd w:val="0"/>
        <w:snapToGrid w:val="0"/>
        <w:spacing w:line="360" w:lineRule="auto"/>
        <w:ind w:firstLine="2609" w:firstLineChars="928"/>
        <w:jc w:val="center"/>
        <w:rPr>
          <w:rFonts w:hint="eastAsia" w:ascii="仿宋_GB2312" w:hAnsi="宋体" w:eastAsia="仿宋_GB2312"/>
          <w:b/>
          <w:color w:val="FF0000"/>
          <w:sz w:val="28"/>
        </w:rPr>
      </w:pPr>
      <w:r>
        <w:rPr>
          <w:rFonts w:hint="eastAsia" w:ascii="仿宋_GB2312" w:hAnsi="宋体" w:eastAsia="仿宋_GB2312"/>
          <w:b/>
          <w:color w:val="FF0000"/>
          <w:sz w:val="28"/>
        </w:rPr>
        <w:t xml:space="preserve">          </w:t>
      </w:r>
    </w:p>
    <w:p>
      <w:pPr>
        <w:adjustRightInd w:val="0"/>
        <w:snapToGrid w:val="0"/>
        <w:spacing w:line="360" w:lineRule="auto"/>
        <w:ind w:left="0" w:leftChars="0" w:firstLine="0" w:firstLineChars="0"/>
        <w:jc w:val="center"/>
        <w:rPr>
          <w:color w:val="auto"/>
        </w:rPr>
      </w:pPr>
      <w:r>
        <w:rPr>
          <w:rFonts w:hint="eastAsia" w:ascii="仿宋_GB2312" w:hAnsi="宋体" w:eastAsia="仿宋_GB2312"/>
          <w:b/>
          <w:color w:val="FF0000"/>
          <w:sz w:val="28"/>
        </w:rPr>
        <w:drawing>
          <wp:inline distT="0" distB="0" distL="114300" distR="114300">
            <wp:extent cx="5518150" cy="7235190"/>
            <wp:effectExtent l="0" t="0" r="6350" b="3810"/>
            <wp:docPr id="72" name="图片 46" descr="微信图片_2022051119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6" descr="微信图片_20220511191321"/>
                    <pic:cNvPicPr>
                      <a:picLocks noChangeAspect="1"/>
                    </pic:cNvPicPr>
                  </pic:nvPicPr>
                  <pic:blipFill>
                    <a:blip r:embed="rId29"/>
                    <a:srcRect l="980" t="14503" r="1007" b="27075"/>
                    <a:stretch>
                      <a:fillRect/>
                    </a:stretch>
                  </pic:blipFill>
                  <pic:spPr>
                    <a:xfrm>
                      <a:off x="0" y="0"/>
                      <a:ext cx="5518150" cy="7235190"/>
                    </a:xfrm>
                    <a:prstGeom prst="rect">
                      <a:avLst/>
                    </a:prstGeom>
                    <a:noFill/>
                    <a:ln>
                      <a:noFill/>
                    </a:ln>
                  </pic:spPr>
                </pic:pic>
              </a:graphicData>
            </a:graphic>
          </wp:inline>
        </w:drawing>
      </w:r>
    </w:p>
    <w:p>
      <w:pPr>
        <w:rPr>
          <w:rFonts w:hint="default"/>
        </w:rPr>
      </w:pPr>
    </w:p>
    <w:sectPr>
      <w:pgSz w:w="11906" w:h="16838"/>
      <w:pgMar w:top="1701" w:right="1531" w:bottom="1701" w:left="153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baikeFont_layou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serif">
    <w:altName w:val="微软雅黑"/>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1" w:usb1="080E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宋体"/>
    <w:panose1 w:val="00000000000000000000"/>
    <w:charset w:val="86"/>
    <w:family w:val="script"/>
    <w:pitch w:val="default"/>
    <w:sig w:usb0="00000000" w:usb1="00000000" w:usb2="00000010" w:usb3="00000000" w:csb0="00040000" w:csb1="00000000"/>
  </w:font>
  <w:font w:name="方正楷体_GBK">
    <w:altName w:val="微软雅黑"/>
    <w:panose1 w:val="00000000000000000000"/>
    <w:charset w:val="86"/>
    <w:family w:val="script"/>
    <w:pitch w:val="default"/>
    <w:sig w:usb0="00000000" w:usb1="00000000" w:usb2="00000000" w:usb3="00000000" w:csb0="00040000" w:csb1="00000000"/>
  </w:font>
  <w:font w:name="等线">
    <w:altName w:val="微软雅黑"/>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1" w:usb1="080E0000" w:usb2="00000010" w:usb3="00000000" w:csb0="00040000" w:csb1="00000000"/>
  </w:font>
  <w:font w:name="华文仿宋">
    <w:altName w:val="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0"/>
      </w:rPr>
    </w:pPr>
    <w:r>
      <w:fldChar w:fldCharType="begin"/>
    </w:r>
    <w:r>
      <w:rPr>
        <w:rStyle w:val="40"/>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UUprP3gEAAL8DAAAOAAAAAAAA&#10;AAEAIAAAAB4BAABkcnMvZTJvRG9jLnhtbFBLBQYAAAAABgAGAFkBAABuBQAAAAA=&#10;">
              <v:fill on="f" focussize="0,0"/>
              <v:stroke on="f"/>
              <v:imagedata o:title=""/>
              <o:lock v:ext="edit" aspectratio="f"/>
              <v:textbox inset="0mm,0mm,0mm,0mm" style="mso-fit-shape-to-text:t;">
                <w:txbxContent>
                  <w:p>
                    <w:pPr>
                      <w:pStyle w:val="2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Gmvw4PgAQAAwAMAAA4AAAAA&#10;AAAAAQAgAAAAHgEAAGRycy9lMm9Eb2MueG1sUEsFBgAAAAAGAAYAWQEAAHAFAAAAAA==&#10;">
              <v:fill on="f" focussize="0,0"/>
              <v:stroke on="f"/>
              <v:imagedata o:title=""/>
              <o:lock v:ext="edit" aspectratio="f"/>
              <v:textbox inset="0mm,0mm,0mm,0mm" style="mso-fit-shape-to-text:t;">
                <w:txbxContent>
                  <w:p>
                    <w:pPr>
                      <w:pStyle w:val="2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t xml:space="preserve">— </w:t>
                          </w:r>
                          <w:r>
                            <w:fldChar w:fldCharType="begin"/>
                          </w:r>
                          <w:r>
                            <w:instrText xml:space="preserve"> PAGE  \* MERGEFORMAT </w:instrText>
                          </w:r>
                          <w:r>
                            <w:fldChar w:fldCharType="separate"/>
                          </w:r>
                          <w:r>
                            <w:t>12</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PxwFTt8BAAC/AwAADgAAAAAA&#10;AAABACAAAAAeAQAAZHJzL2Uyb0RvYy54bWxQSwUGAAAAAAYABgBZAQAAbwUAAAAA&#10;">
              <v:fill on="f" focussize="0,0"/>
              <v:stroke on="f"/>
              <v:imagedata o:title=""/>
              <o:lock v:ext="edit" aspectratio="f"/>
              <v:textbox inset="0mm,0mm,0mm,0mm" style="mso-fit-shape-to-text:t;">
                <w:txbxContent>
                  <w:p>
                    <w:pPr>
                      <w:pStyle w:val="22"/>
                    </w:pPr>
                    <w:r>
                      <w:t xml:space="preserve">— </w:t>
                    </w:r>
                    <w:r>
                      <w:fldChar w:fldCharType="begin"/>
                    </w:r>
                    <w:r>
                      <w:instrText xml:space="preserve"> PAGE  \* MERGEFORMAT </w:instrText>
                    </w:r>
                    <w:r>
                      <w:fldChar w:fldCharType="separate"/>
                    </w:r>
                    <w:r>
                      <w:t>12</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t xml:space="preserve">— </w:t>
                          </w:r>
                          <w:r>
                            <w:fldChar w:fldCharType="begin"/>
                          </w:r>
                          <w:r>
                            <w:instrText xml:space="preserve"> PAGE  \* MERGEFORMAT </w:instrText>
                          </w:r>
                          <w:r>
                            <w:fldChar w:fldCharType="separate"/>
                          </w:r>
                          <w:r>
                            <w:t>18</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SsBGr98BAAC/AwAADgAAAAAA&#10;AAABACAAAAAeAQAAZHJzL2Uyb0RvYy54bWxQSwUGAAAAAAYABgBZAQAAbwUAAAAA&#10;">
              <v:fill on="f" focussize="0,0"/>
              <v:stroke on="f"/>
              <v:imagedata o:title=""/>
              <o:lock v:ext="edit" aspectratio="f"/>
              <v:textbox inset="0mm,0mm,0mm,0mm" style="mso-fit-shape-to-text:t;">
                <w:txbxContent>
                  <w:p>
                    <w:pPr>
                      <w:pStyle w:val="22"/>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t xml:space="preserve">— </w:t>
                          </w:r>
                          <w:r>
                            <w:fldChar w:fldCharType="begin"/>
                          </w:r>
                          <w:r>
                            <w:instrText xml:space="preserve"> PAGE  \* MERGEFORMAT </w:instrText>
                          </w:r>
                          <w:r>
                            <w:fldChar w:fldCharType="separate"/>
                          </w:r>
                          <w:r>
                            <w:t>45</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cmizg3gEAAL8DAAAOAAAAAAAA&#10;AAEAIAAAAB4BAABkcnMvZTJvRG9jLnhtbFBLBQYAAAAABgAGAFkBAABuBQAAAAA=&#10;">
              <v:fill on="f" focussize="0,0"/>
              <v:stroke on="f"/>
              <v:imagedata o:title=""/>
              <o:lock v:ext="edit" aspectratio="f"/>
              <v:textbox inset="0mm,0mm,0mm,0mm" style="mso-fit-shape-to-text:t;">
                <w:txbxContent>
                  <w:p>
                    <w:pPr>
                      <w:pStyle w:val="22"/>
                    </w:pPr>
                    <w:r>
                      <w:t xml:space="preserve">— </w:t>
                    </w:r>
                    <w:r>
                      <w:fldChar w:fldCharType="begin"/>
                    </w:r>
                    <w:r>
                      <w:instrText xml:space="preserve"> PAGE  \* MERGEFORMAT </w:instrText>
                    </w:r>
                    <w:r>
                      <w:fldChar w:fldCharType="separate"/>
                    </w:r>
                    <w:r>
                      <w:t>45</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48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2"/>
                          </w:pPr>
                          <w:r>
                            <w:fldChar w:fldCharType="begin"/>
                          </w:r>
                          <w:r>
                            <w:instrText xml:space="preserve"> PAGE  \* MERGEFORMAT </w:instrText>
                          </w:r>
                          <w:r>
                            <w:fldChar w:fldCharType="separate"/>
                          </w:r>
                          <w:r>
                            <w:t>17</w:t>
                          </w:r>
                          <w:r>
                            <w:fldChar w:fldCharType="end"/>
                          </w:r>
                        </w:p>
                      </w:txbxContent>
                    </wps:txbx>
                    <wps:bodyPr vert="horz" wrap="none" lIns="0" tIns="0" rIns="0" bIns="0" anchor="t" anchorCtr="0" upright="0">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C5k8M06QEA&#10;AMkDAAAOAAAAAAAAAAEAIAAAAB8BAABkcnMvZTJvRG9jLnhtbFBLBQYAAAAABgAGAFkBAAB6BQAA&#10;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40"/>
                              <w:rFonts w:ascii="宋体" w:hAnsi="宋体"/>
                              <w:sz w:val="28"/>
                              <w:szCs w:val="28"/>
                            </w:rPr>
                          </w:pPr>
                          <w:r>
                            <w:rPr>
                              <w:rFonts w:ascii="宋体" w:hAnsi="宋体"/>
                              <w:sz w:val="26"/>
                              <w:szCs w:val="26"/>
                            </w:rPr>
                            <w:fldChar w:fldCharType="begin"/>
                          </w:r>
                          <w:r>
                            <w:rPr>
                              <w:rStyle w:val="40"/>
                              <w:rFonts w:ascii="宋体" w:hAnsi="宋体"/>
                              <w:sz w:val="26"/>
                              <w:szCs w:val="26"/>
                            </w:rPr>
                            <w:instrText xml:space="preserve">PAGE  </w:instrText>
                          </w:r>
                          <w:r>
                            <w:rPr>
                              <w:rFonts w:ascii="宋体" w:hAnsi="宋体"/>
                              <w:sz w:val="26"/>
                              <w:szCs w:val="26"/>
                            </w:rPr>
                            <w:fldChar w:fldCharType="separate"/>
                          </w:r>
                          <w:r>
                            <w:rPr>
                              <w:rStyle w:val="40"/>
                              <w:rFonts w:ascii="宋体" w:hAnsi="宋体"/>
                              <w:sz w:val="26"/>
                              <w:szCs w:val="26"/>
                            </w:rPr>
                            <w:t>11</w:t>
                          </w:r>
                          <w:r>
                            <w:rPr>
                              <w:rFonts w:ascii="宋体" w:hAnsi="宋体"/>
                              <w:sz w:val="26"/>
                              <w:szCs w:val="26"/>
                            </w:rPr>
                            <w:fldChar w:fldCharType="end"/>
                          </w:r>
                          <w:r>
                            <w:rPr>
                              <w:rStyle w:val="40"/>
                              <w:rFonts w:hint="eastAsia" w:ascii="宋体" w:hAnsi="宋体"/>
                              <w:sz w:val="20"/>
                            </w:rPr>
                            <w:t xml:space="preserve"> </w:t>
                          </w:r>
                        </w:p>
                      </w:txbxContent>
                    </wps:txbx>
                    <wps:bodyPr vert="horz" wrap="none" lIns="0" tIns="0" rIns="0" bIns="0" anchor="t" anchorCtr="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bqGtHeIBAADCAwAADgAA&#10;AAAAAAABACAAAAAeAQAAZHJzL2Uyb0RvYy54bWxQSwUGAAAAAAYABgBZAQAAcgUAAAAA&#10;">
              <v:fill on="f" focussize="0,0"/>
              <v:stroke on="f"/>
              <v:imagedata o:title=""/>
              <o:lock v:ext="edit" aspectratio="f"/>
              <v:textbox inset="0mm,0mm,0mm,0mm" style="mso-fit-shape-to-text:t;">
                <w:txbxContent>
                  <w:p>
                    <w:pPr>
                      <w:pStyle w:val="22"/>
                      <w:rPr>
                        <w:rStyle w:val="40"/>
                        <w:rFonts w:ascii="宋体" w:hAnsi="宋体"/>
                        <w:sz w:val="28"/>
                        <w:szCs w:val="28"/>
                      </w:rPr>
                    </w:pPr>
                    <w:r>
                      <w:rPr>
                        <w:rFonts w:ascii="宋体" w:hAnsi="宋体"/>
                        <w:sz w:val="26"/>
                        <w:szCs w:val="26"/>
                      </w:rPr>
                      <w:fldChar w:fldCharType="begin"/>
                    </w:r>
                    <w:r>
                      <w:rPr>
                        <w:rStyle w:val="40"/>
                        <w:rFonts w:ascii="宋体" w:hAnsi="宋体"/>
                        <w:sz w:val="26"/>
                        <w:szCs w:val="26"/>
                      </w:rPr>
                      <w:instrText xml:space="preserve">PAGE  </w:instrText>
                    </w:r>
                    <w:r>
                      <w:rPr>
                        <w:rFonts w:ascii="宋体" w:hAnsi="宋体"/>
                        <w:sz w:val="26"/>
                        <w:szCs w:val="26"/>
                      </w:rPr>
                      <w:fldChar w:fldCharType="separate"/>
                    </w:r>
                    <w:r>
                      <w:rPr>
                        <w:rStyle w:val="40"/>
                        <w:rFonts w:ascii="宋体" w:hAnsi="宋体"/>
                        <w:sz w:val="26"/>
                        <w:szCs w:val="26"/>
                      </w:rPr>
                      <w:t>11</w:t>
                    </w:r>
                    <w:r>
                      <w:rPr>
                        <w:rFonts w:ascii="宋体" w:hAnsi="宋体"/>
                        <w:sz w:val="26"/>
                        <w:szCs w:val="26"/>
                      </w:rPr>
                      <w:fldChar w:fldCharType="end"/>
                    </w:r>
                    <w:r>
                      <w:rPr>
                        <w:rStyle w:val="40"/>
                        <w:rFonts w:hint="eastAsia" w:ascii="宋体" w:hAnsi="宋体"/>
                        <w:sz w:val="20"/>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5096D7"/>
    <w:multiLevelType w:val="singleLevel"/>
    <w:tmpl w:val="565096D7"/>
    <w:lvl w:ilvl="0" w:tentative="0">
      <w:start w:val="3"/>
      <w:numFmt w:val="decimal"/>
      <w:lvlText w:val="%1."/>
      <w:lvlJc w:val="left"/>
      <w:pPr>
        <w:tabs>
          <w:tab w:val="left" w:pos="312"/>
        </w:tabs>
      </w:pPr>
    </w:lvl>
  </w:abstractNum>
  <w:abstractNum w:abstractNumId="1">
    <w:nsid w:val="5731ED4D"/>
    <w:multiLevelType w:val="singleLevel"/>
    <w:tmpl w:val="5731ED4D"/>
    <w:lvl w:ilvl="0" w:tentative="0">
      <w:start w:val="3"/>
      <w:numFmt w:val="decimal"/>
      <w:suff w:val="nothing"/>
      <w:lvlText w:val="（%1）"/>
      <w:lvlJc w:val="left"/>
    </w:lvl>
  </w:abstractNum>
  <w:abstractNum w:abstractNumId="2">
    <w:nsid w:val="601C813C"/>
    <w:multiLevelType w:val="singleLevel"/>
    <w:tmpl w:val="601C813C"/>
    <w:lvl w:ilvl="0" w:tentative="0">
      <w:start w:val="6"/>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YzJhMTYyOTIyNTYxNTNhN2QyMWU0YWNhMzFlZmMifQ=="/>
  </w:docVars>
  <w:rsids>
    <w:rsidRoot w:val="00A14947"/>
    <w:rsid w:val="000060B3"/>
    <w:rsid w:val="0001385C"/>
    <w:rsid w:val="000205F5"/>
    <w:rsid w:val="0004364B"/>
    <w:rsid w:val="00045F5E"/>
    <w:rsid w:val="00057BC0"/>
    <w:rsid w:val="00061B1F"/>
    <w:rsid w:val="000733C4"/>
    <w:rsid w:val="00074783"/>
    <w:rsid w:val="0008070B"/>
    <w:rsid w:val="000810AC"/>
    <w:rsid w:val="00081A02"/>
    <w:rsid w:val="00082231"/>
    <w:rsid w:val="00084F6F"/>
    <w:rsid w:val="00092D38"/>
    <w:rsid w:val="0009377B"/>
    <w:rsid w:val="000A20C9"/>
    <w:rsid w:val="000B058F"/>
    <w:rsid w:val="000B334B"/>
    <w:rsid w:val="000B4467"/>
    <w:rsid w:val="000B4DB9"/>
    <w:rsid w:val="000C09AC"/>
    <w:rsid w:val="000C767F"/>
    <w:rsid w:val="000D1D03"/>
    <w:rsid w:val="000D3DF1"/>
    <w:rsid w:val="000D5A44"/>
    <w:rsid w:val="000E3ED2"/>
    <w:rsid w:val="000F67C8"/>
    <w:rsid w:val="001040D4"/>
    <w:rsid w:val="00104171"/>
    <w:rsid w:val="001109FC"/>
    <w:rsid w:val="00111911"/>
    <w:rsid w:val="00117FC3"/>
    <w:rsid w:val="00131F42"/>
    <w:rsid w:val="001357F1"/>
    <w:rsid w:val="00140FA8"/>
    <w:rsid w:val="00142FEB"/>
    <w:rsid w:val="00143A2D"/>
    <w:rsid w:val="00145A41"/>
    <w:rsid w:val="00151675"/>
    <w:rsid w:val="00152388"/>
    <w:rsid w:val="00157435"/>
    <w:rsid w:val="00166F26"/>
    <w:rsid w:val="0017250D"/>
    <w:rsid w:val="0017504D"/>
    <w:rsid w:val="0017671A"/>
    <w:rsid w:val="00177422"/>
    <w:rsid w:val="00184590"/>
    <w:rsid w:val="001870D1"/>
    <w:rsid w:val="0018781E"/>
    <w:rsid w:val="0019262D"/>
    <w:rsid w:val="001A0A94"/>
    <w:rsid w:val="001A1B35"/>
    <w:rsid w:val="001A48A2"/>
    <w:rsid w:val="001A6F61"/>
    <w:rsid w:val="001B72B8"/>
    <w:rsid w:val="001B7F48"/>
    <w:rsid w:val="001C5146"/>
    <w:rsid w:val="001C69B3"/>
    <w:rsid w:val="001C6F33"/>
    <w:rsid w:val="001D5595"/>
    <w:rsid w:val="001D7874"/>
    <w:rsid w:val="001D7F22"/>
    <w:rsid w:val="001F0F17"/>
    <w:rsid w:val="001F3347"/>
    <w:rsid w:val="001F69E4"/>
    <w:rsid w:val="002125B4"/>
    <w:rsid w:val="002155B8"/>
    <w:rsid w:val="00224839"/>
    <w:rsid w:val="002249B2"/>
    <w:rsid w:val="00226574"/>
    <w:rsid w:val="002278EC"/>
    <w:rsid w:val="00231D36"/>
    <w:rsid w:val="0023280E"/>
    <w:rsid w:val="00236698"/>
    <w:rsid w:val="002377D1"/>
    <w:rsid w:val="002506BC"/>
    <w:rsid w:val="00254345"/>
    <w:rsid w:val="00256D16"/>
    <w:rsid w:val="00264557"/>
    <w:rsid w:val="00264E87"/>
    <w:rsid w:val="002805AB"/>
    <w:rsid w:val="0028152C"/>
    <w:rsid w:val="00284204"/>
    <w:rsid w:val="00291773"/>
    <w:rsid w:val="0029516E"/>
    <w:rsid w:val="002A168C"/>
    <w:rsid w:val="002A3DC7"/>
    <w:rsid w:val="002B49E2"/>
    <w:rsid w:val="002B7812"/>
    <w:rsid w:val="002B7B00"/>
    <w:rsid w:val="002B7C44"/>
    <w:rsid w:val="002C2B17"/>
    <w:rsid w:val="002C6140"/>
    <w:rsid w:val="002D3DD0"/>
    <w:rsid w:val="002E1F3A"/>
    <w:rsid w:val="002E298A"/>
    <w:rsid w:val="002F7CAB"/>
    <w:rsid w:val="00301978"/>
    <w:rsid w:val="0030332C"/>
    <w:rsid w:val="003051C2"/>
    <w:rsid w:val="0031056A"/>
    <w:rsid w:val="00312296"/>
    <w:rsid w:val="00314F0E"/>
    <w:rsid w:val="00321D8E"/>
    <w:rsid w:val="00325928"/>
    <w:rsid w:val="00332863"/>
    <w:rsid w:val="0033684D"/>
    <w:rsid w:val="00337B42"/>
    <w:rsid w:val="00341B42"/>
    <w:rsid w:val="0034348F"/>
    <w:rsid w:val="00345214"/>
    <w:rsid w:val="00347C7F"/>
    <w:rsid w:val="00356653"/>
    <w:rsid w:val="0035743F"/>
    <w:rsid w:val="00357BE2"/>
    <w:rsid w:val="0036170C"/>
    <w:rsid w:val="00366E0F"/>
    <w:rsid w:val="0037233D"/>
    <w:rsid w:val="00381A72"/>
    <w:rsid w:val="00384676"/>
    <w:rsid w:val="0038708B"/>
    <w:rsid w:val="00390857"/>
    <w:rsid w:val="003A4BF3"/>
    <w:rsid w:val="003A7DE7"/>
    <w:rsid w:val="003B420D"/>
    <w:rsid w:val="003C6C16"/>
    <w:rsid w:val="003D794D"/>
    <w:rsid w:val="003E3058"/>
    <w:rsid w:val="003E76A9"/>
    <w:rsid w:val="003F0809"/>
    <w:rsid w:val="003F6A8C"/>
    <w:rsid w:val="003F755C"/>
    <w:rsid w:val="00404AFC"/>
    <w:rsid w:val="00404DE8"/>
    <w:rsid w:val="00406F01"/>
    <w:rsid w:val="00416D50"/>
    <w:rsid w:val="00416FD5"/>
    <w:rsid w:val="00417772"/>
    <w:rsid w:val="00420E6A"/>
    <w:rsid w:val="00425A9E"/>
    <w:rsid w:val="00426D6B"/>
    <w:rsid w:val="00431E6C"/>
    <w:rsid w:val="00433CE7"/>
    <w:rsid w:val="00437EE3"/>
    <w:rsid w:val="004511CB"/>
    <w:rsid w:val="00452738"/>
    <w:rsid w:val="00456091"/>
    <w:rsid w:val="00466321"/>
    <w:rsid w:val="00480177"/>
    <w:rsid w:val="00484B9B"/>
    <w:rsid w:val="004855F6"/>
    <w:rsid w:val="0048661E"/>
    <w:rsid w:val="00494670"/>
    <w:rsid w:val="004953F8"/>
    <w:rsid w:val="004A0035"/>
    <w:rsid w:val="004A1B64"/>
    <w:rsid w:val="004A2308"/>
    <w:rsid w:val="004A3823"/>
    <w:rsid w:val="004E3140"/>
    <w:rsid w:val="004E6946"/>
    <w:rsid w:val="004F1AD8"/>
    <w:rsid w:val="005039CB"/>
    <w:rsid w:val="0050558F"/>
    <w:rsid w:val="00506286"/>
    <w:rsid w:val="00510813"/>
    <w:rsid w:val="00511983"/>
    <w:rsid w:val="00511990"/>
    <w:rsid w:val="00511DE0"/>
    <w:rsid w:val="00512894"/>
    <w:rsid w:val="00514870"/>
    <w:rsid w:val="00514B9B"/>
    <w:rsid w:val="0051675C"/>
    <w:rsid w:val="00517F02"/>
    <w:rsid w:val="00524303"/>
    <w:rsid w:val="005258A2"/>
    <w:rsid w:val="005401AE"/>
    <w:rsid w:val="00542E07"/>
    <w:rsid w:val="00545424"/>
    <w:rsid w:val="00550EAB"/>
    <w:rsid w:val="00554A7B"/>
    <w:rsid w:val="0055572C"/>
    <w:rsid w:val="0056106A"/>
    <w:rsid w:val="005613F7"/>
    <w:rsid w:val="005720AE"/>
    <w:rsid w:val="00584C52"/>
    <w:rsid w:val="00594D77"/>
    <w:rsid w:val="005969E4"/>
    <w:rsid w:val="005A06B7"/>
    <w:rsid w:val="005A1759"/>
    <w:rsid w:val="005A68A7"/>
    <w:rsid w:val="005B45EB"/>
    <w:rsid w:val="005D36AB"/>
    <w:rsid w:val="005E7472"/>
    <w:rsid w:val="005F4775"/>
    <w:rsid w:val="00602A33"/>
    <w:rsid w:val="0061449E"/>
    <w:rsid w:val="00617CC3"/>
    <w:rsid w:val="006377A6"/>
    <w:rsid w:val="00637A3D"/>
    <w:rsid w:val="006411EF"/>
    <w:rsid w:val="0064270E"/>
    <w:rsid w:val="0066684A"/>
    <w:rsid w:val="006748B8"/>
    <w:rsid w:val="006775C3"/>
    <w:rsid w:val="0069290A"/>
    <w:rsid w:val="006976CF"/>
    <w:rsid w:val="0069775A"/>
    <w:rsid w:val="00697813"/>
    <w:rsid w:val="006A17E3"/>
    <w:rsid w:val="006A31EA"/>
    <w:rsid w:val="006A3EE8"/>
    <w:rsid w:val="006A72BF"/>
    <w:rsid w:val="006B03F2"/>
    <w:rsid w:val="006B0FF2"/>
    <w:rsid w:val="006B37DC"/>
    <w:rsid w:val="006B4F68"/>
    <w:rsid w:val="006C0592"/>
    <w:rsid w:val="006C272E"/>
    <w:rsid w:val="006C390F"/>
    <w:rsid w:val="006C5479"/>
    <w:rsid w:val="006D13B5"/>
    <w:rsid w:val="006D5061"/>
    <w:rsid w:val="006E12FF"/>
    <w:rsid w:val="006E607E"/>
    <w:rsid w:val="00706C5D"/>
    <w:rsid w:val="00706F2A"/>
    <w:rsid w:val="007127E3"/>
    <w:rsid w:val="00732922"/>
    <w:rsid w:val="0075162E"/>
    <w:rsid w:val="00754034"/>
    <w:rsid w:val="007550CD"/>
    <w:rsid w:val="00756556"/>
    <w:rsid w:val="00760390"/>
    <w:rsid w:val="007618C4"/>
    <w:rsid w:val="00762F8F"/>
    <w:rsid w:val="00767980"/>
    <w:rsid w:val="00770B19"/>
    <w:rsid w:val="0077463F"/>
    <w:rsid w:val="0077523A"/>
    <w:rsid w:val="007800B4"/>
    <w:rsid w:val="007836EA"/>
    <w:rsid w:val="00783802"/>
    <w:rsid w:val="00784CDA"/>
    <w:rsid w:val="00784FA5"/>
    <w:rsid w:val="007906C4"/>
    <w:rsid w:val="007940EA"/>
    <w:rsid w:val="007967E8"/>
    <w:rsid w:val="007A2170"/>
    <w:rsid w:val="007A22BF"/>
    <w:rsid w:val="007A251B"/>
    <w:rsid w:val="007A3323"/>
    <w:rsid w:val="007B72B8"/>
    <w:rsid w:val="007B7A58"/>
    <w:rsid w:val="007C21B5"/>
    <w:rsid w:val="007C37A6"/>
    <w:rsid w:val="007D25E7"/>
    <w:rsid w:val="007E4BD2"/>
    <w:rsid w:val="007F4658"/>
    <w:rsid w:val="00801393"/>
    <w:rsid w:val="00802F88"/>
    <w:rsid w:val="0080459F"/>
    <w:rsid w:val="00810A1F"/>
    <w:rsid w:val="0081293E"/>
    <w:rsid w:val="00815465"/>
    <w:rsid w:val="00817E9A"/>
    <w:rsid w:val="00822FA9"/>
    <w:rsid w:val="00826A88"/>
    <w:rsid w:val="008306BD"/>
    <w:rsid w:val="00831A80"/>
    <w:rsid w:val="00832F47"/>
    <w:rsid w:val="00833743"/>
    <w:rsid w:val="008340A4"/>
    <w:rsid w:val="00840203"/>
    <w:rsid w:val="0085066D"/>
    <w:rsid w:val="00854175"/>
    <w:rsid w:val="00854DBA"/>
    <w:rsid w:val="008623DF"/>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778"/>
    <w:rsid w:val="008E0CFF"/>
    <w:rsid w:val="008E463F"/>
    <w:rsid w:val="008E47F1"/>
    <w:rsid w:val="008E5D6B"/>
    <w:rsid w:val="008E6B01"/>
    <w:rsid w:val="008E76F0"/>
    <w:rsid w:val="008F0827"/>
    <w:rsid w:val="008F15FE"/>
    <w:rsid w:val="008F2D29"/>
    <w:rsid w:val="008F5187"/>
    <w:rsid w:val="008F60D8"/>
    <w:rsid w:val="00902727"/>
    <w:rsid w:val="00902771"/>
    <w:rsid w:val="0090312B"/>
    <w:rsid w:val="00910946"/>
    <w:rsid w:val="0091736D"/>
    <w:rsid w:val="0092593D"/>
    <w:rsid w:val="0093037A"/>
    <w:rsid w:val="0094154D"/>
    <w:rsid w:val="0094422A"/>
    <w:rsid w:val="009477D5"/>
    <w:rsid w:val="0095021E"/>
    <w:rsid w:val="0095155F"/>
    <w:rsid w:val="00954429"/>
    <w:rsid w:val="009563CE"/>
    <w:rsid w:val="00956DD6"/>
    <w:rsid w:val="009702A1"/>
    <w:rsid w:val="00976328"/>
    <w:rsid w:val="0097680D"/>
    <w:rsid w:val="00977A9A"/>
    <w:rsid w:val="00977E20"/>
    <w:rsid w:val="00982438"/>
    <w:rsid w:val="009836EF"/>
    <w:rsid w:val="0098404C"/>
    <w:rsid w:val="00985283"/>
    <w:rsid w:val="00995992"/>
    <w:rsid w:val="009A03E5"/>
    <w:rsid w:val="009A0F3B"/>
    <w:rsid w:val="009A1BB4"/>
    <w:rsid w:val="009A2628"/>
    <w:rsid w:val="009A3200"/>
    <w:rsid w:val="009A5ED4"/>
    <w:rsid w:val="009B087A"/>
    <w:rsid w:val="009B0897"/>
    <w:rsid w:val="009B7BD9"/>
    <w:rsid w:val="009C7DD5"/>
    <w:rsid w:val="009D0A3A"/>
    <w:rsid w:val="009E227D"/>
    <w:rsid w:val="009E5019"/>
    <w:rsid w:val="009E5C04"/>
    <w:rsid w:val="009F4374"/>
    <w:rsid w:val="009F743D"/>
    <w:rsid w:val="00A04F1B"/>
    <w:rsid w:val="00A0501B"/>
    <w:rsid w:val="00A05E04"/>
    <w:rsid w:val="00A11B64"/>
    <w:rsid w:val="00A12932"/>
    <w:rsid w:val="00A14947"/>
    <w:rsid w:val="00A20CAA"/>
    <w:rsid w:val="00A23D98"/>
    <w:rsid w:val="00A32A83"/>
    <w:rsid w:val="00A368DB"/>
    <w:rsid w:val="00A423AA"/>
    <w:rsid w:val="00A53BED"/>
    <w:rsid w:val="00A53EC6"/>
    <w:rsid w:val="00A55C0F"/>
    <w:rsid w:val="00A66C04"/>
    <w:rsid w:val="00A74C49"/>
    <w:rsid w:val="00A8713F"/>
    <w:rsid w:val="00A90BA1"/>
    <w:rsid w:val="00A97A9A"/>
    <w:rsid w:val="00AA0671"/>
    <w:rsid w:val="00AA2531"/>
    <w:rsid w:val="00AA2AA3"/>
    <w:rsid w:val="00AA36E5"/>
    <w:rsid w:val="00AB1E09"/>
    <w:rsid w:val="00AB5330"/>
    <w:rsid w:val="00AB7747"/>
    <w:rsid w:val="00AC14CE"/>
    <w:rsid w:val="00AC2A56"/>
    <w:rsid w:val="00AC4EE2"/>
    <w:rsid w:val="00AD055E"/>
    <w:rsid w:val="00AD47A7"/>
    <w:rsid w:val="00AE7B71"/>
    <w:rsid w:val="00AF0CBF"/>
    <w:rsid w:val="00AF22E8"/>
    <w:rsid w:val="00AF257F"/>
    <w:rsid w:val="00AF2A39"/>
    <w:rsid w:val="00AF33CF"/>
    <w:rsid w:val="00AF4D50"/>
    <w:rsid w:val="00AF6179"/>
    <w:rsid w:val="00B1295A"/>
    <w:rsid w:val="00B20A45"/>
    <w:rsid w:val="00B22C5C"/>
    <w:rsid w:val="00B24F30"/>
    <w:rsid w:val="00B25B87"/>
    <w:rsid w:val="00B31ABF"/>
    <w:rsid w:val="00B33BE3"/>
    <w:rsid w:val="00B376CF"/>
    <w:rsid w:val="00B52DBB"/>
    <w:rsid w:val="00B53B5D"/>
    <w:rsid w:val="00B6055E"/>
    <w:rsid w:val="00B6317D"/>
    <w:rsid w:val="00B7723F"/>
    <w:rsid w:val="00B80534"/>
    <w:rsid w:val="00B82B70"/>
    <w:rsid w:val="00B8433C"/>
    <w:rsid w:val="00B87491"/>
    <w:rsid w:val="00BA29E9"/>
    <w:rsid w:val="00BA7142"/>
    <w:rsid w:val="00BB237C"/>
    <w:rsid w:val="00BB41A3"/>
    <w:rsid w:val="00BC32DC"/>
    <w:rsid w:val="00BC35B6"/>
    <w:rsid w:val="00BD1B51"/>
    <w:rsid w:val="00BD435B"/>
    <w:rsid w:val="00BD4596"/>
    <w:rsid w:val="00BE1405"/>
    <w:rsid w:val="00BE2F70"/>
    <w:rsid w:val="00BE312D"/>
    <w:rsid w:val="00BF0D4A"/>
    <w:rsid w:val="00BF1C20"/>
    <w:rsid w:val="00C01BF4"/>
    <w:rsid w:val="00C049EB"/>
    <w:rsid w:val="00C10578"/>
    <w:rsid w:val="00C135BC"/>
    <w:rsid w:val="00C15C95"/>
    <w:rsid w:val="00C2596A"/>
    <w:rsid w:val="00C27537"/>
    <w:rsid w:val="00C328FE"/>
    <w:rsid w:val="00C33507"/>
    <w:rsid w:val="00C3657A"/>
    <w:rsid w:val="00C41452"/>
    <w:rsid w:val="00C4409D"/>
    <w:rsid w:val="00C44E72"/>
    <w:rsid w:val="00C45A06"/>
    <w:rsid w:val="00C47E5B"/>
    <w:rsid w:val="00C61E4B"/>
    <w:rsid w:val="00C64BFF"/>
    <w:rsid w:val="00C67C2F"/>
    <w:rsid w:val="00C704E9"/>
    <w:rsid w:val="00C763C9"/>
    <w:rsid w:val="00C80057"/>
    <w:rsid w:val="00C82232"/>
    <w:rsid w:val="00C82913"/>
    <w:rsid w:val="00C86FBF"/>
    <w:rsid w:val="00C90660"/>
    <w:rsid w:val="00C972B1"/>
    <w:rsid w:val="00CA2CCE"/>
    <w:rsid w:val="00CA330B"/>
    <w:rsid w:val="00CA43FD"/>
    <w:rsid w:val="00CA7150"/>
    <w:rsid w:val="00CA7EF8"/>
    <w:rsid w:val="00CC160D"/>
    <w:rsid w:val="00CC489B"/>
    <w:rsid w:val="00CC4920"/>
    <w:rsid w:val="00CD2BCD"/>
    <w:rsid w:val="00CD3A4C"/>
    <w:rsid w:val="00CE10E9"/>
    <w:rsid w:val="00CE1210"/>
    <w:rsid w:val="00CE2910"/>
    <w:rsid w:val="00CE5393"/>
    <w:rsid w:val="00CF36BE"/>
    <w:rsid w:val="00CF6000"/>
    <w:rsid w:val="00CF7460"/>
    <w:rsid w:val="00D003F3"/>
    <w:rsid w:val="00D00430"/>
    <w:rsid w:val="00D0364F"/>
    <w:rsid w:val="00D06834"/>
    <w:rsid w:val="00D12AA5"/>
    <w:rsid w:val="00D1411F"/>
    <w:rsid w:val="00D162BA"/>
    <w:rsid w:val="00D308ED"/>
    <w:rsid w:val="00D36D86"/>
    <w:rsid w:val="00D37948"/>
    <w:rsid w:val="00D428AA"/>
    <w:rsid w:val="00D475AB"/>
    <w:rsid w:val="00D50A34"/>
    <w:rsid w:val="00D53EFA"/>
    <w:rsid w:val="00D573DB"/>
    <w:rsid w:val="00D62208"/>
    <w:rsid w:val="00D63946"/>
    <w:rsid w:val="00D63F01"/>
    <w:rsid w:val="00D814EE"/>
    <w:rsid w:val="00D94A7C"/>
    <w:rsid w:val="00D95896"/>
    <w:rsid w:val="00DA047B"/>
    <w:rsid w:val="00DA061B"/>
    <w:rsid w:val="00DA702B"/>
    <w:rsid w:val="00DB2983"/>
    <w:rsid w:val="00DB484D"/>
    <w:rsid w:val="00DC1257"/>
    <w:rsid w:val="00DC1911"/>
    <w:rsid w:val="00DC38AF"/>
    <w:rsid w:val="00DC3DC0"/>
    <w:rsid w:val="00DC5B2B"/>
    <w:rsid w:val="00DD318D"/>
    <w:rsid w:val="00DF2E12"/>
    <w:rsid w:val="00DF514A"/>
    <w:rsid w:val="00DF6690"/>
    <w:rsid w:val="00DF6804"/>
    <w:rsid w:val="00E0358D"/>
    <w:rsid w:val="00E04323"/>
    <w:rsid w:val="00E070A2"/>
    <w:rsid w:val="00E07806"/>
    <w:rsid w:val="00E2656A"/>
    <w:rsid w:val="00E27495"/>
    <w:rsid w:val="00E412D0"/>
    <w:rsid w:val="00E51D96"/>
    <w:rsid w:val="00E52CB9"/>
    <w:rsid w:val="00E56322"/>
    <w:rsid w:val="00E56ABE"/>
    <w:rsid w:val="00E60982"/>
    <w:rsid w:val="00E62C62"/>
    <w:rsid w:val="00E654C1"/>
    <w:rsid w:val="00E65D97"/>
    <w:rsid w:val="00E72A5A"/>
    <w:rsid w:val="00E73354"/>
    <w:rsid w:val="00E775B1"/>
    <w:rsid w:val="00E9242D"/>
    <w:rsid w:val="00E95459"/>
    <w:rsid w:val="00EB5255"/>
    <w:rsid w:val="00EB5C47"/>
    <w:rsid w:val="00EB72BF"/>
    <w:rsid w:val="00ED0639"/>
    <w:rsid w:val="00EF4755"/>
    <w:rsid w:val="00EF6CB7"/>
    <w:rsid w:val="00EF7135"/>
    <w:rsid w:val="00F027DB"/>
    <w:rsid w:val="00F03B10"/>
    <w:rsid w:val="00F10A44"/>
    <w:rsid w:val="00F10A7C"/>
    <w:rsid w:val="00F14A7A"/>
    <w:rsid w:val="00F22985"/>
    <w:rsid w:val="00F3383E"/>
    <w:rsid w:val="00F352DA"/>
    <w:rsid w:val="00F465A7"/>
    <w:rsid w:val="00F50B7C"/>
    <w:rsid w:val="00F550E6"/>
    <w:rsid w:val="00F70A29"/>
    <w:rsid w:val="00F74345"/>
    <w:rsid w:val="00F7769F"/>
    <w:rsid w:val="00F80A0A"/>
    <w:rsid w:val="00F82B19"/>
    <w:rsid w:val="00F9212D"/>
    <w:rsid w:val="00F965DA"/>
    <w:rsid w:val="00FA406A"/>
    <w:rsid w:val="00FB503A"/>
    <w:rsid w:val="00FB516C"/>
    <w:rsid w:val="00FB7BC9"/>
    <w:rsid w:val="00FD0236"/>
    <w:rsid w:val="00FD18F4"/>
    <w:rsid w:val="00FD54DB"/>
    <w:rsid w:val="00FD619F"/>
    <w:rsid w:val="00FD79A7"/>
    <w:rsid w:val="011E3183"/>
    <w:rsid w:val="01290F7E"/>
    <w:rsid w:val="01391D3C"/>
    <w:rsid w:val="015D1E09"/>
    <w:rsid w:val="01704002"/>
    <w:rsid w:val="02697903"/>
    <w:rsid w:val="02B9298B"/>
    <w:rsid w:val="02F96569"/>
    <w:rsid w:val="03241BE1"/>
    <w:rsid w:val="037759DB"/>
    <w:rsid w:val="03DB0660"/>
    <w:rsid w:val="03EA7B21"/>
    <w:rsid w:val="053577A0"/>
    <w:rsid w:val="0563507D"/>
    <w:rsid w:val="05A23676"/>
    <w:rsid w:val="05E11832"/>
    <w:rsid w:val="05F83EAE"/>
    <w:rsid w:val="063E7D85"/>
    <w:rsid w:val="064E1D05"/>
    <w:rsid w:val="0660392F"/>
    <w:rsid w:val="0699607D"/>
    <w:rsid w:val="07293586"/>
    <w:rsid w:val="07295285"/>
    <w:rsid w:val="07437D7C"/>
    <w:rsid w:val="07636392"/>
    <w:rsid w:val="07770C56"/>
    <w:rsid w:val="081F529E"/>
    <w:rsid w:val="08695908"/>
    <w:rsid w:val="08991AD4"/>
    <w:rsid w:val="090D2B6F"/>
    <w:rsid w:val="092217DD"/>
    <w:rsid w:val="093A7294"/>
    <w:rsid w:val="09BC0EB1"/>
    <w:rsid w:val="09E518F1"/>
    <w:rsid w:val="0A20118A"/>
    <w:rsid w:val="0A263993"/>
    <w:rsid w:val="0A2A544B"/>
    <w:rsid w:val="0A2D3AC2"/>
    <w:rsid w:val="0A4D56E8"/>
    <w:rsid w:val="0A720FAB"/>
    <w:rsid w:val="0AA755DF"/>
    <w:rsid w:val="0B120D44"/>
    <w:rsid w:val="0B273E7A"/>
    <w:rsid w:val="0B2F0DFB"/>
    <w:rsid w:val="0B865355"/>
    <w:rsid w:val="0BBB3097"/>
    <w:rsid w:val="0BC3740D"/>
    <w:rsid w:val="0BD27BF6"/>
    <w:rsid w:val="0BDC0B3E"/>
    <w:rsid w:val="0C3B3C7D"/>
    <w:rsid w:val="0CAB2EAE"/>
    <w:rsid w:val="0CF12D1E"/>
    <w:rsid w:val="0D5D5C42"/>
    <w:rsid w:val="0D621C7D"/>
    <w:rsid w:val="0E0B7D94"/>
    <w:rsid w:val="0E4917B5"/>
    <w:rsid w:val="0E73034D"/>
    <w:rsid w:val="0E734313"/>
    <w:rsid w:val="0E9B3883"/>
    <w:rsid w:val="0F13775A"/>
    <w:rsid w:val="0F491887"/>
    <w:rsid w:val="0F4D6CF0"/>
    <w:rsid w:val="0F5F45FE"/>
    <w:rsid w:val="0F9A112B"/>
    <w:rsid w:val="0F9C2648"/>
    <w:rsid w:val="0FEF522B"/>
    <w:rsid w:val="104204C0"/>
    <w:rsid w:val="106D2F64"/>
    <w:rsid w:val="10A96F37"/>
    <w:rsid w:val="10B33949"/>
    <w:rsid w:val="10B63710"/>
    <w:rsid w:val="10F10820"/>
    <w:rsid w:val="110A7E8F"/>
    <w:rsid w:val="111C2F7A"/>
    <w:rsid w:val="11665CA1"/>
    <w:rsid w:val="12244F80"/>
    <w:rsid w:val="12833A99"/>
    <w:rsid w:val="12E827E2"/>
    <w:rsid w:val="12F71083"/>
    <w:rsid w:val="13596EAB"/>
    <w:rsid w:val="13655F06"/>
    <w:rsid w:val="13951726"/>
    <w:rsid w:val="13C609E5"/>
    <w:rsid w:val="14142879"/>
    <w:rsid w:val="14396509"/>
    <w:rsid w:val="148E0DD7"/>
    <w:rsid w:val="14DD2C3C"/>
    <w:rsid w:val="14E0097A"/>
    <w:rsid w:val="14E51B56"/>
    <w:rsid w:val="14F62504"/>
    <w:rsid w:val="15814296"/>
    <w:rsid w:val="15B75A58"/>
    <w:rsid w:val="15BF56EC"/>
    <w:rsid w:val="15F71280"/>
    <w:rsid w:val="16087E1D"/>
    <w:rsid w:val="16170BEC"/>
    <w:rsid w:val="16173551"/>
    <w:rsid w:val="16D4276F"/>
    <w:rsid w:val="16EC21B6"/>
    <w:rsid w:val="16F5198D"/>
    <w:rsid w:val="17636355"/>
    <w:rsid w:val="17701D14"/>
    <w:rsid w:val="17735226"/>
    <w:rsid w:val="178B779F"/>
    <w:rsid w:val="18070053"/>
    <w:rsid w:val="189F624C"/>
    <w:rsid w:val="18DC65B5"/>
    <w:rsid w:val="198E3797"/>
    <w:rsid w:val="19BA0F90"/>
    <w:rsid w:val="1A1C66C0"/>
    <w:rsid w:val="1A371C9B"/>
    <w:rsid w:val="1A42393B"/>
    <w:rsid w:val="1A7171D0"/>
    <w:rsid w:val="1AAD45DE"/>
    <w:rsid w:val="1AE707CE"/>
    <w:rsid w:val="1B046F80"/>
    <w:rsid w:val="1B2317B4"/>
    <w:rsid w:val="1B2415D3"/>
    <w:rsid w:val="1B3267B5"/>
    <w:rsid w:val="1B40161D"/>
    <w:rsid w:val="1B441859"/>
    <w:rsid w:val="1B6606B1"/>
    <w:rsid w:val="1B6E4015"/>
    <w:rsid w:val="1BE84318"/>
    <w:rsid w:val="1C5E7925"/>
    <w:rsid w:val="1C603E46"/>
    <w:rsid w:val="1CF037D9"/>
    <w:rsid w:val="1CFD070F"/>
    <w:rsid w:val="1D01306D"/>
    <w:rsid w:val="1D1D2869"/>
    <w:rsid w:val="1D2D08C6"/>
    <w:rsid w:val="1D5A67A4"/>
    <w:rsid w:val="1D5F6196"/>
    <w:rsid w:val="1D6132A5"/>
    <w:rsid w:val="1D8E56D5"/>
    <w:rsid w:val="1E5A0569"/>
    <w:rsid w:val="1E6324C9"/>
    <w:rsid w:val="1E7A43DA"/>
    <w:rsid w:val="1EE072A9"/>
    <w:rsid w:val="1F010B23"/>
    <w:rsid w:val="1F5F509F"/>
    <w:rsid w:val="1FB0422C"/>
    <w:rsid w:val="1FC70453"/>
    <w:rsid w:val="1FCF2152"/>
    <w:rsid w:val="1FE7539E"/>
    <w:rsid w:val="20452E06"/>
    <w:rsid w:val="2060114C"/>
    <w:rsid w:val="20671BE0"/>
    <w:rsid w:val="20963CB8"/>
    <w:rsid w:val="20A81A1B"/>
    <w:rsid w:val="20B06BB9"/>
    <w:rsid w:val="20B07FB6"/>
    <w:rsid w:val="20B646FB"/>
    <w:rsid w:val="20E673E3"/>
    <w:rsid w:val="21076199"/>
    <w:rsid w:val="210F1A41"/>
    <w:rsid w:val="213A216D"/>
    <w:rsid w:val="213B74B1"/>
    <w:rsid w:val="21402A31"/>
    <w:rsid w:val="214B02AC"/>
    <w:rsid w:val="215A2310"/>
    <w:rsid w:val="216830DB"/>
    <w:rsid w:val="21DE318A"/>
    <w:rsid w:val="21DE339D"/>
    <w:rsid w:val="21EF5B80"/>
    <w:rsid w:val="21F64C20"/>
    <w:rsid w:val="223D4572"/>
    <w:rsid w:val="22576990"/>
    <w:rsid w:val="22C0355A"/>
    <w:rsid w:val="22C364EA"/>
    <w:rsid w:val="22F47480"/>
    <w:rsid w:val="23013F48"/>
    <w:rsid w:val="23DE1C48"/>
    <w:rsid w:val="240210CD"/>
    <w:rsid w:val="24193711"/>
    <w:rsid w:val="24BF09F7"/>
    <w:rsid w:val="24E172A4"/>
    <w:rsid w:val="25132A7F"/>
    <w:rsid w:val="252D53FE"/>
    <w:rsid w:val="25920680"/>
    <w:rsid w:val="25B06415"/>
    <w:rsid w:val="25B172D0"/>
    <w:rsid w:val="25CD21B4"/>
    <w:rsid w:val="25E40F78"/>
    <w:rsid w:val="25EC2D81"/>
    <w:rsid w:val="260523D0"/>
    <w:rsid w:val="26214B9A"/>
    <w:rsid w:val="264939D1"/>
    <w:rsid w:val="26543419"/>
    <w:rsid w:val="276F0895"/>
    <w:rsid w:val="277057A2"/>
    <w:rsid w:val="27A7658D"/>
    <w:rsid w:val="28D22CAF"/>
    <w:rsid w:val="29103233"/>
    <w:rsid w:val="29206EB8"/>
    <w:rsid w:val="292E01A8"/>
    <w:rsid w:val="29595666"/>
    <w:rsid w:val="29600B3C"/>
    <w:rsid w:val="29874881"/>
    <w:rsid w:val="299C70A3"/>
    <w:rsid w:val="29E325E0"/>
    <w:rsid w:val="29EF01A7"/>
    <w:rsid w:val="29F8727E"/>
    <w:rsid w:val="2A092F82"/>
    <w:rsid w:val="2A0B692A"/>
    <w:rsid w:val="2A3F4A52"/>
    <w:rsid w:val="2A452503"/>
    <w:rsid w:val="2A6E7746"/>
    <w:rsid w:val="2AC021FA"/>
    <w:rsid w:val="2BA936A8"/>
    <w:rsid w:val="2BBD2276"/>
    <w:rsid w:val="2BDC315C"/>
    <w:rsid w:val="2BE10754"/>
    <w:rsid w:val="2BEE6B38"/>
    <w:rsid w:val="2C315A5A"/>
    <w:rsid w:val="2C45390A"/>
    <w:rsid w:val="2C4B1C25"/>
    <w:rsid w:val="2CE60E3C"/>
    <w:rsid w:val="2D17178A"/>
    <w:rsid w:val="2D296355"/>
    <w:rsid w:val="2D851528"/>
    <w:rsid w:val="2D9E56F5"/>
    <w:rsid w:val="2DAB0409"/>
    <w:rsid w:val="2DDD6BFF"/>
    <w:rsid w:val="2E2B685B"/>
    <w:rsid w:val="2E351C22"/>
    <w:rsid w:val="2E56075F"/>
    <w:rsid w:val="2E667F96"/>
    <w:rsid w:val="2E7A04EE"/>
    <w:rsid w:val="2E8226AB"/>
    <w:rsid w:val="2E862DF3"/>
    <w:rsid w:val="2E975000"/>
    <w:rsid w:val="2F355D52"/>
    <w:rsid w:val="2F5A5BAB"/>
    <w:rsid w:val="2F835584"/>
    <w:rsid w:val="2FB17817"/>
    <w:rsid w:val="2FD065E6"/>
    <w:rsid w:val="2FD96870"/>
    <w:rsid w:val="300D2F16"/>
    <w:rsid w:val="305807BF"/>
    <w:rsid w:val="30580BC9"/>
    <w:rsid w:val="307E447F"/>
    <w:rsid w:val="311E2ED7"/>
    <w:rsid w:val="315619EE"/>
    <w:rsid w:val="315C449C"/>
    <w:rsid w:val="31B82709"/>
    <w:rsid w:val="31D05482"/>
    <w:rsid w:val="32400B34"/>
    <w:rsid w:val="32455448"/>
    <w:rsid w:val="32537838"/>
    <w:rsid w:val="326E1949"/>
    <w:rsid w:val="327A0CBD"/>
    <w:rsid w:val="329D6D50"/>
    <w:rsid w:val="329E6876"/>
    <w:rsid w:val="32CA34FD"/>
    <w:rsid w:val="33010B95"/>
    <w:rsid w:val="333015F2"/>
    <w:rsid w:val="334B6320"/>
    <w:rsid w:val="33D934D4"/>
    <w:rsid w:val="33FE2F6A"/>
    <w:rsid w:val="340E07E5"/>
    <w:rsid w:val="34235BF7"/>
    <w:rsid w:val="342B1616"/>
    <w:rsid w:val="34377DB7"/>
    <w:rsid w:val="343E6DEC"/>
    <w:rsid w:val="34DC05A2"/>
    <w:rsid w:val="34EC6BBE"/>
    <w:rsid w:val="3539565B"/>
    <w:rsid w:val="353D00A3"/>
    <w:rsid w:val="358C5FA8"/>
    <w:rsid w:val="35925110"/>
    <w:rsid w:val="35C15DF1"/>
    <w:rsid w:val="36074A7F"/>
    <w:rsid w:val="362D2681"/>
    <w:rsid w:val="36424F4A"/>
    <w:rsid w:val="36923549"/>
    <w:rsid w:val="36B75FBF"/>
    <w:rsid w:val="36BD0C45"/>
    <w:rsid w:val="3736117D"/>
    <w:rsid w:val="373960F7"/>
    <w:rsid w:val="373B5AAE"/>
    <w:rsid w:val="37C322E4"/>
    <w:rsid w:val="37E00298"/>
    <w:rsid w:val="3802077B"/>
    <w:rsid w:val="38916FDF"/>
    <w:rsid w:val="38947917"/>
    <w:rsid w:val="38A547BD"/>
    <w:rsid w:val="38AF73EA"/>
    <w:rsid w:val="38B302F9"/>
    <w:rsid w:val="38EA50BF"/>
    <w:rsid w:val="38F12CD3"/>
    <w:rsid w:val="38F94775"/>
    <w:rsid w:val="390037A2"/>
    <w:rsid w:val="392971ED"/>
    <w:rsid w:val="39325651"/>
    <w:rsid w:val="39E92DFE"/>
    <w:rsid w:val="3A3D78ED"/>
    <w:rsid w:val="3A810FAD"/>
    <w:rsid w:val="3A872856"/>
    <w:rsid w:val="3AA8648A"/>
    <w:rsid w:val="3AE25532"/>
    <w:rsid w:val="3B0D7033"/>
    <w:rsid w:val="3B3763D1"/>
    <w:rsid w:val="3BDA1E3C"/>
    <w:rsid w:val="3BE57216"/>
    <w:rsid w:val="3C2F6E1E"/>
    <w:rsid w:val="3C4E0CC8"/>
    <w:rsid w:val="3C4F64BA"/>
    <w:rsid w:val="3CDA245A"/>
    <w:rsid w:val="3D1E06B7"/>
    <w:rsid w:val="3D417F5F"/>
    <w:rsid w:val="3DBE2C48"/>
    <w:rsid w:val="3EBA1747"/>
    <w:rsid w:val="3EDA0523"/>
    <w:rsid w:val="3F6A6C05"/>
    <w:rsid w:val="3FA62094"/>
    <w:rsid w:val="3FCC1546"/>
    <w:rsid w:val="40433BD5"/>
    <w:rsid w:val="406859A9"/>
    <w:rsid w:val="407A6407"/>
    <w:rsid w:val="409018AF"/>
    <w:rsid w:val="40BE42B7"/>
    <w:rsid w:val="40C01C4A"/>
    <w:rsid w:val="416236F7"/>
    <w:rsid w:val="41CA01CB"/>
    <w:rsid w:val="41CC58ED"/>
    <w:rsid w:val="41F82061"/>
    <w:rsid w:val="4200449D"/>
    <w:rsid w:val="420517CC"/>
    <w:rsid w:val="423A3BCC"/>
    <w:rsid w:val="424D553C"/>
    <w:rsid w:val="424E57D2"/>
    <w:rsid w:val="425A09D5"/>
    <w:rsid w:val="425A732C"/>
    <w:rsid w:val="428252A4"/>
    <w:rsid w:val="42875FB6"/>
    <w:rsid w:val="42941C9B"/>
    <w:rsid w:val="42AC471D"/>
    <w:rsid w:val="42B26C49"/>
    <w:rsid w:val="42DE1065"/>
    <w:rsid w:val="42F22D61"/>
    <w:rsid w:val="433A6FE6"/>
    <w:rsid w:val="43480868"/>
    <w:rsid w:val="434F476D"/>
    <w:rsid w:val="434F7125"/>
    <w:rsid w:val="4350713C"/>
    <w:rsid w:val="436653E0"/>
    <w:rsid w:val="43926746"/>
    <w:rsid w:val="439B2A45"/>
    <w:rsid w:val="43C4431A"/>
    <w:rsid w:val="441E0D8E"/>
    <w:rsid w:val="44272D33"/>
    <w:rsid w:val="44416217"/>
    <w:rsid w:val="445605DE"/>
    <w:rsid w:val="445E5889"/>
    <w:rsid w:val="44780836"/>
    <w:rsid w:val="44B951CC"/>
    <w:rsid w:val="44CD14E0"/>
    <w:rsid w:val="44F20B0B"/>
    <w:rsid w:val="45060EB4"/>
    <w:rsid w:val="452C7DC7"/>
    <w:rsid w:val="452E5F4C"/>
    <w:rsid w:val="45612018"/>
    <w:rsid w:val="458946E9"/>
    <w:rsid w:val="45A02362"/>
    <w:rsid w:val="45A47C0E"/>
    <w:rsid w:val="45BF523E"/>
    <w:rsid w:val="45E71F71"/>
    <w:rsid w:val="46207231"/>
    <w:rsid w:val="46577FD6"/>
    <w:rsid w:val="466D4973"/>
    <w:rsid w:val="46AF2A6D"/>
    <w:rsid w:val="46B865EB"/>
    <w:rsid w:val="46D44601"/>
    <w:rsid w:val="46D955A7"/>
    <w:rsid w:val="46FF465C"/>
    <w:rsid w:val="47133957"/>
    <w:rsid w:val="471A72C5"/>
    <w:rsid w:val="47946129"/>
    <w:rsid w:val="47A07E0C"/>
    <w:rsid w:val="47AD7311"/>
    <w:rsid w:val="483B47F6"/>
    <w:rsid w:val="485633DE"/>
    <w:rsid w:val="4870272E"/>
    <w:rsid w:val="487903BD"/>
    <w:rsid w:val="4883584C"/>
    <w:rsid w:val="48C90C51"/>
    <w:rsid w:val="48F50E49"/>
    <w:rsid w:val="4962543C"/>
    <w:rsid w:val="49723621"/>
    <w:rsid w:val="49AF724A"/>
    <w:rsid w:val="49DC7715"/>
    <w:rsid w:val="4A023139"/>
    <w:rsid w:val="4A182708"/>
    <w:rsid w:val="4A552336"/>
    <w:rsid w:val="4A7B576F"/>
    <w:rsid w:val="4ADE53C8"/>
    <w:rsid w:val="4AF561A9"/>
    <w:rsid w:val="4B332F45"/>
    <w:rsid w:val="4B3F0C66"/>
    <w:rsid w:val="4B49094C"/>
    <w:rsid w:val="4B743F6F"/>
    <w:rsid w:val="4B9D1991"/>
    <w:rsid w:val="4C40066C"/>
    <w:rsid w:val="4C4821D1"/>
    <w:rsid w:val="4C4A0649"/>
    <w:rsid w:val="4C7E5ECA"/>
    <w:rsid w:val="4C876AA5"/>
    <w:rsid w:val="4CA87EEE"/>
    <w:rsid w:val="4D0E00FB"/>
    <w:rsid w:val="4D0F1C15"/>
    <w:rsid w:val="4D176606"/>
    <w:rsid w:val="4D244EB8"/>
    <w:rsid w:val="4D384F51"/>
    <w:rsid w:val="4D8B3B2A"/>
    <w:rsid w:val="4DC52F19"/>
    <w:rsid w:val="4DEC4FB0"/>
    <w:rsid w:val="4E075D8A"/>
    <w:rsid w:val="4E8C5DAC"/>
    <w:rsid w:val="4EC00FAD"/>
    <w:rsid w:val="4F653BEE"/>
    <w:rsid w:val="4F9843DC"/>
    <w:rsid w:val="4FC62A8C"/>
    <w:rsid w:val="4FE20F0D"/>
    <w:rsid w:val="4FE51552"/>
    <w:rsid w:val="4FF359B6"/>
    <w:rsid w:val="50504C4B"/>
    <w:rsid w:val="508A0033"/>
    <w:rsid w:val="509A7858"/>
    <w:rsid w:val="509C6E7C"/>
    <w:rsid w:val="50A41411"/>
    <w:rsid w:val="515E5FDD"/>
    <w:rsid w:val="5162104E"/>
    <w:rsid w:val="52AF44BD"/>
    <w:rsid w:val="5351622C"/>
    <w:rsid w:val="53794425"/>
    <w:rsid w:val="53A039CC"/>
    <w:rsid w:val="53A1505A"/>
    <w:rsid w:val="53B9024E"/>
    <w:rsid w:val="54063E08"/>
    <w:rsid w:val="543437E8"/>
    <w:rsid w:val="5462276D"/>
    <w:rsid w:val="54F73313"/>
    <w:rsid w:val="54F80955"/>
    <w:rsid w:val="55046AEC"/>
    <w:rsid w:val="55266090"/>
    <w:rsid w:val="555170A7"/>
    <w:rsid w:val="5587536D"/>
    <w:rsid w:val="559B174B"/>
    <w:rsid w:val="55CE0CF4"/>
    <w:rsid w:val="56242F41"/>
    <w:rsid w:val="56913C29"/>
    <w:rsid w:val="56B22A9C"/>
    <w:rsid w:val="579502BF"/>
    <w:rsid w:val="57B72A76"/>
    <w:rsid w:val="57C3426C"/>
    <w:rsid w:val="57CE1F93"/>
    <w:rsid w:val="58301374"/>
    <w:rsid w:val="58523BC2"/>
    <w:rsid w:val="588743D1"/>
    <w:rsid w:val="5887701A"/>
    <w:rsid w:val="58883BC4"/>
    <w:rsid w:val="58885DFE"/>
    <w:rsid w:val="58C17DDC"/>
    <w:rsid w:val="58C844B8"/>
    <w:rsid w:val="58D66D48"/>
    <w:rsid w:val="59773A55"/>
    <w:rsid w:val="597D6D4C"/>
    <w:rsid w:val="59C0439F"/>
    <w:rsid w:val="5A1F5D26"/>
    <w:rsid w:val="5A4841E7"/>
    <w:rsid w:val="5A955FE8"/>
    <w:rsid w:val="5AA9033E"/>
    <w:rsid w:val="5ABE2233"/>
    <w:rsid w:val="5B9A33D5"/>
    <w:rsid w:val="5BDF5D95"/>
    <w:rsid w:val="5BFE7528"/>
    <w:rsid w:val="5C990FDD"/>
    <w:rsid w:val="5CCF177A"/>
    <w:rsid w:val="5D2169A5"/>
    <w:rsid w:val="5D2272B9"/>
    <w:rsid w:val="5D6015F2"/>
    <w:rsid w:val="5D662BF6"/>
    <w:rsid w:val="5D7728DC"/>
    <w:rsid w:val="5E1A0464"/>
    <w:rsid w:val="5E2467F1"/>
    <w:rsid w:val="5E356AF2"/>
    <w:rsid w:val="5E4A77B8"/>
    <w:rsid w:val="5E850121"/>
    <w:rsid w:val="5EDC0B8B"/>
    <w:rsid w:val="5EDC2C73"/>
    <w:rsid w:val="5EE86F75"/>
    <w:rsid w:val="5F0E6369"/>
    <w:rsid w:val="5F1A2B43"/>
    <w:rsid w:val="5FB837BB"/>
    <w:rsid w:val="5FCB0B4C"/>
    <w:rsid w:val="605E4FD7"/>
    <w:rsid w:val="60CC405A"/>
    <w:rsid w:val="610830D8"/>
    <w:rsid w:val="61E215D8"/>
    <w:rsid w:val="6203101A"/>
    <w:rsid w:val="621B3775"/>
    <w:rsid w:val="62364782"/>
    <w:rsid w:val="6283079A"/>
    <w:rsid w:val="62D82870"/>
    <w:rsid w:val="635D67A5"/>
    <w:rsid w:val="6394356A"/>
    <w:rsid w:val="63AA3CC3"/>
    <w:rsid w:val="63C61B2C"/>
    <w:rsid w:val="63D40BE9"/>
    <w:rsid w:val="63FF0045"/>
    <w:rsid w:val="64102431"/>
    <w:rsid w:val="6423369D"/>
    <w:rsid w:val="64A5243A"/>
    <w:rsid w:val="64F531DE"/>
    <w:rsid w:val="64FD0DB7"/>
    <w:rsid w:val="65373578"/>
    <w:rsid w:val="65384140"/>
    <w:rsid w:val="654C0D40"/>
    <w:rsid w:val="65B56A37"/>
    <w:rsid w:val="66005999"/>
    <w:rsid w:val="663366B5"/>
    <w:rsid w:val="66E356C1"/>
    <w:rsid w:val="67010066"/>
    <w:rsid w:val="671F124A"/>
    <w:rsid w:val="67626727"/>
    <w:rsid w:val="677A33C6"/>
    <w:rsid w:val="67D6700C"/>
    <w:rsid w:val="67D744FF"/>
    <w:rsid w:val="681F6961"/>
    <w:rsid w:val="68610A2F"/>
    <w:rsid w:val="68805514"/>
    <w:rsid w:val="68D15361"/>
    <w:rsid w:val="68DC1286"/>
    <w:rsid w:val="68F002A5"/>
    <w:rsid w:val="68F93287"/>
    <w:rsid w:val="6903064C"/>
    <w:rsid w:val="69177E25"/>
    <w:rsid w:val="69316E2F"/>
    <w:rsid w:val="69410FBD"/>
    <w:rsid w:val="694E2071"/>
    <w:rsid w:val="69766163"/>
    <w:rsid w:val="697A3B33"/>
    <w:rsid w:val="69D44760"/>
    <w:rsid w:val="6A114F5F"/>
    <w:rsid w:val="6A520EC7"/>
    <w:rsid w:val="6A917936"/>
    <w:rsid w:val="6AD761A9"/>
    <w:rsid w:val="6AE05598"/>
    <w:rsid w:val="6AF3669B"/>
    <w:rsid w:val="6AF87E20"/>
    <w:rsid w:val="6B036F9E"/>
    <w:rsid w:val="6B321631"/>
    <w:rsid w:val="6B322639"/>
    <w:rsid w:val="6BA03BA5"/>
    <w:rsid w:val="6C5B2327"/>
    <w:rsid w:val="6C636C38"/>
    <w:rsid w:val="6DB34098"/>
    <w:rsid w:val="6DB545B6"/>
    <w:rsid w:val="6DB77A02"/>
    <w:rsid w:val="6DBE53FE"/>
    <w:rsid w:val="6DC527F9"/>
    <w:rsid w:val="6DE02FB4"/>
    <w:rsid w:val="6DEF7291"/>
    <w:rsid w:val="6E0D7A73"/>
    <w:rsid w:val="6E514CED"/>
    <w:rsid w:val="6EB563D5"/>
    <w:rsid w:val="6ED92677"/>
    <w:rsid w:val="6F225983"/>
    <w:rsid w:val="6F704864"/>
    <w:rsid w:val="6FF60E7F"/>
    <w:rsid w:val="6FFC5590"/>
    <w:rsid w:val="700E77D2"/>
    <w:rsid w:val="706D1DD0"/>
    <w:rsid w:val="707A7A51"/>
    <w:rsid w:val="70856B87"/>
    <w:rsid w:val="70D527EE"/>
    <w:rsid w:val="70EF1EF1"/>
    <w:rsid w:val="71283B88"/>
    <w:rsid w:val="71360FD3"/>
    <w:rsid w:val="715B5300"/>
    <w:rsid w:val="71D27F8A"/>
    <w:rsid w:val="72553024"/>
    <w:rsid w:val="72CC71DB"/>
    <w:rsid w:val="73122968"/>
    <w:rsid w:val="731F5D5E"/>
    <w:rsid w:val="73522870"/>
    <w:rsid w:val="73C51AD5"/>
    <w:rsid w:val="73F61E4A"/>
    <w:rsid w:val="741E793C"/>
    <w:rsid w:val="745E3944"/>
    <w:rsid w:val="74A120DE"/>
    <w:rsid w:val="752913AF"/>
    <w:rsid w:val="75881326"/>
    <w:rsid w:val="7589387E"/>
    <w:rsid w:val="75DE03EB"/>
    <w:rsid w:val="76053F15"/>
    <w:rsid w:val="760874E0"/>
    <w:rsid w:val="7635099D"/>
    <w:rsid w:val="76BC7F11"/>
    <w:rsid w:val="77137032"/>
    <w:rsid w:val="772860F2"/>
    <w:rsid w:val="77762421"/>
    <w:rsid w:val="77A77411"/>
    <w:rsid w:val="77B56B1F"/>
    <w:rsid w:val="77BB4F5D"/>
    <w:rsid w:val="77D24E7E"/>
    <w:rsid w:val="77D263BD"/>
    <w:rsid w:val="77F3308B"/>
    <w:rsid w:val="780F09F4"/>
    <w:rsid w:val="78723B72"/>
    <w:rsid w:val="78A90480"/>
    <w:rsid w:val="78AA119F"/>
    <w:rsid w:val="79A60707"/>
    <w:rsid w:val="79BD3F20"/>
    <w:rsid w:val="79C8563A"/>
    <w:rsid w:val="79D176D4"/>
    <w:rsid w:val="79F921D4"/>
    <w:rsid w:val="7A28361D"/>
    <w:rsid w:val="7A364017"/>
    <w:rsid w:val="7A5C3FD5"/>
    <w:rsid w:val="7A8265E1"/>
    <w:rsid w:val="7A8E2029"/>
    <w:rsid w:val="7AC802F9"/>
    <w:rsid w:val="7B1B5C3E"/>
    <w:rsid w:val="7B555F7E"/>
    <w:rsid w:val="7B6475E5"/>
    <w:rsid w:val="7B686D42"/>
    <w:rsid w:val="7B841746"/>
    <w:rsid w:val="7BA86FD7"/>
    <w:rsid w:val="7BE14791"/>
    <w:rsid w:val="7C0006C9"/>
    <w:rsid w:val="7C075A32"/>
    <w:rsid w:val="7C6755E1"/>
    <w:rsid w:val="7C6C5AC7"/>
    <w:rsid w:val="7C840BA6"/>
    <w:rsid w:val="7CC6544B"/>
    <w:rsid w:val="7CF17D19"/>
    <w:rsid w:val="7D0239FF"/>
    <w:rsid w:val="7D5E40CD"/>
    <w:rsid w:val="7D770BDA"/>
    <w:rsid w:val="7D860E8D"/>
    <w:rsid w:val="7DA520DF"/>
    <w:rsid w:val="7DB62C6C"/>
    <w:rsid w:val="7DCD56F2"/>
    <w:rsid w:val="7DDC16FA"/>
    <w:rsid w:val="7E1D3A7B"/>
    <w:rsid w:val="7E444937"/>
    <w:rsid w:val="7F001CE7"/>
    <w:rsid w:val="7F3244E3"/>
    <w:rsid w:val="7F786A56"/>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qFormat="1" w:unhideWhenUsed="0" w:uiPriority="0" w:semiHidden="0" w:name="Signature" w:locked="1"/>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unhideWhenUsed="0" w:uiPriority="0" w:semiHidden="0" w:name="Body Text 2" w:locked="1"/>
    <w:lsdException w:qFormat="1"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qFormat="1" w:unhideWhenUsed="0" w:uiPriority="0" w:semiHidden="0" w:name="Table Classic 1" w:locked="1"/>
    <w:lsdException w:qFormat="1"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59" w:semiHidden="0" w:name="Table Grid"/>
    <w:lsdException w:qFormat="1" w:unhideWhenUsed="0" w:uiPriority="0" w:semiHidden="0" w:name="Table Theme" w:locked="1"/>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nhideWhenUsed="0" w:uiPriority="34" w:semiHidden="0" w:name="List Paragraph"/>
    <w:lsdException w:qFormat="1" w:unhideWhenUsed="0" w:uiPriority="30" w:semiHidden="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6">
    <w:name w:val="heading 1"/>
    <w:basedOn w:val="1"/>
    <w:next w:val="1"/>
    <w:link w:val="53"/>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3"/>
    <w:next w:val="1"/>
    <w:link w:val="52"/>
    <w:qFormat/>
    <w:locked/>
    <w:uiPriority w:val="0"/>
    <w:pPr>
      <w:keepNext/>
      <w:keepLines/>
      <w:tabs>
        <w:tab w:val="left" w:pos="360"/>
        <w:tab w:val="left" w:pos="432"/>
      </w:tabs>
      <w:spacing w:before="260" w:after="260" w:line="416" w:lineRule="atLeast"/>
      <w:outlineLvl w:val="1"/>
    </w:pPr>
    <w:rPr>
      <w:rFonts w:ascii="Arial" w:hAnsi="Arial" w:eastAsia="黑体"/>
      <w:b/>
      <w:bCs/>
      <w:sz w:val="32"/>
      <w:szCs w:val="32"/>
    </w:rPr>
  </w:style>
  <w:style w:type="paragraph" w:styleId="7">
    <w:name w:val="heading 3"/>
    <w:basedOn w:val="1"/>
    <w:next w:val="1"/>
    <w:qFormat/>
    <w:locked/>
    <w:uiPriority w:val="0"/>
    <w:pPr>
      <w:keepNext/>
      <w:keepLines/>
      <w:spacing w:beforeLines="0" w:beforeAutospacing="0" w:afterLines="0" w:afterAutospacing="0" w:line="360" w:lineRule="auto"/>
      <w:ind w:firstLine="868" w:firstLineChars="200"/>
      <w:outlineLvl w:val="2"/>
    </w:pPr>
    <w:rPr>
      <w:rFonts w:ascii="Times New Roman" w:hAnsi="Times New Roman"/>
      <w:b/>
    </w:rPr>
  </w:style>
  <w:style w:type="paragraph" w:styleId="8">
    <w:name w:val="heading 4"/>
    <w:basedOn w:val="1"/>
    <w:next w:val="1"/>
    <w:link w:val="54"/>
    <w:unhideWhenUsed/>
    <w:qFormat/>
    <w:locked/>
    <w:uiPriority w:val="0"/>
    <w:pPr>
      <w:keepNext/>
      <w:keepLines/>
      <w:spacing w:before="280" w:after="290" w:line="376" w:lineRule="atLeast"/>
      <w:outlineLvl w:val="3"/>
    </w:pPr>
    <w:rPr>
      <w:rFonts w:ascii="Cambria" w:hAnsi="Cambria" w:eastAsia="宋体" w:cs="Times New Roman"/>
      <w:b/>
      <w:bCs/>
      <w:sz w:val="28"/>
      <w:szCs w:val="28"/>
    </w:rPr>
  </w:style>
  <w:style w:type="paragraph" w:styleId="9">
    <w:name w:val="heading 6"/>
    <w:basedOn w:val="1"/>
    <w:next w:val="1"/>
    <w:link w:val="55"/>
    <w:unhideWhenUsed/>
    <w:qFormat/>
    <w:locked/>
    <w:uiPriority w:val="0"/>
    <w:pPr>
      <w:keepNext/>
      <w:keepLines/>
      <w:spacing w:before="240" w:after="64" w:line="320" w:lineRule="atLeast"/>
      <w:outlineLvl w:val="5"/>
    </w:pPr>
    <w:rPr>
      <w:rFonts w:ascii="Cambria" w:hAnsi="Cambria" w:eastAsia="宋体" w:cs="Times New Roman"/>
      <w:b/>
      <w:bCs/>
      <w:sz w:val="24"/>
    </w:rPr>
  </w:style>
  <w:style w:type="character" w:default="1" w:styleId="38">
    <w:name w:val="Default Paragraph Font"/>
    <w:semiHidden/>
    <w:uiPriority w:val="0"/>
  </w:style>
  <w:style w:type="table" w:default="1" w:styleId="33">
    <w:name w:val="Normal Table"/>
    <w:semiHidden/>
    <w:uiPriority w:val="0"/>
    <w:tblPr>
      <w:tblStyle w:val="33"/>
      <w:tblCellMar>
        <w:top w:w="0" w:type="dxa"/>
        <w:left w:w="108" w:type="dxa"/>
        <w:bottom w:w="0" w:type="dxa"/>
        <w:right w:w="108" w:type="dxa"/>
      </w:tblCellMar>
    </w:tblPr>
  </w:style>
  <w:style w:type="paragraph" w:customStyle="1" w:styleId="3">
    <w:name w:val="一级条标题"/>
    <w:basedOn w:val="4"/>
    <w:next w:val="1"/>
    <w:qFormat/>
    <w:uiPriority w:val="0"/>
    <w:pPr>
      <w:keepNext w:val="0"/>
      <w:keepLines w:val="0"/>
      <w:pageBreakBefore w:val="0"/>
      <w:widowControl/>
      <w:numPr>
        <w:ilvl w:val="0"/>
        <w:numId w:val="0"/>
      </w:numPr>
      <w:tabs>
        <w:tab w:val="left" w:pos="360"/>
        <w:tab w:val="left" w:pos="432"/>
      </w:tabs>
      <w:spacing w:before="0" w:after="0" w:line="240" w:lineRule="auto"/>
      <w:outlineLvl w:val="2"/>
    </w:pPr>
    <w:rPr>
      <w:rFonts w:ascii="黑体" w:eastAsia="黑体"/>
      <w:kern w:val="0"/>
      <w:sz w:val="21"/>
    </w:rPr>
  </w:style>
  <w:style w:type="paragraph" w:customStyle="1" w:styleId="4">
    <w:name w:val="章标题"/>
    <w:next w:val="5"/>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5">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0">
    <w:name w:val="Normal Indent"/>
    <w:basedOn w:val="1"/>
    <w:next w:val="1"/>
    <w:link w:val="56"/>
    <w:locked/>
    <w:uiPriority w:val="0"/>
    <w:pPr>
      <w:ind w:firstLine="200" w:firstLineChars="200"/>
    </w:pPr>
    <w:rPr>
      <w:sz w:val="28"/>
    </w:rPr>
  </w:style>
  <w:style w:type="paragraph" w:styleId="11">
    <w:name w:val="Document Map"/>
    <w:basedOn w:val="1"/>
    <w:link w:val="57"/>
    <w:locked/>
    <w:uiPriority w:val="0"/>
    <w:pPr>
      <w:shd w:val="clear" w:color="auto" w:fill="000080"/>
      <w:spacing w:line="500" w:lineRule="exact"/>
    </w:pPr>
    <w:rPr>
      <w:sz w:val="24"/>
    </w:rPr>
  </w:style>
  <w:style w:type="paragraph" w:styleId="12">
    <w:name w:val="annotation text"/>
    <w:basedOn w:val="1"/>
    <w:link w:val="58"/>
    <w:qFormat/>
    <w:uiPriority w:val="0"/>
    <w:pPr>
      <w:jc w:val="left"/>
    </w:pPr>
    <w:rPr>
      <w:kern w:val="0"/>
      <w:sz w:val="24"/>
      <w:szCs w:val="20"/>
    </w:rPr>
  </w:style>
  <w:style w:type="paragraph" w:styleId="13">
    <w:name w:val="Salutation"/>
    <w:basedOn w:val="1"/>
    <w:next w:val="1"/>
    <w:unhideWhenUsed/>
    <w:qFormat/>
    <w:locked/>
    <w:uiPriority w:val="99"/>
  </w:style>
  <w:style w:type="paragraph" w:styleId="14">
    <w:name w:val="Body Text 3"/>
    <w:basedOn w:val="1"/>
    <w:link w:val="59"/>
    <w:unhideWhenUsed/>
    <w:qFormat/>
    <w:locked/>
    <w:uiPriority w:val="0"/>
    <w:pPr>
      <w:spacing w:after="120" w:line="500" w:lineRule="exact"/>
    </w:pPr>
    <w:rPr>
      <w:sz w:val="16"/>
      <w:szCs w:val="16"/>
    </w:rPr>
  </w:style>
  <w:style w:type="paragraph" w:styleId="15">
    <w:name w:val="Body Text"/>
    <w:basedOn w:val="1"/>
    <w:next w:val="16"/>
    <w:link w:val="60"/>
    <w:qFormat/>
    <w:uiPriority w:val="0"/>
    <w:pPr>
      <w:widowControl/>
      <w:snapToGrid w:val="0"/>
      <w:spacing w:before="60" w:after="160" w:line="259" w:lineRule="auto"/>
      <w:ind w:right="113"/>
    </w:pPr>
    <w:rPr>
      <w:kern w:val="0"/>
      <w:sz w:val="18"/>
      <w:szCs w:val="20"/>
    </w:rPr>
  </w:style>
  <w:style w:type="paragraph" w:customStyle="1" w:styleId="16">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rPr>
  </w:style>
  <w:style w:type="paragraph" w:styleId="17">
    <w:name w:val="Body Text Indent"/>
    <w:basedOn w:val="1"/>
    <w:next w:val="18"/>
    <w:link w:val="61"/>
    <w:qFormat/>
    <w:uiPriority w:val="0"/>
    <w:pPr>
      <w:spacing w:after="120"/>
      <w:ind w:left="420" w:leftChars="200"/>
    </w:pPr>
    <w:rPr>
      <w:kern w:val="0"/>
      <w:sz w:val="24"/>
      <w:szCs w:val="20"/>
    </w:rPr>
  </w:style>
  <w:style w:type="paragraph" w:styleId="18">
    <w:name w:val="Body Text Indent 2"/>
    <w:basedOn w:val="1"/>
    <w:next w:val="19"/>
    <w:link w:val="62"/>
    <w:qFormat/>
    <w:locked/>
    <w:uiPriority w:val="0"/>
    <w:pPr>
      <w:spacing w:after="120" w:line="480" w:lineRule="auto"/>
      <w:ind w:left="420" w:leftChars="200"/>
    </w:pPr>
    <w:rPr>
      <w:sz w:val="24"/>
    </w:rPr>
  </w:style>
  <w:style w:type="paragraph" w:styleId="19">
    <w:name w:val="Body Text First Indent 2"/>
    <w:basedOn w:val="17"/>
    <w:next w:val="1"/>
    <w:link w:val="63"/>
    <w:unhideWhenUsed/>
    <w:qFormat/>
    <w:locked/>
    <w:uiPriority w:val="0"/>
    <w:pPr>
      <w:spacing w:line="500" w:lineRule="exact"/>
      <w:ind w:firstLine="420" w:firstLineChars="200"/>
    </w:pPr>
    <w:rPr>
      <w:kern w:val="2"/>
      <w:szCs w:val="24"/>
    </w:rPr>
  </w:style>
  <w:style w:type="paragraph" w:styleId="20">
    <w:name w:val="Date"/>
    <w:basedOn w:val="1"/>
    <w:next w:val="1"/>
    <w:link w:val="64"/>
    <w:uiPriority w:val="0"/>
    <w:pPr>
      <w:ind w:left="100" w:leftChars="2500"/>
    </w:pPr>
    <w:rPr>
      <w:kern w:val="0"/>
      <w:sz w:val="24"/>
      <w:szCs w:val="20"/>
    </w:rPr>
  </w:style>
  <w:style w:type="paragraph" w:styleId="21">
    <w:name w:val="Balloon Text"/>
    <w:basedOn w:val="1"/>
    <w:link w:val="65"/>
    <w:qFormat/>
    <w:uiPriority w:val="0"/>
    <w:rPr>
      <w:kern w:val="0"/>
      <w:sz w:val="18"/>
      <w:szCs w:val="20"/>
    </w:rPr>
  </w:style>
  <w:style w:type="paragraph" w:styleId="22">
    <w:name w:val="footer"/>
    <w:basedOn w:val="1"/>
    <w:link w:val="66"/>
    <w:qFormat/>
    <w:uiPriority w:val="99"/>
    <w:pPr>
      <w:tabs>
        <w:tab w:val="center" w:pos="4153"/>
        <w:tab w:val="right" w:pos="8306"/>
      </w:tabs>
      <w:snapToGrid w:val="0"/>
      <w:jc w:val="left"/>
    </w:pPr>
    <w:rPr>
      <w:kern w:val="0"/>
      <w:sz w:val="18"/>
      <w:szCs w:val="20"/>
    </w:rPr>
  </w:style>
  <w:style w:type="paragraph" w:styleId="23">
    <w:name w:val="header"/>
    <w:basedOn w:val="1"/>
    <w:link w:val="67"/>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Signature"/>
    <w:basedOn w:val="1"/>
    <w:link w:val="68"/>
    <w:qFormat/>
    <w:locked/>
    <w:uiPriority w:val="0"/>
    <w:pPr>
      <w:adjustRightInd w:val="0"/>
      <w:spacing w:line="360" w:lineRule="atLeast"/>
      <w:ind w:left="100" w:leftChars="2100"/>
      <w:jc w:val="left"/>
      <w:textAlignment w:val="baseline"/>
    </w:pPr>
    <w:rPr>
      <w:kern w:val="0"/>
      <w:sz w:val="24"/>
      <w:szCs w:val="20"/>
    </w:rPr>
  </w:style>
  <w:style w:type="paragraph" w:styleId="25">
    <w:name w:val="toc 1"/>
    <w:basedOn w:val="1"/>
    <w:next w:val="1"/>
    <w:locked/>
    <w:uiPriority w:val="0"/>
  </w:style>
  <w:style w:type="paragraph" w:styleId="26">
    <w:name w:val="Body Text Indent 3"/>
    <w:basedOn w:val="1"/>
    <w:link w:val="69"/>
    <w:qFormat/>
    <w:locked/>
    <w:uiPriority w:val="0"/>
    <w:pPr>
      <w:spacing w:after="120" w:line="500" w:lineRule="exact"/>
      <w:ind w:left="420" w:leftChars="200"/>
    </w:pPr>
    <w:rPr>
      <w:sz w:val="16"/>
      <w:szCs w:val="16"/>
    </w:rPr>
  </w:style>
  <w:style w:type="paragraph" w:styleId="27">
    <w:name w:val="toc 2"/>
    <w:basedOn w:val="1"/>
    <w:next w:val="1"/>
    <w:locked/>
    <w:uiPriority w:val="0"/>
    <w:pPr>
      <w:ind w:left="420" w:leftChars="200"/>
    </w:pPr>
  </w:style>
  <w:style w:type="paragraph" w:styleId="28">
    <w:name w:val="Normal (Web)"/>
    <w:basedOn w:val="1"/>
    <w:link w:val="70"/>
    <w:qFormat/>
    <w:uiPriority w:val="0"/>
    <w:pPr>
      <w:widowControl/>
      <w:spacing w:before="100" w:beforeAutospacing="1" w:after="100" w:afterAutospacing="1"/>
      <w:jc w:val="left"/>
    </w:pPr>
    <w:rPr>
      <w:rFonts w:ascii="宋体" w:hAnsi="宋体"/>
      <w:kern w:val="0"/>
      <w:sz w:val="24"/>
      <w:szCs w:val="20"/>
    </w:rPr>
  </w:style>
  <w:style w:type="paragraph" w:styleId="29">
    <w:name w:val="index 1"/>
    <w:basedOn w:val="1"/>
    <w:next w:val="1"/>
    <w:qFormat/>
    <w:locked/>
    <w:uiPriority w:val="0"/>
    <w:pPr>
      <w:jc w:val="center"/>
    </w:pPr>
    <w:rPr>
      <w:rFonts w:eastAsia="仿宋_GB2312"/>
    </w:rPr>
  </w:style>
  <w:style w:type="paragraph" w:styleId="30">
    <w:name w:val="annotation subject"/>
    <w:basedOn w:val="12"/>
    <w:next w:val="12"/>
    <w:link w:val="71"/>
    <w:qFormat/>
    <w:uiPriority w:val="0"/>
    <w:rPr>
      <w:b/>
      <w:sz w:val="24"/>
      <w:szCs w:val="20"/>
    </w:rPr>
  </w:style>
  <w:style w:type="paragraph" w:styleId="31">
    <w:name w:val="Body Text First Indent"/>
    <w:basedOn w:val="15"/>
    <w:next w:val="32"/>
    <w:qFormat/>
    <w:locked/>
    <w:uiPriority w:val="0"/>
    <w:pPr>
      <w:adjustRightInd w:val="0"/>
      <w:snapToGrid w:val="0"/>
      <w:spacing w:beforeLines="50"/>
      <w:ind w:firstLine="200" w:firstLineChars="200"/>
    </w:pPr>
  </w:style>
  <w:style w:type="paragraph" w:customStyle="1" w:styleId="32">
    <w:name w:val="正文文字（首行缩进2字）"/>
    <w:basedOn w:val="1"/>
    <w:qFormat/>
    <w:uiPriority w:val="0"/>
    <w:pPr>
      <w:spacing w:line="360" w:lineRule="auto"/>
      <w:ind w:firstLine="200" w:firstLineChars="200"/>
    </w:pPr>
    <w:rPr>
      <w:rFonts w:ascii="Arial" w:hAnsi="Arial"/>
      <w:position w:val="-30"/>
      <w:sz w:val="24"/>
    </w:rPr>
  </w:style>
  <w:style w:type="table" w:styleId="34">
    <w:name w:val="Table Grid"/>
    <w:basedOn w:val="33"/>
    <w:qFormat/>
    <w:uiPriority w:val="59"/>
    <w:rPr>
      <w:lang w:val="en-US" w:eastAsia="zh-CN" w:bidi="ar-SA"/>
    </w:rPr>
    <w:tblPr>
      <w:tblStyle w:val="3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Theme"/>
    <w:basedOn w:val="33"/>
    <w:qFormat/>
    <w:locked/>
    <w:uiPriority w:val="0"/>
    <w:pPr>
      <w:widowControl w:val="0"/>
      <w:spacing w:line="500" w:lineRule="exact"/>
      <w:jc w:val="both"/>
    </w:pPr>
    <w:tblPr>
      <w:tblStyle w:val="3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Classic 1"/>
    <w:basedOn w:val="33"/>
    <w:qFormat/>
    <w:locked/>
    <w:uiPriority w:val="0"/>
    <w:pPr>
      <w:widowControl w:val="0"/>
      <w:spacing w:line="500" w:lineRule="exact"/>
      <w:jc w:val="both"/>
    </w:pPr>
    <w:tblPr>
      <w:tblStyle w:val="33"/>
      <w:tblBorders>
        <w:top w:val="single" w:color="000000" w:sz="12" w:space="0"/>
        <w:bottom w:val="single" w:color="000000" w:sz="12" w:space="0"/>
      </w:tblBorders>
    </w:tblPr>
    <w:tcPr>
      <w:shd w:val="clear" w:color="auto" w:fill="auto"/>
    </w:tcPr>
    <w:tblStylePr w:type="firstRow">
      <w:rPr>
        <w:i/>
        <w:iCs/>
      </w:rPr>
      <w:tblPr>
        <w:tblStyle w:val="33"/>
      </w:tblPr>
      <w:tcPr>
        <w:tcBorders>
          <w:top w:val="nil"/>
          <w:left w:val="single" w:color="000000" w:sz="6" w:space="0"/>
          <w:bottom w:val="nil"/>
          <w:right w:val="nil"/>
          <w:insideH w:val="nil"/>
          <w:insideV w:val="nil"/>
          <w:tl2br w:val="nil"/>
          <w:tr2bl w:val="nil"/>
        </w:tcBorders>
      </w:tcPr>
    </w:tblStylePr>
    <w:tblStylePr w:type="lastRow">
      <w:rPr>
        <w:color w:val="auto"/>
      </w:rPr>
      <w:tblPr>
        <w:tblStyle w:val="33"/>
      </w:tblPr>
      <w:tcPr>
        <w:tcBorders>
          <w:top w:val="single" w:color="000000" w:sz="6" w:space="0"/>
          <w:left w:val="nil"/>
          <w:bottom w:val="nil"/>
          <w:right w:val="nil"/>
          <w:insideH w:val="nil"/>
          <w:insideV w:val="nil"/>
          <w:tl2br w:val="nil"/>
          <w:tr2bl w:val="nil"/>
        </w:tcBorders>
      </w:tcPr>
    </w:tblStylePr>
    <w:tblStylePr w:type="firstCol">
      <w:tblPr>
        <w:tblStyle w:val="33"/>
      </w:tblPr>
      <w:tcPr>
        <w:tcBorders>
          <w:top w:val="nil"/>
          <w:left w:val="nil"/>
          <w:bottom w:val="nil"/>
          <w:right w:val="single" w:color="000000" w:sz="6" w:space="0"/>
          <w:insideH w:val="nil"/>
          <w:insideV w:val="nil"/>
          <w:tl2br w:val="nil"/>
          <w:tr2bl w:val="nil"/>
        </w:tcBorders>
      </w:tcPr>
    </w:tblStylePr>
    <w:tblStylePr w:type="neCell">
      <w:rPr>
        <w:b/>
        <w:bCs/>
        <w:i w:val="0"/>
        <w:iCs w:val="0"/>
      </w:rPr>
      <w:tblPr>
        <w:tblStyle w:val="33"/>
      </w:tblPr>
      <w:tcPr>
        <w:tcBorders>
          <w:top w:val="nil"/>
          <w:left w:val="nil"/>
          <w:bottom w:val="nil"/>
          <w:right w:val="nil"/>
          <w:insideH w:val="nil"/>
          <w:insideV w:val="nil"/>
          <w:tl2br w:val="nil"/>
          <w:tr2bl w:val="nil"/>
        </w:tcBorders>
      </w:tcPr>
    </w:tblStylePr>
    <w:tblStylePr w:type="swCell">
      <w:rPr>
        <w:b/>
        <w:bCs/>
      </w:rPr>
      <w:tblPr>
        <w:tblStyle w:val="33"/>
      </w:tblPr>
      <w:tcPr>
        <w:tcBorders>
          <w:top w:val="nil"/>
          <w:left w:val="nil"/>
          <w:bottom w:val="nil"/>
          <w:right w:val="nil"/>
          <w:insideH w:val="nil"/>
          <w:insideV w:val="nil"/>
          <w:tl2br w:val="nil"/>
          <w:tr2bl w:val="nil"/>
        </w:tcBorders>
      </w:tcPr>
    </w:tblStylePr>
  </w:style>
  <w:style w:type="table" w:styleId="37">
    <w:name w:val="Table Classic 2"/>
    <w:basedOn w:val="33"/>
    <w:qFormat/>
    <w:locked/>
    <w:uiPriority w:val="0"/>
    <w:pPr>
      <w:widowControl w:val="0"/>
      <w:spacing w:line="500" w:lineRule="exact"/>
      <w:jc w:val="both"/>
    </w:pPr>
    <w:tblPr>
      <w:tblStyle w:val="33"/>
      <w:tblBorders>
        <w:top w:val="single" w:color="000000" w:sz="12" w:space="0"/>
        <w:bottom w:val="single" w:color="000000" w:sz="12" w:space="0"/>
      </w:tblBorders>
    </w:tblPr>
    <w:tcPr>
      <w:shd w:val="clear" w:color="auto" w:fill="auto"/>
    </w:tcPr>
    <w:tblStylePr w:type="firstRow">
      <w:rPr>
        <w:color w:val="FFFFFF"/>
      </w:rPr>
      <w:tblPr>
        <w:tblStyle w:val="33"/>
      </w:tblPr>
      <w:tcPr>
        <w:tcBorders>
          <w:top w:val="nil"/>
          <w:left w:val="single" w:color="000000" w:sz="6" w:space="0"/>
          <w:bottom w:val="nil"/>
          <w:right w:val="nil"/>
          <w:insideH w:val="nil"/>
          <w:insideV w:val="nil"/>
          <w:tl2br w:val="nil"/>
          <w:tr2bl w:val="nil"/>
        </w:tcBorders>
        <w:shd w:val="solid" w:color="800080" w:fill="FFFFFF"/>
      </w:tcPr>
    </w:tblStylePr>
    <w:tblStylePr w:type="lastRow">
      <w:tblPr>
        <w:tblStyle w:val="33"/>
      </w:tblPr>
      <w:tcPr>
        <w:tcBorders>
          <w:top w:val="single" w:color="000000" w:sz="6" w:space="0"/>
          <w:left w:val="nil"/>
          <w:bottom w:val="nil"/>
          <w:right w:val="nil"/>
          <w:insideH w:val="nil"/>
          <w:insideV w:val="nil"/>
          <w:tl2br w:val="nil"/>
          <w:tr2bl w:val="nil"/>
        </w:tcBorders>
      </w:tcPr>
    </w:tblStylePr>
    <w:tblStylePr w:type="firstCol">
      <w:rPr>
        <w:b/>
        <w:bCs/>
      </w:rPr>
      <w:tblPr>
        <w:tblStyle w:val="33"/>
      </w:tblPr>
      <w:tcPr>
        <w:tcBorders>
          <w:top w:val="nil"/>
          <w:left w:val="nil"/>
          <w:bottom w:val="nil"/>
          <w:right w:val="nil"/>
          <w:insideH w:val="nil"/>
          <w:insideV w:val="nil"/>
          <w:tl2br w:val="nil"/>
          <w:tr2bl w:val="nil"/>
        </w:tcBorders>
        <w:shd w:val="solid" w:color="C0C0C0" w:fill="FFFFFF"/>
      </w:tcPr>
    </w:tblStylePr>
    <w:tblStylePr w:type="neCell">
      <w:rPr>
        <w:b/>
        <w:bCs/>
      </w:rPr>
      <w:tblPr>
        <w:tblStyle w:val="33"/>
      </w:tblPr>
      <w:tcPr>
        <w:tcBorders>
          <w:top w:val="nil"/>
          <w:left w:val="nil"/>
          <w:bottom w:val="nil"/>
          <w:right w:val="nil"/>
          <w:insideH w:val="nil"/>
          <w:insideV w:val="nil"/>
          <w:tl2br w:val="nil"/>
          <w:tr2bl w:val="nil"/>
        </w:tcBorders>
      </w:tcPr>
    </w:tblStylePr>
    <w:tblStylePr w:type="nwCell">
      <w:tblPr>
        <w:tblStyle w:val="33"/>
      </w:tblPr>
      <w:tcPr>
        <w:tcBorders>
          <w:top w:val="nil"/>
          <w:left w:val="nil"/>
          <w:bottom w:val="nil"/>
          <w:right w:val="nil"/>
          <w:insideH w:val="nil"/>
          <w:insideV w:val="nil"/>
          <w:tl2br w:val="nil"/>
          <w:tr2bl w:val="nil"/>
        </w:tcBorders>
        <w:shd w:val="solid" w:color="800080" w:fill="FFFFFF"/>
      </w:tcPr>
    </w:tblStylePr>
    <w:tblStylePr w:type="swCell">
      <w:rPr>
        <w:color w:val="000080"/>
      </w:rPr>
      <w:tblPr>
        <w:tblStyle w:val="33"/>
      </w:tblPr>
      <w:tcPr>
        <w:tcBorders>
          <w:top w:val="nil"/>
          <w:left w:val="nil"/>
          <w:bottom w:val="nil"/>
          <w:right w:val="nil"/>
          <w:insideH w:val="nil"/>
          <w:insideV w:val="nil"/>
          <w:tl2br w:val="nil"/>
          <w:tr2bl w:val="nil"/>
        </w:tcBorders>
      </w:tcPr>
    </w:tblStylePr>
  </w:style>
  <w:style w:type="character" w:styleId="39">
    <w:name w:val="Strong"/>
    <w:basedOn w:val="38"/>
    <w:qFormat/>
    <w:locked/>
    <w:uiPriority w:val="0"/>
    <w:rPr>
      <w:b/>
      <w:bCs/>
    </w:rPr>
  </w:style>
  <w:style w:type="character" w:styleId="40">
    <w:name w:val="page number"/>
    <w:basedOn w:val="38"/>
    <w:locked/>
    <w:uiPriority w:val="0"/>
  </w:style>
  <w:style w:type="character" w:styleId="41">
    <w:name w:val="FollowedHyperlink"/>
    <w:basedOn w:val="38"/>
    <w:locked/>
    <w:uiPriority w:val="0"/>
    <w:rPr>
      <w:color w:val="338DE6"/>
      <w:u w:val="none"/>
    </w:rPr>
  </w:style>
  <w:style w:type="character" w:styleId="42">
    <w:name w:val="Emphasis"/>
    <w:basedOn w:val="38"/>
    <w:qFormat/>
    <w:locked/>
    <w:uiPriority w:val="0"/>
  </w:style>
  <w:style w:type="character" w:styleId="43">
    <w:name w:val="HTML Definition"/>
    <w:basedOn w:val="38"/>
    <w:locked/>
    <w:uiPriority w:val="0"/>
  </w:style>
  <w:style w:type="character" w:styleId="44">
    <w:name w:val="HTML Acronym"/>
    <w:basedOn w:val="38"/>
    <w:locked/>
    <w:uiPriority w:val="0"/>
  </w:style>
  <w:style w:type="character" w:styleId="45">
    <w:name w:val="HTML Variable"/>
    <w:basedOn w:val="38"/>
    <w:locked/>
    <w:uiPriority w:val="0"/>
    <w:rPr>
      <w:rFonts w:hint="default" w:ascii="baikeFont_layout" w:hAnsi="baikeFont_layout" w:eastAsia="baikeFont_layout" w:cs="baikeFont_layout"/>
    </w:rPr>
  </w:style>
  <w:style w:type="character" w:styleId="46">
    <w:name w:val="Hyperlink"/>
    <w:basedOn w:val="38"/>
    <w:locked/>
    <w:uiPriority w:val="0"/>
    <w:rPr>
      <w:color w:val="338DE6"/>
      <w:u w:val="none"/>
    </w:rPr>
  </w:style>
  <w:style w:type="character" w:styleId="47">
    <w:name w:val="HTML Code"/>
    <w:basedOn w:val="38"/>
    <w:locked/>
    <w:uiPriority w:val="0"/>
    <w:rPr>
      <w:rFonts w:hint="default" w:ascii="serif" w:hAnsi="serif" w:eastAsia="serif" w:cs="serif"/>
      <w:sz w:val="21"/>
      <w:szCs w:val="21"/>
    </w:rPr>
  </w:style>
  <w:style w:type="character" w:styleId="48">
    <w:name w:val="annotation reference"/>
    <w:qFormat/>
    <w:uiPriority w:val="0"/>
    <w:rPr>
      <w:sz w:val="21"/>
    </w:rPr>
  </w:style>
  <w:style w:type="character" w:styleId="49">
    <w:name w:val="HTML Cite"/>
    <w:basedOn w:val="38"/>
    <w:locked/>
    <w:uiPriority w:val="0"/>
  </w:style>
  <w:style w:type="character" w:styleId="50">
    <w:name w:val="HTML Keyboard"/>
    <w:basedOn w:val="38"/>
    <w:locked/>
    <w:uiPriority w:val="0"/>
    <w:rPr>
      <w:rFonts w:hint="default" w:ascii="serif" w:hAnsi="serif" w:eastAsia="serif" w:cs="serif"/>
      <w:sz w:val="21"/>
      <w:szCs w:val="21"/>
    </w:rPr>
  </w:style>
  <w:style w:type="character" w:styleId="51">
    <w:name w:val="HTML Sample"/>
    <w:basedOn w:val="38"/>
    <w:locked/>
    <w:uiPriority w:val="0"/>
    <w:rPr>
      <w:rFonts w:ascii="serif" w:hAnsi="serif" w:eastAsia="serif" w:cs="serif"/>
      <w:sz w:val="21"/>
      <w:szCs w:val="21"/>
    </w:rPr>
  </w:style>
  <w:style w:type="character" w:customStyle="1" w:styleId="52">
    <w:name w:val="标题 2 字符"/>
    <w:link w:val="2"/>
    <w:uiPriority w:val="0"/>
    <w:rPr>
      <w:rFonts w:ascii="Arial" w:hAnsi="Arial" w:eastAsia="黑体"/>
      <w:b/>
      <w:bCs/>
      <w:kern w:val="2"/>
      <w:sz w:val="32"/>
      <w:szCs w:val="32"/>
    </w:rPr>
  </w:style>
  <w:style w:type="character" w:customStyle="1" w:styleId="53">
    <w:name w:val="标题 1 字符"/>
    <w:link w:val="6"/>
    <w:qFormat/>
    <w:uiPriority w:val="0"/>
    <w:rPr>
      <w:rFonts w:eastAsia="黑体"/>
      <w:b/>
      <w:bCs/>
      <w:color w:val="000000"/>
      <w:kern w:val="44"/>
      <w:sz w:val="30"/>
      <w:szCs w:val="30"/>
    </w:rPr>
  </w:style>
  <w:style w:type="character" w:customStyle="1" w:styleId="54">
    <w:name w:val="标题 4 字符"/>
    <w:link w:val="8"/>
    <w:qFormat/>
    <w:uiPriority w:val="0"/>
    <w:rPr>
      <w:rFonts w:ascii="Cambria" w:hAnsi="Cambria"/>
      <w:b/>
      <w:bCs/>
      <w:kern w:val="2"/>
      <w:sz w:val="28"/>
      <w:szCs w:val="28"/>
    </w:rPr>
  </w:style>
  <w:style w:type="character" w:customStyle="1" w:styleId="55">
    <w:name w:val="标题 6 字符"/>
    <w:link w:val="9"/>
    <w:semiHidden/>
    <w:qFormat/>
    <w:uiPriority w:val="0"/>
    <w:rPr>
      <w:rFonts w:ascii="Cambria" w:hAnsi="Cambria"/>
      <w:b/>
      <w:bCs/>
      <w:kern w:val="2"/>
      <w:sz w:val="24"/>
      <w:szCs w:val="24"/>
    </w:rPr>
  </w:style>
  <w:style w:type="character" w:customStyle="1" w:styleId="56">
    <w:name w:val="正文缩进 字符"/>
    <w:link w:val="10"/>
    <w:qFormat/>
    <w:uiPriority w:val="0"/>
    <w:rPr>
      <w:kern w:val="2"/>
      <w:sz w:val="28"/>
      <w:szCs w:val="24"/>
    </w:rPr>
  </w:style>
  <w:style w:type="character" w:customStyle="1" w:styleId="57">
    <w:name w:val="文档结构图 字符"/>
    <w:link w:val="11"/>
    <w:uiPriority w:val="0"/>
    <w:rPr>
      <w:kern w:val="2"/>
      <w:sz w:val="24"/>
      <w:szCs w:val="24"/>
      <w:shd w:val="clear" w:color="auto" w:fill="000080"/>
    </w:rPr>
  </w:style>
  <w:style w:type="character" w:customStyle="1" w:styleId="58">
    <w:name w:val="批注文字 字符"/>
    <w:link w:val="12"/>
    <w:qFormat/>
    <w:locked/>
    <w:uiPriority w:val="0"/>
    <w:rPr>
      <w:rFonts w:ascii="Times New Roman" w:hAnsi="Times New Roman" w:eastAsia="宋体"/>
      <w:sz w:val="24"/>
    </w:rPr>
  </w:style>
  <w:style w:type="character" w:customStyle="1" w:styleId="59">
    <w:name w:val="正文文本 3 字符"/>
    <w:link w:val="14"/>
    <w:qFormat/>
    <w:uiPriority w:val="0"/>
    <w:rPr>
      <w:kern w:val="2"/>
      <w:sz w:val="16"/>
      <w:szCs w:val="16"/>
    </w:rPr>
  </w:style>
  <w:style w:type="character" w:customStyle="1" w:styleId="60">
    <w:name w:val="正文文本 字符"/>
    <w:link w:val="15"/>
    <w:qFormat/>
    <w:locked/>
    <w:uiPriority w:val="0"/>
    <w:rPr>
      <w:sz w:val="18"/>
    </w:rPr>
  </w:style>
  <w:style w:type="character" w:customStyle="1" w:styleId="61">
    <w:name w:val="正文文本缩进 字符"/>
    <w:link w:val="17"/>
    <w:qFormat/>
    <w:locked/>
    <w:uiPriority w:val="0"/>
    <w:rPr>
      <w:rFonts w:ascii="Times New Roman" w:hAnsi="Times New Roman" w:eastAsia="宋体"/>
      <w:sz w:val="24"/>
    </w:rPr>
  </w:style>
  <w:style w:type="character" w:customStyle="1" w:styleId="62">
    <w:name w:val="正文文本缩进 2 字符"/>
    <w:link w:val="18"/>
    <w:qFormat/>
    <w:uiPriority w:val="0"/>
    <w:rPr>
      <w:kern w:val="2"/>
      <w:sz w:val="24"/>
      <w:szCs w:val="24"/>
    </w:rPr>
  </w:style>
  <w:style w:type="character" w:customStyle="1" w:styleId="63">
    <w:name w:val="正文文本首行缩进 2 字符"/>
    <w:link w:val="19"/>
    <w:qFormat/>
    <w:uiPriority w:val="0"/>
    <w:rPr>
      <w:rFonts w:ascii="Times New Roman" w:hAnsi="Times New Roman" w:eastAsia="宋体"/>
      <w:kern w:val="2"/>
      <w:sz w:val="24"/>
      <w:szCs w:val="24"/>
    </w:rPr>
  </w:style>
  <w:style w:type="character" w:customStyle="1" w:styleId="64">
    <w:name w:val="日期 字符1"/>
    <w:link w:val="20"/>
    <w:locked/>
    <w:uiPriority w:val="0"/>
    <w:rPr>
      <w:rFonts w:ascii="Times New Roman" w:hAnsi="Times New Roman" w:eastAsia="宋体"/>
      <w:sz w:val="24"/>
    </w:rPr>
  </w:style>
  <w:style w:type="character" w:customStyle="1" w:styleId="65">
    <w:name w:val="批注框文本 字符"/>
    <w:link w:val="21"/>
    <w:qFormat/>
    <w:locked/>
    <w:uiPriority w:val="0"/>
    <w:rPr>
      <w:rFonts w:ascii="Times New Roman" w:hAnsi="Times New Roman" w:eastAsia="宋体"/>
      <w:sz w:val="18"/>
    </w:rPr>
  </w:style>
  <w:style w:type="character" w:customStyle="1" w:styleId="66">
    <w:name w:val="页脚 字符1"/>
    <w:link w:val="22"/>
    <w:locked/>
    <w:uiPriority w:val="99"/>
    <w:rPr>
      <w:sz w:val="18"/>
    </w:rPr>
  </w:style>
  <w:style w:type="character" w:customStyle="1" w:styleId="67">
    <w:name w:val="页眉 字符"/>
    <w:link w:val="23"/>
    <w:locked/>
    <w:uiPriority w:val="0"/>
    <w:rPr>
      <w:sz w:val="18"/>
    </w:rPr>
  </w:style>
  <w:style w:type="character" w:customStyle="1" w:styleId="68">
    <w:name w:val="签名 字符"/>
    <w:link w:val="24"/>
    <w:qFormat/>
    <w:uiPriority w:val="0"/>
    <w:rPr>
      <w:sz w:val="24"/>
    </w:rPr>
  </w:style>
  <w:style w:type="character" w:customStyle="1" w:styleId="69">
    <w:name w:val="正文文本缩进 3 字符"/>
    <w:link w:val="26"/>
    <w:uiPriority w:val="0"/>
    <w:rPr>
      <w:kern w:val="2"/>
      <w:sz w:val="16"/>
      <w:szCs w:val="16"/>
    </w:rPr>
  </w:style>
  <w:style w:type="character" w:customStyle="1" w:styleId="70">
    <w:name w:val="普通(网站) 字符"/>
    <w:link w:val="28"/>
    <w:locked/>
    <w:uiPriority w:val="0"/>
    <w:rPr>
      <w:rFonts w:ascii="宋体" w:hAnsi="宋体" w:eastAsia="宋体"/>
      <w:sz w:val="24"/>
    </w:rPr>
  </w:style>
  <w:style w:type="character" w:customStyle="1" w:styleId="71">
    <w:name w:val="批注主题 字符"/>
    <w:link w:val="30"/>
    <w:qFormat/>
    <w:locked/>
    <w:uiPriority w:val="0"/>
    <w:rPr>
      <w:rFonts w:ascii="Times New Roman" w:hAnsi="Times New Roman" w:eastAsia="宋体"/>
      <w:b/>
      <w:kern w:val="2"/>
      <w:sz w:val="24"/>
    </w:rPr>
  </w:style>
  <w:style w:type="paragraph" w:customStyle="1" w:styleId="72">
    <w:name w:val="Default"/>
    <w:basedOn w:val="15"/>
    <w:next w:val="73"/>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73">
    <w:name w:val="表格文字"/>
    <w:basedOn w:val="31"/>
    <w:next w:val="1"/>
    <w:link w:val="74"/>
    <w:qFormat/>
    <w:uiPriority w:val="0"/>
    <w:pPr>
      <w:jc w:val="center"/>
    </w:pPr>
    <w:rPr>
      <w:rFonts w:ascii="仿宋_GB2312" w:hAnsi="Arial Black" w:eastAsia="仿宋_GB2312"/>
      <w:kern w:val="44"/>
      <w:sz w:val="24"/>
      <w:szCs w:val="20"/>
    </w:rPr>
  </w:style>
  <w:style w:type="character" w:customStyle="1" w:styleId="74">
    <w:name w:val="表格文字 Char"/>
    <w:link w:val="73"/>
    <w:qFormat/>
    <w:uiPriority w:val="0"/>
    <w:rPr>
      <w:rFonts w:ascii="仿宋_GB2312" w:hAnsi="Arial Black" w:eastAsia="仿宋_GB2312"/>
      <w:kern w:val="44"/>
      <w:sz w:val="24"/>
    </w:rPr>
  </w:style>
  <w:style w:type="character" w:customStyle="1" w:styleId="75">
    <w:name w:val="页脚 字符"/>
    <w:basedOn w:val="38"/>
    <w:qFormat/>
    <w:uiPriority w:val="99"/>
  </w:style>
  <w:style w:type="character" w:customStyle="1" w:styleId="76">
    <w:name w:val="正文文本 字符1"/>
    <w:semiHidden/>
    <w:uiPriority w:val="0"/>
    <w:rPr>
      <w:rFonts w:ascii="Times New Roman" w:hAnsi="Times New Roman" w:eastAsia="宋体"/>
      <w:sz w:val="24"/>
    </w:rPr>
  </w:style>
  <w:style w:type="character" w:customStyle="1" w:styleId="77">
    <w:name w:val="表格 Char"/>
    <w:link w:val="78"/>
    <w:locked/>
    <w:uiPriority w:val="0"/>
    <w:rPr>
      <w:rFonts w:ascii="宋体"/>
      <w:sz w:val="21"/>
    </w:rPr>
  </w:style>
  <w:style w:type="paragraph" w:customStyle="1" w:styleId="78">
    <w:name w:val="表格"/>
    <w:basedOn w:val="1"/>
    <w:next w:val="1"/>
    <w:link w:val="77"/>
    <w:qFormat/>
    <w:uiPriority w:val="0"/>
    <w:pPr>
      <w:adjustRightInd w:val="0"/>
      <w:snapToGrid w:val="0"/>
      <w:spacing w:beforeLines="10" w:afterLines="10" w:line="259" w:lineRule="auto"/>
      <w:jc w:val="center"/>
    </w:pPr>
    <w:rPr>
      <w:rFonts w:ascii="宋体"/>
      <w:kern w:val="0"/>
      <w:szCs w:val="20"/>
    </w:rPr>
  </w:style>
  <w:style w:type="character" w:customStyle="1" w:styleId="79">
    <w:name w:val="日期 字符"/>
    <w:semiHidden/>
    <w:uiPriority w:val="0"/>
    <w:rPr>
      <w:rFonts w:ascii="Times New Roman" w:hAnsi="Times New Roman" w:eastAsia="宋体"/>
      <w:sz w:val="24"/>
    </w:rPr>
  </w:style>
  <w:style w:type="character" w:customStyle="1" w:styleId="80">
    <w:name w:val="批注文字 字符1"/>
    <w:semiHidden/>
    <w:uiPriority w:val="0"/>
    <w:rPr>
      <w:rFonts w:ascii="Times New Roman" w:hAnsi="Times New Roman" w:eastAsia="宋体"/>
      <w:sz w:val="24"/>
    </w:rPr>
  </w:style>
  <w:style w:type="paragraph" w:customStyle="1" w:styleId="81">
    <w:name w:val="正文_10"/>
    <w:uiPriority w:val="0"/>
    <w:pPr>
      <w:widowControl w:val="0"/>
      <w:jc w:val="both"/>
    </w:pPr>
    <w:rPr>
      <w:kern w:val="2"/>
      <w:sz w:val="21"/>
      <w:szCs w:val="22"/>
      <w:lang w:val="en-US" w:eastAsia="zh-CN" w:bidi="ar-SA"/>
    </w:rPr>
  </w:style>
  <w:style w:type="paragraph" w:customStyle="1" w:styleId="82">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83">
    <w:name w:val="曹1.1"/>
    <w:basedOn w:val="1"/>
    <w:link w:val="84"/>
    <w:qFormat/>
    <w:uiPriority w:val="0"/>
    <w:pPr>
      <w:spacing w:line="360" w:lineRule="auto"/>
    </w:pPr>
    <w:rPr>
      <w:b/>
      <w:sz w:val="24"/>
    </w:rPr>
  </w:style>
  <w:style w:type="character" w:customStyle="1" w:styleId="84">
    <w:name w:val="曹1.1 Char"/>
    <w:link w:val="83"/>
    <w:qFormat/>
    <w:uiPriority w:val="0"/>
    <w:rPr>
      <w:b/>
      <w:kern w:val="2"/>
      <w:sz w:val="24"/>
      <w:szCs w:val="24"/>
    </w:rPr>
  </w:style>
  <w:style w:type="paragraph" w:customStyle="1" w:styleId="85">
    <w:name w:val="2"/>
    <w:basedOn w:val="1"/>
    <w:next w:val="1"/>
    <w:qFormat/>
    <w:uiPriority w:val="0"/>
    <w:rPr>
      <w:rFonts w:eastAsia="仿宋_GB2312"/>
      <w:sz w:val="24"/>
      <w:szCs w:val="20"/>
    </w:rPr>
  </w:style>
  <w:style w:type="paragraph" w:customStyle="1" w:styleId="86">
    <w:name w:val="表题"/>
    <w:basedOn w:val="1"/>
    <w:qFormat/>
    <w:uiPriority w:val="0"/>
    <w:pPr>
      <w:spacing w:line="500" w:lineRule="exact"/>
      <w:jc w:val="center"/>
    </w:pPr>
    <w:rPr>
      <w:rFonts w:eastAsia="仿宋_GB2312" w:cs="Times New Roman"/>
      <w:b/>
      <w:sz w:val="24"/>
      <w:szCs w:val="22"/>
    </w:rPr>
  </w:style>
  <w:style w:type="paragraph" w:customStyle="1" w:styleId="87">
    <w:name w:val="样式 标题 1 + 加粗"/>
    <w:basedOn w:val="6"/>
    <w:qFormat/>
    <w:uiPriority w:val="0"/>
    <w:pPr>
      <w:keepLines/>
      <w:widowControl/>
      <w:overflowPunct/>
      <w:snapToGrid/>
      <w:spacing w:before="0" w:after="0" w:line="240" w:lineRule="auto"/>
      <w:ind w:left="0" w:firstLine="0"/>
    </w:pPr>
    <w:rPr>
      <w:rFonts w:eastAsia="宋体"/>
      <w:kern w:val="0"/>
      <w:sz w:val="28"/>
      <w:szCs w:val="28"/>
    </w:rPr>
  </w:style>
  <w:style w:type="paragraph" w:customStyle="1" w:styleId="8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89">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90">
    <w:name w:val="Char"/>
    <w:basedOn w:val="1"/>
    <w:qFormat/>
    <w:uiPriority w:val="0"/>
    <w:pPr>
      <w:spacing w:line="240" w:lineRule="exact"/>
      <w:ind w:firstLine="200" w:firstLineChars="200"/>
    </w:pPr>
    <w:rPr>
      <w:sz w:val="28"/>
      <w:szCs w:val="28"/>
    </w:rPr>
  </w:style>
  <w:style w:type="character" w:customStyle="1" w:styleId="91">
    <w:name w:val="a5"/>
    <w:basedOn w:val="38"/>
    <w:qFormat/>
    <w:uiPriority w:val="0"/>
  </w:style>
  <w:style w:type="paragraph" w:customStyle="1" w:styleId="92">
    <w:name w:val="unname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p0"/>
    <w:basedOn w:val="1"/>
    <w:qFormat/>
    <w:uiPriority w:val="0"/>
    <w:pPr>
      <w:widowControl/>
    </w:pPr>
    <w:rPr>
      <w:kern w:val="0"/>
      <w:szCs w:val="21"/>
    </w:rPr>
  </w:style>
  <w:style w:type="character" w:customStyle="1" w:styleId="94">
    <w:name w:val="表格 内容 Char Char"/>
    <w:link w:val="95"/>
    <w:uiPriority w:val="0"/>
    <w:rPr>
      <w:color w:val="000000"/>
      <w:sz w:val="21"/>
      <w:szCs w:val="21"/>
    </w:rPr>
  </w:style>
  <w:style w:type="paragraph" w:customStyle="1" w:styleId="95">
    <w:name w:val="表格 内容"/>
    <w:link w:val="94"/>
    <w:qFormat/>
    <w:uiPriority w:val="0"/>
    <w:pPr>
      <w:jc w:val="center"/>
    </w:pPr>
    <w:rPr>
      <w:color w:val="000000"/>
      <w:sz w:val="21"/>
      <w:szCs w:val="21"/>
      <w:lang w:val="en-US" w:eastAsia="zh-CN" w:bidi="ar-SA"/>
    </w:rPr>
  </w:style>
  <w:style w:type="character" w:customStyle="1" w:styleId="96">
    <w:name w:val="表格 首行 Char Char"/>
    <w:link w:val="97"/>
    <w:uiPriority w:val="0"/>
    <w:rPr>
      <w:b/>
      <w:color w:val="000000"/>
      <w:sz w:val="21"/>
      <w:szCs w:val="21"/>
    </w:rPr>
  </w:style>
  <w:style w:type="paragraph" w:customStyle="1" w:styleId="97">
    <w:name w:val="表格 首行"/>
    <w:link w:val="96"/>
    <w:qFormat/>
    <w:uiPriority w:val="0"/>
    <w:pPr>
      <w:jc w:val="center"/>
    </w:pPr>
    <w:rPr>
      <w:b/>
      <w:color w:val="000000"/>
      <w:sz w:val="21"/>
      <w:szCs w:val="21"/>
      <w:lang w:val="en-US" w:eastAsia="zh-CN" w:bidi="ar-SA"/>
    </w:rPr>
  </w:style>
  <w:style w:type="paragraph" w:customStyle="1" w:styleId="98">
    <w:name w:val="表文字"/>
    <w:basedOn w:val="1"/>
    <w:qFormat/>
    <w:uiPriority w:val="99"/>
    <w:pPr>
      <w:widowControl/>
      <w:jc w:val="center"/>
    </w:pPr>
    <w:rPr>
      <w:kern w:val="0"/>
      <w:szCs w:val="21"/>
    </w:rPr>
  </w:style>
  <w:style w:type="character" w:customStyle="1" w:styleId="99">
    <w:name w:val="表格文字 Char Char"/>
    <w:qFormat/>
    <w:uiPriority w:val="0"/>
    <w:rPr>
      <w:rFonts w:ascii="仿宋_GB2312" w:hAnsi="Arial Black" w:eastAsia="仿宋_GB2312"/>
      <w:kern w:val="44"/>
      <w:sz w:val="24"/>
    </w:rPr>
  </w:style>
  <w:style w:type="paragraph" w:styleId="100">
    <w:name w:val="List Paragraph"/>
    <w:basedOn w:val="1"/>
    <w:qFormat/>
    <w:uiPriority w:val="34"/>
    <w:pPr>
      <w:spacing w:line="500" w:lineRule="exact"/>
      <w:ind w:firstLine="420" w:firstLineChars="200"/>
    </w:pPr>
    <w:rPr>
      <w:sz w:val="24"/>
    </w:rPr>
  </w:style>
  <w:style w:type="paragraph" w:customStyle="1" w:styleId="101">
    <w:name w:val="表格内容"/>
    <w:basedOn w:val="1"/>
    <w:next w:val="1"/>
    <w:link w:val="102"/>
    <w:qFormat/>
    <w:uiPriority w:val="0"/>
    <w:pPr>
      <w:jc w:val="center"/>
    </w:pPr>
    <w:rPr>
      <w:rFonts w:eastAsia="楷体_GB2312"/>
      <w:szCs w:val="32"/>
    </w:rPr>
  </w:style>
  <w:style w:type="character" w:customStyle="1" w:styleId="102">
    <w:name w:val="表格内容 Char Char"/>
    <w:link w:val="101"/>
    <w:qFormat/>
    <w:uiPriority w:val="0"/>
    <w:rPr>
      <w:rFonts w:eastAsia="楷体_GB2312"/>
      <w:kern w:val="2"/>
      <w:sz w:val="21"/>
      <w:szCs w:val="32"/>
    </w:rPr>
  </w:style>
  <w:style w:type="character" w:customStyle="1" w:styleId="103">
    <w:name w:val="表格 首行 Char"/>
    <w:qFormat/>
    <w:uiPriority w:val="0"/>
    <w:rPr>
      <w:rFonts w:ascii="Times New Roman" w:hAnsi="Times New Roman" w:eastAsia="仿宋_GB2312" w:cs="Arial"/>
      <w:b/>
      <w:kern w:val="2"/>
      <w:sz w:val="21"/>
      <w:szCs w:val="21"/>
    </w:rPr>
  </w:style>
  <w:style w:type="paragraph" w:customStyle="1" w:styleId="104">
    <w:name w:val="表格 普通文字"/>
    <w:link w:val="105"/>
    <w:qFormat/>
    <w:uiPriority w:val="0"/>
    <w:pPr>
      <w:spacing w:line="240" w:lineRule="exact"/>
      <w:jc w:val="center"/>
    </w:pPr>
    <w:rPr>
      <w:rFonts w:eastAsia="仿宋_GB2312" w:cs="Arial"/>
      <w:kern w:val="2"/>
      <w:sz w:val="21"/>
      <w:szCs w:val="21"/>
      <w:lang w:val="en-US" w:eastAsia="zh-CN" w:bidi="ar-SA"/>
    </w:rPr>
  </w:style>
  <w:style w:type="character" w:customStyle="1" w:styleId="105">
    <w:name w:val="表格 普通文字 Char"/>
    <w:link w:val="104"/>
    <w:qFormat/>
    <w:uiPriority w:val="0"/>
    <w:rPr>
      <w:rFonts w:eastAsia="仿宋_GB2312" w:cs="Arial"/>
      <w:kern w:val="2"/>
      <w:sz w:val="21"/>
      <w:szCs w:val="21"/>
    </w:rPr>
  </w:style>
  <w:style w:type="paragraph" w:customStyle="1" w:styleId="106">
    <w:name w:val="表格 标题"/>
    <w:link w:val="107"/>
    <w:qFormat/>
    <w:uiPriority w:val="0"/>
    <w:pPr>
      <w:spacing w:before="50" w:beforeLines="50" w:after="50" w:afterLines="50"/>
      <w:jc w:val="center"/>
    </w:pPr>
    <w:rPr>
      <w:rFonts w:eastAsia="仿宋_GB2312"/>
      <w:b/>
      <w:kern w:val="2"/>
      <w:sz w:val="21"/>
      <w:szCs w:val="24"/>
      <w:lang w:val="en-US" w:eastAsia="zh-CN" w:bidi="ar-SA"/>
    </w:rPr>
  </w:style>
  <w:style w:type="character" w:customStyle="1" w:styleId="107">
    <w:name w:val="表格 标题 Char"/>
    <w:link w:val="106"/>
    <w:qFormat/>
    <w:uiPriority w:val="0"/>
    <w:rPr>
      <w:rFonts w:eastAsia="仿宋_GB2312"/>
      <w:b/>
      <w:kern w:val="2"/>
      <w:sz w:val="21"/>
      <w:szCs w:val="24"/>
    </w:rPr>
  </w:style>
  <w:style w:type="table" w:customStyle="1" w:styleId="108">
    <w:name w:val="样式8"/>
    <w:basedOn w:val="36"/>
    <w:qFormat/>
    <w:uiPriority w:val="99"/>
    <w:pPr>
      <w:spacing w:line="240" w:lineRule="auto"/>
      <w:jc w:val="center"/>
    </w:pPr>
    <w:rPr>
      <w:rFonts w:eastAsia="仿宋_GB2312"/>
      <w:sz w:val="21"/>
    </w:rPr>
    <w:tblPr>
      <w:tblStyle w:val="33"/>
      <w:tblBorders>
        <w:insideH w:val="single" w:color="auto" w:sz="4" w:space="0"/>
        <w:insideV w:val="single" w:color="auto" w:sz="4" w:space="0"/>
      </w:tblBorders>
    </w:tblPr>
    <w:tcPr>
      <w:vAlign w:val="center"/>
    </w:tcPr>
    <w:tblStylePr w:type="firstRow">
      <w:rPr>
        <w:i/>
        <w:iCs/>
        <w:sz w:val="24"/>
      </w:rPr>
      <w:tblPr>
        <w:tblStyle w:val="33"/>
      </w:tblPr>
      <w:tcPr>
        <w:tcBorders>
          <w:top w:val="nil"/>
          <w:left w:val="single" w:color="000000" w:sz="6" w:space="0"/>
          <w:bottom w:val="nil"/>
          <w:right w:val="nil"/>
          <w:insideH w:val="nil"/>
          <w:insideV w:val="nil"/>
          <w:tl2br w:val="nil"/>
          <w:tr2bl w:val="nil"/>
        </w:tcBorders>
      </w:tcPr>
    </w:tblStylePr>
    <w:tblStylePr w:type="lastRow">
      <w:rPr>
        <w:color w:val="auto"/>
      </w:rPr>
      <w:tblPr>
        <w:tblStyle w:val="33"/>
      </w:tblPr>
      <w:tcPr>
        <w:tcBorders>
          <w:top w:val="single" w:color="000000" w:sz="6" w:space="0"/>
          <w:left w:val="nil"/>
          <w:bottom w:val="nil"/>
          <w:right w:val="nil"/>
          <w:insideH w:val="nil"/>
          <w:insideV w:val="nil"/>
          <w:tl2br w:val="nil"/>
          <w:tr2bl w:val="nil"/>
        </w:tcBorders>
      </w:tcPr>
    </w:tblStylePr>
    <w:tblStylePr w:type="firstCol">
      <w:tblPr>
        <w:tblStyle w:val="33"/>
      </w:tblPr>
      <w:tcPr>
        <w:tcBorders>
          <w:top w:val="nil"/>
          <w:left w:val="nil"/>
          <w:bottom w:val="nil"/>
          <w:right w:val="single" w:color="000000" w:sz="6" w:space="0"/>
          <w:insideH w:val="nil"/>
          <w:insideV w:val="nil"/>
          <w:tl2br w:val="nil"/>
          <w:tr2bl w:val="nil"/>
        </w:tcBorders>
      </w:tcPr>
    </w:tblStylePr>
    <w:tblStylePr w:type="neCell">
      <w:rPr>
        <w:b/>
        <w:bCs/>
        <w:i w:val="0"/>
        <w:iCs w:val="0"/>
      </w:rPr>
      <w:tblPr>
        <w:tblStyle w:val="33"/>
      </w:tblPr>
      <w:tcPr>
        <w:tcBorders>
          <w:top w:val="nil"/>
          <w:left w:val="nil"/>
          <w:bottom w:val="nil"/>
          <w:right w:val="nil"/>
          <w:insideH w:val="nil"/>
          <w:insideV w:val="nil"/>
          <w:tl2br w:val="nil"/>
          <w:tr2bl w:val="nil"/>
        </w:tcBorders>
      </w:tcPr>
    </w:tblStylePr>
    <w:tblStylePr w:type="swCell">
      <w:rPr>
        <w:b/>
        <w:bCs/>
      </w:rPr>
      <w:tblPr>
        <w:tblStyle w:val="33"/>
      </w:tblPr>
      <w:tcPr>
        <w:tcBorders>
          <w:top w:val="nil"/>
          <w:left w:val="nil"/>
          <w:bottom w:val="nil"/>
          <w:right w:val="nil"/>
          <w:insideH w:val="nil"/>
          <w:insideV w:val="nil"/>
          <w:tl2br w:val="nil"/>
          <w:tr2bl w:val="nil"/>
        </w:tcBorders>
      </w:tcPr>
    </w:tblStylePr>
  </w:style>
  <w:style w:type="paragraph" w:customStyle="1" w:styleId="109">
    <w:name w:val="表格 标注"/>
    <w:basedOn w:val="1"/>
    <w:link w:val="110"/>
    <w:qFormat/>
    <w:uiPriority w:val="0"/>
    <w:pPr>
      <w:jc w:val="left"/>
    </w:pPr>
    <w:rPr>
      <w:rFonts w:eastAsia="仿宋_GB2312"/>
      <w:sz w:val="18"/>
      <w:szCs w:val="18"/>
    </w:rPr>
  </w:style>
  <w:style w:type="character" w:customStyle="1" w:styleId="110">
    <w:name w:val="表格 标注 Char"/>
    <w:link w:val="109"/>
    <w:qFormat/>
    <w:uiPriority w:val="0"/>
    <w:rPr>
      <w:rFonts w:eastAsia="仿宋_GB2312"/>
      <w:kern w:val="2"/>
      <w:sz w:val="18"/>
      <w:szCs w:val="18"/>
    </w:rPr>
  </w:style>
  <w:style w:type="table" w:customStyle="1" w:styleId="111">
    <w:name w:val="表格样式1"/>
    <w:basedOn w:val="35"/>
    <w:qFormat/>
    <w:uiPriority w:val="0"/>
    <w:pPr>
      <w:spacing w:line="360" w:lineRule="auto"/>
      <w:jc w:val="center"/>
    </w:pPr>
    <w:tblPr>
      <w:tblStyle w:val="33"/>
      <w:tblBorders>
        <w:top w:val="single" w:color="auto" w:sz="12" w:space="0"/>
        <w:bottom w:val="single" w:color="auto" w:sz="12" w:space="0"/>
      </w:tblBorders>
    </w:tblPr>
    <w:tcPr>
      <w:vAlign w:val="center"/>
    </w:tcPr>
    <w:tblStylePr w:type="firstRow">
      <w:rPr>
        <w:rFonts w:eastAsia="Times New Roman"/>
        <w:b w:val="0"/>
        <w:i w:val="0"/>
        <w:sz w:val="21"/>
      </w:rPr>
      <w:tblPr>
        <w:tblStyle w:val="33"/>
      </w:tblPr>
      <w:tcPr>
        <w:tcBorders>
          <w:top w:val="nil"/>
          <w:left w:val="single" w:color="auto" w:sz="12" w:space="0"/>
          <w:bottom w:val="nil"/>
          <w:right w:val="nil"/>
          <w:insideH w:val="nil"/>
          <w:insideV w:val="nil"/>
          <w:tl2br w:val="nil"/>
          <w:tr2bl w:val="nil"/>
        </w:tcBorders>
      </w:tcPr>
    </w:tblStylePr>
  </w:style>
  <w:style w:type="paragraph" w:customStyle="1" w:styleId="112">
    <w:name w:val="报告表 公式"/>
    <w:basedOn w:val="8"/>
    <w:link w:val="113"/>
    <w:qFormat/>
    <w:uiPriority w:val="0"/>
    <w:pPr>
      <w:keepNext w:val="0"/>
      <w:keepLines w:val="0"/>
      <w:spacing w:before="20" w:beforeLines="20" w:after="20" w:afterLines="20" w:line="400" w:lineRule="exact"/>
      <w:jc w:val="center"/>
    </w:pPr>
    <w:rPr>
      <w:rFonts w:ascii="Times New Roman" w:hAnsi="Times New Roman" w:eastAsia="仿宋_GB2312"/>
      <w:b w:val="0"/>
      <w:sz w:val="24"/>
    </w:rPr>
  </w:style>
  <w:style w:type="character" w:customStyle="1" w:styleId="113">
    <w:name w:val="报告表 公式 Char"/>
    <w:link w:val="112"/>
    <w:qFormat/>
    <w:uiPriority w:val="0"/>
    <w:rPr>
      <w:rFonts w:eastAsia="仿宋_GB2312"/>
      <w:bCs/>
      <w:kern w:val="2"/>
      <w:sz w:val="24"/>
      <w:szCs w:val="28"/>
    </w:rPr>
  </w:style>
  <w:style w:type="paragraph" w:customStyle="1" w:styleId="114">
    <w:name w:val="曹一"/>
    <w:basedOn w:val="6"/>
    <w:link w:val="115"/>
    <w:qFormat/>
    <w:uiPriority w:val="0"/>
    <w:pPr>
      <w:keepLines/>
      <w:overflowPunct/>
      <w:snapToGrid/>
      <w:spacing w:before="0" w:after="156" w:afterLines="50" w:line="500" w:lineRule="exact"/>
      <w:ind w:left="0" w:firstLine="0"/>
    </w:pPr>
    <w:rPr>
      <w:rFonts w:eastAsia="宋体"/>
      <w:color w:val="auto"/>
      <w:sz w:val="28"/>
      <w:szCs w:val="44"/>
    </w:rPr>
  </w:style>
  <w:style w:type="character" w:customStyle="1" w:styleId="115">
    <w:name w:val="曹一 Char"/>
    <w:link w:val="114"/>
    <w:qFormat/>
    <w:uiPriority w:val="0"/>
    <w:rPr>
      <w:b/>
      <w:bCs/>
      <w:kern w:val="44"/>
      <w:sz w:val="28"/>
      <w:szCs w:val="44"/>
    </w:rPr>
  </w:style>
  <w:style w:type="paragraph" w:customStyle="1" w:styleId="116">
    <w:name w:val="曹1.1.1"/>
    <w:basedOn w:val="1"/>
    <w:link w:val="117"/>
    <w:qFormat/>
    <w:uiPriority w:val="0"/>
    <w:pPr>
      <w:spacing w:line="360" w:lineRule="auto"/>
    </w:pPr>
    <w:rPr>
      <w:b/>
      <w:sz w:val="24"/>
    </w:rPr>
  </w:style>
  <w:style w:type="character" w:customStyle="1" w:styleId="117">
    <w:name w:val="曹1.1.1 Char"/>
    <w:link w:val="116"/>
    <w:qFormat/>
    <w:uiPriority w:val="0"/>
    <w:rPr>
      <w:b/>
      <w:kern w:val="2"/>
      <w:sz w:val="24"/>
      <w:szCs w:val="24"/>
    </w:rPr>
  </w:style>
  <w:style w:type="paragraph" w:customStyle="1" w:styleId="118">
    <w:name w:val="曹表头"/>
    <w:basedOn w:val="1"/>
    <w:link w:val="119"/>
    <w:qFormat/>
    <w:uiPriority w:val="0"/>
    <w:pPr>
      <w:spacing w:line="360" w:lineRule="auto"/>
      <w:jc w:val="center"/>
    </w:pPr>
    <w:rPr>
      <w:b/>
      <w:sz w:val="24"/>
    </w:rPr>
  </w:style>
  <w:style w:type="character" w:customStyle="1" w:styleId="119">
    <w:name w:val="曹表头 Char"/>
    <w:link w:val="118"/>
    <w:qFormat/>
    <w:uiPriority w:val="0"/>
    <w:rPr>
      <w:b/>
      <w:kern w:val="2"/>
      <w:sz w:val="24"/>
      <w:szCs w:val="24"/>
    </w:rPr>
  </w:style>
  <w:style w:type="character" w:customStyle="1" w:styleId="120">
    <w:name w:val="正文缩进 Char1"/>
    <w:qFormat/>
    <w:uiPriority w:val="0"/>
    <w:rPr>
      <w:rFonts w:eastAsia="宋体"/>
      <w:kern w:val="2"/>
      <w:sz w:val="21"/>
      <w:szCs w:val="24"/>
      <w:lang w:val="en-US" w:eastAsia="zh-CN" w:bidi="ar-SA"/>
    </w:rPr>
  </w:style>
  <w:style w:type="paragraph" w:customStyle="1" w:styleId="121">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character" w:customStyle="1" w:styleId="122">
    <w:name w:val="标题1"/>
    <w:basedOn w:val="38"/>
    <w:qFormat/>
    <w:uiPriority w:val="0"/>
  </w:style>
  <w:style w:type="paragraph" w:customStyle="1" w:styleId="123">
    <w:name w:val="标题2"/>
    <w:basedOn w:val="1"/>
    <w:next w:val="1"/>
    <w:qFormat/>
    <w:uiPriority w:val="0"/>
    <w:pPr>
      <w:autoSpaceDE w:val="0"/>
      <w:autoSpaceDN w:val="0"/>
      <w:snapToGrid w:val="0"/>
      <w:spacing w:line="590" w:lineRule="atLeast"/>
      <w:jc w:val="center"/>
    </w:pPr>
    <w:rPr>
      <w:rFonts w:eastAsia="方正楷体_GBK"/>
      <w:snapToGrid w:val="0"/>
      <w:kern w:val="0"/>
      <w:sz w:val="32"/>
      <w:szCs w:val="20"/>
    </w:rPr>
  </w:style>
  <w:style w:type="paragraph" w:customStyle="1" w:styleId="124">
    <w:name w:val="普通(网站)1"/>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125">
    <w:name w:val="样式1"/>
    <w:basedOn w:val="1"/>
    <w:qFormat/>
    <w:uiPriority w:val="0"/>
    <w:pPr>
      <w:snapToGrid w:val="0"/>
      <w:spacing w:line="360" w:lineRule="auto"/>
      <w:jc w:val="center"/>
      <w:outlineLvl w:val="0"/>
    </w:pPr>
    <w:rPr>
      <w:rFonts w:eastAsia="黑体"/>
      <w:color w:val="000000"/>
      <w:spacing w:val="4"/>
      <w:szCs w:val="20"/>
    </w:rPr>
  </w:style>
  <w:style w:type="character" w:customStyle="1" w:styleId="126">
    <w:name w:val="A表头 Char"/>
    <w:link w:val="127"/>
    <w:qFormat/>
    <w:locked/>
    <w:uiPriority w:val="0"/>
    <w:rPr>
      <w:b/>
    </w:rPr>
  </w:style>
  <w:style w:type="paragraph" w:customStyle="1" w:styleId="127">
    <w:name w:val="A表头"/>
    <w:basedOn w:val="1"/>
    <w:link w:val="126"/>
    <w:qFormat/>
    <w:uiPriority w:val="0"/>
    <w:pPr>
      <w:adjustRightInd w:val="0"/>
      <w:snapToGrid w:val="0"/>
      <w:jc w:val="center"/>
    </w:pPr>
    <w:rPr>
      <w:b/>
      <w:kern w:val="0"/>
      <w:sz w:val="20"/>
      <w:szCs w:val="20"/>
    </w:rPr>
  </w:style>
  <w:style w:type="paragraph" w:customStyle="1" w:styleId="128">
    <w:name w:val="表格样式"/>
    <w:basedOn w:val="1"/>
    <w:qFormat/>
    <w:uiPriority w:val="0"/>
    <w:pPr>
      <w:adjustRightInd w:val="0"/>
      <w:snapToGrid w:val="0"/>
      <w:jc w:val="center"/>
    </w:pPr>
    <w:rPr>
      <w:szCs w:val="21"/>
    </w:rPr>
  </w:style>
  <w:style w:type="paragraph" w:customStyle="1" w:styleId="129">
    <w:name w:val="表名"/>
    <w:basedOn w:val="1"/>
    <w:next w:val="1"/>
    <w:link w:val="130"/>
    <w:qFormat/>
    <w:uiPriority w:val="0"/>
    <w:pPr>
      <w:keepNext/>
      <w:adjustRightInd w:val="0"/>
      <w:snapToGrid w:val="0"/>
      <w:jc w:val="center"/>
    </w:pPr>
    <w:rPr>
      <w:rFonts w:ascii="宋体"/>
      <w:b/>
      <w:sz w:val="24"/>
      <w:szCs w:val="28"/>
    </w:rPr>
  </w:style>
  <w:style w:type="character" w:customStyle="1" w:styleId="130">
    <w:name w:val="表名 字符"/>
    <w:link w:val="129"/>
    <w:qFormat/>
    <w:uiPriority w:val="0"/>
    <w:rPr>
      <w:rFonts w:ascii="宋体"/>
      <w:b/>
      <w:kern w:val="2"/>
      <w:sz w:val="24"/>
      <w:szCs w:val="28"/>
    </w:rPr>
  </w:style>
  <w:style w:type="paragraph" w:customStyle="1" w:styleId="131">
    <w:name w:val="Table Paragraph"/>
    <w:basedOn w:val="1"/>
    <w:qFormat/>
    <w:uiPriority w:val="1"/>
    <w:pPr>
      <w:autoSpaceDE w:val="0"/>
      <w:autoSpaceDN w:val="0"/>
      <w:jc w:val="left"/>
    </w:pPr>
    <w:rPr>
      <w:rFonts w:ascii="宋体" w:hAnsi="宋体" w:cs="宋体"/>
      <w:kern w:val="0"/>
      <w:sz w:val="22"/>
      <w:szCs w:val="22"/>
      <w:lang w:eastAsia="en-US" w:bidi="en-US"/>
    </w:rPr>
  </w:style>
  <w:style w:type="character" w:customStyle="1" w:styleId="132">
    <w:name w:val="表格 普通文字 Char Char"/>
    <w:qFormat/>
    <w:uiPriority w:val="0"/>
    <w:rPr>
      <w:rFonts w:ascii="Arial" w:hAnsi="Arial" w:eastAsia="仿宋_GB2312"/>
      <w:kern w:val="2"/>
      <w:sz w:val="21"/>
      <w:szCs w:val="21"/>
    </w:rPr>
  </w:style>
  <w:style w:type="paragraph" w:customStyle="1" w:styleId="133">
    <w:name w:val="报告表 表内 3级"/>
    <w:link w:val="134"/>
    <w:qFormat/>
    <w:uiPriority w:val="0"/>
    <w:pPr>
      <w:widowControl w:val="0"/>
      <w:spacing w:line="400" w:lineRule="exact"/>
      <w:ind w:firstLine="482"/>
      <w:outlineLvl w:val="3"/>
    </w:pPr>
    <w:rPr>
      <w:rFonts w:eastAsia="仿宋_GB2312"/>
      <w:b/>
      <w:bCs/>
      <w:kern w:val="2"/>
      <w:sz w:val="24"/>
      <w:szCs w:val="28"/>
      <w:lang w:val="en-US" w:eastAsia="zh-CN" w:bidi="ar-SA"/>
    </w:rPr>
  </w:style>
  <w:style w:type="character" w:customStyle="1" w:styleId="134">
    <w:name w:val="报告表 表内 3级 Char"/>
    <w:link w:val="133"/>
    <w:qFormat/>
    <w:uiPriority w:val="0"/>
    <w:rPr>
      <w:rFonts w:eastAsia="仿宋_GB2312"/>
      <w:b/>
      <w:bCs/>
      <w:kern w:val="2"/>
      <w:sz w:val="24"/>
      <w:szCs w:val="28"/>
    </w:rPr>
  </w:style>
  <w:style w:type="character" w:customStyle="1" w:styleId="135">
    <w:name w:val="表格 内普通文字 Char"/>
    <w:link w:val="136"/>
    <w:qFormat/>
    <w:uiPriority w:val="0"/>
    <w:rPr>
      <w:rFonts w:eastAsia="仿宋_GB2312"/>
      <w:kern w:val="2"/>
      <w:sz w:val="21"/>
      <w:szCs w:val="21"/>
    </w:rPr>
  </w:style>
  <w:style w:type="paragraph" w:customStyle="1" w:styleId="136">
    <w:name w:val="表格 内普通文字"/>
    <w:basedOn w:val="1"/>
    <w:link w:val="135"/>
    <w:qFormat/>
    <w:uiPriority w:val="0"/>
    <w:pPr>
      <w:jc w:val="center"/>
    </w:pPr>
    <w:rPr>
      <w:rFonts w:eastAsia="仿宋_GB2312"/>
      <w:szCs w:val="21"/>
    </w:rPr>
  </w:style>
  <w:style w:type="paragraph" w:customStyle="1" w:styleId="137">
    <w:name w:val="A标题"/>
    <w:basedOn w:val="1"/>
    <w:qFormat/>
    <w:uiPriority w:val="0"/>
    <w:pPr>
      <w:spacing w:line="500" w:lineRule="exact"/>
      <w:ind w:firstLine="482"/>
    </w:pPr>
    <w:rPr>
      <w:b/>
      <w:color w:val="000000"/>
      <w:kern w:val="0"/>
      <w:sz w:val="24"/>
    </w:rPr>
  </w:style>
  <w:style w:type="paragraph" w:customStyle="1" w:styleId="138">
    <w:name w:val="报告书 正文"/>
    <w:link w:val="139"/>
    <w:qFormat/>
    <w:uiPriority w:val="0"/>
    <w:pPr>
      <w:widowControl w:val="0"/>
      <w:spacing w:line="360" w:lineRule="auto"/>
      <w:ind w:firstLine="200" w:firstLineChars="200"/>
      <w:jc w:val="both"/>
    </w:pPr>
    <w:rPr>
      <w:kern w:val="2"/>
      <w:sz w:val="24"/>
      <w:szCs w:val="24"/>
      <w:lang w:val="en-US" w:eastAsia="zh-CN" w:bidi="ar-SA"/>
    </w:rPr>
  </w:style>
  <w:style w:type="character" w:customStyle="1" w:styleId="139">
    <w:name w:val="报告书 正文 Char"/>
    <w:link w:val="138"/>
    <w:qFormat/>
    <w:uiPriority w:val="0"/>
    <w:rPr>
      <w:kern w:val="2"/>
      <w:sz w:val="24"/>
      <w:szCs w:val="24"/>
    </w:rPr>
  </w:style>
  <w:style w:type="paragraph" w:customStyle="1" w:styleId="140">
    <w:name w:val="表体"/>
    <w:link w:val="141"/>
    <w:qFormat/>
    <w:uiPriority w:val="0"/>
    <w:pPr>
      <w:adjustRightInd w:val="0"/>
      <w:snapToGrid w:val="0"/>
      <w:jc w:val="center"/>
    </w:pPr>
    <w:rPr>
      <w:rFonts w:ascii="宋体"/>
      <w:color w:val="000080"/>
      <w:kern w:val="2"/>
      <w:sz w:val="21"/>
      <w:szCs w:val="24"/>
      <w:lang w:val="en-US" w:eastAsia="zh-CN" w:bidi="ar-SA"/>
    </w:rPr>
  </w:style>
  <w:style w:type="character" w:customStyle="1" w:styleId="141">
    <w:name w:val="表体 字符"/>
    <w:link w:val="140"/>
    <w:qFormat/>
    <w:uiPriority w:val="0"/>
    <w:rPr>
      <w:rFonts w:ascii="宋体"/>
      <w:color w:val="000080"/>
      <w:kern w:val="2"/>
      <w:sz w:val="21"/>
      <w:szCs w:val="24"/>
    </w:rPr>
  </w:style>
  <w:style w:type="paragraph" w:styleId="142">
    <w:name w:val="Intense Quote"/>
    <w:basedOn w:val="1"/>
    <w:next w:val="1"/>
    <w:link w:val="143"/>
    <w:qFormat/>
    <w:uiPriority w:val="30"/>
    <w:pPr>
      <w:pBdr>
        <w:bottom w:val="single" w:color="4F81BD" w:sz="4" w:space="4"/>
      </w:pBdr>
      <w:adjustRightInd w:val="0"/>
      <w:snapToGrid w:val="0"/>
      <w:spacing w:before="200" w:after="280" w:line="360" w:lineRule="auto"/>
      <w:ind w:left="936" w:right="936" w:firstLine="200" w:firstLineChars="200"/>
    </w:pPr>
    <w:rPr>
      <w:rFonts w:ascii="宋体"/>
      <w:b/>
      <w:bCs/>
      <w:i/>
      <w:iCs/>
      <w:color w:val="4F81BD"/>
      <w:sz w:val="24"/>
      <w:szCs w:val="28"/>
    </w:rPr>
  </w:style>
  <w:style w:type="character" w:customStyle="1" w:styleId="143">
    <w:name w:val="明显引用 字符"/>
    <w:link w:val="142"/>
    <w:qFormat/>
    <w:uiPriority w:val="30"/>
    <w:rPr>
      <w:rFonts w:ascii="宋体"/>
      <w:b/>
      <w:bCs/>
      <w:i/>
      <w:iCs/>
      <w:color w:val="4F81BD"/>
      <w:kern w:val="2"/>
      <w:sz w:val="24"/>
      <w:szCs w:val="28"/>
    </w:rPr>
  </w:style>
  <w:style w:type="paragraph" w:customStyle="1" w:styleId="144">
    <w:name w:val="表格 首行文字"/>
    <w:link w:val="145"/>
    <w:qFormat/>
    <w:uiPriority w:val="99"/>
    <w:pPr>
      <w:adjustRightInd w:val="0"/>
      <w:snapToGrid w:val="0"/>
      <w:jc w:val="center"/>
    </w:pPr>
    <w:rPr>
      <w:b/>
      <w:kern w:val="2"/>
      <w:sz w:val="21"/>
      <w:szCs w:val="22"/>
      <w:lang w:val="en-US" w:eastAsia="zh-CN" w:bidi="ar-SA"/>
    </w:rPr>
  </w:style>
  <w:style w:type="character" w:customStyle="1" w:styleId="145">
    <w:name w:val="表格 首行文字 Char"/>
    <w:link w:val="144"/>
    <w:qFormat/>
    <w:uiPriority w:val="99"/>
    <w:rPr>
      <w:b/>
      <w:kern w:val="2"/>
      <w:sz w:val="21"/>
      <w:szCs w:val="22"/>
    </w:rPr>
  </w:style>
  <w:style w:type="paragraph" w:customStyle="1" w:styleId="146">
    <w:name w:val="图片"/>
    <w:basedOn w:val="86"/>
    <w:qFormat/>
    <w:uiPriority w:val="0"/>
    <w:pPr>
      <w:spacing w:line="240" w:lineRule="auto"/>
    </w:pPr>
    <w:rPr>
      <w:bCs/>
      <w:szCs w:val="24"/>
    </w:rPr>
  </w:style>
  <w:style w:type="table" w:customStyle="1" w:styleId="147">
    <w:name w:val="Table Normal"/>
    <w:unhideWhenUsed/>
    <w:qFormat/>
    <w:uiPriority w:val="2"/>
    <w:pPr>
      <w:widowControl w:val="0"/>
      <w:autoSpaceDE w:val="0"/>
      <w:autoSpaceDN w:val="0"/>
    </w:pPr>
    <w:rPr>
      <w:rFonts w:ascii="等线" w:hAnsi="等线" w:eastAsia="等线"/>
      <w:sz w:val="22"/>
      <w:szCs w:val="22"/>
      <w:lang w:val="en-US" w:eastAsia="en-US" w:bidi="ar-SA"/>
    </w:rPr>
    <w:tblPr>
      <w:tblStyle w:val="33"/>
      <w:tblCellMar>
        <w:top w:w="0" w:type="dxa"/>
        <w:left w:w="0" w:type="dxa"/>
        <w:bottom w:w="0" w:type="dxa"/>
        <w:right w:w="0" w:type="dxa"/>
      </w:tblCellMar>
    </w:tblPr>
  </w:style>
  <w:style w:type="paragraph" w:customStyle="1" w:styleId="148">
    <w:name w:val="Pa1"/>
    <w:basedOn w:val="1"/>
    <w:next w:val="1"/>
    <w:qFormat/>
    <w:uiPriority w:val="0"/>
    <w:pPr>
      <w:autoSpaceDE w:val="0"/>
      <w:autoSpaceDN w:val="0"/>
      <w:spacing w:line="221" w:lineRule="atLeast"/>
      <w:jc w:val="left"/>
    </w:pPr>
    <w:rPr>
      <w:rFonts w:ascii="黑体" w:hAnsi="黑体" w:eastAsia="黑体"/>
      <w:color w:val="000000"/>
      <w:kern w:val="0"/>
      <w:sz w:val="24"/>
      <w:szCs w:val="20"/>
    </w:rPr>
  </w:style>
  <w:style w:type="character" w:customStyle="1" w:styleId="149">
    <w:name w:val="time"/>
    <w:basedOn w:val="38"/>
    <w:uiPriority w:val="0"/>
  </w:style>
  <w:style w:type="character" w:customStyle="1" w:styleId="150">
    <w:name w:val="time1"/>
    <w:basedOn w:val="38"/>
    <w:uiPriority w:val="0"/>
  </w:style>
  <w:style w:type="character" w:customStyle="1" w:styleId="151">
    <w:name w:val="fontborder"/>
    <w:basedOn w:val="38"/>
    <w:uiPriority w:val="0"/>
    <w:rPr>
      <w:bdr w:val="single" w:color="000000" w:sz="6" w:space="0"/>
    </w:rPr>
  </w:style>
  <w:style w:type="character" w:customStyle="1" w:styleId="152">
    <w:name w:val="fontstrikethrough"/>
    <w:basedOn w:val="38"/>
    <w:uiPriority w:val="0"/>
    <w:rPr>
      <w:strike/>
    </w:rPr>
  </w:style>
  <w:style w:type="character" w:customStyle="1" w:styleId="153">
    <w:name w:val="normal1"/>
    <w:basedOn w:val="38"/>
    <w:uiPriority w:val="0"/>
    <w:rPr>
      <w:b/>
      <w:bCs/>
      <w:sz w:val="19"/>
      <w:szCs w:val="19"/>
    </w:rPr>
  </w:style>
  <w:style w:type="paragraph" w:customStyle="1" w:styleId="154">
    <w:name w:val="表格标题--中祥"/>
    <w:basedOn w:val="1"/>
    <w:qFormat/>
    <w:uiPriority w:val="0"/>
    <w:pPr>
      <w:spacing w:line="320" w:lineRule="exact"/>
      <w:ind w:firstLine="482"/>
      <w:jc w:val="center"/>
    </w:pPr>
    <w:rPr>
      <w:rFonts w:ascii="宋体" w:hAnsi="宋体"/>
      <w:b/>
      <w:lang w:val="zh-CN"/>
    </w:rPr>
  </w:style>
  <w:style w:type="paragraph" w:customStyle="1" w:styleId="155">
    <w:name w:val="表格内容--中祥"/>
    <w:basedOn w:val="1"/>
    <w:qFormat/>
    <w:uiPriority w:val="0"/>
    <w:pPr>
      <w:spacing w:line="240" w:lineRule="auto"/>
      <w:ind w:firstLine="0" w:firstLineChars="0"/>
      <w:jc w:val="center"/>
    </w:pPr>
    <w:rPr>
      <w:rFonts w:ascii="Calibri" w:hAnsi="Calibri"/>
      <w:kern w:val="0"/>
      <w:sz w:val="21"/>
      <w:szCs w:val="21"/>
    </w:rPr>
  </w:style>
  <w:style w:type="table" w:customStyle="1" w:styleId="156">
    <w:name w:val="网格型1"/>
    <w:basedOn w:val="33"/>
    <w:qFormat/>
    <w:uiPriority w:val="59"/>
    <w:tblPr>
      <w:tblStyle w:val="3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7">
    <w:name w:val="starting"/>
    <w:basedOn w:val="38"/>
    <w:uiPriority w:val="0"/>
    <w:rPr>
      <w:color w:val="339900"/>
    </w:rPr>
  </w:style>
  <w:style w:type="character" w:customStyle="1" w:styleId="158">
    <w:name w:val="starting1"/>
    <w:basedOn w:val="38"/>
    <w:uiPriority w:val="0"/>
    <w:rPr>
      <w:color w:val="339900"/>
    </w:rPr>
  </w:style>
  <w:style w:type="character" w:customStyle="1" w:styleId="159">
    <w:name w:val="over4"/>
    <w:basedOn w:val="38"/>
    <w:uiPriority w:val="0"/>
    <w:rPr>
      <w:color w:val="B60000"/>
    </w:rPr>
  </w:style>
  <w:style w:type="character" w:customStyle="1" w:styleId="160">
    <w:name w:val="note-content"/>
    <w:basedOn w:val="38"/>
    <w:uiPriority w:val="0"/>
  </w:style>
  <w:style w:type="character" w:customStyle="1" w:styleId="161">
    <w:name w:val="note-content1"/>
    <w:basedOn w:val="38"/>
    <w:uiPriority w:val="0"/>
    <w:rPr>
      <w:color w:val="333333"/>
    </w:rPr>
  </w:style>
  <w:style w:type="character" w:customStyle="1" w:styleId="162">
    <w:name w:val="nostart3"/>
    <w:basedOn w:val="38"/>
    <w:uiPriority w:val="0"/>
    <w:rPr>
      <w:color w:val="FF0000"/>
    </w:rPr>
  </w:style>
  <w:style w:type="character" w:customStyle="1" w:styleId="163">
    <w:name w:val="nostart4"/>
    <w:basedOn w:val="38"/>
    <w:uiPriority w:val="0"/>
    <w:rPr>
      <w:color w:val="B60000"/>
    </w:rPr>
  </w:style>
  <w:style w:type="character" w:customStyle="1" w:styleId="164">
    <w:name w:val="nr"/>
    <w:basedOn w:val="38"/>
    <w:uiPriority w:val="0"/>
  </w:style>
  <w:style w:type="character" w:customStyle="1" w:styleId="165">
    <w:name w:val="bt"/>
    <w:basedOn w:val="38"/>
    <w:uiPriority w:val="0"/>
    <w:rPr>
      <w:color w:val="FFFFFF"/>
      <w:sz w:val="21"/>
      <w:szCs w:val="21"/>
      <w:shd w:val="clear" w:color="auto" w:fill="0078D3"/>
    </w:rPr>
  </w:style>
  <w:style w:type="character" w:customStyle="1" w:styleId="166">
    <w:name w:val="spgai"/>
    <w:basedOn w:val="38"/>
    <w:uiPriority w:val="0"/>
  </w:style>
  <w:style w:type="character" w:customStyle="1" w:styleId="167">
    <w:name w:val="spgai1"/>
    <w:basedOn w:val="38"/>
    <w:uiPriority w:val="0"/>
  </w:style>
  <w:style w:type="character" w:customStyle="1" w:styleId="168">
    <w:name w:val="c2"/>
    <w:basedOn w:val="38"/>
    <w:uiPriority w:val="0"/>
  </w:style>
  <w:style w:type="character" w:customStyle="1" w:styleId="169">
    <w:name w:val="tit"/>
    <w:basedOn w:val="38"/>
    <w:uiPriority w:val="0"/>
    <w:rPr>
      <w:b/>
      <w:bCs/>
      <w:color w:val="DD0000"/>
    </w:rPr>
  </w:style>
  <w:style w:type="character" w:customStyle="1" w:styleId="170">
    <w:name w:val="img_title6"/>
    <w:basedOn w:val="38"/>
    <w:uiPriority w:val="0"/>
    <w:rPr>
      <w:vanish/>
    </w:rPr>
  </w:style>
  <w:style w:type="character" w:customStyle="1" w:styleId="171">
    <w:name w:val="datetime"/>
    <w:basedOn w:val="38"/>
    <w:uiPriority w:val="0"/>
    <w:rPr>
      <w:rFonts w:ascii="Arial" w:hAnsi="Arial" w:cs="Arial"/>
      <w:color w:val="999999"/>
      <w:sz w:val="21"/>
      <w:szCs w:val="21"/>
    </w:rPr>
  </w:style>
  <w:style w:type="character" w:customStyle="1" w:styleId="172">
    <w:name w:val="msg-box16"/>
    <w:basedOn w:val="38"/>
    <w:uiPriority w:val="0"/>
  </w:style>
  <w:style w:type="character" w:customStyle="1" w:styleId="173">
    <w:name w:val="c1"/>
    <w:basedOn w:val="38"/>
    <w:uiPriority w:val="0"/>
  </w:style>
  <w:style w:type="character" w:customStyle="1" w:styleId="174">
    <w:name w:val="c3"/>
    <w:basedOn w:val="38"/>
    <w:uiPriority w:val="0"/>
  </w:style>
  <w:style w:type="character" w:customStyle="1" w:styleId="175">
    <w:name w:val="over"/>
    <w:basedOn w:val="38"/>
    <w:uiPriority w:val="0"/>
    <w:rPr>
      <w:color w:val="B60000"/>
    </w:rPr>
  </w:style>
  <w:style w:type="character" w:customStyle="1" w:styleId="176">
    <w:name w:val="over1"/>
    <w:basedOn w:val="38"/>
    <w:uiPriority w:val="0"/>
    <w:rPr>
      <w:color w:val="B60000"/>
    </w:rPr>
  </w:style>
  <w:style w:type="character" w:customStyle="1" w:styleId="177">
    <w:name w:val="bt2"/>
    <w:basedOn w:val="38"/>
    <w:uiPriority w:val="0"/>
    <w:rPr>
      <w:color w:val="FFFFFF"/>
      <w:sz w:val="21"/>
      <w:szCs w:val="21"/>
      <w:shd w:val="clear" w:color="auto" w:fill="0078D3"/>
    </w:rPr>
  </w:style>
  <w:style w:type="character" w:customStyle="1" w:styleId="178">
    <w:name w:val="nostart5"/>
    <w:basedOn w:val="38"/>
    <w:uiPriority w:val="0"/>
    <w:rPr>
      <w:color w:val="FF0000"/>
    </w:rPr>
  </w:style>
  <w:style w:type="paragraph" w:customStyle="1" w:styleId="179">
    <w:name w:val="正文1"/>
    <w:basedOn w:val="1"/>
    <w:qFormat/>
    <w:uiPriority w:val="0"/>
    <w:pPr>
      <w:spacing w:line="360" w:lineRule="auto"/>
      <w:ind w:firstLine="200" w:firstLineChars="200"/>
      <w:jc w:val="both"/>
    </w:pPr>
    <w:rPr>
      <w:kern w:val="0"/>
    </w:rPr>
  </w:style>
  <w:style w:type="paragraph" w:customStyle="1" w:styleId="180">
    <w:name w:val="表头"/>
    <w:basedOn w:val="10"/>
    <w:qFormat/>
    <w:uiPriority w:val="0"/>
    <w:pPr>
      <w:adjustRightInd w:val="0"/>
      <w:snapToGrid w:val="0"/>
      <w:spacing w:line="600" w:lineRule="exact"/>
      <w:ind w:firstLine="281" w:firstLineChars="100"/>
      <w:jc w:val="center"/>
    </w:pPr>
    <w:rPr>
      <w:rFonts w:ascii="宋体" w:hAnsi="宋体"/>
      <w:b/>
      <w:sz w:val="28"/>
      <w:szCs w:val="28"/>
    </w:rPr>
  </w:style>
  <w:style w:type="paragraph" w:customStyle="1" w:styleId="181">
    <w:name w:val="黄酒表格标题"/>
    <w:qFormat/>
    <w:uiPriority w:val="0"/>
    <w:pPr>
      <w:tabs>
        <w:tab w:val="left" w:pos="-2848"/>
      </w:tabs>
      <w:jc w:val="center"/>
    </w:pPr>
    <w:rPr>
      <w:rFonts w:ascii="Calibri" w:hAnsi="Calibri" w:eastAsia="宋体" w:cs="宋体"/>
      <w:b/>
      <w:sz w:val="21"/>
      <w:szCs w:val="21"/>
      <w:lang w:val="en-US" w:eastAsia="zh-CN" w:bidi="ar-SA"/>
    </w:rPr>
  </w:style>
  <w:style w:type="paragraph" w:customStyle="1" w:styleId="182">
    <w:name w:val="正文文本1"/>
    <w:basedOn w:val="15"/>
    <w:qFormat/>
    <w:uiPriority w:val="0"/>
    <w:pPr>
      <w:spacing w:line="360" w:lineRule="auto"/>
      <w:ind w:firstLine="1044" w:firstLineChars="200"/>
    </w:pPr>
    <w:rPr>
      <w:rFonts w:ascii="Times New Roman" w:hAnsi="Times New Roman" w:eastAsia="宋体" w:cs="Times New Roman"/>
      <w:lang w:val="zh-CN" w:bidi="zh-CN"/>
    </w:rPr>
  </w:style>
  <w:style w:type="character" w:customStyle="1" w:styleId="183">
    <w:name w:val="报告正文 Char"/>
    <w:link w:val="184"/>
    <w:qFormat/>
    <w:uiPriority w:val="0"/>
    <w:rPr>
      <w:color w:val="000000"/>
      <w:kern w:val="0"/>
      <w:sz w:val="24"/>
    </w:rPr>
  </w:style>
  <w:style w:type="paragraph" w:customStyle="1" w:styleId="184">
    <w:name w:val="报告正文"/>
    <w:basedOn w:val="1"/>
    <w:link w:val="183"/>
    <w:qFormat/>
    <w:uiPriority w:val="0"/>
    <w:pPr>
      <w:spacing w:line="480" w:lineRule="exact"/>
      <w:ind w:firstLine="200" w:firstLineChars="200"/>
    </w:pPr>
    <w:rPr>
      <w:color w:val="000000"/>
      <w:kern w:val="0"/>
      <w:sz w:val="24"/>
    </w:rPr>
  </w:style>
  <w:style w:type="paragraph" w:customStyle="1" w:styleId="185">
    <w:name w:val="段落"/>
    <w:basedOn w:val="1"/>
    <w:qFormat/>
    <w:uiPriority w:val="0"/>
    <w:pPr>
      <w:ind w:firstLine="200"/>
    </w:pPr>
    <w:rPr>
      <w:szCs w:val="24"/>
    </w:rPr>
  </w:style>
  <w:style w:type="paragraph" w:customStyle="1" w:styleId="186">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87">
    <w:name w:val="样式5"/>
    <w:basedOn w:val="179"/>
    <w:qFormat/>
    <w:uiPriority w:val="0"/>
    <w:pPr>
      <w:spacing w:line="360" w:lineRule="auto"/>
      <w:ind w:firstLine="510"/>
    </w:pPr>
  </w:style>
  <w:style w:type="paragraph" w:customStyle="1" w:styleId="188">
    <w:name w:val="正文首行缩进2个字"/>
    <w:basedOn w:val="1"/>
    <w:qFormat/>
    <w:uiPriority w:val="0"/>
    <w:pPr>
      <w:spacing w:line="480" w:lineRule="exact"/>
      <w:ind w:firstLine="600" w:firstLineChars="200"/>
    </w:pPr>
    <w:rPr>
      <w:spacing w:val="3"/>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62</Pages>
  <Words>26966</Words>
  <Characters>30029</Characters>
  <Lines>130</Lines>
  <Paragraphs>36</Paragraphs>
  <TotalTime>4</TotalTime>
  <ScaleCrop>false</ScaleCrop>
  <LinksUpToDate>false</LinksUpToDate>
  <CharactersWithSpaces>30418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2021-03-11T02:34:00Z</dcterms:created>
  <dc:creator>lhj</dc:creator>
  <cp:lastModifiedBy>liu：min&amp;</cp:lastModifiedBy>
  <cp:lastPrinted>2020-12-29T02:43:00Z</cp:lastPrinted>
  <dcterms:modified xsi:type="dcterms:W3CDTF">2022-05-19T03:27:26Z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42CD3DC7804C478C9AC6FB77D1FF485D</vt:lpwstr>
  </property>
</Properties>
</file>