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7号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关于邵东县祠堂边建筑石料用灰岩有限公司年开采</w:t>
      </w:r>
    </w:p>
    <w:p>
      <w:pPr>
        <w:adjustRightInd w:val="0"/>
        <w:snapToGrid w:val="0"/>
        <w:spacing w:line="288" w:lineRule="auto"/>
        <w:ind w:firstLine="1040"/>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加工100万吨石灰岩改扩建项目环境影响</w:t>
      </w:r>
    </w:p>
    <w:p>
      <w:pPr>
        <w:adjustRightInd w:val="0"/>
        <w:snapToGrid w:val="0"/>
        <w:spacing w:line="288" w:lineRule="auto"/>
        <w:ind w:firstLine="104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邵东县祠堂边建筑石料用灰岩有限公司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邵东县祠堂边建筑石料用灰岩有限公司年开采加工100万吨石灰岩改扩建项目环境影响报告表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3000</w:t>
      </w:r>
      <w:r>
        <w:rPr>
          <w:rFonts w:hint="default" w:ascii="Times New Roman" w:hAnsi="Times New Roman" w:eastAsia="宋体" w:cs="Times New Roman"/>
          <w:b w:val="0"/>
          <w:bCs w:val="0"/>
          <w:sz w:val="24"/>
          <w:szCs w:val="24"/>
          <w:lang w:val="en-US" w:eastAsia="zh-CN"/>
        </w:rPr>
        <w:t>万元在</w:t>
      </w:r>
      <w:r>
        <w:rPr>
          <w:sz w:val="24"/>
        </w:rPr>
        <w:t>湖南省邵阳市邵东市流泽镇祠堂边村</w:t>
      </w:r>
      <w:r>
        <w:rPr>
          <w:rFonts w:hint="eastAsia"/>
          <w:sz w:val="24"/>
          <w:lang w:eastAsia="zh-CN"/>
        </w:rPr>
        <w:t>（</w:t>
      </w:r>
      <w:r>
        <w:rPr>
          <w:sz w:val="24"/>
        </w:rPr>
        <w:t>E 111°55′50.349″，N 27°17′8.354″</w:t>
      </w:r>
      <w:r>
        <w:rPr>
          <w:rFonts w:hint="eastAsia"/>
          <w:sz w:val="24"/>
          <w:lang w:eastAsia="zh-CN"/>
        </w:rPr>
        <w:t>）</w:t>
      </w:r>
      <w:r>
        <w:rPr>
          <w:rFonts w:hint="eastAsia"/>
          <w:sz w:val="24"/>
          <w:lang w:val="en-US" w:eastAsia="zh-CN"/>
        </w:rPr>
        <w:t>建设年开采加工100万吨石灰岩改扩项目</w:t>
      </w:r>
      <w:r>
        <w:rPr>
          <w:rFonts w:hint="eastAsia"/>
          <w:sz w:val="24"/>
          <w:lang w:eastAsia="zh-CN"/>
        </w:rPr>
        <w:t>，</w:t>
      </w:r>
      <w:r>
        <w:rPr>
          <w:rFonts w:hint="eastAsia"/>
          <w:sz w:val="24"/>
          <w:lang w:val="en-US" w:eastAsia="zh-CN"/>
        </w:rPr>
        <w:t>主要</w:t>
      </w:r>
      <w:r>
        <w:rPr>
          <w:rFonts w:hint="eastAsia" w:ascii="Times New Roman" w:hAnsi="Times New Roman" w:eastAsia="宋体" w:cs="Times New Roman"/>
          <w:color w:val="auto"/>
          <w:sz w:val="24"/>
          <w:szCs w:val="24"/>
          <w:highlight w:val="none"/>
          <w:lang w:val="en-US" w:eastAsia="zh-CN"/>
        </w:rPr>
        <w:t>是</w:t>
      </w:r>
      <w:r>
        <w:rPr>
          <w:sz w:val="24"/>
        </w:rPr>
        <w:t>对</w:t>
      </w:r>
      <w:r>
        <w:rPr>
          <w:rFonts w:hint="eastAsia"/>
          <w:sz w:val="24"/>
          <w:lang w:eastAsia="zh-CN"/>
        </w:rPr>
        <w:t>矿</w:t>
      </w:r>
      <w:r>
        <w:rPr>
          <w:sz w:val="24"/>
        </w:rPr>
        <w:t>区</w:t>
      </w:r>
      <w:r>
        <w:rPr>
          <w:rFonts w:hint="eastAsia"/>
          <w:sz w:val="24"/>
          <w:lang w:eastAsia="zh-CN"/>
        </w:rPr>
        <w:t>原址扩界扩能，调整后采区面积由原</w:t>
      </w:r>
      <w:r>
        <w:rPr>
          <w:rFonts w:hint="eastAsia"/>
          <w:sz w:val="24"/>
          <w:lang w:val="en-US" w:eastAsia="zh-CN"/>
        </w:rPr>
        <w:t>0.0446k</w:t>
      </w:r>
      <w:r>
        <w:rPr>
          <w:rFonts w:hint="default"/>
          <w:sz w:val="24"/>
          <w:lang w:eastAsia="zh-CN"/>
        </w:rPr>
        <w:t>m</w:t>
      </w:r>
      <w:r>
        <w:rPr>
          <w:rFonts w:hint="default"/>
          <w:sz w:val="24"/>
          <w:vertAlign w:val="superscript"/>
          <w:lang w:eastAsia="zh-CN"/>
        </w:rPr>
        <w:t>2</w:t>
      </w:r>
      <w:r>
        <w:rPr>
          <w:rFonts w:hint="eastAsia"/>
          <w:sz w:val="24"/>
          <w:lang w:val="en-US" w:eastAsia="zh-CN"/>
        </w:rPr>
        <w:t xml:space="preserve"> 扩大到0.3492k</w:t>
      </w:r>
      <w:r>
        <w:rPr>
          <w:rFonts w:hint="default"/>
          <w:sz w:val="24"/>
          <w:lang w:eastAsia="zh-CN"/>
        </w:rPr>
        <w:t>m</w:t>
      </w:r>
      <w:r>
        <w:rPr>
          <w:rFonts w:hint="default"/>
          <w:sz w:val="24"/>
          <w:vertAlign w:val="superscript"/>
          <w:lang w:eastAsia="zh-CN"/>
        </w:rPr>
        <w:t>2</w:t>
      </w:r>
      <w:r>
        <w:rPr>
          <w:rFonts w:hint="eastAsia"/>
          <w:sz w:val="24"/>
          <w:lang w:val="en-US" w:eastAsia="zh-CN"/>
        </w:rPr>
        <w:t>，开采能力和生产能力由10万t/a扩至100万t/a，</w:t>
      </w:r>
      <w:r>
        <w:rPr>
          <w:rFonts w:hint="eastAsia" w:ascii="Times New Roman" w:hAnsi="Times New Roman" w:eastAsia="宋体" w:cs="Times New Roman"/>
          <w:smallCaps w:val="0"/>
          <w:kern w:val="2"/>
          <w:sz w:val="24"/>
          <w:szCs w:val="24"/>
          <w:lang w:val="en-US" w:eastAsia="zh-CN" w:bidi="ar-SA"/>
        </w:rPr>
        <w:t>增加部分加工设备，增设一个10t柴油储油罐，新增采场、排土场四周的截水沟，新增排土场挡土墙，</w:t>
      </w:r>
      <w:r>
        <w:rPr>
          <w:rFonts w:hint="eastAsia" w:ascii="Times New Roman" w:hAnsi="Times New Roman" w:eastAsia="宋体" w:cs="Times New Roman"/>
          <w:color w:val="auto"/>
          <w:sz w:val="24"/>
          <w:szCs w:val="24"/>
          <w:highlight w:val="none"/>
          <w:lang w:val="en-US" w:eastAsia="zh-CN"/>
        </w:rPr>
        <w:t>同时配套建设洒水车、除尘器等</w:t>
      </w:r>
      <w:r>
        <w:rPr>
          <w:rFonts w:hint="eastAsia" w:ascii="Times New Roman" w:hAnsi="Times New Roman" w:eastAsia="宋体" w:cs="Times New Roman"/>
          <w:b w:val="0"/>
          <w:bCs w:val="0"/>
          <w:sz w:val="24"/>
          <w:szCs w:val="24"/>
          <w:lang w:val="en-US" w:eastAsia="zh-CN"/>
        </w:rPr>
        <w:t>环保设施</w:t>
      </w:r>
      <w:r>
        <w:rPr>
          <w:rFonts w:hint="eastAsia" w:ascii="Times New Roman" w:hAnsi="Times New Roman" w:eastAsia="宋体" w:cs="Times New Roman"/>
          <w:color w:val="auto"/>
          <w:sz w:val="24"/>
          <w:szCs w:val="24"/>
          <w:highlight w:val="none"/>
          <w:lang w:val="en-US" w:eastAsia="zh-CN"/>
        </w:rPr>
        <w:t>。</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根据湖南应画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cs="宋体"/>
          <w:sz w:val="24"/>
          <w:szCs w:val="24"/>
          <w:lang w:eastAsia="zh-CN"/>
        </w:rPr>
        <w:t>施工</w:t>
      </w:r>
      <w:r>
        <w:rPr>
          <w:rFonts w:hint="eastAsia" w:ascii="宋体" w:hAnsi="宋体" w:eastAsia="宋体" w:cs="宋体"/>
          <w:sz w:val="24"/>
          <w:szCs w:val="24"/>
          <w:lang w:eastAsia="zh-CN"/>
        </w:rPr>
        <w:t>废水集中收集经“简易隔油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沉淀池”处理后回用。营运期初期雨水经导流沟收集至“初期雨水池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w:t>
      </w:r>
      <w:r>
        <w:rPr>
          <w:rFonts w:hint="eastAsia" w:ascii="宋体" w:hAnsi="宋体" w:eastAsia="宋体" w:cs="宋体"/>
          <w:color w:val="auto"/>
          <w:sz w:val="24"/>
          <w:szCs w:val="24"/>
          <w:lang w:val="en-US" w:eastAsia="zh-CN"/>
        </w:rPr>
        <w:t>生活污水经隔油</w:t>
      </w:r>
      <w:r>
        <w:rPr>
          <w:sz w:val="24"/>
        </w:rPr>
        <w:t>化粪池处理</w:t>
      </w:r>
      <w:r>
        <w:rPr>
          <w:rFonts w:hint="eastAsia"/>
          <w:sz w:val="24"/>
          <w:lang w:eastAsia="zh-CN"/>
        </w:rPr>
        <w:t>后用做农肥。</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cs="宋体"/>
          <w:sz w:val="24"/>
          <w:szCs w:val="24"/>
          <w:lang w:val="en-US" w:eastAsia="zh-CN"/>
        </w:rPr>
      </w:pPr>
      <w:r>
        <w:rPr>
          <w:rFonts w:hint="eastAsia" w:ascii="Times New Roman" w:hAnsi="Times New Roman" w:eastAsia="宋体" w:cs="Times New Roman"/>
          <w:color w:val="auto"/>
          <w:sz w:val="24"/>
          <w:szCs w:val="24"/>
          <w:highlight w:val="none"/>
          <w:lang w:val="en-US" w:eastAsia="zh-CN"/>
        </w:rPr>
        <w:t>强化废气污染防治</w:t>
      </w:r>
      <w:r>
        <w:rPr>
          <w:rFonts w:hint="eastAsia" w:ascii="Times New Roman" w:hAnsi="Times New Roman" w:eastAsia="宋体" w:cs="Times New Roman"/>
          <w:b w:val="0"/>
          <w:bCs w:val="0"/>
          <w:color w:val="auto"/>
          <w:sz w:val="24"/>
          <w:szCs w:val="24"/>
          <w:highlight w:val="none"/>
          <w:lang w:val="en-US" w:eastAsia="zh-CN"/>
        </w:rPr>
        <w:t>。</w:t>
      </w:r>
      <w:r>
        <w:rPr>
          <w:rFonts w:hint="eastAsia" w:ascii="宋体" w:hAnsi="宋体" w:eastAsia="宋体" w:cs="宋体"/>
          <w:sz w:val="24"/>
          <w:szCs w:val="24"/>
          <w:lang w:eastAsia="zh-CN"/>
        </w:rPr>
        <w:t>施工场地定期洒水，</w:t>
      </w:r>
      <w:r>
        <w:rPr>
          <w:rFonts w:hint="eastAsia" w:ascii="宋体" w:hAnsi="宋体" w:eastAsia="宋体" w:cs="宋体"/>
          <w:sz w:val="24"/>
          <w:szCs w:val="24"/>
        </w:rPr>
        <w:t>易起尘</w:t>
      </w:r>
      <w:r>
        <w:rPr>
          <w:rFonts w:hint="eastAsia" w:ascii="宋体" w:hAnsi="宋体" w:eastAsia="宋体" w:cs="宋体"/>
          <w:sz w:val="24"/>
          <w:szCs w:val="24"/>
          <w:lang w:eastAsia="zh-CN"/>
        </w:rPr>
        <w:t>物</w:t>
      </w:r>
      <w:r>
        <w:rPr>
          <w:rFonts w:hint="eastAsia" w:ascii="宋体" w:hAnsi="宋体" w:eastAsia="宋体" w:cs="宋体"/>
          <w:sz w:val="24"/>
          <w:szCs w:val="24"/>
        </w:rPr>
        <w:t>料</w:t>
      </w:r>
      <w:r>
        <w:rPr>
          <w:rFonts w:hint="eastAsia" w:ascii="宋体" w:hAnsi="宋体" w:eastAsia="宋体" w:cs="宋体"/>
          <w:bCs/>
          <w:sz w:val="24"/>
          <w:szCs w:val="24"/>
        </w:rPr>
        <w:t>采用密闭</w:t>
      </w:r>
      <w:r>
        <w:rPr>
          <w:rFonts w:hint="eastAsia" w:ascii="宋体" w:hAnsi="宋体" w:eastAsia="宋体" w:cs="宋体"/>
          <w:bCs/>
          <w:sz w:val="24"/>
          <w:szCs w:val="24"/>
          <w:lang w:eastAsia="zh-CN"/>
        </w:rPr>
        <w:t>存储和</w:t>
      </w:r>
      <w:r>
        <w:rPr>
          <w:rFonts w:hint="eastAsia" w:ascii="宋体" w:hAnsi="宋体" w:eastAsia="宋体" w:cs="宋体"/>
          <w:sz w:val="24"/>
          <w:szCs w:val="24"/>
        </w:rPr>
        <w:t>覆盖堆放</w:t>
      </w:r>
      <w:r>
        <w:rPr>
          <w:rFonts w:hint="eastAsia" w:ascii="宋体" w:hAnsi="宋体" w:eastAsia="宋体" w:cs="宋体"/>
          <w:sz w:val="24"/>
          <w:szCs w:val="24"/>
          <w:lang w:eastAsia="zh-CN"/>
        </w:rPr>
        <w:t>措施，运输</w:t>
      </w:r>
      <w:r>
        <w:rPr>
          <w:rFonts w:hint="eastAsia" w:ascii="宋体" w:hAnsi="宋体" w:cs="宋体"/>
          <w:sz w:val="24"/>
          <w:szCs w:val="24"/>
          <w:lang w:eastAsia="zh-CN"/>
        </w:rPr>
        <w:t>过程采取封闭物料、控制车速、清洗车辆轮胎等措施抑制</w:t>
      </w:r>
      <w:r>
        <w:rPr>
          <w:rFonts w:hint="eastAsia" w:ascii="宋体" w:hAnsi="宋体" w:eastAsia="宋体" w:cs="宋体"/>
          <w:sz w:val="24"/>
          <w:szCs w:val="24"/>
          <w:lang w:eastAsia="zh-CN"/>
        </w:rPr>
        <w:t>扬尘污染，外排颗粒物须满足《大气污染物综合排放标准》</w:t>
      </w:r>
      <w:r>
        <w:rPr>
          <w:rFonts w:hint="eastAsia" w:ascii="宋体" w:hAnsi="宋体" w:cs="宋体"/>
          <w:sz w:val="24"/>
          <w:szCs w:val="24"/>
          <w:lang w:val="en-US" w:eastAsia="zh-CN"/>
        </w:rPr>
        <w:t>(GB16297-1996)</w:t>
      </w:r>
      <w:r>
        <w:rPr>
          <w:rFonts w:hint="eastAsia" w:ascii="宋体" w:hAnsi="宋体" w:eastAsia="宋体" w:cs="宋体"/>
          <w:sz w:val="24"/>
          <w:szCs w:val="24"/>
          <w:lang w:eastAsia="zh-CN"/>
        </w:rPr>
        <w:t>中的浓度监控限值。</w:t>
      </w:r>
      <w:r>
        <w:rPr>
          <w:rFonts w:hint="eastAsia" w:ascii="宋体" w:hAnsi="宋体" w:cs="宋体"/>
          <w:sz w:val="24"/>
          <w:szCs w:val="24"/>
          <w:lang w:val="en-US" w:eastAsia="zh-CN"/>
        </w:rPr>
        <w:t>营运期采矿区凿岩、爆破、釆装工序产生的粉尘采取湿式作业、晒水、喷雾等措施降尘；道路运输粉尘采取道路硬化、设洗车平台、晒水等措施抑尘；工业广场区破碎、筛分、制砂工序均在封闭式厂房内并采取喷雾机喷雾，颚破、反击破、振动筛落料口产生的粉尘经“分散收集集中处理（负压集气收集+布袋除尘装置）＋多点喷雾装置”处理后通过15米高的排气筒排放，外排粉尘须达到《大气污染物综合排放标准》中规定的标准；未经收集的无组织排放粉尘采取密闭皮带输送装置、密闭式集尘罩、设备出入料口及给、卸料口设置自动喷淋晒水装置等措施；原料、成品堆场三面封闭，一面敞开，安装固定喷淋装置，同时控制堆放量，外排颗粒物须满足《大气污染物综合排放标准》(GB16297-1996)中的浓度监控限值；</w:t>
      </w:r>
      <w:r>
        <w:rPr>
          <w:rFonts w:hint="eastAsia"/>
          <w:sz w:val="24"/>
          <w:szCs w:val="24"/>
        </w:rPr>
        <w:t>食堂油烟经油烟净化机处理后，通过</w:t>
      </w:r>
      <w:r>
        <w:rPr>
          <w:rFonts w:hint="eastAsia"/>
          <w:sz w:val="24"/>
          <w:szCs w:val="24"/>
          <w:lang w:eastAsia="zh-CN"/>
        </w:rPr>
        <w:t>专管（</w:t>
      </w:r>
      <w:r>
        <w:rPr>
          <w:rFonts w:hint="eastAsia" w:ascii="Times New Roman" w:hAnsi="Times New Roman" w:eastAsia="宋体" w:cs="Times New Roman"/>
          <w:color w:val="auto"/>
          <w:sz w:val="24"/>
          <w:szCs w:val="24"/>
          <w:highlight w:val="none"/>
          <w:lang w:val="en-US" w:eastAsia="zh-CN"/>
        </w:rPr>
        <w:t>DA002）</w:t>
      </w:r>
      <w:r>
        <w:rPr>
          <w:rFonts w:hint="eastAsia"/>
          <w:sz w:val="24"/>
          <w:szCs w:val="24"/>
          <w:lang w:eastAsia="zh-CN"/>
        </w:rPr>
        <w:t>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p>
    <w:p>
      <w:pPr>
        <w:spacing w:line="520" w:lineRule="exact"/>
        <w:ind w:firstLine="629"/>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3.加强噪声控制管理。选用先进的低噪声设备，对高噪声设备采取减振、消音、隔声等措施；合理安排运输时间，</w:t>
      </w:r>
      <w:r>
        <w:rPr>
          <w:rFonts w:hint="eastAsia" w:ascii="宋体" w:hAnsi="宋体" w:eastAsia="宋体" w:cs="宋体"/>
          <w:sz w:val="24"/>
          <w:szCs w:val="24"/>
          <w:lang w:eastAsia="zh-CN"/>
        </w:rPr>
        <w:t>施工期、营运期场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ascii="宋体" w:hAnsi="宋体" w:eastAsia="宋体" w:cs="宋体"/>
          <w:sz w:val="24"/>
          <w:szCs w:val="24"/>
          <w:lang w:eastAsia="zh-CN"/>
        </w:rPr>
        <w:t>排放标准</w:t>
      </w:r>
      <w:r>
        <w:rPr>
          <w:rFonts w:hint="eastAsia" w:ascii="宋体" w:hAnsi="宋体" w:eastAsia="宋体" w:cs="宋体"/>
          <w:sz w:val="24"/>
          <w:szCs w:val="24"/>
        </w:rPr>
        <w:t>》（GB12523-</w:t>
      </w:r>
      <w:r>
        <w:rPr>
          <w:rFonts w:hint="eastAsia" w:ascii="宋体" w:hAnsi="宋体" w:eastAsia="宋体" w:cs="宋体"/>
          <w:sz w:val="24"/>
          <w:szCs w:val="24"/>
          <w:lang w:val="en-US" w:eastAsia="zh-CN"/>
        </w:rPr>
        <w:t>2011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imes New Roman" w:hAnsi="Times New Roman" w:eastAsia="宋体" w:cs="Times New Roman"/>
          <w:color w:val="000000"/>
          <w:sz w:val="24"/>
          <w:szCs w:val="24"/>
          <w:lang w:val="en-US" w:eastAsia="zh-CN"/>
        </w:rPr>
        <w:t>《工业企业厂界环境噪声排放标准》（GB12348-2008）中规定的标准。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sz w:val="24"/>
          <w:lang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w:t>
      </w:r>
      <w:r>
        <w:rPr>
          <w:rFonts w:hint="eastAsia"/>
          <w:sz w:val="24"/>
        </w:rPr>
        <w:t>施工产生的</w:t>
      </w:r>
      <w:r>
        <w:rPr>
          <w:rFonts w:hint="eastAsia"/>
          <w:sz w:val="24"/>
          <w:lang w:eastAsia="zh-CN"/>
        </w:rPr>
        <w:t>废弃包装物</w:t>
      </w:r>
      <w:r>
        <w:rPr>
          <w:rFonts w:hint="eastAsia"/>
          <w:sz w:val="24"/>
        </w:rPr>
        <w:t>收集</w:t>
      </w:r>
      <w:r>
        <w:rPr>
          <w:rFonts w:hint="eastAsia"/>
          <w:sz w:val="24"/>
          <w:lang w:eastAsia="zh-CN"/>
        </w:rPr>
        <w:t>后外售，建筑垃圾收集后送建筑垃圾填埋场处置；剥离的废土石一部分用于修路、场地平整或绿化，另一部分用于复垦；沉淀池沉渣用于当地路基建筑材料；布袋收集尘收集后外售；剥离产生的杂草、灌木统一收集后送给周边农户用作薪碳燃料；</w:t>
      </w:r>
      <w:r>
        <w:rPr>
          <w:rFonts w:hAnsi="宋体"/>
          <w:color w:val="000000"/>
          <w:sz w:val="24"/>
        </w:rPr>
        <w:t>废润滑油</w:t>
      </w:r>
      <w:r>
        <w:rPr>
          <w:rFonts w:hint="eastAsia" w:hAnsi="宋体"/>
          <w:color w:val="000000"/>
          <w:sz w:val="24"/>
          <w:lang w:eastAsia="zh-CN"/>
        </w:rPr>
        <w:t>油桶</w:t>
      </w:r>
      <w:r>
        <w:rPr>
          <w:rFonts w:hint="eastAsia" w:ascii="宋体" w:hAnsi="宋体"/>
          <w:sz w:val="24"/>
          <w:szCs w:val="24"/>
          <w:lang w:val="en-US" w:eastAsia="zh-CN"/>
        </w:rPr>
        <w:t>收集于危废暂存间，定期交有资质的单位处理，危废暂存间须满足《危险废物贮存污染控制标准》（GB18597-2001）及其修改单要求；</w:t>
      </w:r>
      <w:r>
        <w:rPr>
          <w:rFonts w:hint="eastAsia"/>
          <w:sz w:val="24"/>
        </w:rPr>
        <w:t>生活垃圾</w:t>
      </w:r>
      <w:r>
        <w:rPr>
          <w:rFonts w:hint="eastAsia"/>
          <w:sz w:val="24"/>
          <w:lang w:eastAsia="zh-CN"/>
        </w:rPr>
        <w:t>统一</w:t>
      </w:r>
      <w:r>
        <w:rPr>
          <w:rFonts w:hint="eastAsia"/>
          <w:sz w:val="24"/>
        </w:rPr>
        <w:t>收集</w:t>
      </w:r>
      <w:r>
        <w:rPr>
          <w:rFonts w:hint="eastAsia"/>
          <w:sz w:val="24"/>
          <w:lang w:eastAsia="zh-CN"/>
        </w:rPr>
        <w:t>后交由</w:t>
      </w:r>
      <w:r>
        <w:rPr>
          <w:rFonts w:hint="eastAsia" w:ascii="Times New Roman" w:hAnsi="Times New Roman" w:eastAsia="宋体" w:cs="Times New Roman"/>
          <w:b w:val="0"/>
          <w:bCs w:val="0"/>
          <w:sz w:val="24"/>
          <w:szCs w:val="24"/>
          <w:lang w:val="en-US" w:eastAsia="zh-CN"/>
        </w:rPr>
        <w:t>环卫部门统一清运</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eastAsiaTheme="minorEastAsia"/>
          <w:sz w:val="24"/>
          <w:szCs w:val="24"/>
          <w:lang w:eastAsia="zh-CN"/>
        </w:rPr>
      </w:pPr>
      <w:r>
        <w:rPr>
          <w:rFonts w:hint="eastAsia" w:ascii="宋体" w:hAnsi="宋体"/>
          <w:sz w:val="24"/>
          <w:szCs w:val="24"/>
        </w:rPr>
        <w:t>5、强化风险防范措施。编制环境风险应急预案，</w:t>
      </w:r>
      <w:r>
        <w:rPr>
          <w:rFonts w:hint="eastAsia" w:ascii="宋体" w:hAnsi="宋体"/>
          <w:sz w:val="24"/>
          <w:szCs w:val="24"/>
          <w:lang w:eastAsia="zh-CN"/>
        </w:rPr>
        <w:t>落实好安全防范距离，</w:t>
      </w:r>
      <w:r>
        <w:rPr>
          <w:rFonts w:hint="eastAsia" w:ascii="宋体" w:hAnsi="宋体"/>
          <w:sz w:val="24"/>
          <w:szCs w:val="24"/>
        </w:rPr>
        <w:t>切实加强</w:t>
      </w:r>
      <w:r>
        <w:rPr>
          <w:rFonts w:hint="eastAsia" w:ascii="宋体" w:hAnsi="宋体"/>
          <w:sz w:val="24"/>
          <w:szCs w:val="24"/>
          <w:lang w:eastAsia="zh-CN"/>
        </w:rPr>
        <w:t>采场塌方、滑坡、泥石流、油品泄露、环保措施故障</w:t>
      </w:r>
      <w:r>
        <w:rPr>
          <w:rFonts w:hint="eastAsia" w:ascii="宋体" w:hAnsi="宋体"/>
          <w:sz w:val="24"/>
          <w:szCs w:val="24"/>
        </w:rPr>
        <w:t>等各个环节事故风险防范，确保环境安全</w:t>
      </w:r>
      <w:r>
        <w:rPr>
          <w:rFonts w:hint="eastAsia" w:ascii="宋体" w:hAnsi="宋体"/>
          <w:sz w:val="24"/>
          <w:szCs w:val="24"/>
          <w:lang w:eastAsia="zh-CN"/>
        </w:rPr>
        <w:t>。</w:t>
      </w:r>
    </w:p>
    <w:p>
      <w:pPr>
        <w:spacing w:line="360" w:lineRule="auto"/>
        <w:ind w:firstLine="420" w:firstLineChars="0"/>
        <w:rPr>
          <w:rFonts w:hint="eastAsia" w:ascii="Times New Roman" w:hAnsi="Times New Roman" w:cs="Times New Roman"/>
          <w:sz w:val="24"/>
          <w:szCs w:val="24"/>
          <w:lang w:val="en-US" w:eastAsia="zh-CN"/>
        </w:rPr>
      </w:pPr>
      <w:r>
        <w:rPr>
          <w:rFonts w:hint="eastAsia" w:ascii="宋体" w:hAnsi="宋体"/>
          <w:sz w:val="24"/>
          <w:szCs w:val="24"/>
          <w:lang w:val="en-US" w:eastAsia="zh-CN"/>
        </w:rPr>
        <w:t>6、加</w:t>
      </w:r>
      <w:r>
        <w:rPr>
          <w:rFonts w:hint="eastAsia" w:ascii="Times New Roman" w:hAnsi="Times New Roman" w:eastAsia="宋体" w:cs="Times New Roman"/>
          <w:color w:val="000000"/>
          <w:sz w:val="24"/>
          <w:szCs w:val="24"/>
          <w:lang w:val="en-US" w:eastAsia="zh-CN"/>
        </w:rPr>
        <w:t>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7、加强生态环境保护。按环评报告表要求做好植被、生态景观、水土流失的保护工作，矿山服务期满后对矿区工业场地和开采区等进行复垦和绿化，确保区域生态环境不受大的影响。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left"/>
        <w:textAlignment w:val="auto"/>
        <w:rPr>
          <w:rFonts w:hint="eastAsia"/>
          <w:sz w:val="24"/>
          <w:szCs w:val="24"/>
        </w:rPr>
      </w:pPr>
      <w:r>
        <w:rPr>
          <w:rFonts w:hint="eastAsia"/>
          <w:sz w:val="24"/>
          <w:szCs w:val="24"/>
        </w:rPr>
        <w:t>三、</w:t>
      </w: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28</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bookmarkStart w:id="0" w:name="_GoBack"/>
      <w:bookmarkEnd w:id="0"/>
      <w:r>
        <w:rPr>
          <w:rFonts w:hint="eastAsia" w:ascii="Times New Roman" w:hAnsi="Times New Roman" w:eastAsia="宋体" w:cs="Times New Roman"/>
          <w:color w:val="000000"/>
          <w:sz w:val="24"/>
          <w:szCs w:val="24"/>
          <w:lang w:val="en-US" w:eastAsia="zh-CN"/>
        </w:rPr>
        <w:t>抄送：</w:t>
      </w:r>
      <w:r>
        <w:rPr>
          <w:sz w:val="24"/>
        </w:rPr>
        <w:t>流泽镇</w:t>
      </w:r>
      <w:r>
        <w:rPr>
          <w:rFonts w:hint="eastAsia" w:ascii="Times New Roman" w:hAnsi="Times New Roman" w:eastAsia="宋体" w:cs="Times New Roman"/>
          <w:b w:val="0"/>
          <w:bCs w:val="0"/>
          <w:sz w:val="24"/>
          <w:szCs w:val="24"/>
          <w:lang w:val="en-US" w:eastAsia="zh-CN"/>
        </w:rPr>
        <w:t>人民政府  湖南应画环保科技有限公司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3EA92"/>
    <w:multiLevelType w:val="singleLevel"/>
    <w:tmpl w:val="A3B3EA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06B35"/>
    <w:rsid w:val="008F4149"/>
    <w:rsid w:val="099D53F0"/>
    <w:rsid w:val="0ED06B35"/>
    <w:rsid w:val="601C7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left="420" w:firstLine="210"/>
    </w:pPr>
  </w:style>
  <w:style w:type="paragraph" w:styleId="3">
    <w:name w:val="Body Text Indent"/>
    <w:basedOn w:val="1"/>
    <w:semiHidden/>
    <w:qFormat/>
    <w:uiPriority w:val="0"/>
    <w:pPr>
      <w:spacing w:after="120"/>
      <w:ind w:left="420" w:leftChars="200"/>
    </w:pPr>
  </w:style>
  <w:style w:type="paragraph" w:styleId="4">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2022-02-11T07:39:00Z</dcterms:created>
  <dc:creator>演示人</dc:creator>
  <cp:lastModifiedBy>演示人</cp:lastModifiedBy>
  <dcterms:modified xsi:type="dcterms:W3CDTF">2022-03-02T02:09:49Z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85D5147674DA45989C2BE22E7883BBBA</vt:lpwstr>
  </property>
</Properties>
</file>