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auto"/>
        <w:ind w:firstLine="5542" w:firstLineChars="2300"/>
        <w:jc w:val="left"/>
        <w:textAlignment w:val="auto"/>
        <w:rPr>
          <w:rFonts w:hint="default" w:ascii="Times New Roman" w:hAnsi="Times New Roman" w:cs="Times New Roman"/>
          <w:b/>
          <w:bCs/>
          <w:sz w:val="24"/>
          <w:szCs w:val="24"/>
          <w:lang w:eastAsia="zh-CN"/>
        </w:rPr>
      </w:pPr>
    </w:p>
    <w:p>
      <w:pPr>
        <w:keepNext w:val="0"/>
        <w:keepLines w:val="0"/>
        <w:pageBreakBefore w:val="0"/>
        <w:widowControl w:val="0"/>
        <w:kinsoku/>
        <w:wordWrap/>
        <w:overflowPunct/>
        <w:topLinePunct w:val="0"/>
        <w:autoSpaceDE/>
        <w:autoSpaceDN/>
        <w:bidi w:val="0"/>
        <w:adjustRightInd/>
        <w:snapToGrid/>
        <w:spacing w:line="600" w:lineRule="auto"/>
        <w:ind w:firstLine="5542" w:firstLineChars="2300"/>
        <w:jc w:val="left"/>
        <w:textAlignment w:val="auto"/>
        <w:rPr>
          <w:rFonts w:hint="default" w:ascii="Times New Roman" w:hAnsi="Times New Roman" w:cs="Times New Roman"/>
          <w:b/>
          <w:bCs/>
          <w:sz w:val="24"/>
          <w:szCs w:val="24"/>
          <w:lang w:val="en-US" w:eastAsia="zh-CN"/>
        </w:rPr>
      </w:pPr>
      <w:r>
        <w:rPr>
          <w:rFonts w:hint="default" w:ascii="Times New Roman" w:hAnsi="Times New Roman" w:cs="Times New Roman"/>
          <w:b/>
          <w:bCs/>
          <w:sz w:val="24"/>
          <w:szCs w:val="24"/>
          <w:lang w:eastAsia="zh-CN"/>
        </w:rPr>
        <w:t>邵</w:t>
      </w:r>
      <w:r>
        <w:rPr>
          <w:rFonts w:hint="eastAsia" w:ascii="Times New Roman" w:hAnsi="Times New Roman" w:cs="Times New Roman"/>
          <w:b/>
          <w:bCs/>
          <w:sz w:val="24"/>
          <w:szCs w:val="24"/>
          <w:lang w:eastAsia="zh-CN"/>
        </w:rPr>
        <w:t>市</w:t>
      </w:r>
      <w:r>
        <w:rPr>
          <w:rFonts w:hint="default" w:ascii="Times New Roman" w:hAnsi="Times New Roman" w:cs="Times New Roman"/>
          <w:b/>
          <w:bCs/>
          <w:sz w:val="24"/>
          <w:szCs w:val="24"/>
          <w:lang w:eastAsia="zh-CN"/>
        </w:rPr>
        <w:t>环评</w:t>
      </w:r>
      <w:r>
        <w:rPr>
          <w:rFonts w:hint="eastAsia" w:ascii="Times New Roman" w:hAnsi="Times New Roman" w:cs="Times New Roman"/>
          <w:b/>
          <w:bCs/>
          <w:sz w:val="24"/>
          <w:szCs w:val="24"/>
          <w:lang w:eastAsia="zh-CN"/>
        </w:rPr>
        <w:t>（</w:t>
      </w:r>
      <w:r>
        <w:rPr>
          <w:rFonts w:hint="eastAsia" w:ascii="Times New Roman" w:hAnsi="Times New Roman" w:cs="Times New Roman"/>
          <w:b/>
          <w:bCs/>
          <w:sz w:val="24"/>
          <w:szCs w:val="24"/>
          <w:lang w:val="en-US" w:eastAsia="zh-CN"/>
        </w:rPr>
        <w:t>1）</w:t>
      </w:r>
      <w:r>
        <w:rPr>
          <w:rFonts w:hint="default" w:ascii="Times New Roman" w:hAnsi="Times New Roman" w:cs="Times New Roman"/>
          <w:b/>
          <w:bCs/>
          <w:sz w:val="24"/>
          <w:szCs w:val="24"/>
          <w:lang w:val="en-US" w:eastAsia="zh-CN"/>
        </w:rPr>
        <w:t>[20</w:t>
      </w:r>
      <w:r>
        <w:rPr>
          <w:rFonts w:hint="eastAsia" w:ascii="Times New Roman" w:hAnsi="Times New Roman" w:cs="Times New Roman"/>
          <w:b/>
          <w:bCs/>
          <w:sz w:val="24"/>
          <w:szCs w:val="24"/>
          <w:lang w:val="en-US" w:eastAsia="zh-CN"/>
        </w:rPr>
        <w:t>21</w:t>
      </w:r>
      <w:r>
        <w:rPr>
          <w:rFonts w:hint="default" w:ascii="Times New Roman" w:hAnsi="Times New Roman" w:cs="Times New Roman"/>
          <w:b/>
          <w:bCs/>
          <w:sz w:val="24"/>
          <w:szCs w:val="24"/>
          <w:lang w:val="en-US" w:eastAsia="zh-CN"/>
        </w:rPr>
        <w:t>]</w:t>
      </w:r>
      <w:r>
        <w:rPr>
          <w:rFonts w:hint="eastAsia" w:ascii="Times New Roman" w:hAnsi="Times New Roman" w:cs="Times New Roman"/>
          <w:b/>
          <w:bCs/>
          <w:sz w:val="24"/>
          <w:szCs w:val="24"/>
          <w:lang w:val="en-US" w:eastAsia="zh-CN"/>
        </w:rPr>
        <w:t>93号</w:t>
      </w:r>
      <w:r>
        <w:rPr>
          <w:rFonts w:hint="default" w:ascii="Times New Roman" w:hAnsi="Times New Roman" w:cs="Times New Roman"/>
          <w:b/>
          <w:bCs/>
          <w:sz w:val="24"/>
          <w:szCs w:val="24"/>
          <w:lang w:val="en-US" w:eastAsia="zh-CN"/>
        </w:rPr>
        <w:t xml:space="preserve"> </w:t>
      </w:r>
    </w:p>
    <w:p>
      <w:pPr>
        <w:adjustRightInd w:val="0"/>
        <w:snapToGrid w:val="0"/>
        <w:spacing w:line="288" w:lineRule="auto"/>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关于邵东市大智五金工具有限公司年产300万把活动扳手（半成品）建设项目环境影响报告表的批复</w:t>
      </w:r>
    </w:p>
    <w:p>
      <w:pPr>
        <w:adjustRightInd w:val="0"/>
        <w:snapToGrid w:val="0"/>
        <w:spacing w:line="288" w:lineRule="auto"/>
        <w:jc w:val="center"/>
        <w:rPr>
          <w:rFonts w:hint="eastAsia" w:ascii="宋体" w:hAnsi="宋体" w:eastAsia="宋体" w:cs="宋体"/>
          <w:b/>
          <w:bCs/>
          <w:sz w:val="36"/>
          <w:szCs w:val="36"/>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00" w:lineRule="exact"/>
        <w:jc w:val="both"/>
        <w:textAlignment w:val="auto"/>
        <w:outlineLvl w:val="9"/>
        <w:rPr>
          <w:rFonts w:hint="default"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sz w:val="24"/>
          <w:szCs w:val="24"/>
          <w:lang w:val="en-US" w:eastAsia="zh-CN"/>
        </w:rPr>
        <w:t>邵东市大智五金工具有限公司</w:t>
      </w:r>
      <w:r>
        <w:rPr>
          <w:rFonts w:hint="default" w:ascii="Times New Roman" w:hAnsi="Times New Roman" w:eastAsia="宋体" w:cs="Times New Roman"/>
          <w:b w:val="0"/>
          <w:bCs w:val="0"/>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0"/>
        <w:jc w:val="both"/>
        <w:textAlignment w:val="auto"/>
        <w:outlineLvl w:val="9"/>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你单位报送的《</w:t>
      </w:r>
      <w:r>
        <w:rPr>
          <w:rFonts w:hint="eastAsia" w:ascii="Times New Roman" w:hAnsi="Times New Roman" w:eastAsia="宋体" w:cs="Times New Roman"/>
          <w:b w:val="0"/>
          <w:bCs w:val="0"/>
          <w:sz w:val="24"/>
          <w:szCs w:val="24"/>
          <w:lang w:val="en-US" w:eastAsia="zh-CN"/>
        </w:rPr>
        <w:t>邵东市大智五金工具有限公司年产300万把活动扳手（半成品）建设项目环境影响报告表</w:t>
      </w:r>
      <w:r>
        <w:rPr>
          <w:rFonts w:hint="default" w:ascii="Times New Roman" w:hAnsi="Times New Roman" w:eastAsia="宋体" w:cs="Times New Roman"/>
          <w:b w:val="0"/>
          <w:bCs w:val="0"/>
          <w:sz w:val="24"/>
          <w:szCs w:val="24"/>
          <w:lang w:val="en-US" w:eastAsia="zh-CN"/>
        </w:rPr>
        <w:t>》</w:t>
      </w:r>
      <w:r>
        <w:rPr>
          <w:rFonts w:hint="eastAsia" w:ascii="Times New Roman" w:hAnsi="Times New Roman" w:eastAsia="宋体" w:cs="Times New Roman"/>
          <w:b w:val="0"/>
          <w:bCs w:val="0"/>
          <w:sz w:val="24"/>
          <w:szCs w:val="24"/>
          <w:lang w:val="en-US" w:eastAsia="zh-CN"/>
        </w:rPr>
        <w:t>以及项目申请批复的报告</w:t>
      </w:r>
      <w:r>
        <w:rPr>
          <w:rFonts w:hint="default" w:ascii="Times New Roman" w:hAnsi="Times New Roman" w:eastAsia="宋体" w:cs="Times New Roman"/>
          <w:b w:val="0"/>
          <w:bCs w:val="0"/>
          <w:sz w:val="24"/>
          <w:szCs w:val="24"/>
          <w:lang w:val="en-US" w:eastAsia="zh-CN"/>
        </w:rPr>
        <w:t>已收悉。经研究，现批复如下：</w:t>
      </w:r>
    </w:p>
    <w:p>
      <w:pPr>
        <w:keepNext w:val="0"/>
        <w:keepLines w:val="0"/>
        <w:pageBreakBefore w:val="0"/>
        <w:widowControl w:val="0"/>
        <w:kinsoku/>
        <w:wordWrap/>
        <w:overflowPunct/>
        <w:topLinePunct w:val="0"/>
        <w:autoSpaceDE w:val="0"/>
        <w:autoSpaceDN w:val="0"/>
        <w:bidi w:val="0"/>
        <w:adjustRightInd w:val="0"/>
        <w:spacing w:line="500" w:lineRule="exact"/>
        <w:ind w:firstLine="480" w:firstLineChars="200"/>
        <w:textAlignment w:val="auto"/>
        <w:rPr>
          <w:rFonts w:hint="eastAsia"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sz w:val="24"/>
          <w:szCs w:val="24"/>
          <w:lang w:val="en-US" w:eastAsia="zh-CN"/>
        </w:rPr>
        <w:t>一、</w:t>
      </w:r>
      <w:r>
        <w:rPr>
          <w:rFonts w:hint="default" w:ascii="Times New Roman" w:hAnsi="Times New Roman" w:eastAsia="宋体" w:cs="Times New Roman"/>
          <w:b w:val="0"/>
          <w:bCs w:val="0"/>
          <w:sz w:val="24"/>
          <w:szCs w:val="24"/>
          <w:lang w:val="en-US" w:eastAsia="zh-CN"/>
        </w:rPr>
        <w:t>你单位投</w:t>
      </w:r>
      <w:r>
        <w:rPr>
          <w:rFonts w:hint="default"/>
          <w:sz w:val="24"/>
          <w:lang w:val="en-US" w:eastAsia="zh-CN"/>
        </w:rPr>
        <w:t>资</w:t>
      </w:r>
      <w:r>
        <w:rPr>
          <w:rFonts w:hint="eastAsia"/>
          <w:sz w:val="24"/>
          <w:lang w:val="en-US" w:eastAsia="zh-CN"/>
        </w:rPr>
        <w:t>10</w:t>
      </w:r>
      <w:r>
        <w:rPr>
          <w:rFonts w:ascii="Times New Roman" w:hAnsi="Times New Roman"/>
          <w:sz w:val="24"/>
        </w:rPr>
        <w:t>0</w:t>
      </w:r>
      <w:r>
        <w:rPr>
          <w:rFonts w:hint="default"/>
          <w:sz w:val="24"/>
          <w:lang w:val="en-US" w:eastAsia="zh-CN"/>
        </w:rPr>
        <w:t>万元</w:t>
      </w:r>
      <w:r>
        <w:rPr>
          <w:rFonts w:hint="eastAsia"/>
          <w:sz w:val="24"/>
          <w:lang w:val="en-US" w:eastAsia="zh-CN"/>
        </w:rPr>
        <w:t>在湖南省邵阳市邵东市仙槎桥镇青石桥村塘边组（E111°4′25.781″， N27°8′</w:t>
      </w:r>
      <w:r>
        <w:rPr>
          <w:rFonts w:hint="default"/>
          <w:sz w:val="24"/>
          <w:lang w:val="en-US" w:eastAsia="zh-CN"/>
        </w:rPr>
        <w:t xml:space="preserve"> </w:t>
      </w:r>
      <w:r>
        <w:rPr>
          <w:rFonts w:hint="eastAsia"/>
          <w:sz w:val="24"/>
          <w:lang w:val="en-US" w:eastAsia="zh-CN"/>
        </w:rPr>
        <w:t>44.023</w:t>
      </w:r>
      <w:r>
        <w:rPr>
          <w:rFonts w:hint="default"/>
          <w:sz w:val="24"/>
          <w:lang w:val="en-US" w:eastAsia="zh-CN"/>
        </w:rPr>
        <w:t xml:space="preserve"> </w:t>
      </w:r>
      <w:r>
        <w:rPr>
          <w:rFonts w:hint="eastAsia"/>
          <w:sz w:val="24"/>
          <w:lang w:val="en-US" w:eastAsia="zh-CN"/>
        </w:rPr>
        <w:t>″）租赁原平阳五金工具厂房建设</w:t>
      </w:r>
      <w:r>
        <w:rPr>
          <w:rFonts w:hint="eastAsia" w:ascii="Times New Roman" w:hAnsi="Times New Roman" w:eastAsia="宋体" w:cs="Times New Roman"/>
          <w:b w:val="0"/>
          <w:bCs w:val="0"/>
          <w:sz w:val="24"/>
          <w:szCs w:val="24"/>
          <w:lang w:val="en-US" w:eastAsia="zh-CN"/>
        </w:rPr>
        <w:t>年产300万把活动扳手（半成品）</w:t>
      </w:r>
      <w:r>
        <w:rPr>
          <w:rFonts w:hint="eastAsia"/>
          <w:sz w:val="24"/>
          <w:lang w:val="en-US" w:eastAsia="zh-CN"/>
        </w:rPr>
        <w:t>项目，</w:t>
      </w:r>
      <w:r>
        <w:rPr>
          <w:rFonts w:hint="eastAsia" w:ascii="Times New Roman" w:hAnsi="Times New Roman" w:eastAsia="宋体" w:cs="Times New Roman"/>
          <w:color w:val="auto"/>
          <w:sz w:val="24"/>
          <w:szCs w:val="24"/>
          <w:highlight w:val="none"/>
          <w:lang w:val="en-US" w:eastAsia="zh-CN"/>
        </w:rPr>
        <w:t>主要建设内</w:t>
      </w:r>
      <w:r>
        <w:rPr>
          <w:rFonts w:hint="eastAsia" w:ascii="Times New Roman" w:hAnsi="Times New Roman" w:eastAsia="宋体" w:cs="Times New Roman"/>
          <w:b w:val="0"/>
          <w:bCs w:val="0"/>
          <w:sz w:val="24"/>
          <w:szCs w:val="24"/>
          <w:lang w:val="en-US" w:eastAsia="zh-CN"/>
        </w:rPr>
        <w:t>容包括生产车间、原料堆存区</w:t>
      </w:r>
      <w:r>
        <w:rPr>
          <w:rFonts w:hint="eastAsia" w:ascii="Times New Roman" w:hAnsi="Times New Roman" w:eastAsia="宋体" w:cs="Times New Roman"/>
          <w:b w:val="0"/>
          <w:bCs w:val="0"/>
          <w:sz w:val="24"/>
          <w:szCs w:val="24"/>
          <w:u w:val="none"/>
          <w:lang w:val="en-US" w:eastAsia="zh-CN"/>
        </w:rPr>
        <w:t>、成品堆存区</w:t>
      </w:r>
      <w:r>
        <w:rPr>
          <w:rFonts w:hint="eastAsia" w:ascii="Times New Roman" w:hAnsi="Times New Roman"/>
          <w:sz w:val="24"/>
          <w:u w:val="none"/>
          <w:lang w:eastAsia="zh-CN"/>
        </w:rPr>
        <w:t>、办公区等</w:t>
      </w:r>
      <w:r>
        <w:rPr>
          <w:rFonts w:hint="eastAsia" w:ascii="Times New Roman" w:hAnsi="Times New Roman" w:eastAsia="宋体" w:cs="Times New Roman"/>
          <w:b w:val="0"/>
          <w:bCs w:val="0"/>
          <w:sz w:val="24"/>
          <w:szCs w:val="24"/>
          <w:lang w:val="en-US" w:eastAsia="zh-CN"/>
        </w:rPr>
        <w:t>主体</w:t>
      </w:r>
      <w:r>
        <w:rPr>
          <w:rFonts w:hint="eastAsia" w:ascii="Times New Roman" w:hAnsi="Times New Roman" w:eastAsia="宋体" w:cs="Times New Roman"/>
          <w:color w:val="auto"/>
          <w:sz w:val="24"/>
          <w:szCs w:val="24"/>
          <w:highlight w:val="none"/>
          <w:lang w:val="en-US" w:eastAsia="zh-CN"/>
        </w:rPr>
        <w:t>工程，同时</w:t>
      </w:r>
      <w:r>
        <w:rPr>
          <w:rFonts w:hint="eastAsia" w:ascii="Times New Roman" w:hAnsi="Times New Roman" w:eastAsia="宋体" w:cs="Times New Roman"/>
          <w:b w:val="0"/>
          <w:bCs w:val="0"/>
          <w:sz w:val="24"/>
          <w:szCs w:val="24"/>
          <w:lang w:val="en-US" w:eastAsia="zh-CN"/>
        </w:rPr>
        <w:t>配套建设化粪池、危废暂存间等环保设施。根据国家发展改革委第29号令《产业结构调整指导目录（2019年本）》，该项目符合国家产业政策要求。</w:t>
      </w:r>
      <w:r>
        <w:rPr>
          <w:rFonts w:hint="eastAsia" w:ascii="Times New Roman" w:hAnsi="Times New Roman" w:cs="Times New Roman"/>
          <w:sz w:val="24"/>
          <w:lang w:val="en-US" w:eastAsia="zh-CN"/>
        </w:rPr>
        <w:t>你单位在没有报批环评文件的情况下擅自动工建设并投入生产，我局已对此予以了查处。</w:t>
      </w:r>
      <w:r>
        <w:rPr>
          <w:rFonts w:hint="eastAsia" w:ascii="Times New Roman" w:hAnsi="Times New Roman" w:eastAsia="宋体" w:cs="Times New Roman"/>
          <w:b w:val="0"/>
          <w:bCs w:val="0"/>
          <w:sz w:val="24"/>
          <w:szCs w:val="24"/>
          <w:lang w:val="en-US" w:eastAsia="zh-CN"/>
        </w:rPr>
        <w:t>根据湖南应画环保科技有限公司编制的建设项目环境影响报告表的分析结论</w:t>
      </w:r>
      <w:r>
        <w:rPr>
          <w:rFonts w:hint="eastAsia" w:ascii="Times New Roman" w:hAnsi="Times New Roman" w:eastAsia="宋体" w:cs="Times New Roman"/>
          <w:color w:val="auto"/>
          <w:sz w:val="24"/>
          <w:szCs w:val="24"/>
          <w:highlight w:val="none"/>
          <w:lang w:val="en-US" w:eastAsia="zh-CN"/>
        </w:rPr>
        <w:t>和邵东市人民政府常务会议纪要（</w:t>
      </w:r>
      <w:r>
        <w:rPr>
          <w:rFonts w:hint="default" w:ascii="Times New Roman" w:hAnsi="Times New Roman" w:cs="Times New Roman"/>
          <w:b w:val="0"/>
          <w:bCs w:val="0"/>
          <w:sz w:val="24"/>
          <w:szCs w:val="24"/>
          <w:lang w:val="en-US" w:eastAsia="zh-CN"/>
        </w:rPr>
        <w:t>[</w:t>
      </w:r>
      <w:r>
        <w:rPr>
          <w:rFonts w:hint="eastAsia" w:ascii="Times New Roman" w:hAnsi="Times New Roman" w:eastAsia="宋体" w:cs="Times New Roman"/>
          <w:color w:val="auto"/>
          <w:sz w:val="24"/>
          <w:szCs w:val="24"/>
          <w:highlight w:val="none"/>
          <w:lang w:val="en-US" w:eastAsia="zh-CN"/>
        </w:rPr>
        <w:t>2020</w:t>
      </w:r>
      <w:r>
        <w:rPr>
          <w:rFonts w:hint="default" w:ascii="Times New Roman" w:hAnsi="Times New Roman" w:cs="Times New Roman"/>
          <w:b w:val="0"/>
          <w:bCs w:val="0"/>
          <w:sz w:val="24"/>
          <w:szCs w:val="24"/>
          <w:lang w:val="en-US" w:eastAsia="zh-CN"/>
        </w:rPr>
        <w:t>]</w:t>
      </w:r>
      <w:r>
        <w:rPr>
          <w:rFonts w:hint="eastAsia" w:ascii="Times New Roman" w:hAnsi="Times New Roman" w:cs="Times New Roman"/>
          <w:b w:val="0"/>
          <w:bCs w:val="0"/>
          <w:sz w:val="24"/>
          <w:szCs w:val="24"/>
          <w:lang w:val="en-US" w:eastAsia="zh-CN"/>
        </w:rPr>
        <w:t>第20次）精神</w:t>
      </w:r>
      <w:r>
        <w:rPr>
          <w:rFonts w:hint="eastAsia" w:ascii="Times New Roman" w:hAnsi="Times New Roman" w:eastAsia="宋体" w:cs="Times New Roman"/>
          <w:b w:val="0"/>
          <w:bCs w:val="0"/>
          <w:sz w:val="24"/>
          <w:szCs w:val="24"/>
          <w:lang w:val="en-US" w:eastAsia="zh-CN"/>
        </w:rPr>
        <w:t>，在你单位认真落实环评报告表提出的环保措施，确保外排污染物达标的前提下，从环境保护的角度，同意你单位按照报告表确定的地点、规模、工艺、污染防治措施实施该项目。</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jc w:val="both"/>
        <w:textAlignment w:val="auto"/>
        <w:outlineLvl w:val="9"/>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二、在项目的实施过程中，重点做好以下几项工作：</w:t>
      </w:r>
    </w:p>
    <w:p>
      <w:pPr>
        <w:keepNext w:val="0"/>
        <w:keepLines w:val="0"/>
        <w:pageBreakBefore w:val="0"/>
        <w:numPr>
          <w:ilvl w:val="0"/>
          <w:numId w:val="0"/>
        </w:numPr>
        <w:kinsoku/>
        <w:wordWrap/>
        <w:overflowPunct/>
        <w:topLinePunct w:val="0"/>
        <w:autoSpaceDE/>
        <w:autoSpaceDN/>
        <w:bidi w:val="0"/>
        <w:adjustRightInd/>
        <w:snapToGrid/>
        <w:spacing w:line="480" w:lineRule="exact"/>
        <w:ind w:firstLine="420" w:firstLineChars="0"/>
        <w:jc w:val="left"/>
        <w:textAlignment w:val="auto"/>
        <w:outlineLvl w:val="9"/>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1、控制废水污染物排放</w:t>
      </w:r>
      <w:r>
        <w:rPr>
          <w:rFonts w:hint="eastAsia" w:ascii="宋体" w:hAnsi="宋体" w:eastAsia="宋体" w:cs="宋体"/>
          <w:sz w:val="24"/>
          <w:szCs w:val="24"/>
          <w:lang w:eastAsia="zh-CN"/>
        </w:rPr>
        <w:t>。</w:t>
      </w:r>
      <w:r>
        <w:rPr>
          <w:sz w:val="24"/>
        </w:rPr>
        <w:t>生活污水</w:t>
      </w:r>
      <w:r>
        <w:rPr>
          <w:rFonts w:hint="eastAsia"/>
          <w:sz w:val="24"/>
          <w:lang w:eastAsia="zh-CN"/>
        </w:rPr>
        <w:t>经</w:t>
      </w:r>
      <w:r>
        <w:rPr>
          <w:rFonts w:hint="eastAsia"/>
          <w:sz w:val="24"/>
        </w:rPr>
        <w:t>化粪池</w:t>
      </w:r>
      <w:r>
        <w:rPr>
          <w:rFonts w:hint="eastAsia" w:hAnsi="宋体"/>
          <w:sz w:val="24"/>
        </w:rPr>
        <w:t>处理</w:t>
      </w:r>
      <w:r>
        <w:rPr>
          <w:rFonts w:hint="eastAsia" w:hAnsi="宋体"/>
          <w:sz w:val="24"/>
          <w:lang w:eastAsia="zh-CN"/>
        </w:rPr>
        <w:t>后用于周边农肥</w:t>
      </w:r>
      <w:r>
        <w:rPr>
          <w:rFonts w:hint="eastAsia" w:ascii="Times New Roman" w:hAnsi="Times New Roman" w:eastAsia="宋体" w:cs="Times New Roman"/>
          <w:color w:val="auto"/>
          <w:sz w:val="24"/>
          <w:szCs w:val="24"/>
          <w:highlight w:val="none"/>
          <w:lang w:val="en-US" w:eastAsia="zh-CN"/>
        </w:rPr>
        <w:t>；冷却水、喷淋除尘废水循环使用，不外排。</w:t>
      </w:r>
    </w:p>
    <w:p>
      <w:pPr>
        <w:keepNext w:val="0"/>
        <w:keepLines w:val="0"/>
        <w:pageBreakBefore w:val="0"/>
        <w:numPr>
          <w:ilvl w:val="0"/>
          <w:numId w:val="0"/>
        </w:numPr>
        <w:kinsoku/>
        <w:wordWrap/>
        <w:overflowPunct/>
        <w:topLinePunct w:val="0"/>
        <w:autoSpaceDE/>
        <w:autoSpaceDN/>
        <w:bidi w:val="0"/>
        <w:adjustRightInd/>
        <w:snapToGrid/>
        <w:spacing w:line="480" w:lineRule="exact"/>
        <w:ind w:firstLine="420" w:firstLineChars="0"/>
        <w:jc w:val="left"/>
        <w:textAlignment w:val="auto"/>
        <w:outlineLvl w:val="9"/>
        <w:rPr>
          <w:rFonts w:hint="default" w:ascii="Times New Roman" w:hAnsi="Times New Roman" w:cs="Times New Roman"/>
          <w:sz w:val="24"/>
        </w:rPr>
      </w:pPr>
      <w:r>
        <w:rPr>
          <w:rFonts w:hint="eastAsia" w:ascii="Times New Roman" w:hAnsi="Times New Roman" w:eastAsia="宋体" w:cs="Times New Roman"/>
          <w:color w:val="auto"/>
          <w:sz w:val="24"/>
          <w:szCs w:val="24"/>
          <w:highlight w:val="none"/>
          <w:lang w:val="en-US" w:eastAsia="zh-CN"/>
        </w:rPr>
        <w:t>2、强化废气污染防治。抛丸粉尘经自带的喷淋式除尘器处理后无组织排放，其浓度须满足</w:t>
      </w:r>
      <w:r>
        <w:rPr>
          <w:rFonts w:ascii="Times New Roman" w:hAnsi="Times New Roman"/>
          <w:color w:val="auto"/>
          <w:sz w:val="24"/>
        </w:rPr>
        <w:t>《大气污染物综合排放标准》（GB16297-1996）表2</w:t>
      </w:r>
      <w:r>
        <w:rPr>
          <w:rFonts w:hint="default" w:ascii="Times New Roman" w:hAnsi="Times New Roman" w:cs="Times New Roman"/>
          <w:kern w:val="0"/>
          <w:sz w:val="24"/>
        </w:rPr>
        <w:t>无组织排放监控浓度限值</w:t>
      </w:r>
      <w:r>
        <w:rPr>
          <w:rFonts w:hint="default" w:ascii="Times New Roman" w:hAnsi="Times New Roman" w:cs="Times New Roman"/>
          <w:bCs/>
          <w:snapToGrid w:val="0"/>
          <w:sz w:val="24"/>
        </w:rPr>
        <w:t>。</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20" w:firstLineChars="0"/>
        <w:jc w:val="both"/>
        <w:textAlignment w:val="auto"/>
        <w:outlineLvl w:val="9"/>
        <w:rPr>
          <w:rFonts w:hint="eastAsia" w:ascii="Times New Roman" w:hAnsi="Times New Roman" w:eastAsia="宋体" w:cs="Times New Roman"/>
          <w:color w:val="000000"/>
          <w:sz w:val="24"/>
          <w:szCs w:val="24"/>
          <w:lang w:val="en-US" w:eastAsia="zh-CN"/>
        </w:rPr>
      </w:pPr>
      <w:r>
        <w:rPr>
          <w:rFonts w:hint="eastAsia" w:ascii="Times New Roman" w:hAnsi="Times New Roman" w:eastAsia="宋体" w:cs="Times New Roman"/>
          <w:color w:val="000000"/>
          <w:sz w:val="24"/>
          <w:szCs w:val="24"/>
          <w:lang w:val="en-US" w:eastAsia="zh-CN"/>
        </w:rPr>
        <w:t>3、加强噪声控制管理。选用先进的低噪声设备，对高噪声设备采取减振、消音、隔声等措施，确保厂界噪声达到《工业企业厂界环境噪声排放标准》（GB12348-2008）2类标准。</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20" w:firstLineChars="0"/>
        <w:jc w:val="both"/>
        <w:textAlignment w:val="auto"/>
        <w:outlineLvl w:val="9"/>
        <w:rPr>
          <w:rFonts w:hint="eastAsia" w:ascii="Times New Roman" w:hAnsi="Times New Roman" w:eastAsia="宋体" w:cs="Times New Roman"/>
          <w:color w:val="000000"/>
          <w:sz w:val="24"/>
          <w:szCs w:val="24"/>
          <w:lang w:val="en-US" w:eastAsia="zh-CN"/>
        </w:rPr>
      </w:pPr>
      <w:r>
        <w:rPr>
          <w:rFonts w:hint="eastAsia" w:ascii="Times New Roman" w:hAnsi="Times New Roman" w:eastAsia="宋体" w:cs="Times New Roman"/>
          <w:color w:val="000000"/>
          <w:sz w:val="24"/>
          <w:szCs w:val="24"/>
          <w:lang w:val="en-US" w:eastAsia="zh-CN"/>
        </w:rPr>
        <w:t>4、妥善处置固体废物。按照“减量化、资源化、无害化”原则妥善处置固</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left"/>
        <w:textAlignment w:val="auto"/>
        <w:outlineLvl w:val="9"/>
        <w:rPr>
          <w:rFonts w:hint="eastAsia" w:ascii="Times New Roman" w:hAnsi="Times New Roman" w:eastAsia="宋体" w:cs="Times New Roman"/>
          <w:color w:val="000000"/>
          <w:sz w:val="24"/>
          <w:szCs w:val="24"/>
          <w:lang w:val="en-US" w:eastAsia="zh-CN"/>
        </w:rPr>
      </w:pPr>
      <w:r>
        <w:rPr>
          <w:rFonts w:hint="eastAsia" w:ascii="Times New Roman" w:hAnsi="Times New Roman" w:eastAsia="宋体" w:cs="Times New Roman"/>
          <w:color w:val="000000"/>
          <w:sz w:val="24"/>
          <w:szCs w:val="24"/>
          <w:lang w:val="en-US" w:eastAsia="zh-CN"/>
        </w:rPr>
        <w:t>体废物。废物料</w:t>
      </w:r>
      <w:r>
        <w:rPr>
          <w:rFonts w:hint="default" w:ascii="Times New Roman" w:hAnsi="Times New Roman" w:eastAsia="宋体" w:cs="Times New Roman"/>
          <w:color w:val="000000"/>
          <w:sz w:val="24"/>
          <w:szCs w:val="24"/>
          <w:lang w:val="en-US" w:eastAsia="zh-CN"/>
        </w:rPr>
        <w:t>统一收</w:t>
      </w:r>
      <w:r>
        <w:rPr>
          <w:rFonts w:hint="eastAsia" w:ascii="Times New Roman" w:hAnsi="Times New Roman" w:eastAsia="宋体" w:cs="Times New Roman"/>
          <w:color w:val="000000"/>
          <w:sz w:val="24"/>
          <w:szCs w:val="24"/>
          <w:lang w:val="en-US" w:eastAsia="zh-CN"/>
        </w:rPr>
        <w:t>集后定期外售；废液压油、</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left"/>
        <w:textAlignment w:val="auto"/>
        <w:outlineLvl w:val="9"/>
        <w:rPr>
          <w:rFonts w:hint="eastAsia" w:ascii="Times New Roman" w:hAnsi="Times New Roman" w:eastAsia="宋体" w:cs="Times New Roman"/>
          <w:color w:val="000000"/>
          <w:sz w:val="24"/>
          <w:szCs w:val="24"/>
          <w:lang w:val="en-US" w:eastAsia="zh-CN"/>
        </w:rPr>
      </w:pPr>
      <w:r>
        <w:rPr>
          <w:rFonts w:hint="eastAsia" w:ascii="Times New Roman" w:hAnsi="Times New Roman" w:eastAsia="宋体" w:cs="Times New Roman"/>
          <w:color w:val="000000"/>
          <w:sz w:val="24"/>
          <w:szCs w:val="24"/>
          <w:lang w:val="en-US" w:eastAsia="zh-CN"/>
        </w:rPr>
        <w:t>废润滑油、废液压油桶、废润滑油桶收集于危废暂存间，定期交由有资质的单位处理，危废暂存间须满足《危险废物贮存污染控制标准》（GB18597-2001）及其修改单要求；沉淀池沉渣、生活垃圾集中收集后交由环卫部门统一清运填埋。</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firstLine="480" w:firstLineChars="200"/>
        <w:jc w:val="left"/>
        <w:textAlignment w:val="auto"/>
        <w:rPr>
          <w:rFonts w:hint="eastAsia" w:ascii="Times New Roman" w:hAnsi="Times New Roman" w:cs="Times New Roman"/>
          <w:sz w:val="24"/>
          <w:szCs w:val="24"/>
          <w:lang w:val="en-US" w:eastAsia="zh-CN"/>
        </w:rPr>
      </w:pPr>
      <w:r>
        <w:rPr>
          <w:rFonts w:hint="eastAsia" w:ascii="Times New Roman" w:hAnsi="Times New Roman" w:eastAsia="宋体" w:cs="Times New Roman"/>
          <w:color w:val="000000"/>
          <w:sz w:val="24"/>
          <w:szCs w:val="24"/>
          <w:lang w:val="en-US" w:eastAsia="zh-CN"/>
        </w:rPr>
        <w:t>加强</w:t>
      </w:r>
      <w:r>
        <w:rPr>
          <w:rFonts w:hint="eastAsia" w:ascii="Times New Roman" w:hAnsi="Times New Roman" w:cs="Times New Roman"/>
          <w:sz w:val="24"/>
          <w:szCs w:val="24"/>
          <w:lang w:val="en-US" w:eastAsia="zh-CN"/>
        </w:rPr>
        <w:t>企业环境管理</w:t>
      </w:r>
      <w:r>
        <w:rPr>
          <w:rFonts w:hint="default" w:ascii="Times New Roman" w:hAnsi="Times New Roman" w:cs="Times New Roman"/>
          <w:sz w:val="24"/>
          <w:szCs w:val="24"/>
          <w:lang w:val="en-US" w:eastAsia="zh-CN"/>
        </w:rPr>
        <w:t>。</w:t>
      </w:r>
      <w:r>
        <w:rPr>
          <w:rFonts w:hint="eastAsia" w:ascii="Times New Roman" w:hAnsi="Times New Roman" w:cs="Times New Roman"/>
          <w:sz w:val="24"/>
          <w:szCs w:val="24"/>
          <w:lang w:val="en-US" w:eastAsia="zh-CN"/>
        </w:rPr>
        <w:t>按环评要求合理布局生产设施和建设污染防治设施，建立健全生产与环境保护管理制度，实行清洁生产，全过程控制污染，保持良好的厂容厂貌。</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jc w:val="left"/>
        <w:textAlignment w:val="auto"/>
        <w:rPr>
          <w:rFonts w:hint="eastAsia"/>
          <w:sz w:val="24"/>
          <w:szCs w:val="24"/>
        </w:rPr>
      </w:pPr>
      <w:r>
        <w:rPr>
          <w:rFonts w:hint="eastAsia"/>
          <w:sz w:val="24"/>
          <w:szCs w:val="24"/>
          <w:lang w:eastAsia="zh-CN"/>
        </w:rPr>
        <w:t>三、项目建成后，在启动生产设施或实际排污之前须申请排污许可证或完成排污许可信息登记。</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jc w:val="both"/>
        <w:textAlignment w:val="auto"/>
        <w:outlineLvl w:val="9"/>
        <w:rPr>
          <w:rFonts w:hint="eastAsia" w:ascii="Times New Roman" w:hAnsi="Times New Roman" w:eastAsia="宋体" w:cs="Times New Roman"/>
          <w:color w:val="000000"/>
          <w:sz w:val="24"/>
          <w:szCs w:val="24"/>
          <w:lang w:val="en-US" w:eastAsia="zh-CN"/>
        </w:rPr>
      </w:pPr>
      <w:r>
        <w:rPr>
          <w:rFonts w:hint="eastAsia" w:ascii="Times New Roman" w:hAnsi="Times New Roman" w:eastAsia="宋体" w:cs="Times New Roman"/>
          <w:color w:val="000000"/>
          <w:sz w:val="24"/>
          <w:szCs w:val="24"/>
          <w:lang w:val="en-US" w:eastAsia="zh-CN"/>
        </w:rPr>
        <w:t>四、按规定办理项目竣工环境保护验收手续，经验收合格后方可投入运营。</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480" w:firstLineChars="200"/>
        <w:jc w:val="both"/>
        <w:textAlignment w:val="auto"/>
        <w:outlineLvl w:val="9"/>
        <w:rPr>
          <w:rFonts w:hint="eastAsia"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 xml:space="preserve"> </w:t>
      </w:r>
      <w:r>
        <w:rPr>
          <w:rFonts w:hint="eastAsia" w:ascii="Times New Roman" w:hAnsi="Times New Roman" w:eastAsia="宋体" w:cs="Times New Roman"/>
          <w:b w:val="0"/>
          <w:bCs w:val="0"/>
          <w:sz w:val="24"/>
          <w:szCs w:val="24"/>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480" w:firstLineChars="200"/>
        <w:jc w:val="both"/>
        <w:textAlignment w:val="auto"/>
        <w:outlineLvl w:val="9"/>
        <w:rPr>
          <w:rFonts w:hint="eastAsia" w:ascii="Times New Roman" w:hAnsi="Times New Roman" w:eastAsia="宋体" w:cs="Times New Roman"/>
          <w:b w:val="0"/>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480" w:firstLineChars="200"/>
        <w:jc w:val="both"/>
        <w:textAlignment w:val="auto"/>
        <w:outlineLvl w:val="9"/>
        <w:rPr>
          <w:rFonts w:hint="eastAsia" w:ascii="Times New Roman" w:hAnsi="Times New Roman" w:eastAsia="宋体" w:cs="Times New Roman"/>
          <w:b w:val="0"/>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240" w:firstLineChars="2600"/>
        <w:jc w:val="both"/>
        <w:textAlignment w:val="auto"/>
        <w:outlineLvl w:val="9"/>
        <w:rPr>
          <w:rFonts w:hint="default"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sz w:val="24"/>
          <w:szCs w:val="24"/>
          <w:lang w:val="en-US" w:eastAsia="zh-CN"/>
        </w:rPr>
        <w:t>邵阳市生态环境局</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firstLine="480" w:firstLineChars="200"/>
        <w:jc w:val="both"/>
        <w:textAlignment w:val="auto"/>
        <w:outlineLvl w:val="9"/>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 xml:space="preserve">                                  </w:t>
      </w:r>
      <w:r>
        <w:rPr>
          <w:rFonts w:hint="eastAsia" w:ascii="Times New Roman" w:hAnsi="Times New Roman" w:eastAsia="宋体" w:cs="Times New Roman"/>
          <w:b w:val="0"/>
          <w:bCs w:val="0"/>
          <w:sz w:val="24"/>
          <w:szCs w:val="24"/>
          <w:lang w:val="en-US" w:eastAsia="zh-CN"/>
        </w:rPr>
        <w:t xml:space="preserve">              </w:t>
      </w:r>
      <w:r>
        <w:rPr>
          <w:rFonts w:hint="default" w:ascii="Times New Roman" w:hAnsi="Times New Roman" w:eastAsia="宋体" w:cs="Times New Roman"/>
          <w:b w:val="0"/>
          <w:bCs w:val="0"/>
          <w:sz w:val="24"/>
          <w:szCs w:val="24"/>
          <w:lang w:val="en-US" w:eastAsia="zh-CN"/>
        </w:rPr>
        <w:t>20</w:t>
      </w:r>
      <w:r>
        <w:rPr>
          <w:rFonts w:hint="eastAsia" w:ascii="Times New Roman" w:hAnsi="Times New Roman" w:eastAsia="宋体" w:cs="Times New Roman"/>
          <w:b w:val="0"/>
          <w:bCs w:val="0"/>
          <w:sz w:val="24"/>
          <w:szCs w:val="24"/>
          <w:lang w:val="en-US" w:eastAsia="zh-CN"/>
        </w:rPr>
        <w:t>21</w:t>
      </w:r>
      <w:r>
        <w:rPr>
          <w:rFonts w:hint="default" w:ascii="Times New Roman" w:hAnsi="Times New Roman" w:eastAsia="宋体" w:cs="Times New Roman"/>
          <w:b w:val="0"/>
          <w:bCs w:val="0"/>
          <w:sz w:val="24"/>
          <w:szCs w:val="24"/>
          <w:lang w:val="en-US" w:eastAsia="zh-CN"/>
        </w:rPr>
        <w:t>年</w:t>
      </w:r>
      <w:r>
        <w:rPr>
          <w:rFonts w:hint="eastAsia" w:ascii="Times New Roman" w:hAnsi="Times New Roman" w:eastAsia="宋体" w:cs="Times New Roman"/>
          <w:b w:val="0"/>
          <w:bCs w:val="0"/>
          <w:sz w:val="24"/>
          <w:szCs w:val="24"/>
          <w:lang w:val="en-US" w:eastAsia="zh-CN"/>
        </w:rPr>
        <w:t xml:space="preserve"> 12</w:t>
      </w:r>
      <w:r>
        <w:rPr>
          <w:rFonts w:hint="default" w:ascii="Times New Roman" w:hAnsi="Times New Roman" w:eastAsia="宋体" w:cs="Times New Roman"/>
          <w:b w:val="0"/>
          <w:bCs w:val="0"/>
          <w:sz w:val="24"/>
          <w:szCs w:val="24"/>
          <w:lang w:val="en-US" w:eastAsia="zh-CN"/>
        </w:rPr>
        <w:t>月</w:t>
      </w:r>
      <w:r>
        <w:rPr>
          <w:rFonts w:hint="eastAsia" w:ascii="Times New Roman" w:hAnsi="Times New Roman" w:eastAsia="宋体" w:cs="Times New Roman"/>
          <w:b w:val="0"/>
          <w:bCs w:val="0"/>
          <w:sz w:val="24"/>
          <w:szCs w:val="24"/>
          <w:lang w:val="en-US" w:eastAsia="zh-CN"/>
        </w:rPr>
        <w:t>10</w:t>
      </w:r>
      <w:r>
        <w:rPr>
          <w:rFonts w:hint="default" w:ascii="Times New Roman" w:hAnsi="Times New Roman" w:eastAsia="宋体" w:cs="Times New Roman"/>
          <w:b w:val="0"/>
          <w:bCs w:val="0"/>
          <w:sz w:val="24"/>
          <w:szCs w:val="24"/>
          <w:lang w:val="en-US" w:eastAsia="zh-CN"/>
        </w:rPr>
        <w:t>日</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both"/>
        <w:textAlignment w:val="auto"/>
        <w:outlineLvl w:val="9"/>
        <w:rPr>
          <w:rFonts w:hint="eastAsia" w:ascii="Times New Roman" w:hAnsi="Times New Roman" w:eastAsia="宋体" w:cs="Times New Roman"/>
          <w:color w:val="00000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both"/>
        <w:textAlignment w:val="auto"/>
        <w:outlineLvl w:val="9"/>
        <w:rPr>
          <w:rFonts w:hint="eastAsia" w:ascii="Times New Roman" w:hAnsi="Times New Roman" w:eastAsia="宋体" w:cs="Times New Roman"/>
          <w:color w:val="00000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both"/>
        <w:textAlignment w:val="auto"/>
        <w:outlineLvl w:val="9"/>
        <w:rPr>
          <w:rFonts w:hint="eastAsia" w:ascii="Times New Roman" w:hAnsi="Times New Roman" w:eastAsia="宋体" w:cs="Times New Roman"/>
          <w:color w:val="00000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both"/>
        <w:textAlignment w:val="auto"/>
        <w:outlineLvl w:val="9"/>
        <w:rPr>
          <w:rFonts w:hint="eastAsia" w:ascii="Times New Roman" w:hAnsi="Times New Roman" w:eastAsia="宋体" w:cs="Times New Roman"/>
          <w:color w:val="00000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both"/>
        <w:textAlignment w:val="auto"/>
        <w:outlineLvl w:val="9"/>
        <w:rPr>
          <w:rFonts w:hint="eastAsia" w:ascii="Times New Roman" w:hAnsi="Times New Roman" w:eastAsia="宋体" w:cs="Times New Roman"/>
          <w:color w:val="00000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both"/>
        <w:textAlignment w:val="auto"/>
        <w:outlineLvl w:val="9"/>
        <w:rPr>
          <w:rFonts w:hint="eastAsia" w:ascii="Times New Roman" w:hAnsi="Times New Roman" w:eastAsia="宋体" w:cs="Times New Roman"/>
          <w:color w:val="00000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both"/>
        <w:textAlignment w:val="auto"/>
        <w:outlineLvl w:val="9"/>
        <w:rPr>
          <w:rFonts w:hint="eastAsia" w:ascii="Times New Roman" w:hAnsi="Times New Roman" w:eastAsia="宋体" w:cs="Times New Roman"/>
          <w:color w:val="00000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both"/>
        <w:textAlignment w:val="auto"/>
        <w:outlineLvl w:val="9"/>
        <w:rPr>
          <w:rFonts w:hint="eastAsia" w:ascii="Times New Roman" w:hAnsi="Times New Roman" w:eastAsia="宋体" w:cs="Times New Roman"/>
          <w:color w:val="00000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both"/>
        <w:textAlignment w:val="auto"/>
        <w:outlineLvl w:val="9"/>
        <w:rPr>
          <w:rFonts w:hint="eastAsia" w:ascii="Times New Roman" w:hAnsi="Times New Roman" w:eastAsia="宋体" w:cs="Times New Roman"/>
          <w:color w:val="00000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both"/>
        <w:textAlignment w:val="auto"/>
        <w:outlineLvl w:val="9"/>
        <w:rPr>
          <w:rFonts w:hint="eastAsia" w:ascii="Times New Roman" w:hAnsi="Times New Roman" w:eastAsia="宋体" w:cs="Times New Roman"/>
          <w:color w:val="00000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both"/>
        <w:textAlignment w:val="auto"/>
        <w:outlineLvl w:val="9"/>
        <w:rPr>
          <w:rFonts w:hint="eastAsia" w:ascii="Times New Roman" w:hAnsi="Times New Roman" w:eastAsia="宋体" w:cs="Times New Roman"/>
          <w:color w:val="00000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both"/>
        <w:textAlignment w:val="auto"/>
        <w:outlineLvl w:val="9"/>
        <w:rPr>
          <w:rFonts w:hint="eastAsia" w:ascii="Times New Roman" w:hAnsi="Times New Roman" w:eastAsia="宋体" w:cs="Times New Roman"/>
          <w:color w:val="00000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both"/>
        <w:textAlignment w:val="auto"/>
        <w:outlineLvl w:val="9"/>
      </w:pPr>
      <w:r>
        <w:rPr>
          <w:rFonts w:hint="eastAsia" w:ascii="Times New Roman" w:hAnsi="Times New Roman" w:eastAsia="宋体" w:cs="Times New Roman"/>
          <w:color w:val="000000"/>
          <w:sz w:val="24"/>
          <w:szCs w:val="24"/>
          <w:lang w:val="en-US" w:eastAsia="zh-CN"/>
        </w:rPr>
        <w:t>抄送：仙槎桥</w:t>
      </w:r>
      <w:r>
        <w:rPr>
          <w:rFonts w:hint="default" w:ascii="Times New Roman" w:hAnsi="Times New Roman" w:eastAsia="宋体" w:cs="Times New Roman"/>
          <w:b w:val="0"/>
          <w:bCs w:val="0"/>
          <w:sz w:val="24"/>
          <w:szCs w:val="24"/>
          <w:lang w:val="en-US" w:eastAsia="zh-CN"/>
        </w:rPr>
        <w:t>镇</w:t>
      </w:r>
      <w:r>
        <w:rPr>
          <w:rFonts w:hint="eastAsia" w:ascii="Times New Roman" w:hAnsi="Times New Roman" w:eastAsia="宋体" w:cs="Times New Roman"/>
          <w:b w:val="0"/>
          <w:bCs w:val="0"/>
          <w:sz w:val="24"/>
          <w:szCs w:val="24"/>
          <w:lang w:val="en-US" w:eastAsia="zh-CN"/>
        </w:rPr>
        <w:t>人民政府  湖南应画环保科技有限公司</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Light">
    <w:altName w:val="宋体"/>
    <w:panose1 w:val="02010600030101010101"/>
    <w:charset w:val="86"/>
    <w:family w:val="auto"/>
    <w:pitch w:val="default"/>
    <w:sig w:usb0="00000000" w:usb1="00000000"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B51824"/>
    <w:multiLevelType w:val="singleLevel"/>
    <w:tmpl w:val="89B51824"/>
    <w:lvl w:ilvl="0" w:tentative="0">
      <w:start w:val="5"/>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1015B0"/>
    <w:rsid w:val="0CC74A04"/>
    <w:rsid w:val="335C385B"/>
    <w:rsid w:val="3B1015B0"/>
    <w:rsid w:val="421F76F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9"/>
    <w:pPr>
      <w:keepNext/>
      <w:keepLines/>
      <w:spacing w:before="280" w:after="290" w:line="376" w:lineRule="auto"/>
      <w:outlineLvl w:val="3"/>
    </w:pPr>
    <w:rPr>
      <w:rFonts w:ascii="等线 Light" w:hAnsi="等线 Light" w:eastAsia="等线 Light"/>
      <w:b/>
      <w:bCs/>
      <w:sz w:val="28"/>
      <w:szCs w:val="28"/>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31</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2021-11-30T02:52:00Z</dcterms:created>
  <dc:creator>演示人</dc:creator>
  <cp:lastModifiedBy>演示人</cp:lastModifiedBy>
  <cp:lastPrinted>2021-12-10T05:41:55Z</cp:lastPrinted>
  <dcterms:modified xsi:type="dcterms:W3CDTF">2021-12-10T06:44:31Z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5C012FB5AE744868AB42DD15A1A345A1</vt:lpwstr>
  </property>
</Properties>
</file>