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olor w:val="auto"/>
          <w:sz w:val="36"/>
          <w:szCs w:val="36"/>
        </w:rPr>
      </w:pPr>
    </w:p>
    <w:p>
      <w:pPr>
        <w:rPr>
          <w:rFonts w:eastAsia="仿宋_GB2312"/>
          <w:color w:val="auto"/>
          <w:sz w:val="36"/>
          <w:szCs w:val="36"/>
        </w:rPr>
      </w:pPr>
    </w:p>
    <w:p>
      <w:pPr>
        <w:rPr>
          <w:rFonts w:eastAsia="仿宋_GB2312"/>
          <w:color w:val="auto"/>
          <w:sz w:val="36"/>
          <w:szCs w:val="36"/>
        </w:rPr>
      </w:pPr>
    </w:p>
    <w:p>
      <w:pPr>
        <w:rPr>
          <w:rFonts w:eastAsia="仿宋_GB2312"/>
          <w:color w:val="auto"/>
          <w:sz w:val="36"/>
          <w:szCs w:val="36"/>
        </w:rPr>
      </w:pPr>
    </w:p>
    <w:p>
      <w:pPr>
        <w:rPr>
          <w:rFonts w:eastAsia="仿宋_GB2312"/>
          <w:color w:val="auto"/>
          <w:sz w:val="36"/>
          <w:szCs w:val="36"/>
        </w:rPr>
      </w:pPr>
    </w:p>
    <w:p>
      <w:pPr>
        <w:adjustRightInd w:val="0"/>
        <w:snapToGrid w:val="0"/>
        <w:jc w:val="center"/>
        <w:outlineLvl w:val="0"/>
        <w:rPr>
          <w:rFonts w:eastAsia="方正小标宋_GBK"/>
          <w:bCs/>
          <w:color w:val="auto"/>
          <w:sz w:val="72"/>
          <w:szCs w:val="72"/>
        </w:rPr>
      </w:pPr>
      <w:bookmarkStart w:id="0" w:name="_Toc73483517"/>
      <w:r>
        <w:rPr>
          <w:rFonts w:eastAsia="方正小标宋_GBK"/>
          <w:bCs/>
          <w:color w:val="auto"/>
          <w:sz w:val="72"/>
          <w:szCs w:val="72"/>
        </w:rPr>
        <w:t>建设项目环境影响报告表</w:t>
      </w:r>
      <w:bookmarkEnd w:id="0"/>
    </w:p>
    <w:p>
      <w:pPr>
        <w:adjustRightInd w:val="0"/>
        <w:snapToGrid w:val="0"/>
        <w:spacing w:before="192" w:beforeLines="80"/>
        <w:jc w:val="center"/>
        <w:rPr>
          <w:rFonts w:eastAsia="楷体_GB2312"/>
          <w:bCs/>
          <w:color w:val="auto"/>
          <w:sz w:val="48"/>
          <w:szCs w:val="48"/>
        </w:rPr>
      </w:pPr>
      <w:r>
        <w:rPr>
          <w:rFonts w:eastAsia="楷体_GB2312"/>
          <w:bCs/>
          <w:color w:val="auto"/>
          <w:sz w:val="48"/>
          <w:szCs w:val="48"/>
        </w:rPr>
        <w:t>（污染影响类）</w:t>
      </w:r>
    </w:p>
    <w:p>
      <w:pPr>
        <w:adjustRightInd w:val="0"/>
        <w:snapToGrid w:val="0"/>
        <w:spacing w:line="288" w:lineRule="auto"/>
        <w:jc w:val="center"/>
        <w:outlineLvl w:val="0"/>
        <w:rPr>
          <w:rFonts w:eastAsia="华文仿宋"/>
          <w:color w:val="auto"/>
          <w:kern w:val="44"/>
          <w:sz w:val="44"/>
          <w:szCs w:val="44"/>
        </w:rPr>
      </w:pPr>
    </w:p>
    <w:p>
      <w:pPr>
        <w:jc w:val="center"/>
        <w:rPr>
          <w:rFonts w:eastAsia="仿宋"/>
          <w:color w:val="auto"/>
          <w:sz w:val="52"/>
          <w:szCs w:val="52"/>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adjustRightInd w:val="0"/>
        <w:snapToGrid w:val="0"/>
        <w:spacing w:line="288" w:lineRule="auto"/>
        <w:ind w:firstLine="220"/>
        <w:rPr>
          <w:rFonts w:eastAsia="仿宋_GB2312"/>
          <w:color w:val="auto"/>
          <w:sz w:val="36"/>
          <w:szCs w:val="36"/>
          <w:u w:val="single"/>
        </w:rPr>
      </w:pPr>
      <w:r>
        <w:rPr>
          <w:rFonts w:eastAsia="仿宋_GB2312"/>
          <w:color w:val="auto"/>
          <w:sz w:val="36"/>
          <w:szCs w:val="36"/>
        </w:rPr>
        <w:t>项目名称：</w:t>
      </w:r>
      <w:r>
        <w:rPr>
          <w:rFonts w:hint="eastAsia" w:eastAsia="仿宋_GB2312"/>
          <w:color w:val="auto"/>
          <w:sz w:val="36"/>
          <w:szCs w:val="36"/>
          <w:u w:val="single"/>
          <w:lang w:eastAsia="zh-CN"/>
        </w:rPr>
        <w:t>年产100吨珍珠棉生产线建设项目</w:t>
      </w:r>
    </w:p>
    <w:p>
      <w:pPr>
        <w:adjustRightInd w:val="0"/>
        <w:snapToGrid w:val="0"/>
        <w:spacing w:line="288" w:lineRule="auto"/>
        <w:rPr>
          <w:rFonts w:eastAsia="仿宋_GB2312"/>
          <w:color w:val="auto"/>
          <w:sz w:val="36"/>
          <w:szCs w:val="36"/>
          <w:u w:val="single"/>
        </w:rPr>
      </w:pPr>
      <w:r>
        <w:rPr>
          <w:rFonts w:eastAsia="仿宋_GB2312"/>
          <w:color w:val="auto"/>
          <w:sz w:val="36"/>
          <w:szCs w:val="36"/>
        </w:rPr>
        <w:t xml:space="preserve"> 建设单位（盖章）：</w:t>
      </w:r>
      <w:r>
        <w:rPr>
          <w:rFonts w:hint="eastAsia" w:eastAsia="仿宋_GB2312"/>
          <w:color w:val="auto"/>
          <w:sz w:val="36"/>
          <w:szCs w:val="36"/>
          <w:u w:val="single"/>
          <w:lang w:eastAsia="zh-CN"/>
        </w:rPr>
        <w:t>邵东勇博商贸有限公司</w:t>
      </w:r>
    </w:p>
    <w:p>
      <w:pPr>
        <w:adjustRightInd w:val="0"/>
        <w:snapToGrid w:val="0"/>
        <w:spacing w:line="288" w:lineRule="auto"/>
        <w:rPr>
          <w:rFonts w:eastAsia="仿宋_GB2312"/>
          <w:color w:val="auto"/>
          <w:sz w:val="36"/>
          <w:szCs w:val="36"/>
          <w:u w:val="single"/>
        </w:rPr>
      </w:pPr>
      <w:r>
        <w:rPr>
          <w:rFonts w:eastAsia="仿宋_GB2312"/>
          <w:color w:val="auto"/>
          <w:sz w:val="36"/>
          <w:szCs w:val="36"/>
        </w:rPr>
        <w:t xml:space="preserve"> 编制日期：</w:t>
      </w:r>
      <w:r>
        <w:rPr>
          <w:rFonts w:eastAsia="仿宋_GB2312"/>
          <w:color w:val="auto"/>
          <w:sz w:val="36"/>
          <w:szCs w:val="36"/>
          <w:u w:val="single"/>
        </w:rPr>
        <w:t xml:space="preserve">         </w:t>
      </w:r>
      <w:r>
        <w:rPr>
          <w:rFonts w:hint="eastAsia" w:eastAsia="仿宋_GB2312"/>
          <w:color w:val="auto"/>
          <w:sz w:val="36"/>
          <w:szCs w:val="36"/>
          <w:u w:val="single"/>
        </w:rPr>
        <w:t xml:space="preserve">  </w:t>
      </w:r>
      <w:r>
        <w:rPr>
          <w:rFonts w:eastAsia="仿宋_GB2312"/>
          <w:color w:val="auto"/>
          <w:sz w:val="36"/>
          <w:szCs w:val="36"/>
          <w:u w:val="single"/>
        </w:rPr>
        <w:t>2021年</w:t>
      </w:r>
      <w:r>
        <w:rPr>
          <w:rFonts w:hint="eastAsia" w:eastAsia="仿宋_GB2312"/>
          <w:color w:val="auto"/>
          <w:sz w:val="36"/>
          <w:szCs w:val="36"/>
          <w:u w:val="single"/>
          <w:lang w:val="en-US" w:eastAsia="zh-CN"/>
        </w:rPr>
        <w:t>10</w:t>
      </w:r>
      <w:r>
        <w:rPr>
          <w:rFonts w:eastAsia="仿宋_GB2312"/>
          <w:color w:val="auto"/>
          <w:sz w:val="36"/>
          <w:szCs w:val="36"/>
          <w:u w:val="single"/>
        </w:rPr>
        <w:t xml:space="preserve">月   </w:t>
      </w:r>
      <w:r>
        <w:rPr>
          <w:rFonts w:hint="eastAsia" w:eastAsia="仿宋_GB2312"/>
          <w:color w:val="auto"/>
          <w:sz w:val="36"/>
          <w:szCs w:val="36"/>
          <w:u w:val="single"/>
        </w:rPr>
        <w:t xml:space="preserve">  </w:t>
      </w:r>
      <w:r>
        <w:rPr>
          <w:rFonts w:eastAsia="仿宋_GB2312"/>
          <w:color w:val="auto"/>
          <w:sz w:val="36"/>
          <w:szCs w:val="36"/>
          <w:u w:val="single"/>
        </w:rPr>
        <w:t xml:space="preserve">      </w:t>
      </w:r>
    </w:p>
    <w:p>
      <w:pPr>
        <w:adjustRightInd w:val="0"/>
        <w:snapToGrid w:val="0"/>
        <w:spacing w:line="288" w:lineRule="auto"/>
        <w:ind w:firstLine="1040"/>
        <w:rPr>
          <w:rFonts w:eastAsia="仿宋_GB2312"/>
          <w:color w:val="auto"/>
          <w:sz w:val="36"/>
          <w:szCs w:val="36"/>
          <w:u w:val="single"/>
        </w:rPr>
      </w:pPr>
      <w:bookmarkStart w:id="1" w:name="_Hlk57884087"/>
    </w:p>
    <w:p>
      <w:pPr>
        <w:adjustRightInd w:val="0"/>
        <w:snapToGrid w:val="0"/>
        <w:spacing w:line="288" w:lineRule="auto"/>
        <w:ind w:firstLine="1040"/>
        <w:rPr>
          <w:rFonts w:eastAsia="仿宋_GB2312"/>
          <w:color w:val="auto"/>
          <w:sz w:val="36"/>
          <w:szCs w:val="36"/>
        </w:rPr>
      </w:pPr>
    </w:p>
    <w:p>
      <w:pPr>
        <w:adjustRightInd w:val="0"/>
        <w:snapToGrid w:val="0"/>
        <w:spacing w:line="288" w:lineRule="auto"/>
        <w:ind w:firstLine="1040"/>
        <w:rPr>
          <w:rFonts w:eastAsia="仿宋_GB2312"/>
          <w:color w:val="auto"/>
          <w:sz w:val="36"/>
          <w:szCs w:val="36"/>
        </w:rPr>
      </w:pPr>
    </w:p>
    <w:p>
      <w:pPr>
        <w:adjustRightInd w:val="0"/>
        <w:snapToGrid w:val="0"/>
        <w:spacing w:line="288" w:lineRule="auto"/>
        <w:ind w:firstLine="1040"/>
        <w:rPr>
          <w:rFonts w:eastAsia="仿宋_GB2312"/>
          <w:color w:val="auto"/>
          <w:sz w:val="36"/>
          <w:szCs w:val="36"/>
        </w:rPr>
      </w:pPr>
    </w:p>
    <w:p>
      <w:pPr>
        <w:adjustRightInd w:val="0"/>
        <w:snapToGrid w:val="0"/>
        <w:spacing w:line="288" w:lineRule="auto"/>
        <w:ind w:firstLine="1040"/>
        <w:rPr>
          <w:rFonts w:eastAsia="仿宋_GB2312"/>
          <w:color w:val="auto"/>
          <w:sz w:val="36"/>
          <w:szCs w:val="36"/>
        </w:rPr>
      </w:pPr>
    </w:p>
    <w:bookmarkEnd w:id="1"/>
    <w:p>
      <w:pPr>
        <w:adjustRightInd w:val="0"/>
        <w:snapToGrid w:val="0"/>
        <w:spacing w:line="288" w:lineRule="auto"/>
        <w:jc w:val="center"/>
        <w:rPr>
          <w:rFonts w:eastAsia="楷体_GB2312"/>
          <w:color w:val="auto"/>
          <w:sz w:val="36"/>
          <w:szCs w:val="36"/>
        </w:rPr>
      </w:pPr>
      <w:r>
        <w:rPr>
          <w:rFonts w:eastAsia="楷体_GB2312"/>
          <w:color w:val="auto"/>
          <w:sz w:val="36"/>
          <w:szCs w:val="36"/>
        </w:rPr>
        <w:t>中华人民共和国生态环境部制</w:t>
      </w:r>
    </w:p>
    <w:p>
      <w:pPr>
        <w:adjustRightInd w:val="0"/>
        <w:snapToGrid w:val="0"/>
        <w:spacing w:line="288" w:lineRule="auto"/>
        <w:ind w:firstLine="1040"/>
        <w:rPr>
          <w:rFonts w:eastAsia="仿宋_GB2312"/>
          <w:color w:val="auto"/>
          <w:sz w:val="36"/>
          <w:szCs w:val="36"/>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pPr>
        <w:pStyle w:val="22"/>
        <w:tabs>
          <w:tab w:val="right" w:leader="dot" w:pos="8834"/>
        </w:tabs>
        <w:jc w:val="center"/>
        <w:rPr>
          <w:color w:val="auto"/>
          <w:sz w:val="30"/>
          <w:szCs w:val="30"/>
        </w:rPr>
      </w:pPr>
      <w:r>
        <w:rPr>
          <w:rFonts w:hint="eastAsia"/>
          <w:color w:val="auto"/>
          <w:sz w:val="30"/>
          <w:szCs w:val="30"/>
        </w:rPr>
        <w:t xml:space="preserve">目 </w:t>
      </w:r>
      <w:r>
        <w:rPr>
          <w:color w:val="auto"/>
          <w:sz w:val="30"/>
          <w:szCs w:val="30"/>
        </w:rPr>
        <w:t xml:space="preserve"> </w:t>
      </w:r>
      <w:r>
        <w:rPr>
          <w:rFonts w:hint="eastAsia"/>
          <w:color w:val="auto"/>
          <w:sz w:val="30"/>
          <w:szCs w:val="30"/>
        </w:rPr>
        <w:t>录</w:t>
      </w:r>
    </w:p>
    <w:p>
      <w:pPr>
        <w:pStyle w:val="22"/>
        <w:tabs>
          <w:tab w:val="right" w:leader="dot" w:pos="8834"/>
        </w:tabs>
        <w:spacing w:line="360" w:lineRule="auto"/>
        <w:rPr>
          <w:rFonts w:asciiTheme="minorHAnsi" w:hAnsiTheme="minorHAnsi" w:eastAsiaTheme="minorEastAsia" w:cstheme="minorBidi"/>
          <w:color w:val="auto"/>
          <w:sz w:val="30"/>
          <w:szCs w:val="30"/>
        </w:rPr>
      </w:pPr>
      <w:r>
        <w:rPr>
          <w:color w:val="auto"/>
          <w:sz w:val="30"/>
          <w:szCs w:val="30"/>
        </w:rPr>
        <w:fldChar w:fldCharType="begin"/>
      </w:r>
      <w:r>
        <w:rPr>
          <w:color w:val="auto"/>
          <w:sz w:val="30"/>
          <w:szCs w:val="30"/>
        </w:rPr>
        <w:instrText xml:space="preserve"> TOC \o "1-1" \h \z \u </w:instrText>
      </w:r>
      <w:r>
        <w:rPr>
          <w:color w:val="auto"/>
          <w:sz w:val="30"/>
          <w:szCs w:val="30"/>
        </w:rPr>
        <w:fldChar w:fldCharType="separate"/>
      </w:r>
      <w:r>
        <w:rPr>
          <w:color w:val="auto"/>
        </w:rPr>
        <w:fldChar w:fldCharType="begin"/>
      </w:r>
      <w:r>
        <w:rPr>
          <w:color w:val="auto"/>
        </w:rPr>
        <w:instrText xml:space="preserve"> HYPERLINK \l "_Toc73483517" </w:instrText>
      </w:r>
      <w:r>
        <w:rPr>
          <w:color w:val="auto"/>
        </w:rPr>
        <w:fldChar w:fldCharType="separate"/>
      </w:r>
      <w:r>
        <w:rPr>
          <w:rStyle w:val="34"/>
          <w:rFonts w:hint="eastAsia" w:eastAsia="方正小标宋_GBK"/>
          <w:bCs/>
          <w:color w:val="auto"/>
          <w:sz w:val="30"/>
          <w:szCs w:val="30"/>
        </w:rPr>
        <w:t>修改说明</w:t>
      </w:r>
      <w:r>
        <w:rPr>
          <w:color w:val="auto"/>
          <w:sz w:val="30"/>
          <w:szCs w:val="30"/>
        </w:rPr>
        <w:tab/>
      </w:r>
      <w:r>
        <w:rPr>
          <w:color w:val="auto"/>
          <w:sz w:val="30"/>
          <w:szCs w:val="30"/>
        </w:rPr>
        <w:t>2</w:t>
      </w:r>
      <w:r>
        <w:rPr>
          <w:color w:val="auto"/>
          <w:sz w:val="30"/>
          <w:szCs w:val="30"/>
        </w:rPr>
        <w:fldChar w:fldCharType="end"/>
      </w:r>
    </w:p>
    <w:p>
      <w:pPr>
        <w:pStyle w:val="22"/>
        <w:tabs>
          <w:tab w:val="right" w:leader="dot" w:pos="8834"/>
        </w:tabs>
        <w:spacing w:line="360" w:lineRule="auto"/>
        <w:rPr>
          <w:rFonts w:asciiTheme="minorHAnsi" w:hAnsiTheme="minorHAnsi" w:eastAsiaTheme="minorEastAsia" w:cstheme="minorBidi"/>
          <w:color w:val="auto"/>
          <w:sz w:val="30"/>
          <w:szCs w:val="30"/>
        </w:rPr>
      </w:pPr>
      <w:r>
        <w:rPr>
          <w:color w:val="auto"/>
        </w:rPr>
        <w:fldChar w:fldCharType="begin"/>
      </w:r>
      <w:r>
        <w:rPr>
          <w:color w:val="auto"/>
        </w:rPr>
        <w:instrText xml:space="preserve"> HYPERLINK \l "_Toc73483518" </w:instrText>
      </w:r>
      <w:r>
        <w:rPr>
          <w:color w:val="auto"/>
        </w:rPr>
        <w:fldChar w:fldCharType="separate"/>
      </w:r>
      <w:r>
        <w:rPr>
          <w:rStyle w:val="34"/>
          <w:color w:val="auto"/>
          <w:sz w:val="30"/>
          <w:szCs w:val="30"/>
        </w:rPr>
        <w:t>一、建设项目基本情况</w:t>
      </w:r>
      <w:r>
        <w:rPr>
          <w:color w:val="auto"/>
          <w:sz w:val="30"/>
          <w:szCs w:val="30"/>
        </w:rPr>
        <w:tab/>
      </w:r>
      <w:r>
        <w:rPr>
          <w:color w:val="auto"/>
          <w:sz w:val="30"/>
          <w:szCs w:val="30"/>
        </w:rPr>
        <w:fldChar w:fldCharType="begin"/>
      </w:r>
      <w:r>
        <w:rPr>
          <w:color w:val="auto"/>
          <w:sz w:val="30"/>
          <w:szCs w:val="30"/>
        </w:rPr>
        <w:instrText xml:space="preserve"> PAGEREF _Toc73483518 \h </w:instrText>
      </w:r>
      <w:r>
        <w:rPr>
          <w:color w:val="auto"/>
          <w:sz w:val="30"/>
          <w:szCs w:val="30"/>
        </w:rPr>
        <w:fldChar w:fldCharType="separate"/>
      </w:r>
      <w:r>
        <w:rPr>
          <w:color w:val="auto"/>
          <w:sz w:val="30"/>
          <w:szCs w:val="30"/>
        </w:rPr>
        <w:t>1</w:t>
      </w:r>
      <w:r>
        <w:rPr>
          <w:color w:val="auto"/>
          <w:sz w:val="30"/>
          <w:szCs w:val="30"/>
        </w:rPr>
        <w:fldChar w:fldCharType="end"/>
      </w:r>
      <w:r>
        <w:rPr>
          <w:color w:val="auto"/>
          <w:sz w:val="30"/>
          <w:szCs w:val="30"/>
        </w:rPr>
        <w:fldChar w:fldCharType="end"/>
      </w:r>
    </w:p>
    <w:p>
      <w:pPr>
        <w:pStyle w:val="22"/>
        <w:tabs>
          <w:tab w:val="right" w:leader="dot" w:pos="8834"/>
        </w:tabs>
        <w:spacing w:line="360" w:lineRule="auto"/>
        <w:rPr>
          <w:rFonts w:asciiTheme="minorHAnsi" w:hAnsiTheme="minorHAnsi" w:eastAsiaTheme="minorEastAsia" w:cstheme="minorBidi"/>
          <w:color w:val="auto"/>
          <w:sz w:val="30"/>
          <w:szCs w:val="30"/>
        </w:rPr>
      </w:pPr>
      <w:r>
        <w:rPr>
          <w:color w:val="auto"/>
        </w:rPr>
        <w:fldChar w:fldCharType="begin"/>
      </w:r>
      <w:r>
        <w:rPr>
          <w:color w:val="auto"/>
        </w:rPr>
        <w:instrText xml:space="preserve"> HYPERLINK \l "_Toc73483519" </w:instrText>
      </w:r>
      <w:r>
        <w:rPr>
          <w:color w:val="auto"/>
        </w:rPr>
        <w:fldChar w:fldCharType="separate"/>
      </w:r>
      <w:r>
        <w:rPr>
          <w:rStyle w:val="34"/>
          <w:color w:val="auto"/>
          <w:sz w:val="30"/>
          <w:szCs w:val="30"/>
        </w:rPr>
        <w:t>二、建设项目工程分析</w:t>
      </w:r>
      <w:r>
        <w:rPr>
          <w:color w:val="auto"/>
          <w:sz w:val="30"/>
          <w:szCs w:val="30"/>
        </w:rPr>
        <w:tab/>
      </w:r>
      <w:r>
        <w:rPr>
          <w:color w:val="auto"/>
          <w:sz w:val="30"/>
          <w:szCs w:val="30"/>
        </w:rPr>
        <w:fldChar w:fldCharType="begin"/>
      </w:r>
      <w:r>
        <w:rPr>
          <w:color w:val="auto"/>
          <w:sz w:val="30"/>
          <w:szCs w:val="30"/>
        </w:rPr>
        <w:instrText xml:space="preserve"> PAGEREF _Toc73483519 \h </w:instrText>
      </w:r>
      <w:r>
        <w:rPr>
          <w:color w:val="auto"/>
          <w:sz w:val="30"/>
          <w:szCs w:val="30"/>
        </w:rPr>
        <w:fldChar w:fldCharType="separate"/>
      </w:r>
      <w:r>
        <w:rPr>
          <w:color w:val="auto"/>
          <w:sz w:val="30"/>
          <w:szCs w:val="30"/>
        </w:rPr>
        <w:t>5</w:t>
      </w:r>
      <w:r>
        <w:rPr>
          <w:color w:val="auto"/>
          <w:sz w:val="30"/>
          <w:szCs w:val="30"/>
        </w:rPr>
        <w:fldChar w:fldCharType="end"/>
      </w:r>
      <w:r>
        <w:rPr>
          <w:color w:val="auto"/>
          <w:sz w:val="30"/>
          <w:szCs w:val="30"/>
        </w:rPr>
        <w:fldChar w:fldCharType="end"/>
      </w:r>
    </w:p>
    <w:p>
      <w:pPr>
        <w:pStyle w:val="22"/>
        <w:tabs>
          <w:tab w:val="right" w:leader="dot" w:pos="8834"/>
        </w:tabs>
        <w:spacing w:line="360" w:lineRule="auto"/>
        <w:rPr>
          <w:rFonts w:asciiTheme="minorHAnsi" w:hAnsiTheme="minorHAnsi" w:eastAsiaTheme="minorEastAsia" w:cstheme="minorBidi"/>
          <w:color w:val="auto"/>
          <w:sz w:val="30"/>
          <w:szCs w:val="30"/>
        </w:rPr>
      </w:pPr>
      <w:r>
        <w:rPr>
          <w:color w:val="auto"/>
        </w:rPr>
        <w:fldChar w:fldCharType="begin"/>
      </w:r>
      <w:r>
        <w:rPr>
          <w:color w:val="auto"/>
        </w:rPr>
        <w:instrText xml:space="preserve"> HYPERLINK \l "_Toc73483522" </w:instrText>
      </w:r>
      <w:r>
        <w:rPr>
          <w:color w:val="auto"/>
        </w:rPr>
        <w:fldChar w:fldCharType="separate"/>
      </w:r>
      <w:r>
        <w:rPr>
          <w:rStyle w:val="34"/>
          <w:color w:val="auto"/>
          <w:sz w:val="30"/>
          <w:szCs w:val="30"/>
        </w:rPr>
        <w:t>三、区域环境质量现状、环境保护目标及评价标准</w:t>
      </w:r>
      <w:r>
        <w:rPr>
          <w:color w:val="auto"/>
          <w:sz w:val="30"/>
          <w:szCs w:val="30"/>
        </w:rPr>
        <w:tab/>
      </w:r>
      <w:r>
        <w:rPr>
          <w:color w:val="auto"/>
          <w:sz w:val="30"/>
          <w:szCs w:val="30"/>
        </w:rPr>
        <w:fldChar w:fldCharType="begin"/>
      </w:r>
      <w:r>
        <w:rPr>
          <w:color w:val="auto"/>
          <w:sz w:val="30"/>
          <w:szCs w:val="30"/>
        </w:rPr>
        <w:instrText xml:space="preserve"> PAGEREF _Toc73483522 \h </w:instrText>
      </w:r>
      <w:r>
        <w:rPr>
          <w:color w:val="auto"/>
          <w:sz w:val="30"/>
          <w:szCs w:val="30"/>
        </w:rPr>
        <w:fldChar w:fldCharType="separate"/>
      </w:r>
      <w:r>
        <w:rPr>
          <w:color w:val="auto"/>
          <w:sz w:val="30"/>
          <w:szCs w:val="30"/>
        </w:rPr>
        <w:t>14</w:t>
      </w:r>
      <w:r>
        <w:rPr>
          <w:color w:val="auto"/>
          <w:sz w:val="30"/>
          <w:szCs w:val="30"/>
        </w:rPr>
        <w:fldChar w:fldCharType="end"/>
      </w:r>
      <w:r>
        <w:rPr>
          <w:color w:val="auto"/>
          <w:sz w:val="30"/>
          <w:szCs w:val="30"/>
        </w:rPr>
        <w:fldChar w:fldCharType="end"/>
      </w:r>
    </w:p>
    <w:p>
      <w:pPr>
        <w:pStyle w:val="22"/>
        <w:tabs>
          <w:tab w:val="right" w:leader="dot" w:pos="8834"/>
        </w:tabs>
        <w:spacing w:line="360" w:lineRule="auto"/>
        <w:rPr>
          <w:rFonts w:asciiTheme="minorHAnsi" w:hAnsiTheme="minorHAnsi" w:eastAsiaTheme="minorEastAsia" w:cstheme="minorBidi"/>
          <w:color w:val="auto"/>
          <w:sz w:val="30"/>
          <w:szCs w:val="30"/>
        </w:rPr>
      </w:pPr>
      <w:r>
        <w:rPr>
          <w:color w:val="auto"/>
        </w:rPr>
        <w:fldChar w:fldCharType="begin"/>
      </w:r>
      <w:r>
        <w:rPr>
          <w:color w:val="auto"/>
        </w:rPr>
        <w:instrText xml:space="preserve"> HYPERLINK \l "_Toc73483523" </w:instrText>
      </w:r>
      <w:r>
        <w:rPr>
          <w:color w:val="auto"/>
        </w:rPr>
        <w:fldChar w:fldCharType="separate"/>
      </w:r>
      <w:r>
        <w:rPr>
          <w:rStyle w:val="34"/>
          <w:rFonts w:eastAsia="黑体"/>
          <w:b/>
          <w:bCs/>
          <w:color w:val="auto"/>
          <w:kern w:val="44"/>
          <w:sz w:val="30"/>
          <w:szCs w:val="30"/>
        </w:rPr>
        <w:t>四、主要环境影响和保护措施</w:t>
      </w:r>
      <w:r>
        <w:rPr>
          <w:color w:val="auto"/>
          <w:sz w:val="30"/>
          <w:szCs w:val="30"/>
        </w:rPr>
        <w:tab/>
      </w:r>
      <w:r>
        <w:rPr>
          <w:color w:val="auto"/>
          <w:sz w:val="30"/>
          <w:szCs w:val="30"/>
        </w:rPr>
        <w:fldChar w:fldCharType="begin"/>
      </w:r>
      <w:r>
        <w:rPr>
          <w:color w:val="auto"/>
          <w:sz w:val="30"/>
          <w:szCs w:val="30"/>
        </w:rPr>
        <w:instrText xml:space="preserve"> PAGEREF _Toc73483523 \h </w:instrText>
      </w:r>
      <w:r>
        <w:rPr>
          <w:color w:val="auto"/>
          <w:sz w:val="30"/>
          <w:szCs w:val="30"/>
        </w:rPr>
        <w:fldChar w:fldCharType="separate"/>
      </w:r>
      <w:r>
        <w:rPr>
          <w:color w:val="auto"/>
          <w:sz w:val="30"/>
          <w:szCs w:val="30"/>
        </w:rPr>
        <w:t>20</w:t>
      </w:r>
      <w:r>
        <w:rPr>
          <w:color w:val="auto"/>
          <w:sz w:val="30"/>
          <w:szCs w:val="30"/>
        </w:rPr>
        <w:fldChar w:fldCharType="end"/>
      </w:r>
      <w:r>
        <w:rPr>
          <w:color w:val="auto"/>
          <w:sz w:val="30"/>
          <w:szCs w:val="30"/>
        </w:rPr>
        <w:fldChar w:fldCharType="end"/>
      </w:r>
    </w:p>
    <w:p>
      <w:pPr>
        <w:pStyle w:val="22"/>
        <w:tabs>
          <w:tab w:val="right" w:leader="dot" w:pos="8834"/>
        </w:tabs>
        <w:spacing w:line="360" w:lineRule="auto"/>
        <w:rPr>
          <w:rFonts w:asciiTheme="minorHAnsi" w:hAnsiTheme="minorHAnsi" w:eastAsiaTheme="minorEastAsia" w:cstheme="minorBidi"/>
          <w:color w:val="auto"/>
          <w:sz w:val="30"/>
          <w:szCs w:val="30"/>
        </w:rPr>
      </w:pPr>
      <w:r>
        <w:rPr>
          <w:color w:val="auto"/>
        </w:rPr>
        <w:fldChar w:fldCharType="begin"/>
      </w:r>
      <w:r>
        <w:rPr>
          <w:color w:val="auto"/>
        </w:rPr>
        <w:instrText xml:space="preserve"> HYPERLINK \l "_Toc73483524" </w:instrText>
      </w:r>
      <w:r>
        <w:rPr>
          <w:color w:val="auto"/>
        </w:rPr>
        <w:fldChar w:fldCharType="separate"/>
      </w:r>
      <w:r>
        <w:rPr>
          <w:rStyle w:val="34"/>
          <w:color w:val="auto"/>
          <w:sz w:val="30"/>
          <w:szCs w:val="30"/>
        </w:rPr>
        <w:t>4.1施工期环境影响分析：</w:t>
      </w:r>
      <w:r>
        <w:rPr>
          <w:color w:val="auto"/>
          <w:sz w:val="30"/>
          <w:szCs w:val="30"/>
        </w:rPr>
        <w:tab/>
      </w:r>
      <w:r>
        <w:rPr>
          <w:color w:val="auto"/>
          <w:sz w:val="30"/>
          <w:szCs w:val="30"/>
        </w:rPr>
        <w:fldChar w:fldCharType="begin"/>
      </w:r>
      <w:r>
        <w:rPr>
          <w:color w:val="auto"/>
          <w:sz w:val="30"/>
          <w:szCs w:val="30"/>
        </w:rPr>
        <w:instrText xml:space="preserve"> PAGEREF _Toc73483524 \h </w:instrText>
      </w:r>
      <w:r>
        <w:rPr>
          <w:color w:val="auto"/>
          <w:sz w:val="30"/>
          <w:szCs w:val="30"/>
        </w:rPr>
        <w:fldChar w:fldCharType="separate"/>
      </w:r>
      <w:r>
        <w:rPr>
          <w:color w:val="auto"/>
          <w:sz w:val="30"/>
          <w:szCs w:val="30"/>
        </w:rPr>
        <w:t>20</w:t>
      </w:r>
      <w:r>
        <w:rPr>
          <w:color w:val="auto"/>
          <w:sz w:val="30"/>
          <w:szCs w:val="30"/>
        </w:rPr>
        <w:fldChar w:fldCharType="end"/>
      </w:r>
      <w:r>
        <w:rPr>
          <w:color w:val="auto"/>
          <w:sz w:val="30"/>
          <w:szCs w:val="30"/>
        </w:rPr>
        <w:fldChar w:fldCharType="end"/>
      </w:r>
    </w:p>
    <w:p>
      <w:pPr>
        <w:pStyle w:val="22"/>
        <w:tabs>
          <w:tab w:val="right" w:leader="dot" w:pos="8834"/>
        </w:tabs>
        <w:spacing w:line="360" w:lineRule="auto"/>
        <w:rPr>
          <w:rFonts w:asciiTheme="minorHAnsi" w:hAnsiTheme="minorHAnsi" w:eastAsiaTheme="minorEastAsia" w:cstheme="minorBidi"/>
          <w:color w:val="auto"/>
          <w:sz w:val="30"/>
          <w:szCs w:val="30"/>
        </w:rPr>
      </w:pPr>
      <w:r>
        <w:rPr>
          <w:color w:val="auto"/>
        </w:rPr>
        <w:fldChar w:fldCharType="begin"/>
      </w:r>
      <w:r>
        <w:rPr>
          <w:color w:val="auto"/>
        </w:rPr>
        <w:instrText xml:space="preserve"> HYPERLINK \l "_Toc73483525" </w:instrText>
      </w:r>
      <w:r>
        <w:rPr>
          <w:color w:val="auto"/>
        </w:rPr>
        <w:fldChar w:fldCharType="separate"/>
      </w:r>
      <w:r>
        <w:rPr>
          <w:rStyle w:val="34"/>
          <w:color w:val="auto"/>
          <w:sz w:val="30"/>
          <w:szCs w:val="30"/>
        </w:rPr>
        <w:t>4.2营运期环境影响分析：</w:t>
      </w:r>
      <w:r>
        <w:rPr>
          <w:color w:val="auto"/>
          <w:sz w:val="30"/>
          <w:szCs w:val="30"/>
        </w:rPr>
        <w:tab/>
      </w:r>
      <w:r>
        <w:rPr>
          <w:color w:val="auto"/>
          <w:sz w:val="30"/>
          <w:szCs w:val="30"/>
        </w:rPr>
        <w:fldChar w:fldCharType="begin"/>
      </w:r>
      <w:r>
        <w:rPr>
          <w:color w:val="auto"/>
          <w:sz w:val="30"/>
          <w:szCs w:val="30"/>
        </w:rPr>
        <w:instrText xml:space="preserve"> PAGEREF _Toc73483525 \h </w:instrText>
      </w:r>
      <w:r>
        <w:rPr>
          <w:color w:val="auto"/>
          <w:sz w:val="30"/>
          <w:szCs w:val="30"/>
        </w:rPr>
        <w:fldChar w:fldCharType="separate"/>
      </w:r>
      <w:r>
        <w:rPr>
          <w:color w:val="auto"/>
          <w:sz w:val="30"/>
          <w:szCs w:val="30"/>
        </w:rPr>
        <w:t>20</w:t>
      </w:r>
      <w:r>
        <w:rPr>
          <w:color w:val="auto"/>
          <w:sz w:val="30"/>
          <w:szCs w:val="30"/>
        </w:rPr>
        <w:fldChar w:fldCharType="end"/>
      </w:r>
      <w:r>
        <w:rPr>
          <w:color w:val="auto"/>
          <w:sz w:val="30"/>
          <w:szCs w:val="30"/>
        </w:rPr>
        <w:fldChar w:fldCharType="end"/>
      </w:r>
    </w:p>
    <w:p>
      <w:pPr>
        <w:pStyle w:val="22"/>
        <w:tabs>
          <w:tab w:val="right" w:leader="dot" w:pos="8834"/>
        </w:tabs>
        <w:spacing w:line="360" w:lineRule="auto"/>
        <w:rPr>
          <w:rFonts w:asciiTheme="minorHAnsi" w:hAnsiTheme="minorHAnsi" w:eastAsiaTheme="minorEastAsia" w:cstheme="minorBidi"/>
          <w:color w:val="auto"/>
          <w:sz w:val="30"/>
          <w:szCs w:val="30"/>
        </w:rPr>
      </w:pPr>
      <w:r>
        <w:rPr>
          <w:color w:val="auto"/>
        </w:rPr>
        <w:fldChar w:fldCharType="begin"/>
      </w:r>
      <w:r>
        <w:rPr>
          <w:color w:val="auto"/>
        </w:rPr>
        <w:instrText xml:space="preserve"> HYPERLINK \l "_Toc73483526" </w:instrText>
      </w:r>
      <w:r>
        <w:rPr>
          <w:color w:val="auto"/>
        </w:rPr>
        <w:fldChar w:fldCharType="separate"/>
      </w:r>
      <w:r>
        <w:rPr>
          <w:rStyle w:val="34"/>
          <w:rFonts w:eastAsia="黑体"/>
          <w:b/>
          <w:bCs/>
          <w:color w:val="auto"/>
          <w:kern w:val="44"/>
          <w:sz w:val="30"/>
          <w:szCs w:val="30"/>
        </w:rPr>
        <w:t>五、环境保护措施监督检查清单</w:t>
      </w:r>
      <w:r>
        <w:rPr>
          <w:color w:val="auto"/>
          <w:sz w:val="30"/>
          <w:szCs w:val="30"/>
        </w:rPr>
        <w:tab/>
      </w:r>
      <w:r>
        <w:rPr>
          <w:color w:val="auto"/>
          <w:sz w:val="30"/>
          <w:szCs w:val="30"/>
        </w:rPr>
        <w:fldChar w:fldCharType="begin"/>
      </w:r>
      <w:r>
        <w:rPr>
          <w:color w:val="auto"/>
          <w:sz w:val="30"/>
          <w:szCs w:val="30"/>
        </w:rPr>
        <w:instrText xml:space="preserve"> PAGEREF _Toc73483526 \h </w:instrText>
      </w:r>
      <w:r>
        <w:rPr>
          <w:color w:val="auto"/>
          <w:sz w:val="30"/>
          <w:szCs w:val="30"/>
        </w:rPr>
        <w:fldChar w:fldCharType="separate"/>
      </w:r>
      <w:r>
        <w:rPr>
          <w:color w:val="auto"/>
          <w:sz w:val="30"/>
          <w:szCs w:val="30"/>
        </w:rPr>
        <w:t>34</w:t>
      </w:r>
      <w:r>
        <w:rPr>
          <w:color w:val="auto"/>
          <w:sz w:val="30"/>
          <w:szCs w:val="30"/>
        </w:rPr>
        <w:fldChar w:fldCharType="end"/>
      </w:r>
      <w:r>
        <w:rPr>
          <w:color w:val="auto"/>
          <w:sz w:val="30"/>
          <w:szCs w:val="30"/>
        </w:rPr>
        <w:fldChar w:fldCharType="end"/>
      </w:r>
    </w:p>
    <w:p>
      <w:pPr>
        <w:pStyle w:val="22"/>
        <w:tabs>
          <w:tab w:val="right" w:leader="dot" w:pos="8834"/>
        </w:tabs>
        <w:spacing w:line="360" w:lineRule="auto"/>
        <w:rPr>
          <w:rFonts w:asciiTheme="minorHAnsi" w:hAnsiTheme="minorHAnsi" w:eastAsiaTheme="minorEastAsia" w:cstheme="minorBidi"/>
          <w:color w:val="auto"/>
          <w:sz w:val="30"/>
          <w:szCs w:val="30"/>
        </w:rPr>
      </w:pPr>
      <w:r>
        <w:rPr>
          <w:color w:val="auto"/>
        </w:rPr>
        <w:fldChar w:fldCharType="begin"/>
      </w:r>
      <w:r>
        <w:rPr>
          <w:color w:val="auto"/>
        </w:rPr>
        <w:instrText xml:space="preserve"> HYPERLINK \l "_Toc73483527" </w:instrText>
      </w:r>
      <w:r>
        <w:rPr>
          <w:color w:val="auto"/>
        </w:rPr>
        <w:fldChar w:fldCharType="separate"/>
      </w:r>
      <w:r>
        <w:rPr>
          <w:rStyle w:val="34"/>
          <w:rFonts w:eastAsia="黑体"/>
          <w:b/>
          <w:bCs/>
          <w:color w:val="auto"/>
          <w:kern w:val="44"/>
          <w:sz w:val="30"/>
          <w:szCs w:val="30"/>
        </w:rPr>
        <w:t>六、结论</w:t>
      </w:r>
      <w:r>
        <w:rPr>
          <w:color w:val="auto"/>
          <w:sz w:val="30"/>
          <w:szCs w:val="30"/>
        </w:rPr>
        <w:tab/>
      </w:r>
      <w:r>
        <w:rPr>
          <w:color w:val="auto"/>
          <w:sz w:val="30"/>
          <w:szCs w:val="30"/>
        </w:rPr>
        <w:fldChar w:fldCharType="begin"/>
      </w:r>
      <w:r>
        <w:rPr>
          <w:color w:val="auto"/>
          <w:sz w:val="30"/>
          <w:szCs w:val="30"/>
        </w:rPr>
        <w:instrText xml:space="preserve"> PAGEREF _Toc73483527 \h </w:instrText>
      </w:r>
      <w:r>
        <w:rPr>
          <w:color w:val="auto"/>
          <w:sz w:val="30"/>
          <w:szCs w:val="30"/>
        </w:rPr>
        <w:fldChar w:fldCharType="separate"/>
      </w:r>
      <w:r>
        <w:rPr>
          <w:color w:val="auto"/>
          <w:sz w:val="30"/>
          <w:szCs w:val="30"/>
        </w:rPr>
        <w:t>36</w:t>
      </w:r>
      <w:r>
        <w:rPr>
          <w:color w:val="auto"/>
          <w:sz w:val="30"/>
          <w:szCs w:val="30"/>
        </w:rPr>
        <w:fldChar w:fldCharType="end"/>
      </w:r>
      <w:r>
        <w:rPr>
          <w:color w:val="auto"/>
          <w:sz w:val="30"/>
          <w:szCs w:val="30"/>
        </w:rPr>
        <w:fldChar w:fldCharType="end"/>
      </w:r>
    </w:p>
    <w:p>
      <w:pPr>
        <w:pStyle w:val="22"/>
        <w:tabs>
          <w:tab w:val="right" w:leader="dot" w:pos="8834"/>
        </w:tabs>
        <w:spacing w:line="360" w:lineRule="auto"/>
        <w:rPr>
          <w:rFonts w:asciiTheme="minorHAnsi" w:hAnsiTheme="minorHAnsi" w:eastAsiaTheme="minorEastAsia" w:cstheme="minorBidi"/>
          <w:color w:val="auto"/>
          <w:sz w:val="30"/>
          <w:szCs w:val="30"/>
        </w:rPr>
      </w:pPr>
      <w:r>
        <w:rPr>
          <w:color w:val="auto"/>
        </w:rPr>
        <w:fldChar w:fldCharType="begin"/>
      </w:r>
      <w:r>
        <w:rPr>
          <w:color w:val="auto"/>
        </w:rPr>
        <w:instrText xml:space="preserve"> HYPERLINK \l "_Toc73483528" </w:instrText>
      </w:r>
      <w:r>
        <w:rPr>
          <w:color w:val="auto"/>
        </w:rPr>
        <w:fldChar w:fldCharType="separate"/>
      </w:r>
      <w:r>
        <w:rPr>
          <w:rStyle w:val="34"/>
          <w:rFonts w:eastAsia="黑体"/>
          <w:snapToGrid w:val="0"/>
          <w:color w:val="auto"/>
          <w:sz w:val="30"/>
          <w:szCs w:val="30"/>
        </w:rPr>
        <w:t>附表</w:t>
      </w:r>
      <w:r>
        <w:rPr>
          <w:color w:val="auto"/>
          <w:sz w:val="30"/>
          <w:szCs w:val="30"/>
        </w:rPr>
        <w:tab/>
      </w:r>
      <w:r>
        <w:rPr>
          <w:color w:val="auto"/>
          <w:sz w:val="30"/>
          <w:szCs w:val="30"/>
        </w:rPr>
        <w:fldChar w:fldCharType="begin"/>
      </w:r>
      <w:r>
        <w:rPr>
          <w:color w:val="auto"/>
          <w:sz w:val="30"/>
          <w:szCs w:val="30"/>
        </w:rPr>
        <w:instrText xml:space="preserve"> PAGEREF _Toc73483528 \h </w:instrText>
      </w:r>
      <w:r>
        <w:rPr>
          <w:color w:val="auto"/>
          <w:sz w:val="30"/>
          <w:szCs w:val="30"/>
        </w:rPr>
        <w:fldChar w:fldCharType="separate"/>
      </w:r>
      <w:r>
        <w:rPr>
          <w:color w:val="auto"/>
          <w:sz w:val="30"/>
          <w:szCs w:val="30"/>
        </w:rPr>
        <w:t>39</w:t>
      </w:r>
      <w:r>
        <w:rPr>
          <w:color w:val="auto"/>
          <w:sz w:val="30"/>
          <w:szCs w:val="30"/>
        </w:rPr>
        <w:fldChar w:fldCharType="end"/>
      </w:r>
      <w:r>
        <w:rPr>
          <w:color w:val="auto"/>
          <w:sz w:val="30"/>
          <w:szCs w:val="30"/>
        </w:rPr>
        <w:fldChar w:fldCharType="end"/>
      </w:r>
    </w:p>
    <w:p>
      <w:pPr>
        <w:pStyle w:val="22"/>
        <w:tabs>
          <w:tab w:val="right" w:leader="dot" w:pos="8834"/>
        </w:tabs>
        <w:spacing w:line="360" w:lineRule="auto"/>
        <w:rPr>
          <w:rFonts w:asciiTheme="minorHAnsi" w:hAnsiTheme="minorHAnsi" w:eastAsiaTheme="minorEastAsia" w:cstheme="minorBidi"/>
          <w:color w:val="auto"/>
          <w:sz w:val="30"/>
          <w:szCs w:val="30"/>
        </w:rPr>
      </w:pPr>
      <w:r>
        <w:rPr>
          <w:color w:val="auto"/>
        </w:rPr>
        <w:fldChar w:fldCharType="begin"/>
      </w:r>
      <w:r>
        <w:rPr>
          <w:color w:val="auto"/>
        </w:rPr>
        <w:instrText xml:space="preserve"> HYPERLINK \l "_Toc73483529" </w:instrText>
      </w:r>
      <w:r>
        <w:rPr>
          <w:color w:val="auto"/>
        </w:rPr>
        <w:fldChar w:fldCharType="separate"/>
      </w:r>
      <w:r>
        <w:rPr>
          <w:rStyle w:val="34"/>
          <w:rFonts w:eastAsia="方正小标宋_GBK"/>
          <w:snapToGrid w:val="0"/>
          <w:color w:val="auto"/>
          <w:sz w:val="30"/>
          <w:szCs w:val="30"/>
        </w:rPr>
        <w:t>建设项目污染物排放量汇总表</w:t>
      </w:r>
      <w:r>
        <w:rPr>
          <w:color w:val="auto"/>
          <w:sz w:val="30"/>
          <w:szCs w:val="30"/>
        </w:rPr>
        <w:tab/>
      </w:r>
      <w:r>
        <w:rPr>
          <w:color w:val="auto"/>
          <w:sz w:val="30"/>
          <w:szCs w:val="30"/>
        </w:rPr>
        <w:fldChar w:fldCharType="begin"/>
      </w:r>
      <w:r>
        <w:rPr>
          <w:color w:val="auto"/>
          <w:sz w:val="30"/>
          <w:szCs w:val="30"/>
        </w:rPr>
        <w:instrText xml:space="preserve"> PAGEREF _Toc73483529 \h </w:instrText>
      </w:r>
      <w:r>
        <w:rPr>
          <w:color w:val="auto"/>
          <w:sz w:val="30"/>
          <w:szCs w:val="30"/>
        </w:rPr>
        <w:fldChar w:fldCharType="separate"/>
      </w:r>
      <w:r>
        <w:rPr>
          <w:color w:val="auto"/>
          <w:sz w:val="30"/>
          <w:szCs w:val="30"/>
        </w:rPr>
        <w:t>39</w:t>
      </w:r>
      <w:r>
        <w:rPr>
          <w:color w:val="auto"/>
          <w:sz w:val="30"/>
          <w:szCs w:val="30"/>
        </w:rPr>
        <w:fldChar w:fldCharType="end"/>
      </w:r>
      <w:r>
        <w:rPr>
          <w:color w:val="auto"/>
          <w:sz w:val="30"/>
          <w:szCs w:val="30"/>
        </w:rPr>
        <w:fldChar w:fldCharType="end"/>
      </w:r>
    </w:p>
    <w:p>
      <w:pPr>
        <w:pStyle w:val="3"/>
        <w:spacing w:line="360" w:lineRule="auto"/>
        <w:rPr>
          <w:color w:val="auto"/>
        </w:rPr>
      </w:pPr>
      <w:r>
        <w:rPr>
          <w:color w:val="auto"/>
        </w:rPr>
        <w:fldChar w:fldCharType="end"/>
      </w:r>
    </w:p>
    <w:p>
      <w:pPr>
        <w:rPr>
          <w:color w:val="auto"/>
        </w:rPr>
      </w:pPr>
    </w:p>
    <w:p>
      <w:pPr>
        <w:pStyle w:val="2"/>
        <w:rPr>
          <w:color w:val="auto"/>
        </w:rPr>
      </w:pPr>
    </w:p>
    <w:p>
      <w:pPr>
        <w:rPr>
          <w:color w:val="auto"/>
        </w:rPr>
      </w:pPr>
    </w:p>
    <w:p>
      <w:pPr>
        <w:pStyle w:val="3"/>
        <w:rPr>
          <w:color w:val="auto"/>
        </w:rPr>
      </w:pPr>
    </w:p>
    <w:p>
      <w:pPr>
        <w:pStyle w:val="3"/>
        <w:rPr>
          <w:color w:val="auto"/>
        </w:rPr>
      </w:pPr>
    </w:p>
    <w:p>
      <w:pPr>
        <w:pStyle w:val="3"/>
        <w:rPr>
          <w:color w:val="auto"/>
        </w:rPr>
      </w:pPr>
    </w:p>
    <w:p>
      <w:pPr>
        <w:rPr>
          <w:color w:val="auto"/>
        </w:rPr>
      </w:pPr>
    </w:p>
    <w:p>
      <w:pPr>
        <w:pStyle w:val="2"/>
        <w:rPr>
          <w:color w:val="auto"/>
        </w:rPr>
      </w:pPr>
    </w:p>
    <w:p>
      <w:pPr>
        <w:pStyle w:val="3"/>
        <w:rPr>
          <w:color w:val="auto"/>
        </w:rPr>
      </w:pPr>
    </w:p>
    <w:p>
      <w:pPr>
        <w:pStyle w:val="3"/>
        <w:rPr>
          <w:color w:val="auto"/>
        </w:rPr>
      </w:pPr>
    </w:p>
    <w:p>
      <w:pPr>
        <w:rPr>
          <w:color w:val="auto"/>
        </w:rPr>
      </w:pPr>
    </w:p>
    <w:p>
      <w:pPr>
        <w:pStyle w:val="2"/>
        <w:rPr>
          <w:color w:val="auto"/>
        </w:rPr>
      </w:pPr>
    </w:p>
    <w:p>
      <w:pPr>
        <w:rPr>
          <w:color w:val="auto"/>
        </w:rPr>
      </w:pPr>
    </w:p>
    <w:p>
      <w:pPr>
        <w:rPr>
          <w:color w:val="auto"/>
        </w:rPr>
      </w:pPr>
    </w:p>
    <w:p>
      <w:pPr>
        <w:jc w:val="center"/>
        <w:rPr>
          <w:color w:val="auto"/>
          <w:sz w:val="24"/>
          <w:szCs w:val="24"/>
        </w:rPr>
      </w:pPr>
      <w:r>
        <w:rPr>
          <w:color w:val="auto"/>
          <w:sz w:val="24"/>
          <w:szCs w:val="24"/>
        </w:rPr>
        <w:t>修改说明</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3101"/>
        <w:gridCol w:w="3127"/>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pStyle w:val="6"/>
              <w:pageBreakBefore w:val="0"/>
              <w:widowControl w:val="0"/>
              <w:kinsoku/>
              <w:wordWrap/>
              <w:overflowPunct/>
              <w:topLinePunct w:val="0"/>
              <w:bidi w:val="0"/>
              <w:spacing w:before="0" w:after="0" w:line="240" w:lineRule="auto"/>
              <w:ind w:left="0"/>
              <w:jc w:val="center"/>
              <w:textAlignment w:val="auto"/>
              <w:outlineLvl w:val="3"/>
              <w:rPr>
                <w:b w:val="0"/>
                <w:bCs w:val="0"/>
                <w:color w:val="auto"/>
                <w:kern w:val="0"/>
                <w:sz w:val="21"/>
                <w:szCs w:val="21"/>
              </w:rPr>
            </w:pPr>
            <w:r>
              <w:rPr>
                <w:rFonts w:hint="eastAsia"/>
                <w:b w:val="0"/>
                <w:bCs w:val="0"/>
                <w:color w:val="auto"/>
                <w:kern w:val="0"/>
                <w:sz w:val="21"/>
                <w:szCs w:val="21"/>
              </w:rPr>
              <w:t>序号</w:t>
            </w:r>
          </w:p>
        </w:tc>
        <w:tc>
          <w:tcPr>
            <w:tcW w:w="3101" w:type="dxa"/>
            <w:vAlign w:val="center"/>
          </w:tcPr>
          <w:p>
            <w:pPr>
              <w:pageBreakBefore w:val="0"/>
              <w:widowControl w:val="0"/>
              <w:kinsoku/>
              <w:wordWrap/>
              <w:overflowPunct/>
              <w:topLinePunct w:val="0"/>
              <w:bidi w:val="0"/>
              <w:spacing w:line="240" w:lineRule="auto"/>
              <w:ind w:left="0"/>
              <w:jc w:val="center"/>
              <w:textAlignment w:val="auto"/>
              <w:rPr>
                <w:color w:val="auto"/>
                <w:kern w:val="0"/>
                <w:sz w:val="21"/>
                <w:szCs w:val="21"/>
              </w:rPr>
            </w:pPr>
            <w:r>
              <w:rPr>
                <w:rFonts w:hint="eastAsia"/>
                <w:color w:val="auto"/>
                <w:kern w:val="0"/>
                <w:sz w:val="21"/>
                <w:szCs w:val="21"/>
              </w:rPr>
              <w:t>修改意见</w:t>
            </w:r>
          </w:p>
        </w:tc>
        <w:tc>
          <w:tcPr>
            <w:tcW w:w="3127" w:type="dxa"/>
            <w:vAlign w:val="center"/>
          </w:tcPr>
          <w:p>
            <w:pPr>
              <w:pageBreakBefore w:val="0"/>
              <w:widowControl w:val="0"/>
              <w:kinsoku/>
              <w:wordWrap/>
              <w:overflowPunct/>
              <w:topLinePunct w:val="0"/>
              <w:bidi w:val="0"/>
              <w:spacing w:line="240" w:lineRule="auto"/>
              <w:ind w:left="0"/>
              <w:jc w:val="center"/>
              <w:textAlignment w:val="auto"/>
              <w:rPr>
                <w:color w:val="auto"/>
                <w:kern w:val="0"/>
                <w:sz w:val="21"/>
                <w:szCs w:val="21"/>
              </w:rPr>
            </w:pPr>
            <w:r>
              <w:rPr>
                <w:rFonts w:hint="eastAsia"/>
                <w:color w:val="auto"/>
                <w:kern w:val="0"/>
                <w:sz w:val="21"/>
                <w:szCs w:val="21"/>
              </w:rPr>
              <w:t>修改内容</w:t>
            </w:r>
          </w:p>
        </w:tc>
        <w:tc>
          <w:tcPr>
            <w:tcW w:w="1433" w:type="dxa"/>
            <w:vAlign w:val="center"/>
          </w:tcPr>
          <w:p>
            <w:pPr>
              <w:pageBreakBefore w:val="0"/>
              <w:widowControl w:val="0"/>
              <w:kinsoku/>
              <w:wordWrap/>
              <w:overflowPunct/>
              <w:topLinePunct w:val="0"/>
              <w:bidi w:val="0"/>
              <w:spacing w:line="240" w:lineRule="auto"/>
              <w:ind w:left="0"/>
              <w:jc w:val="center"/>
              <w:textAlignment w:val="auto"/>
              <w:rPr>
                <w:color w:val="auto"/>
                <w:kern w:val="0"/>
                <w:sz w:val="21"/>
                <w:szCs w:val="21"/>
              </w:rPr>
            </w:pPr>
            <w:r>
              <w:rPr>
                <w:rFonts w:hint="eastAsia"/>
                <w:color w:val="auto"/>
                <w:kern w:val="0"/>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pageBreakBefore w:val="0"/>
              <w:widowControl w:val="0"/>
              <w:kinsoku/>
              <w:wordWrap/>
              <w:overflowPunct/>
              <w:topLinePunct w:val="0"/>
              <w:bidi w:val="0"/>
              <w:spacing w:line="240" w:lineRule="auto"/>
              <w:ind w:left="0"/>
              <w:jc w:val="center"/>
              <w:textAlignment w:val="auto"/>
              <w:rPr>
                <w:rFonts w:hint="eastAsia"/>
                <w:color w:val="auto"/>
                <w:kern w:val="0"/>
                <w:sz w:val="21"/>
                <w:szCs w:val="21"/>
              </w:rPr>
            </w:pPr>
            <w:r>
              <w:rPr>
                <w:rFonts w:hint="eastAsia"/>
                <w:color w:val="auto"/>
                <w:kern w:val="0"/>
                <w:sz w:val="21"/>
                <w:szCs w:val="21"/>
              </w:rPr>
              <w:t>1</w:t>
            </w:r>
          </w:p>
        </w:tc>
        <w:tc>
          <w:tcPr>
            <w:tcW w:w="3101" w:type="dxa"/>
          </w:tcPr>
          <w:p>
            <w:pPr>
              <w:pageBreakBefore w:val="0"/>
              <w:widowControl w:val="0"/>
              <w:kinsoku/>
              <w:wordWrap/>
              <w:overflowPunct/>
              <w:topLinePunct w:val="0"/>
              <w:bidi w:val="0"/>
              <w:spacing w:line="240" w:lineRule="auto"/>
              <w:ind w:left="0"/>
              <w:jc w:val="center"/>
              <w:textAlignment w:val="auto"/>
              <w:rPr>
                <w:rFonts w:hint="eastAsia"/>
                <w:color w:val="auto"/>
                <w:kern w:val="0"/>
                <w:sz w:val="21"/>
                <w:szCs w:val="21"/>
              </w:rPr>
            </w:pPr>
            <w:r>
              <w:rPr>
                <w:rFonts w:hint="eastAsia"/>
                <w:color w:val="auto"/>
                <w:kern w:val="0"/>
                <w:sz w:val="21"/>
                <w:szCs w:val="21"/>
                <w:lang w:val="zh-CN"/>
              </w:rPr>
              <w:t>核实项目与湘政办发〔2018〕15号）、湘环发[2020]27号的符合性分析，核实项目与“三线一单”的符合性分析。完善选址合理性分析。</w:t>
            </w:r>
          </w:p>
        </w:tc>
        <w:tc>
          <w:tcPr>
            <w:tcW w:w="3127" w:type="dxa"/>
          </w:tcPr>
          <w:p>
            <w:pPr>
              <w:pageBreakBefore w:val="0"/>
              <w:widowControl w:val="0"/>
              <w:kinsoku/>
              <w:wordWrap/>
              <w:overflowPunct/>
              <w:topLinePunct w:val="0"/>
              <w:bidi w:val="0"/>
              <w:spacing w:line="240" w:lineRule="auto"/>
              <w:ind w:left="0"/>
              <w:jc w:val="center"/>
              <w:textAlignment w:val="auto"/>
              <w:rPr>
                <w:rFonts w:hint="eastAsia"/>
                <w:color w:val="auto"/>
                <w:kern w:val="0"/>
                <w:sz w:val="21"/>
                <w:szCs w:val="21"/>
                <w:lang w:eastAsia="zh-CN"/>
              </w:rPr>
            </w:pPr>
            <w:r>
              <w:rPr>
                <w:rFonts w:hint="eastAsia"/>
                <w:color w:val="auto"/>
                <w:kern w:val="0"/>
                <w:sz w:val="21"/>
                <w:szCs w:val="21"/>
                <w:lang w:val="zh-CN"/>
              </w:rPr>
              <w:t>核实</w:t>
            </w:r>
            <w:r>
              <w:rPr>
                <w:rFonts w:hint="eastAsia"/>
                <w:color w:val="auto"/>
                <w:kern w:val="0"/>
                <w:sz w:val="21"/>
                <w:szCs w:val="21"/>
                <w:lang w:val="en-US" w:eastAsia="zh-CN"/>
              </w:rPr>
              <w:t>了</w:t>
            </w:r>
            <w:r>
              <w:rPr>
                <w:rFonts w:hint="eastAsia"/>
                <w:color w:val="auto"/>
                <w:kern w:val="0"/>
                <w:sz w:val="21"/>
                <w:szCs w:val="21"/>
                <w:lang w:val="zh-CN"/>
              </w:rPr>
              <w:t>项目与湘政办发〔2018〕15号）、湘环发[2020]27号的符合性分析，核实</w:t>
            </w:r>
            <w:r>
              <w:rPr>
                <w:rFonts w:hint="eastAsia"/>
                <w:color w:val="auto"/>
                <w:kern w:val="0"/>
                <w:sz w:val="21"/>
                <w:szCs w:val="21"/>
                <w:lang w:val="en-US" w:eastAsia="zh-CN"/>
              </w:rPr>
              <w:t>了</w:t>
            </w:r>
            <w:r>
              <w:rPr>
                <w:rFonts w:hint="eastAsia"/>
                <w:color w:val="auto"/>
                <w:kern w:val="0"/>
                <w:sz w:val="21"/>
                <w:szCs w:val="21"/>
                <w:lang w:val="zh-CN"/>
              </w:rPr>
              <w:t>项目与“三线一单”的符合性分析。完善</w:t>
            </w:r>
            <w:r>
              <w:rPr>
                <w:rFonts w:hint="eastAsia"/>
                <w:color w:val="auto"/>
                <w:kern w:val="0"/>
                <w:sz w:val="21"/>
                <w:szCs w:val="21"/>
                <w:lang w:val="en-US" w:eastAsia="zh-CN"/>
              </w:rPr>
              <w:t>了</w:t>
            </w:r>
            <w:r>
              <w:rPr>
                <w:rFonts w:hint="eastAsia"/>
                <w:color w:val="auto"/>
                <w:kern w:val="0"/>
                <w:sz w:val="21"/>
                <w:szCs w:val="21"/>
                <w:lang w:val="zh-CN"/>
              </w:rPr>
              <w:t>选址合理性分析。</w:t>
            </w:r>
          </w:p>
        </w:tc>
        <w:tc>
          <w:tcPr>
            <w:tcW w:w="1433" w:type="dxa"/>
          </w:tcPr>
          <w:p>
            <w:pPr>
              <w:pageBreakBefore w:val="0"/>
              <w:widowControl w:val="0"/>
              <w:kinsoku/>
              <w:wordWrap/>
              <w:overflowPunct/>
              <w:topLinePunct w:val="0"/>
              <w:bidi w:val="0"/>
              <w:spacing w:line="240" w:lineRule="auto"/>
              <w:ind w:left="0"/>
              <w:jc w:val="center"/>
              <w:textAlignment w:val="auto"/>
              <w:rPr>
                <w:rFonts w:hint="eastAsia"/>
                <w:color w:val="auto"/>
                <w:kern w:val="0"/>
                <w:sz w:val="21"/>
                <w:szCs w:val="21"/>
              </w:rPr>
            </w:pPr>
            <w:r>
              <w:rPr>
                <w:rFonts w:hint="eastAsia"/>
                <w:color w:val="auto"/>
                <w:kern w:val="0"/>
                <w:sz w:val="21"/>
                <w:szCs w:val="21"/>
              </w:rPr>
              <w:t>详见P</w:t>
            </w:r>
            <w:r>
              <w:rPr>
                <w:rFonts w:hint="eastAsia"/>
                <w:color w:val="auto"/>
                <w:kern w:val="0"/>
                <w:sz w:val="21"/>
                <w:szCs w:val="21"/>
                <w:lang w:val="en-US" w:eastAsia="zh-CN"/>
              </w:rPr>
              <w:t>3</w:t>
            </w:r>
            <w:r>
              <w:rPr>
                <w:rFonts w:hint="eastAsia"/>
                <w:color w:val="auto"/>
                <w:kern w:val="0"/>
                <w:sz w:val="21"/>
                <w:szCs w:val="21"/>
              </w:rPr>
              <w:t>~P</w:t>
            </w:r>
            <w:r>
              <w:rPr>
                <w:rFonts w:hint="eastAsia"/>
                <w:color w:val="auto"/>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pageBreakBefore w:val="0"/>
              <w:widowControl w:val="0"/>
              <w:kinsoku/>
              <w:wordWrap/>
              <w:overflowPunct/>
              <w:topLinePunct w:val="0"/>
              <w:bidi w:val="0"/>
              <w:spacing w:line="240" w:lineRule="auto"/>
              <w:ind w:left="0"/>
              <w:jc w:val="center"/>
              <w:textAlignment w:val="auto"/>
              <w:rPr>
                <w:rFonts w:hint="eastAsia"/>
                <w:color w:val="auto"/>
                <w:kern w:val="0"/>
                <w:sz w:val="21"/>
                <w:szCs w:val="21"/>
              </w:rPr>
            </w:pPr>
            <w:r>
              <w:rPr>
                <w:rFonts w:hint="eastAsia"/>
                <w:color w:val="auto"/>
                <w:kern w:val="0"/>
                <w:sz w:val="21"/>
                <w:szCs w:val="21"/>
              </w:rPr>
              <w:t>2</w:t>
            </w:r>
          </w:p>
        </w:tc>
        <w:tc>
          <w:tcPr>
            <w:tcW w:w="3101" w:type="dxa"/>
          </w:tcPr>
          <w:p>
            <w:pPr>
              <w:pageBreakBefore w:val="0"/>
              <w:widowControl w:val="0"/>
              <w:kinsoku/>
              <w:wordWrap/>
              <w:overflowPunct/>
              <w:topLinePunct w:val="0"/>
              <w:bidi w:val="0"/>
              <w:spacing w:line="240" w:lineRule="auto"/>
              <w:ind w:left="0"/>
              <w:jc w:val="center"/>
              <w:textAlignment w:val="auto"/>
              <w:rPr>
                <w:rFonts w:hint="eastAsia"/>
                <w:color w:val="auto"/>
                <w:kern w:val="0"/>
                <w:sz w:val="21"/>
                <w:szCs w:val="21"/>
              </w:rPr>
            </w:pPr>
            <w:r>
              <w:rPr>
                <w:rFonts w:hint="eastAsia"/>
                <w:color w:val="auto"/>
                <w:kern w:val="0"/>
                <w:sz w:val="21"/>
                <w:szCs w:val="21"/>
                <w:lang w:val="en-US" w:eastAsia="zh-CN"/>
              </w:rPr>
              <w:t>补充租赁厂房基本情况介绍，明确项目与其依托关系，核实建设内容、平面布局，完善项目组成一览表；核实产品方案、设备清单、原辅材料、环保投资。核实湖南省巧大娘食品有限公司是否存在遗留环境问题。说明现有运行负荷、污染防治措施、环保设施建设情况、环保投资等情况，说明污染物排放情况、达标分析，给出存在的环境问题和整改方案。</w:t>
            </w:r>
          </w:p>
        </w:tc>
        <w:tc>
          <w:tcPr>
            <w:tcW w:w="3127" w:type="dxa"/>
          </w:tcPr>
          <w:p>
            <w:pPr>
              <w:pageBreakBefore w:val="0"/>
              <w:widowControl w:val="0"/>
              <w:kinsoku/>
              <w:wordWrap/>
              <w:overflowPunct/>
              <w:topLinePunct w:val="0"/>
              <w:bidi w:val="0"/>
              <w:spacing w:line="240" w:lineRule="auto"/>
              <w:ind w:left="0"/>
              <w:jc w:val="center"/>
              <w:textAlignment w:val="auto"/>
              <w:rPr>
                <w:rFonts w:hint="eastAsia"/>
                <w:color w:val="auto"/>
                <w:kern w:val="0"/>
                <w:sz w:val="21"/>
                <w:szCs w:val="21"/>
              </w:rPr>
            </w:pPr>
            <w:r>
              <w:rPr>
                <w:rFonts w:hint="eastAsia"/>
                <w:color w:val="auto"/>
                <w:kern w:val="0"/>
                <w:sz w:val="21"/>
                <w:szCs w:val="21"/>
                <w:lang w:val="en-US" w:eastAsia="zh-CN"/>
              </w:rPr>
              <w:t>补充了租赁厂房基本情况介绍，明确项目与其依托关系，核实了建设内容、平面布局，完善了项目组成一览表；核实产品方案、设备清单、原辅材料、环保投资。核实了湖南省巧大娘食品有限公司是否存在遗留环境问题。说明了现有运行负荷、污染防治措施、环保设施建设情况、环保投资等情况，说明污染物排放情况、达标分析，给出了存在的环境问题和整改方案。</w:t>
            </w:r>
          </w:p>
        </w:tc>
        <w:tc>
          <w:tcPr>
            <w:tcW w:w="1433" w:type="dxa"/>
          </w:tcPr>
          <w:p>
            <w:pPr>
              <w:pageBreakBefore w:val="0"/>
              <w:widowControl w:val="0"/>
              <w:kinsoku/>
              <w:wordWrap/>
              <w:overflowPunct/>
              <w:topLinePunct w:val="0"/>
              <w:bidi w:val="0"/>
              <w:spacing w:line="240" w:lineRule="auto"/>
              <w:ind w:left="0"/>
              <w:jc w:val="center"/>
              <w:textAlignment w:val="auto"/>
              <w:rPr>
                <w:rFonts w:hint="eastAsia"/>
                <w:color w:val="auto"/>
                <w:kern w:val="0"/>
                <w:sz w:val="21"/>
                <w:szCs w:val="21"/>
              </w:rPr>
            </w:pPr>
            <w:r>
              <w:rPr>
                <w:rFonts w:hint="eastAsia"/>
                <w:color w:val="auto"/>
                <w:kern w:val="0"/>
                <w:sz w:val="21"/>
                <w:szCs w:val="21"/>
              </w:rPr>
              <w:t>详见</w:t>
            </w:r>
          </w:p>
          <w:p>
            <w:pPr>
              <w:pageBreakBefore w:val="0"/>
              <w:widowControl w:val="0"/>
              <w:kinsoku/>
              <w:wordWrap/>
              <w:overflowPunct/>
              <w:topLinePunct w:val="0"/>
              <w:bidi w:val="0"/>
              <w:spacing w:line="240" w:lineRule="auto"/>
              <w:ind w:left="0"/>
              <w:jc w:val="center"/>
              <w:textAlignment w:val="auto"/>
              <w:rPr>
                <w:rFonts w:hint="default"/>
                <w:color w:val="auto"/>
                <w:kern w:val="0"/>
                <w:sz w:val="21"/>
                <w:szCs w:val="21"/>
                <w:lang w:val="en-US"/>
              </w:rPr>
            </w:pPr>
            <w:r>
              <w:rPr>
                <w:rFonts w:hint="eastAsia"/>
                <w:color w:val="auto"/>
                <w:kern w:val="0"/>
                <w:sz w:val="21"/>
                <w:szCs w:val="21"/>
              </w:rPr>
              <w:t>P</w:t>
            </w:r>
            <w:r>
              <w:rPr>
                <w:rFonts w:hint="eastAsia"/>
                <w:color w:val="auto"/>
                <w:kern w:val="0"/>
                <w:sz w:val="21"/>
                <w:szCs w:val="21"/>
                <w:lang w:val="en-US" w:eastAsia="zh-CN"/>
              </w:rPr>
              <w:t>6</w:t>
            </w:r>
            <w:r>
              <w:rPr>
                <w:rFonts w:hint="eastAsia"/>
                <w:color w:val="auto"/>
                <w:kern w:val="0"/>
                <w:sz w:val="21"/>
                <w:szCs w:val="21"/>
              </w:rPr>
              <w:t>~P</w:t>
            </w:r>
            <w:r>
              <w:rPr>
                <w:rFonts w:hint="eastAsia"/>
                <w:color w:val="auto"/>
                <w:kern w:val="0"/>
                <w:sz w:val="21"/>
                <w:szCs w:val="21"/>
                <w:lang w:val="en-US" w:eastAsia="zh-CN"/>
              </w:rPr>
              <w:t>13</w:t>
            </w:r>
            <w:r>
              <w:rPr>
                <w:rFonts w:hint="eastAsia"/>
                <w:color w:val="auto"/>
                <w:kern w:val="0"/>
                <w:sz w:val="21"/>
                <w:szCs w:val="21"/>
              </w:rPr>
              <w:t>。</w:t>
            </w:r>
          </w:p>
          <w:p>
            <w:pPr>
              <w:pageBreakBefore w:val="0"/>
              <w:widowControl w:val="0"/>
              <w:kinsoku/>
              <w:wordWrap/>
              <w:overflowPunct/>
              <w:topLinePunct w:val="0"/>
              <w:bidi w:val="0"/>
              <w:spacing w:line="240" w:lineRule="auto"/>
              <w:ind w:left="0"/>
              <w:jc w:val="center"/>
              <w:textAlignment w:val="auto"/>
              <w:rPr>
                <w:rFonts w:hint="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pageBreakBefore w:val="0"/>
              <w:widowControl w:val="0"/>
              <w:kinsoku/>
              <w:wordWrap/>
              <w:overflowPunct/>
              <w:topLinePunct w:val="0"/>
              <w:bidi w:val="0"/>
              <w:spacing w:line="240" w:lineRule="auto"/>
              <w:ind w:left="0"/>
              <w:jc w:val="center"/>
              <w:textAlignment w:val="auto"/>
              <w:rPr>
                <w:rFonts w:hint="eastAsia"/>
                <w:color w:val="auto"/>
                <w:kern w:val="0"/>
                <w:sz w:val="21"/>
                <w:szCs w:val="21"/>
              </w:rPr>
            </w:pPr>
            <w:r>
              <w:rPr>
                <w:rFonts w:hint="eastAsia"/>
                <w:color w:val="auto"/>
                <w:kern w:val="0"/>
                <w:sz w:val="21"/>
                <w:szCs w:val="21"/>
              </w:rPr>
              <w:t>3</w:t>
            </w:r>
          </w:p>
        </w:tc>
        <w:tc>
          <w:tcPr>
            <w:tcW w:w="3101" w:type="dxa"/>
          </w:tcPr>
          <w:p>
            <w:pPr>
              <w:pageBreakBefore w:val="0"/>
              <w:widowControl w:val="0"/>
              <w:kinsoku/>
              <w:wordWrap/>
              <w:overflowPunct/>
              <w:topLinePunct w:val="0"/>
              <w:bidi w:val="0"/>
              <w:spacing w:line="240" w:lineRule="auto"/>
              <w:ind w:left="0"/>
              <w:jc w:val="center"/>
              <w:textAlignment w:val="auto"/>
              <w:rPr>
                <w:rFonts w:hint="eastAsia"/>
                <w:color w:val="auto"/>
                <w:kern w:val="0"/>
                <w:sz w:val="21"/>
                <w:szCs w:val="21"/>
              </w:rPr>
            </w:pPr>
            <w:r>
              <w:rPr>
                <w:rFonts w:hint="eastAsia"/>
                <w:color w:val="auto"/>
                <w:kern w:val="0"/>
                <w:sz w:val="21"/>
                <w:szCs w:val="21"/>
              </w:rPr>
              <w:t>完善周边环境</w:t>
            </w:r>
            <w:r>
              <w:rPr>
                <w:rFonts w:hint="eastAsia"/>
                <w:color w:val="auto"/>
                <w:kern w:val="0"/>
                <w:sz w:val="21"/>
                <w:szCs w:val="21"/>
                <w:lang w:val="en-US" w:eastAsia="zh-CN"/>
              </w:rPr>
              <w:t>及区域污染源调查，</w:t>
            </w:r>
            <w:r>
              <w:rPr>
                <w:rFonts w:hint="eastAsia"/>
                <w:color w:val="auto"/>
                <w:kern w:val="0"/>
                <w:sz w:val="21"/>
                <w:szCs w:val="21"/>
              </w:rPr>
              <w:t>核实环境保护目标。</w:t>
            </w:r>
            <w:r>
              <w:rPr>
                <w:rFonts w:hint="eastAsia"/>
                <w:color w:val="auto"/>
                <w:kern w:val="0"/>
                <w:sz w:val="21"/>
                <w:szCs w:val="21"/>
                <w:lang w:val="en-US" w:eastAsia="zh-CN"/>
              </w:rPr>
              <w:t>完善环境质量现状监测与评价</w:t>
            </w:r>
            <w:r>
              <w:rPr>
                <w:rFonts w:hint="eastAsia"/>
                <w:color w:val="auto"/>
                <w:kern w:val="0"/>
                <w:sz w:val="21"/>
                <w:szCs w:val="21"/>
                <w:lang w:eastAsia="zh-CN"/>
              </w:rPr>
              <w:t>。</w:t>
            </w:r>
          </w:p>
        </w:tc>
        <w:tc>
          <w:tcPr>
            <w:tcW w:w="3127" w:type="dxa"/>
          </w:tcPr>
          <w:p>
            <w:pPr>
              <w:pageBreakBefore w:val="0"/>
              <w:widowControl w:val="0"/>
              <w:kinsoku/>
              <w:wordWrap/>
              <w:overflowPunct/>
              <w:topLinePunct w:val="0"/>
              <w:bidi w:val="0"/>
              <w:spacing w:line="240" w:lineRule="auto"/>
              <w:ind w:left="0"/>
              <w:jc w:val="center"/>
              <w:textAlignment w:val="auto"/>
              <w:rPr>
                <w:rFonts w:hint="eastAsia"/>
                <w:color w:val="auto"/>
                <w:kern w:val="0"/>
                <w:sz w:val="21"/>
                <w:szCs w:val="21"/>
                <w:lang w:eastAsia="zh-CN"/>
              </w:rPr>
            </w:pPr>
            <w:r>
              <w:rPr>
                <w:rFonts w:hint="eastAsia"/>
                <w:color w:val="auto"/>
                <w:kern w:val="0"/>
                <w:sz w:val="21"/>
                <w:szCs w:val="21"/>
              </w:rPr>
              <w:t>完善</w:t>
            </w:r>
            <w:r>
              <w:rPr>
                <w:rFonts w:hint="eastAsia"/>
                <w:color w:val="auto"/>
                <w:kern w:val="0"/>
                <w:sz w:val="21"/>
                <w:szCs w:val="21"/>
                <w:lang w:val="en-US" w:eastAsia="zh-CN"/>
              </w:rPr>
              <w:t>了</w:t>
            </w:r>
            <w:r>
              <w:rPr>
                <w:rFonts w:hint="eastAsia"/>
                <w:color w:val="auto"/>
                <w:kern w:val="0"/>
                <w:sz w:val="21"/>
                <w:szCs w:val="21"/>
              </w:rPr>
              <w:t>周边环境</w:t>
            </w:r>
            <w:r>
              <w:rPr>
                <w:rFonts w:hint="eastAsia"/>
                <w:color w:val="auto"/>
                <w:kern w:val="0"/>
                <w:sz w:val="21"/>
                <w:szCs w:val="21"/>
                <w:lang w:val="en-US" w:eastAsia="zh-CN"/>
              </w:rPr>
              <w:t>及区域污染源调查，</w:t>
            </w:r>
            <w:r>
              <w:rPr>
                <w:rFonts w:hint="eastAsia"/>
                <w:color w:val="auto"/>
                <w:kern w:val="0"/>
                <w:sz w:val="21"/>
                <w:szCs w:val="21"/>
              </w:rPr>
              <w:t>核实</w:t>
            </w:r>
            <w:r>
              <w:rPr>
                <w:rFonts w:hint="eastAsia"/>
                <w:color w:val="auto"/>
                <w:kern w:val="0"/>
                <w:sz w:val="21"/>
                <w:szCs w:val="21"/>
                <w:lang w:val="en-US" w:eastAsia="zh-CN"/>
              </w:rPr>
              <w:t>了</w:t>
            </w:r>
            <w:r>
              <w:rPr>
                <w:rFonts w:hint="eastAsia"/>
                <w:color w:val="auto"/>
                <w:kern w:val="0"/>
                <w:sz w:val="21"/>
                <w:szCs w:val="21"/>
              </w:rPr>
              <w:t>环境保护目标。</w:t>
            </w:r>
            <w:r>
              <w:rPr>
                <w:rFonts w:hint="eastAsia"/>
                <w:color w:val="auto"/>
                <w:kern w:val="0"/>
                <w:sz w:val="21"/>
                <w:szCs w:val="21"/>
                <w:lang w:val="en-US" w:eastAsia="zh-CN"/>
              </w:rPr>
              <w:t>完善了环境质量现状监测与评价</w:t>
            </w:r>
            <w:r>
              <w:rPr>
                <w:rFonts w:hint="eastAsia"/>
                <w:color w:val="auto"/>
                <w:kern w:val="0"/>
                <w:sz w:val="21"/>
                <w:szCs w:val="21"/>
                <w:lang w:eastAsia="zh-CN"/>
              </w:rPr>
              <w:t>。</w:t>
            </w:r>
          </w:p>
        </w:tc>
        <w:tc>
          <w:tcPr>
            <w:tcW w:w="1433" w:type="dxa"/>
          </w:tcPr>
          <w:p>
            <w:pPr>
              <w:pageBreakBefore w:val="0"/>
              <w:widowControl w:val="0"/>
              <w:kinsoku/>
              <w:wordWrap/>
              <w:overflowPunct/>
              <w:topLinePunct w:val="0"/>
              <w:bidi w:val="0"/>
              <w:spacing w:line="240" w:lineRule="auto"/>
              <w:ind w:left="0"/>
              <w:jc w:val="center"/>
              <w:textAlignment w:val="auto"/>
              <w:rPr>
                <w:rFonts w:hint="default"/>
                <w:color w:val="auto"/>
                <w:kern w:val="0"/>
                <w:sz w:val="21"/>
                <w:szCs w:val="21"/>
                <w:lang w:val="en-US" w:eastAsia="zh-CN"/>
              </w:rPr>
            </w:pPr>
            <w:r>
              <w:rPr>
                <w:rFonts w:hint="eastAsia"/>
                <w:color w:val="auto"/>
                <w:kern w:val="0"/>
                <w:sz w:val="21"/>
                <w:szCs w:val="21"/>
              </w:rPr>
              <w:t>详见P</w:t>
            </w:r>
            <w:r>
              <w:rPr>
                <w:rFonts w:hint="eastAsia"/>
                <w:color w:val="auto"/>
                <w:kern w:val="0"/>
                <w:sz w:val="21"/>
                <w:szCs w:val="21"/>
                <w:lang w:val="en-US" w:eastAsia="zh-CN"/>
              </w:rPr>
              <w:t>14</w:t>
            </w:r>
            <w:r>
              <w:rPr>
                <w:rFonts w:hint="eastAsia"/>
                <w:color w:val="auto"/>
                <w:kern w:val="0"/>
                <w:sz w:val="21"/>
                <w:szCs w:val="21"/>
              </w:rPr>
              <w:t>~P</w:t>
            </w:r>
            <w:r>
              <w:rPr>
                <w:rFonts w:hint="eastAsia"/>
                <w:color w:val="auto"/>
                <w:kern w:val="0"/>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pageBreakBefore w:val="0"/>
              <w:widowControl w:val="0"/>
              <w:kinsoku/>
              <w:wordWrap/>
              <w:overflowPunct/>
              <w:topLinePunct w:val="0"/>
              <w:bidi w:val="0"/>
              <w:spacing w:line="240" w:lineRule="auto"/>
              <w:ind w:left="0"/>
              <w:jc w:val="center"/>
              <w:textAlignment w:val="auto"/>
              <w:rPr>
                <w:rFonts w:hint="eastAsia"/>
                <w:color w:val="auto"/>
                <w:kern w:val="0"/>
                <w:sz w:val="21"/>
                <w:szCs w:val="21"/>
              </w:rPr>
            </w:pPr>
            <w:r>
              <w:rPr>
                <w:rFonts w:hint="eastAsia"/>
                <w:color w:val="auto"/>
                <w:kern w:val="0"/>
                <w:sz w:val="21"/>
                <w:szCs w:val="21"/>
              </w:rPr>
              <w:t>4</w:t>
            </w:r>
          </w:p>
        </w:tc>
        <w:tc>
          <w:tcPr>
            <w:tcW w:w="3101" w:type="dxa"/>
          </w:tcPr>
          <w:p>
            <w:pPr>
              <w:pageBreakBefore w:val="0"/>
              <w:widowControl w:val="0"/>
              <w:kinsoku/>
              <w:wordWrap/>
              <w:overflowPunct/>
              <w:topLinePunct w:val="0"/>
              <w:bidi w:val="0"/>
              <w:spacing w:line="240" w:lineRule="auto"/>
              <w:ind w:left="0"/>
              <w:jc w:val="center"/>
              <w:textAlignment w:val="auto"/>
              <w:rPr>
                <w:rFonts w:hint="eastAsia"/>
                <w:color w:val="auto"/>
                <w:kern w:val="0"/>
                <w:sz w:val="21"/>
                <w:szCs w:val="21"/>
              </w:rPr>
            </w:pPr>
            <w:r>
              <w:rPr>
                <w:rFonts w:hint="eastAsia"/>
                <w:color w:val="auto"/>
                <w:kern w:val="0"/>
                <w:sz w:val="21"/>
                <w:szCs w:val="21"/>
                <w:lang w:val="en-US" w:eastAsia="zh-CN"/>
              </w:rPr>
              <w:t>结合设备清单，</w:t>
            </w:r>
            <w:r>
              <w:rPr>
                <w:rFonts w:hint="eastAsia"/>
                <w:color w:val="auto"/>
                <w:kern w:val="0"/>
                <w:sz w:val="21"/>
                <w:szCs w:val="21"/>
                <w:lang w:eastAsia="zh-CN"/>
              </w:rPr>
              <w:t>完善工艺流程及简介、核实产污节点：</w:t>
            </w:r>
            <w:r>
              <w:rPr>
                <w:rFonts w:hint="eastAsia"/>
                <w:color w:val="auto"/>
                <w:kern w:val="0"/>
                <w:sz w:val="21"/>
                <w:szCs w:val="21"/>
                <w:lang w:val="en-US" w:eastAsia="zh-CN"/>
              </w:rPr>
              <w:t>说明员工是否再场内住宿，核实生活用水定额、用水量、水平衡，补充冷却废水产生情况、处理措施。</w:t>
            </w:r>
          </w:p>
        </w:tc>
        <w:tc>
          <w:tcPr>
            <w:tcW w:w="3127" w:type="dxa"/>
          </w:tcPr>
          <w:p>
            <w:pPr>
              <w:pageBreakBefore w:val="0"/>
              <w:widowControl w:val="0"/>
              <w:kinsoku/>
              <w:wordWrap/>
              <w:overflowPunct/>
              <w:topLinePunct w:val="0"/>
              <w:bidi w:val="0"/>
              <w:spacing w:line="240" w:lineRule="auto"/>
              <w:ind w:left="0"/>
              <w:jc w:val="center"/>
              <w:textAlignment w:val="auto"/>
              <w:rPr>
                <w:rFonts w:hint="eastAsia"/>
                <w:color w:val="auto"/>
                <w:kern w:val="0"/>
                <w:sz w:val="21"/>
                <w:szCs w:val="21"/>
                <w:lang w:val="en-US" w:eastAsia="zh-CN"/>
              </w:rPr>
            </w:pPr>
            <w:r>
              <w:rPr>
                <w:rFonts w:hint="eastAsia"/>
                <w:color w:val="auto"/>
                <w:kern w:val="0"/>
                <w:sz w:val="21"/>
                <w:szCs w:val="21"/>
                <w:lang w:val="en-US" w:eastAsia="zh-CN"/>
              </w:rPr>
              <w:t>结合设备清单，</w:t>
            </w:r>
            <w:r>
              <w:rPr>
                <w:rFonts w:hint="eastAsia"/>
                <w:color w:val="auto"/>
                <w:kern w:val="0"/>
                <w:sz w:val="21"/>
                <w:szCs w:val="21"/>
                <w:lang w:eastAsia="zh-CN"/>
              </w:rPr>
              <w:t>完善</w:t>
            </w:r>
            <w:r>
              <w:rPr>
                <w:rFonts w:hint="eastAsia"/>
                <w:color w:val="auto"/>
                <w:kern w:val="0"/>
                <w:sz w:val="21"/>
                <w:szCs w:val="21"/>
                <w:lang w:val="en-US" w:eastAsia="zh-CN"/>
              </w:rPr>
              <w:t>了</w:t>
            </w:r>
            <w:r>
              <w:rPr>
                <w:rFonts w:hint="eastAsia"/>
                <w:color w:val="auto"/>
                <w:kern w:val="0"/>
                <w:sz w:val="21"/>
                <w:szCs w:val="21"/>
                <w:lang w:eastAsia="zh-CN"/>
              </w:rPr>
              <w:t>工艺流程及简介、核实产污节点：</w:t>
            </w:r>
            <w:r>
              <w:rPr>
                <w:rFonts w:hint="eastAsia"/>
                <w:color w:val="auto"/>
                <w:kern w:val="0"/>
                <w:sz w:val="21"/>
                <w:szCs w:val="21"/>
                <w:lang w:val="en-US" w:eastAsia="zh-CN"/>
              </w:rPr>
              <w:t>说明了员工是否再场内住宿，核实了生活用水定额、用水量、水平衡，补充了冷却废水产生情况、处理措施。</w:t>
            </w:r>
          </w:p>
        </w:tc>
        <w:tc>
          <w:tcPr>
            <w:tcW w:w="1433" w:type="dxa"/>
          </w:tcPr>
          <w:p>
            <w:pPr>
              <w:pageBreakBefore w:val="0"/>
              <w:widowControl w:val="0"/>
              <w:kinsoku/>
              <w:wordWrap/>
              <w:overflowPunct/>
              <w:topLinePunct w:val="0"/>
              <w:bidi w:val="0"/>
              <w:spacing w:line="240" w:lineRule="auto"/>
              <w:ind w:left="0"/>
              <w:jc w:val="center"/>
              <w:textAlignment w:val="auto"/>
              <w:rPr>
                <w:rFonts w:hint="eastAsia"/>
                <w:color w:val="auto"/>
                <w:kern w:val="0"/>
                <w:sz w:val="21"/>
                <w:szCs w:val="21"/>
              </w:rPr>
            </w:pPr>
            <w:r>
              <w:rPr>
                <w:rFonts w:hint="eastAsia"/>
                <w:color w:val="auto"/>
                <w:kern w:val="0"/>
                <w:sz w:val="21"/>
                <w:szCs w:val="21"/>
              </w:rPr>
              <w:t>详见</w:t>
            </w:r>
          </w:p>
          <w:p>
            <w:pPr>
              <w:pageBreakBefore w:val="0"/>
              <w:widowControl w:val="0"/>
              <w:kinsoku/>
              <w:wordWrap/>
              <w:overflowPunct/>
              <w:topLinePunct w:val="0"/>
              <w:bidi w:val="0"/>
              <w:spacing w:line="240" w:lineRule="auto"/>
              <w:ind w:left="0"/>
              <w:jc w:val="center"/>
              <w:textAlignment w:val="auto"/>
              <w:rPr>
                <w:rFonts w:hint="eastAsia" w:eastAsia="宋体"/>
                <w:color w:val="auto"/>
                <w:kern w:val="0"/>
                <w:sz w:val="21"/>
                <w:szCs w:val="21"/>
                <w:lang w:eastAsia="zh-CN"/>
              </w:rPr>
            </w:pPr>
            <w:r>
              <w:rPr>
                <w:rFonts w:hint="eastAsia"/>
                <w:color w:val="auto"/>
                <w:kern w:val="0"/>
                <w:sz w:val="21"/>
                <w:szCs w:val="21"/>
              </w:rPr>
              <w:t>P1</w:t>
            </w:r>
            <w:r>
              <w:rPr>
                <w:rFonts w:hint="eastAsia"/>
                <w:color w:val="auto"/>
                <w:kern w:val="0"/>
                <w:sz w:val="21"/>
                <w:szCs w:val="21"/>
                <w:lang w:val="en-US" w:eastAsia="zh-CN"/>
              </w:rPr>
              <w:t>1</w:t>
            </w:r>
            <w:r>
              <w:rPr>
                <w:rFonts w:hint="eastAsia"/>
                <w:color w:val="auto"/>
                <w:kern w:val="0"/>
                <w:sz w:val="21"/>
                <w:szCs w:val="21"/>
              </w:rPr>
              <w:t>~P1</w:t>
            </w:r>
            <w:r>
              <w:rPr>
                <w:rFonts w:hint="eastAsia"/>
                <w:color w:val="auto"/>
                <w:kern w:val="0"/>
                <w:sz w:val="21"/>
                <w:szCs w:val="21"/>
                <w:lang w:val="en-US" w:eastAsia="zh-CN"/>
              </w:rPr>
              <w:t>2</w:t>
            </w:r>
            <w:r>
              <w:rPr>
                <w:rFonts w:hint="eastAsia"/>
                <w:color w:val="auto"/>
                <w:kern w:val="0"/>
                <w:sz w:val="21"/>
                <w:szCs w:val="21"/>
                <w:lang w:eastAsia="zh-CN"/>
              </w:rPr>
              <w:t>；</w:t>
            </w:r>
          </w:p>
          <w:p>
            <w:pPr>
              <w:pStyle w:val="2"/>
              <w:rPr>
                <w:rFonts w:hint="default" w:ascii="Times New Roman" w:hAnsi="Times New Roman" w:eastAsia="宋体" w:cs="Times New Roman"/>
                <w:b w:val="0"/>
                <w:color w:val="auto"/>
                <w:kern w:val="0"/>
                <w:sz w:val="21"/>
                <w:szCs w:val="21"/>
                <w:lang w:val="en-US" w:eastAsia="zh-CN" w:bidi="ar-SA"/>
              </w:rPr>
            </w:pPr>
            <w:r>
              <w:rPr>
                <w:rFonts w:hint="eastAsia" w:ascii="Times New Roman" w:hAnsi="Times New Roman" w:eastAsia="宋体" w:cs="Times New Roman"/>
                <w:b w:val="0"/>
                <w:color w:val="auto"/>
                <w:kern w:val="0"/>
                <w:sz w:val="21"/>
                <w:szCs w:val="21"/>
                <w:lang w:val="en-US" w:eastAsia="zh-CN" w:bidi="ar-SA"/>
              </w:rPr>
              <w:t>P9；P24</w:t>
            </w:r>
          </w:p>
          <w:p>
            <w:pPr>
              <w:pageBreakBefore w:val="0"/>
              <w:widowControl w:val="0"/>
              <w:kinsoku/>
              <w:wordWrap/>
              <w:overflowPunct/>
              <w:topLinePunct w:val="0"/>
              <w:bidi w:val="0"/>
              <w:spacing w:line="240" w:lineRule="auto"/>
              <w:ind w:left="0"/>
              <w:jc w:val="center"/>
              <w:textAlignment w:val="auto"/>
              <w:rPr>
                <w:rFonts w:hint="default"/>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pageBreakBefore w:val="0"/>
              <w:widowControl w:val="0"/>
              <w:kinsoku/>
              <w:wordWrap/>
              <w:overflowPunct/>
              <w:topLinePunct w:val="0"/>
              <w:bidi w:val="0"/>
              <w:spacing w:line="240" w:lineRule="auto"/>
              <w:ind w:left="0"/>
              <w:jc w:val="center"/>
              <w:textAlignment w:val="auto"/>
              <w:rPr>
                <w:rFonts w:hint="eastAsia"/>
                <w:color w:val="auto"/>
                <w:kern w:val="0"/>
                <w:sz w:val="21"/>
                <w:szCs w:val="21"/>
              </w:rPr>
            </w:pPr>
            <w:r>
              <w:rPr>
                <w:rFonts w:hint="eastAsia"/>
                <w:color w:val="auto"/>
                <w:kern w:val="0"/>
                <w:sz w:val="21"/>
                <w:szCs w:val="21"/>
              </w:rPr>
              <w:t>5</w:t>
            </w:r>
          </w:p>
        </w:tc>
        <w:tc>
          <w:tcPr>
            <w:tcW w:w="3101" w:type="dxa"/>
          </w:tcPr>
          <w:p>
            <w:pPr>
              <w:pageBreakBefore w:val="0"/>
              <w:widowControl w:val="0"/>
              <w:kinsoku/>
              <w:wordWrap/>
              <w:overflowPunct/>
              <w:topLinePunct w:val="0"/>
              <w:bidi w:val="0"/>
              <w:spacing w:line="240" w:lineRule="auto"/>
              <w:ind w:left="0"/>
              <w:jc w:val="center"/>
              <w:textAlignment w:val="auto"/>
              <w:rPr>
                <w:rFonts w:hint="eastAsia"/>
                <w:color w:val="auto"/>
                <w:kern w:val="0"/>
                <w:sz w:val="21"/>
                <w:szCs w:val="21"/>
              </w:rPr>
            </w:pPr>
            <w:r>
              <w:rPr>
                <w:rFonts w:hint="eastAsia"/>
                <w:color w:val="auto"/>
                <w:kern w:val="0"/>
                <w:sz w:val="21"/>
                <w:szCs w:val="21"/>
                <w:lang w:val="en-US" w:eastAsia="zh-CN"/>
              </w:rPr>
              <w:t>核实项目粉尘、有机废气产生节点、产排情况、收集方案、处理措施及效率、排放方式；分析各类废气处理措施的可行性，说明排放口基本情况、监测要求；核实排气筒数量、高度以及分析高度的合理性。</w:t>
            </w:r>
          </w:p>
        </w:tc>
        <w:tc>
          <w:tcPr>
            <w:tcW w:w="3127" w:type="dxa"/>
          </w:tcPr>
          <w:p>
            <w:pPr>
              <w:pageBreakBefore w:val="0"/>
              <w:widowControl w:val="0"/>
              <w:kinsoku/>
              <w:wordWrap/>
              <w:overflowPunct/>
              <w:topLinePunct w:val="0"/>
              <w:bidi w:val="0"/>
              <w:spacing w:line="240" w:lineRule="auto"/>
              <w:ind w:left="0"/>
              <w:jc w:val="center"/>
              <w:textAlignment w:val="auto"/>
              <w:rPr>
                <w:rFonts w:hint="eastAsia"/>
                <w:color w:val="auto"/>
                <w:kern w:val="0"/>
                <w:sz w:val="21"/>
                <w:szCs w:val="21"/>
              </w:rPr>
            </w:pPr>
            <w:r>
              <w:rPr>
                <w:rFonts w:hint="eastAsia"/>
                <w:color w:val="auto"/>
                <w:kern w:val="0"/>
                <w:sz w:val="21"/>
                <w:szCs w:val="21"/>
                <w:lang w:val="en-US" w:eastAsia="zh-CN"/>
              </w:rPr>
              <w:t>核实了项目粉尘、有机废气产生节点、产排情况、收集方案、处理措施及效率、排放方式；分析了各类废气处理措施的可行性，说明了排放口基本情况、监测要求；核实了排气筒数量、高度以及合理性。</w:t>
            </w:r>
          </w:p>
        </w:tc>
        <w:tc>
          <w:tcPr>
            <w:tcW w:w="1433" w:type="dxa"/>
          </w:tcPr>
          <w:p>
            <w:pPr>
              <w:pageBreakBefore w:val="0"/>
              <w:widowControl w:val="0"/>
              <w:kinsoku/>
              <w:wordWrap/>
              <w:overflowPunct/>
              <w:topLinePunct w:val="0"/>
              <w:bidi w:val="0"/>
              <w:spacing w:line="240" w:lineRule="auto"/>
              <w:ind w:left="0"/>
              <w:jc w:val="center"/>
              <w:textAlignment w:val="auto"/>
              <w:rPr>
                <w:rFonts w:hint="default"/>
                <w:color w:val="auto"/>
                <w:kern w:val="0"/>
                <w:sz w:val="21"/>
                <w:szCs w:val="21"/>
                <w:lang w:val="en-US"/>
              </w:rPr>
            </w:pPr>
            <w:r>
              <w:rPr>
                <w:rFonts w:hint="eastAsia"/>
                <w:color w:val="auto"/>
                <w:kern w:val="0"/>
                <w:sz w:val="21"/>
                <w:szCs w:val="21"/>
              </w:rPr>
              <w:t>详见P</w:t>
            </w:r>
            <w:r>
              <w:rPr>
                <w:rFonts w:hint="eastAsia"/>
                <w:color w:val="auto"/>
                <w:kern w:val="0"/>
                <w:sz w:val="21"/>
                <w:szCs w:val="21"/>
                <w:lang w:val="en-US" w:eastAsia="zh-CN"/>
              </w:rPr>
              <w:t>21</w:t>
            </w:r>
            <w:r>
              <w:rPr>
                <w:rFonts w:hint="eastAsia"/>
                <w:color w:val="auto"/>
                <w:kern w:val="0"/>
                <w:sz w:val="21"/>
                <w:szCs w:val="21"/>
              </w:rPr>
              <w:t>~P</w:t>
            </w:r>
            <w:r>
              <w:rPr>
                <w:rFonts w:hint="eastAsia"/>
                <w:color w:val="auto"/>
                <w:kern w:val="0"/>
                <w:sz w:val="21"/>
                <w:szCs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pageBreakBefore w:val="0"/>
              <w:widowControl w:val="0"/>
              <w:kinsoku/>
              <w:wordWrap/>
              <w:overflowPunct/>
              <w:topLinePunct w:val="0"/>
              <w:bidi w:val="0"/>
              <w:spacing w:line="240" w:lineRule="auto"/>
              <w:ind w:left="0"/>
              <w:jc w:val="center"/>
              <w:textAlignment w:val="auto"/>
              <w:rPr>
                <w:rFonts w:hint="eastAsia"/>
                <w:color w:val="auto"/>
                <w:kern w:val="0"/>
                <w:sz w:val="21"/>
                <w:szCs w:val="21"/>
                <w:lang w:val="en-US" w:eastAsia="zh-CN"/>
              </w:rPr>
            </w:pPr>
            <w:r>
              <w:rPr>
                <w:rFonts w:hint="eastAsia"/>
                <w:color w:val="auto"/>
                <w:kern w:val="0"/>
                <w:sz w:val="21"/>
                <w:szCs w:val="21"/>
                <w:lang w:val="en-US" w:eastAsia="zh-CN"/>
              </w:rPr>
              <w:t>6</w:t>
            </w:r>
          </w:p>
        </w:tc>
        <w:tc>
          <w:tcPr>
            <w:tcW w:w="3101" w:type="dxa"/>
          </w:tcPr>
          <w:p>
            <w:pPr>
              <w:pageBreakBefore w:val="0"/>
              <w:widowControl w:val="0"/>
              <w:kinsoku/>
              <w:wordWrap/>
              <w:overflowPunct/>
              <w:topLinePunct w:val="0"/>
              <w:bidi w:val="0"/>
              <w:spacing w:line="240" w:lineRule="auto"/>
              <w:ind w:left="0"/>
              <w:jc w:val="center"/>
              <w:textAlignment w:val="auto"/>
              <w:rPr>
                <w:rFonts w:hint="eastAsia"/>
                <w:color w:val="auto"/>
                <w:kern w:val="0"/>
                <w:sz w:val="21"/>
                <w:szCs w:val="21"/>
                <w:lang w:val="en-US" w:eastAsia="zh-CN"/>
              </w:rPr>
            </w:pPr>
            <w:r>
              <w:rPr>
                <w:rFonts w:hint="eastAsia"/>
                <w:color w:val="auto"/>
                <w:kern w:val="0"/>
                <w:sz w:val="21"/>
                <w:szCs w:val="21"/>
                <w:lang w:eastAsia="zh-CN"/>
              </w:rPr>
              <w:t>核实固废</w:t>
            </w:r>
            <w:r>
              <w:rPr>
                <w:rFonts w:hint="eastAsia"/>
                <w:color w:val="auto"/>
                <w:kern w:val="0"/>
                <w:sz w:val="21"/>
                <w:szCs w:val="21"/>
                <w:lang w:val="en-US" w:eastAsia="zh-CN"/>
              </w:rPr>
              <w:t>种类、</w:t>
            </w:r>
            <w:r>
              <w:rPr>
                <w:rFonts w:hint="eastAsia"/>
                <w:color w:val="auto"/>
                <w:kern w:val="0"/>
                <w:sz w:val="21"/>
                <w:szCs w:val="21"/>
                <w:lang w:eastAsia="zh-CN"/>
              </w:rPr>
              <w:t>属性、产生量、暂存处置措施及</w:t>
            </w:r>
            <w:r>
              <w:rPr>
                <w:rFonts w:hint="eastAsia"/>
                <w:color w:val="auto"/>
                <w:kern w:val="0"/>
                <w:sz w:val="21"/>
                <w:szCs w:val="21"/>
                <w:lang w:val="en-US" w:eastAsia="zh-CN"/>
              </w:rPr>
              <w:t>去向</w:t>
            </w:r>
            <w:r>
              <w:rPr>
                <w:rFonts w:hint="eastAsia"/>
                <w:color w:val="auto"/>
                <w:kern w:val="0"/>
                <w:sz w:val="21"/>
                <w:szCs w:val="21"/>
                <w:lang w:eastAsia="zh-CN"/>
              </w:rPr>
              <w:t>。</w:t>
            </w:r>
            <w:r>
              <w:rPr>
                <w:rFonts w:hint="eastAsia"/>
                <w:color w:val="auto"/>
                <w:kern w:val="0"/>
                <w:sz w:val="21"/>
                <w:szCs w:val="21"/>
                <w:lang w:val="en-US" w:eastAsia="zh-CN"/>
              </w:rPr>
              <w:t>核实噪声设备分布情况及</w:t>
            </w:r>
            <w:r>
              <w:rPr>
                <w:rFonts w:hint="eastAsia"/>
                <w:color w:val="auto"/>
                <w:kern w:val="0"/>
                <w:sz w:val="21"/>
                <w:szCs w:val="21"/>
                <w:lang w:eastAsia="zh-CN"/>
              </w:rPr>
              <w:t>噪声预测</w:t>
            </w:r>
            <w:r>
              <w:rPr>
                <w:rFonts w:hint="eastAsia"/>
                <w:color w:val="auto"/>
                <w:kern w:val="0"/>
                <w:sz w:val="21"/>
                <w:szCs w:val="21"/>
                <w:lang w:val="en-US" w:eastAsia="zh-CN"/>
              </w:rPr>
              <w:t>结果</w:t>
            </w:r>
            <w:r>
              <w:rPr>
                <w:rFonts w:hint="eastAsia"/>
                <w:color w:val="auto"/>
                <w:kern w:val="0"/>
                <w:sz w:val="21"/>
                <w:szCs w:val="21"/>
                <w:lang w:eastAsia="zh-CN"/>
              </w:rPr>
              <w:t>，</w:t>
            </w:r>
            <w:r>
              <w:rPr>
                <w:rFonts w:hint="eastAsia"/>
                <w:color w:val="auto"/>
                <w:kern w:val="0"/>
                <w:sz w:val="21"/>
                <w:szCs w:val="21"/>
                <w:lang w:val="en-US" w:eastAsia="zh-CN"/>
              </w:rPr>
              <w:t>完善声环境影响分析。规范风险分析，说明风险物质分布情况、影响途径，完善风险防范措施。</w:t>
            </w:r>
          </w:p>
          <w:p>
            <w:pPr>
              <w:pageBreakBefore w:val="0"/>
              <w:widowControl w:val="0"/>
              <w:kinsoku/>
              <w:wordWrap/>
              <w:overflowPunct/>
              <w:topLinePunct w:val="0"/>
              <w:bidi w:val="0"/>
              <w:spacing w:line="240" w:lineRule="auto"/>
              <w:ind w:left="0"/>
              <w:jc w:val="center"/>
              <w:textAlignment w:val="auto"/>
              <w:rPr>
                <w:rFonts w:hint="eastAsia"/>
                <w:color w:val="auto"/>
                <w:kern w:val="0"/>
                <w:sz w:val="21"/>
                <w:szCs w:val="21"/>
                <w:lang w:val="en-US" w:eastAsia="zh-CN"/>
              </w:rPr>
            </w:pPr>
          </w:p>
        </w:tc>
        <w:tc>
          <w:tcPr>
            <w:tcW w:w="3127" w:type="dxa"/>
          </w:tcPr>
          <w:p>
            <w:pPr>
              <w:pageBreakBefore w:val="0"/>
              <w:widowControl w:val="0"/>
              <w:kinsoku/>
              <w:wordWrap/>
              <w:overflowPunct/>
              <w:topLinePunct w:val="0"/>
              <w:bidi w:val="0"/>
              <w:spacing w:line="240" w:lineRule="auto"/>
              <w:ind w:left="0"/>
              <w:jc w:val="center"/>
              <w:textAlignment w:val="auto"/>
              <w:rPr>
                <w:rFonts w:hint="eastAsia"/>
                <w:color w:val="auto"/>
                <w:kern w:val="0"/>
                <w:sz w:val="21"/>
                <w:szCs w:val="21"/>
                <w:lang w:val="en-US" w:eastAsia="zh-CN"/>
              </w:rPr>
            </w:pPr>
            <w:r>
              <w:rPr>
                <w:rFonts w:hint="eastAsia"/>
                <w:color w:val="auto"/>
                <w:kern w:val="0"/>
                <w:sz w:val="21"/>
                <w:szCs w:val="21"/>
                <w:lang w:eastAsia="zh-CN"/>
              </w:rPr>
              <w:t>核实</w:t>
            </w:r>
            <w:r>
              <w:rPr>
                <w:rFonts w:hint="eastAsia"/>
                <w:color w:val="auto"/>
                <w:kern w:val="0"/>
                <w:sz w:val="21"/>
                <w:szCs w:val="21"/>
                <w:lang w:val="en-US" w:eastAsia="zh-CN"/>
              </w:rPr>
              <w:t>了</w:t>
            </w:r>
            <w:r>
              <w:rPr>
                <w:rFonts w:hint="eastAsia"/>
                <w:color w:val="auto"/>
                <w:kern w:val="0"/>
                <w:sz w:val="21"/>
                <w:szCs w:val="21"/>
                <w:lang w:eastAsia="zh-CN"/>
              </w:rPr>
              <w:t>固废</w:t>
            </w:r>
            <w:r>
              <w:rPr>
                <w:rFonts w:hint="eastAsia"/>
                <w:color w:val="auto"/>
                <w:kern w:val="0"/>
                <w:sz w:val="21"/>
                <w:szCs w:val="21"/>
                <w:lang w:val="en-US" w:eastAsia="zh-CN"/>
              </w:rPr>
              <w:t>种类、</w:t>
            </w:r>
            <w:r>
              <w:rPr>
                <w:rFonts w:hint="eastAsia"/>
                <w:color w:val="auto"/>
                <w:kern w:val="0"/>
                <w:sz w:val="21"/>
                <w:szCs w:val="21"/>
                <w:lang w:eastAsia="zh-CN"/>
              </w:rPr>
              <w:t>属性、产生量、暂存处置措施及</w:t>
            </w:r>
            <w:r>
              <w:rPr>
                <w:rFonts w:hint="eastAsia"/>
                <w:color w:val="auto"/>
                <w:kern w:val="0"/>
                <w:sz w:val="21"/>
                <w:szCs w:val="21"/>
                <w:lang w:val="en-US" w:eastAsia="zh-CN"/>
              </w:rPr>
              <w:t>去向</w:t>
            </w:r>
            <w:r>
              <w:rPr>
                <w:rFonts w:hint="eastAsia"/>
                <w:color w:val="auto"/>
                <w:kern w:val="0"/>
                <w:sz w:val="21"/>
                <w:szCs w:val="21"/>
                <w:lang w:eastAsia="zh-CN"/>
              </w:rPr>
              <w:t>。</w:t>
            </w:r>
            <w:r>
              <w:rPr>
                <w:rFonts w:hint="eastAsia"/>
                <w:color w:val="auto"/>
                <w:kern w:val="0"/>
                <w:sz w:val="21"/>
                <w:szCs w:val="21"/>
                <w:lang w:val="en-US" w:eastAsia="zh-CN"/>
              </w:rPr>
              <w:t>核实了噪声设备分布情况及</w:t>
            </w:r>
            <w:r>
              <w:rPr>
                <w:rFonts w:hint="eastAsia"/>
                <w:color w:val="auto"/>
                <w:kern w:val="0"/>
                <w:sz w:val="21"/>
                <w:szCs w:val="21"/>
                <w:lang w:eastAsia="zh-CN"/>
              </w:rPr>
              <w:t>噪声预测</w:t>
            </w:r>
            <w:r>
              <w:rPr>
                <w:rFonts w:hint="eastAsia"/>
                <w:color w:val="auto"/>
                <w:kern w:val="0"/>
                <w:sz w:val="21"/>
                <w:szCs w:val="21"/>
                <w:lang w:val="en-US" w:eastAsia="zh-CN"/>
              </w:rPr>
              <w:t>结果</w:t>
            </w:r>
            <w:r>
              <w:rPr>
                <w:rFonts w:hint="eastAsia"/>
                <w:color w:val="auto"/>
                <w:kern w:val="0"/>
                <w:sz w:val="21"/>
                <w:szCs w:val="21"/>
                <w:lang w:eastAsia="zh-CN"/>
              </w:rPr>
              <w:t>，</w:t>
            </w:r>
            <w:r>
              <w:rPr>
                <w:rFonts w:hint="eastAsia"/>
                <w:color w:val="auto"/>
                <w:kern w:val="0"/>
                <w:sz w:val="21"/>
                <w:szCs w:val="21"/>
                <w:lang w:val="en-US" w:eastAsia="zh-CN"/>
              </w:rPr>
              <w:t>完善了声环境影响分析。规范了风险分析，说明风险物质分布情况、影响途径，完善风险防范措施。</w:t>
            </w:r>
          </w:p>
          <w:p>
            <w:pPr>
              <w:pageBreakBefore w:val="0"/>
              <w:widowControl w:val="0"/>
              <w:kinsoku/>
              <w:wordWrap/>
              <w:overflowPunct/>
              <w:topLinePunct w:val="0"/>
              <w:bidi w:val="0"/>
              <w:spacing w:line="240" w:lineRule="auto"/>
              <w:ind w:left="0"/>
              <w:jc w:val="center"/>
              <w:textAlignment w:val="auto"/>
              <w:rPr>
                <w:rFonts w:hint="eastAsia"/>
                <w:color w:val="auto"/>
                <w:kern w:val="0"/>
                <w:sz w:val="21"/>
                <w:szCs w:val="21"/>
                <w:lang w:eastAsia="zh-CN"/>
              </w:rPr>
            </w:pPr>
          </w:p>
        </w:tc>
        <w:tc>
          <w:tcPr>
            <w:tcW w:w="1433" w:type="dxa"/>
          </w:tcPr>
          <w:p>
            <w:pPr>
              <w:pageBreakBefore w:val="0"/>
              <w:widowControl w:val="0"/>
              <w:kinsoku/>
              <w:wordWrap/>
              <w:overflowPunct/>
              <w:topLinePunct w:val="0"/>
              <w:bidi w:val="0"/>
              <w:spacing w:line="240" w:lineRule="auto"/>
              <w:ind w:left="0"/>
              <w:jc w:val="center"/>
              <w:textAlignment w:val="auto"/>
              <w:rPr>
                <w:rFonts w:hint="eastAsia"/>
                <w:color w:val="auto"/>
                <w:lang w:val="en-US" w:eastAsia="zh-CN"/>
              </w:rPr>
            </w:pPr>
            <w:r>
              <w:rPr>
                <w:rFonts w:hint="eastAsia"/>
                <w:color w:val="auto"/>
              </w:rPr>
              <w:t>详见</w:t>
            </w:r>
            <w:r>
              <w:rPr>
                <w:rFonts w:hint="eastAsia"/>
                <w:color w:val="auto"/>
                <w:lang w:val="en-US" w:eastAsia="zh-CN"/>
              </w:rPr>
              <w:t>P26~P28；P24~P26；</w:t>
            </w:r>
          </w:p>
          <w:p>
            <w:pPr>
              <w:pageBreakBefore w:val="0"/>
              <w:widowControl w:val="0"/>
              <w:kinsoku/>
              <w:wordWrap/>
              <w:overflowPunct/>
              <w:topLinePunct w:val="0"/>
              <w:bidi w:val="0"/>
              <w:spacing w:line="240" w:lineRule="auto"/>
              <w:ind w:left="0"/>
              <w:jc w:val="center"/>
              <w:textAlignment w:val="auto"/>
              <w:rPr>
                <w:rFonts w:hint="default"/>
                <w:color w:val="auto"/>
                <w:lang w:val="en-US"/>
              </w:rPr>
            </w:pPr>
            <w:r>
              <w:rPr>
                <w:rFonts w:hint="eastAsia"/>
                <w:color w:val="auto"/>
                <w:lang w:val="en-US" w:eastAsia="zh-CN"/>
              </w:rPr>
              <w:t>P33~P34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pageBreakBefore w:val="0"/>
              <w:widowControl w:val="0"/>
              <w:kinsoku/>
              <w:wordWrap/>
              <w:overflowPunct/>
              <w:topLinePunct w:val="0"/>
              <w:bidi w:val="0"/>
              <w:spacing w:line="240" w:lineRule="auto"/>
              <w:ind w:left="0"/>
              <w:jc w:val="center"/>
              <w:textAlignment w:val="auto"/>
              <w:rPr>
                <w:rFonts w:hint="default"/>
                <w:color w:val="auto"/>
                <w:kern w:val="0"/>
                <w:sz w:val="21"/>
                <w:szCs w:val="21"/>
                <w:lang w:val="en-US" w:eastAsia="zh-CN"/>
              </w:rPr>
            </w:pPr>
            <w:r>
              <w:rPr>
                <w:rFonts w:hint="eastAsia"/>
                <w:color w:val="auto"/>
                <w:kern w:val="0"/>
                <w:sz w:val="21"/>
                <w:szCs w:val="21"/>
                <w:lang w:val="en-US" w:eastAsia="zh-CN"/>
              </w:rPr>
              <w:t>7</w:t>
            </w:r>
          </w:p>
        </w:tc>
        <w:tc>
          <w:tcPr>
            <w:tcW w:w="3101" w:type="dxa"/>
          </w:tcPr>
          <w:p>
            <w:pPr>
              <w:pageBreakBefore w:val="0"/>
              <w:widowControl w:val="0"/>
              <w:kinsoku/>
              <w:wordWrap/>
              <w:overflowPunct/>
              <w:topLinePunct w:val="0"/>
              <w:bidi w:val="0"/>
              <w:spacing w:line="240" w:lineRule="auto"/>
              <w:ind w:left="0"/>
              <w:jc w:val="center"/>
              <w:textAlignment w:val="auto"/>
              <w:rPr>
                <w:rFonts w:hint="eastAsia"/>
                <w:color w:val="auto"/>
                <w:kern w:val="0"/>
                <w:sz w:val="21"/>
                <w:szCs w:val="21"/>
                <w:lang w:val="en-US" w:eastAsia="zh-CN"/>
              </w:rPr>
            </w:pPr>
            <w:r>
              <w:rPr>
                <w:rFonts w:hint="eastAsia"/>
                <w:color w:val="auto"/>
                <w:kern w:val="0"/>
                <w:sz w:val="21"/>
                <w:szCs w:val="21"/>
                <w:lang w:val="en-US" w:eastAsia="zh-CN"/>
              </w:rPr>
              <w:t>核实总量控制指标、环境保护措施监督检查清单，</w:t>
            </w:r>
            <w:r>
              <w:rPr>
                <w:rFonts w:hint="eastAsia"/>
                <w:color w:val="auto"/>
                <w:kern w:val="0"/>
                <w:sz w:val="21"/>
                <w:szCs w:val="21"/>
                <w:lang w:val="zh-CN" w:eastAsia="zh-CN"/>
              </w:rPr>
              <w:t>完善营运期环境监测计划</w:t>
            </w:r>
            <w:r>
              <w:rPr>
                <w:rFonts w:hint="eastAsia"/>
                <w:color w:val="auto"/>
                <w:kern w:val="0"/>
                <w:sz w:val="21"/>
                <w:szCs w:val="21"/>
                <w:lang w:eastAsia="zh-CN"/>
              </w:rPr>
              <w:t>。</w:t>
            </w:r>
            <w:r>
              <w:rPr>
                <w:rFonts w:hint="eastAsia"/>
                <w:color w:val="auto"/>
                <w:kern w:val="0"/>
                <w:sz w:val="21"/>
                <w:szCs w:val="21"/>
                <w:lang w:val="en-US" w:eastAsia="zh-CN"/>
              </w:rPr>
              <w:t>完善附图附件。</w:t>
            </w:r>
          </w:p>
        </w:tc>
        <w:tc>
          <w:tcPr>
            <w:tcW w:w="3127" w:type="dxa"/>
          </w:tcPr>
          <w:p>
            <w:pPr>
              <w:pageBreakBefore w:val="0"/>
              <w:widowControl w:val="0"/>
              <w:kinsoku/>
              <w:wordWrap/>
              <w:overflowPunct/>
              <w:topLinePunct w:val="0"/>
              <w:bidi w:val="0"/>
              <w:spacing w:line="240" w:lineRule="auto"/>
              <w:ind w:left="0"/>
              <w:jc w:val="center"/>
              <w:textAlignment w:val="auto"/>
              <w:rPr>
                <w:rFonts w:hint="eastAsia"/>
                <w:color w:val="auto"/>
                <w:kern w:val="0"/>
                <w:sz w:val="21"/>
                <w:szCs w:val="21"/>
                <w:lang w:eastAsia="zh-CN"/>
              </w:rPr>
            </w:pPr>
            <w:r>
              <w:rPr>
                <w:rFonts w:hint="eastAsia"/>
                <w:color w:val="auto"/>
                <w:kern w:val="0"/>
                <w:sz w:val="21"/>
                <w:szCs w:val="21"/>
                <w:lang w:val="en-US" w:eastAsia="zh-CN"/>
              </w:rPr>
              <w:t>核实了总量控制指标、环境保护措施监督检查清单，</w:t>
            </w:r>
            <w:r>
              <w:rPr>
                <w:rFonts w:hint="eastAsia"/>
                <w:color w:val="auto"/>
                <w:kern w:val="0"/>
                <w:sz w:val="21"/>
                <w:szCs w:val="21"/>
                <w:lang w:val="zh-CN" w:eastAsia="zh-CN"/>
              </w:rPr>
              <w:t>完善</w:t>
            </w:r>
            <w:r>
              <w:rPr>
                <w:rFonts w:hint="eastAsia"/>
                <w:color w:val="auto"/>
                <w:kern w:val="0"/>
                <w:sz w:val="21"/>
                <w:szCs w:val="21"/>
                <w:lang w:val="en-US" w:eastAsia="zh-CN"/>
              </w:rPr>
              <w:t>了</w:t>
            </w:r>
            <w:r>
              <w:rPr>
                <w:rFonts w:hint="eastAsia"/>
                <w:color w:val="auto"/>
                <w:kern w:val="0"/>
                <w:sz w:val="21"/>
                <w:szCs w:val="21"/>
                <w:lang w:val="zh-CN" w:eastAsia="zh-CN"/>
              </w:rPr>
              <w:t>营运期环境监测计划</w:t>
            </w:r>
            <w:r>
              <w:rPr>
                <w:rFonts w:hint="eastAsia"/>
                <w:color w:val="auto"/>
                <w:kern w:val="0"/>
                <w:sz w:val="21"/>
                <w:szCs w:val="21"/>
                <w:lang w:eastAsia="zh-CN"/>
              </w:rPr>
              <w:t>。</w:t>
            </w:r>
            <w:r>
              <w:rPr>
                <w:rFonts w:hint="eastAsia"/>
                <w:color w:val="auto"/>
                <w:kern w:val="0"/>
                <w:sz w:val="21"/>
                <w:szCs w:val="21"/>
                <w:lang w:val="en-US" w:eastAsia="zh-CN"/>
              </w:rPr>
              <w:t>补充了生态红线等附图附件。</w:t>
            </w:r>
          </w:p>
        </w:tc>
        <w:tc>
          <w:tcPr>
            <w:tcW w:w="1433" w:type="dxa"/>
          </w:tcPr>
          <w:p>
            <w:pPr>
              <w:pageBreakBefore w:val="0"/>
              <w:widowControl w:val="0"/>
              <w:kinsoku/>
              <w:wordWrap/>
              <w:overflowPunct/>
              <w:topLinePunct w:val="0"/>
              <w:bidi w:val="0"/>
              <w:spacing w:line="240" w:lineRule="auto"/>
              <w:ind w:left="0"/>
              <w:jc w:val="center"/>
              <w:textAlignment w:val="auto"/>
              <w:rPr>
                <w:rFonts w:hint="default"/>
                <w:color w:val="auto"/>
                <w:lang w:val="en-US" w:eastAsia="zh-CN"/>
              </w:rPr>
            </w:pPr>
            <w:r>
              <w:rPr>
                <w:rFonts w:hint="eastAsia"/>
                <w:color w:val="auto"/>
              </w:rPr>
              <w:t>详见P</w:t>
            </w:r>
            <w:r>
              <w:rPr>
                <w:rFonts w:hint="eastAsia"/>
                <w:color w:val="auto"/>
                <w:lang w:val="en-US" w:eastAsia="zh-CN"/>
              </w:rPr>
              <w:t>34；附件附图</w:t>
            </w:r>
          </w:p>
          <w:p>
            <w:pPr>
              <w:pStyle w:val="2"/>
              <w:rPr>
                <w:rFonts w:hint="eastAsia"/>
                <w:color w:val="auto"/>
              </w:rPr>
            </w:pPr>
          </w:p>
        </w:tc>
      </w:tr>
    </w:tbl>
    <w:p>
      <w:pPr>
        <w:pStyle w:val="4"/>
        <w:rPr>
          <w:color w:val="auto"/>
        </w:rPr>
      </w:pPr>
      <w:bookmarkStart w:id="2" w:name="_Toc73483518"/>
    </w:p>
    <w:p>
      <w:pPr>
        <w:pStyle w:val="3"/>
        <w:rPr>
          <w:color w:val="auto"/>
        </w:rPr>
        <w:sectPr>
          <w:footerReference r:id="rId5" w:type="default"/>
          <w:pgSz w:w="11906" w:h="16838"/>
          <w:pgMar w:top="1701" w:right="1531" w:bottom="1701" w:left="1531" w:header="851" w:footer="1077" w:gutter="0"/>
          <w:pgNumType w:start="1"/>
          <w:cols w:space="720" w:num="1"/>
          <w:docGrid w:linePitch="312" w:charSpace="0"/>
        </w:sectPr>
      </w:pPr>
    </w:p>
    <w:p>
      <w:pPr>
        <w:pStyle w:val="3"/>
        <w:rPr>
          <w:color w:val="auto"/>
        </w:rPr>
      </w:pPr>
      <w:r>
        <w:rPr>
          <w:color w:val="auto"/>
        </w:rPr>
        <w:t>一、建设项目基本情况</w:t>
      </w:r>
      <w:bookmarkEnd w:id="2"/>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82"/>
        <w:gridCol w:w="1637"/>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auto"/>
                <w:sz w:val="24"/>
              </w:rPr>
            </w:pPr>
            <w:r>
              <w:rPr>
                <w:color w:val="auto"/>
                <w:sz w:val="24"/>
              </w:rPr>
              <w:t>建设项目名称</w:t>
            </w:r>
          </w:p>
        </w:tc>
        <w:tc>
          <w:tcPr>
            <w:tcW w:w="6488" w:type="dxa"/>
            <w:gridSpan w:val="3"/>
            <w:vAlign w:val="center"/>
          </w:tcPr>
          <w:p>
            <w:pPr>
              <w:adjustRightInd w:val="0"/>
              <w:snapToGrid w:val="0"/>
              <w:jc w:val="center"/>
              <w:rPr>
                <w:rFonts w:hint="eastAsia" w:eastAsia="宋体"/>
                <w:color w:val="auto"/>
                <w:sz w:val="24"/>
                <w:lang w:eastAsia="zh-CN"/>
              </w:rPr>
            </w:pPr>
            <w:r>
              <w:rPr>
                <w:rFonts w:hint="eastAsia"/>
                <w:color w:val="auto"/>
                <w:sz w:val="24"/>
                <w:lang w:eastAsia="zh-CN"/>
              </w:rPr>
              <w:t>年产100吨珍珠棉生产线建设项目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auto"/>
                <w:sz w:val="24"/>
              </w:rPr>
            </w:pPr>
            <w:r>
              <w:rPr>
                <w:color w:val="auto"/>
                <w:sz w:val="24"/>
              </w:rPr>
              <w:t>项目代码</w:t>
            </w:r>
          </w:p>
        </w:tc>
        <w:tc>
          <w:tcPr>
            <w:tcW w:w="6488" w:type="dxa"/>
            <w:gridSpan w:val="3"/>
            <w:vAlign w:val="center"/>
          </w:tcPr>
          <w:p>
            <w:pPr>
              <w:adjustRightInd w:val="0"/>
              <w:snapToGrid w:val="0"/>
              <w:jc w:val="center"/>
              <w:rPr>
                <w:color w:val="auto"/>
                <w:sz w:val="24"/>
              </w:rPr>
            </w:pPr>
            <w:r>
              <w:rPr>
                <w:color w:val="auto"/>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auto"/>
                <w:sz w:val="24"/>
              </w:rPr>
            </w:pPr>
            <w:r>
              <w:rPr>
                <w:color w:val="auto"/>
                <w:sz w:val="24"/>
              </w:rPr>
              <w:t>建设单位联系人</w:t>
            </w:r>
          </w:p>
        </w:tc>
        <w:tc>
          <w:tcPr>
            <w:tcW w:w="1637" w:type="dxa"/>
            <w:vAlign w:val="center"/>
          </w:tcPr>
          <w:p>
            <w:pPr>
              <w:adjustRightInd w:val="0"/>
              <w:snapToGrid w:val="0"/>
              <w:jc w:val="center"/>
              <w:rPr>
                <w:rFonts w:hint="eastAsia" w:eastAsia="宋体"/>
                <w:color w:val="auto"/>
                <w:sz w:val="24"/>
                <w:lang w:eastAsia="zh-CN"/>
              </w:rPr>
            </w:pPr>
            <w:r>
              <w:rPr>
                <w:rFonts w:hint="eastAsia"/>
                <w:color w:val="auto"/>
                <w:sz w:val="24"/>
                <w:lang w:eastAsia="zh-CN"/>
              </w:rPr>
              <w:t>肖金枝</w:t>
            </w:r>
          </w:p>
        </w:tc>
        <w:tc>
          <w:tcPr>
            <w:tcW w:w="2212" w:type="dxa"/>
            <w:vAlign w:val="center"/>
          </w:tcPr>
          <w:p>
            <w:pPr>
              <w:adjustRightInd w:val="0"/>
              <w:snapToGrid w:val="0"/>
              <w:jc w:val="center"/>
              <w:rPr>
                <w:color w:val="auto"/>
                <w:sz w:val="24"/>
              </w:rPr>
            </w:pPr>
            <w:r>
              <w:rPr>
                <w:color w:val="auto"/>
                <w:sz w:val="24"/>
              </w:rPr>
              <w:t>联系方式</w:t>
            </w:r>
          </w:p>
        </w:tc>
        <w:tc>
          <w:tcPr>
            <w:tcW w:w="2639" w:type="dxa"/>
            <w:vAlign w:val="center"/>
          </w:tcPr>
          <w:p>
            <w:pPr>
              <w:adjustRightInd w:val="0"/>
              <w:snapToGrid w:val="0"/>
              <w:jc w:val="center"/>
              <w:rPr>
                <w:rFonts w:hint="eastAsia" w:eastAsia="宋体"/>
                <w:color w:val="auto"/>
                <w:sz w:val="24"/>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auto"/>
                <w:sz w:val="24"/>
              </w:rPr>
            </w:pPr>
            <w:r>
              <w:rPr>
                <w:color w:val="auto"/>
                <w:sz w:val="24"/>
              </w:rPr>
              <w:t>建设地点</w:t>
            </w:r>
          </w:p>
        </w:tc>
        <w:tc>
          <w:tcPr>
            <w:tcW w:w="6488" w:type="dxa"/>
            <w:gridSpan w:val="3"/>
            <w:vAlign w:val="center"/>
          </w:tcPr>
          <w:p>
            <w:pPr>
              <w:adjustRightInd w:val="0"/>
              <w:snapToGrid w:val="0"/>
              <w:jc w:val="center"/>
              <w:rPr>
                <w:rFonts w:hint="eastAsia" w:eastAsia="宋体"/>
                <w:color w:val="auto"/>
                <w:sz w:val="24"/>
                <w:lang w:eastAsia="zh-CN"/>
              </w:rPr>
            </w:pPr>
            <w:r>
              <w:rPr>
                <w:rFonts w:hint="eastAsia"/>
                <w:color w:val="auto"/>
                <w:sz w:val="24"/>
                <w:lang w:eastAsia="zh-CN"/>
              </w:rPr>
              <w:t>邵东市牛马司镇湾泥乡工农村01栋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auto"/>
                <w:sz w:val="24"/>
              </w:rPr>
            </w:pPr>
            <w:r>
              <w:rPr>
                <w:color w:val="auto"/>
                <w:sz w:val="24"/>
              </w:rPr>
              <w:t>地理坐标</w:t>
            </w:r>
          </w:p>
        </w:tc>
        <w:tc>
          <w:tcPr>
            <w:tcW w:w="6488" w:type="dxa"/>
            <w:gridSpan w:val="3"/>
            <w:vAlign w:val="center"/>
          </w:tcPr>
          <w:p>
            <w:pPr>
              <w:jc w:val="center"/>
              <w:rPr>
                <w:rFonts w:hint="eastAsia" w:eastAsia="宋体"/>
                <w:color w:val="auto"/>
                <w:sz w:val="24"/>
                <w:lang w:eastAsia="zh-CN"/>
              </w:rPr>
            </w:pPr>
            <w:r>
              <w:rPr>
                <w:rFonts w:hint="eastAsia"/>
                <w:color w:val="auto"/>
                <w:sz w:val="24"/>
                <w:lang w:eastAsia="zh-CN"/>
              </w:rPr>
              <w:t>东经111度39分21.73秒</w:t>
            </w:r>
            <w:r>
              <w:rPr>
                <w:color w:val="auto"/>
                <w:sz w:val="24"/>
              </w:rPr>
              <w:t>，</w:t>
            </w:r>
            <w:r>
              <w:rPr>
                <w:rFonts w:hint="eastAsia"/>
                <w:color w:val="auto"/>
                <w:sz w:val="24"/>
                <w:lang w:eastAsia="zh-CN"/>
              </w:rPr>
              <w:t>北纬27度15分16.85秒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tcMar>
              <w:top w:w="16" w:type="dxa"/>
              <w:left w:w="16" w:type="dxa"/>
              <w:right w:w="16" w:type="dxa"/>
            </w:tcMar>
            <w:vAlign w:val="center"/>
          </w:tcPr>
          <w:p>
            <w:pPr>
              <w:adjustRightInd w:val="0"/>
              <w:snapToGrid w:val="0"/>
              <w:jc w:val="center"/>
              <w:rPr>
                <w:color w:val="auto"/>
                <w:sz w:val="24"/>
              </w:rPr>
            </w:pPr>
            <w:r>
              <w:rPr>
                <w:color w:val="auto"/>
                <w:sz w:val="24"/>
              </w:rPr>
              <w:t>国民经济</w:t>
            </w:r>
          </w:p>
          <w:p>
            <w:pPr>
              <w:adjustRightInd w:val="0"/>
              <w:snapToGrid w:val="0"/>
              <w:jc w:val="center"/>
              <w:rPr>
                <w:color w:val="auto"/>
                <w:sz w:val="24"/>
              </w:rPr>
            </w:pPr>
            <w:r>
              <w:rPr>
                <w:color w:val="auto"/>
                <w:sz w:val="24"/>
              </w:rPr>
              <w:t>行业类别</w:t>
            </w:r>
          </w:p>
        </w:tc>
        <w:tc>
          <w:tcPr>
            <w:tcW w:w="1637" w:type="dxa"/>
            <w:vAlign w:val="center"/>
          </w:tcPr>
          <w:p>
            <w:pPr>
              <w:adjustRightInd w:val="0"/>
              <w:snapToGrid w:val="0"/>
              <w:jc w:val="center"/>
              <w:rPr>
                <w:rFonts w:hint="eastAsia" w:eastAsia="宋体"/>
                <w:color w:val="auto"/>
                <w:sz w:val="24"/>
                <w:lang w:eastAsia="zh-CN"/>
              </w:rPr>
            </w:pPr>
            <w:r>
              <w:rPr>
                <w:rFonts w:hint="eastAsia"/>
                <w:color w:val="auto"/>
                <w:sz w:val="24"/>
                <w:lang w:eastAsia="zh-CN"/>
              </w:rPr>
              <w:t>C2924 泡沫塑料制造</w:t>
            </w:r>
          </w:p>
        </w:tc>
        <w:tc>
          <w:tcPr>
            <w:tcW w:w="2212" w:type="dxa"/>
            <w:vAlign w:val="center"/>
          </w:tcPr>
          <w:p>
            <w:pPr>
              <w:adjustRightInd w:val="0"/>
              <w:snapToGrid w:val="0"/>
              <w:jc w:val="center"/>
              <w:rPr>
                <w:color w:val="auto"/>
                <w:sz w:val="24"/>
              </w:rPr>
            </w:pPr>
            <w:bookmarkStart w:id="3" w:name="_Hlk49843745"/>
            <w:r>
              <w:rPr>
                <w:color w:val="auto"/>
                <w:sz w:val="24"/>
              </w:rPr>
              <w:t>建设项目</w:t>
            </w:r>
          </w:p>
          <w:p>
            <w:pPr>
              <w:adjustRightInd w:val="0"/>
              <w:snapToGrid w:val="0"/>
              <w:jc w:val="center"/>
              <w:rPr>
                <w:color w:val="auto"/>
                <w:sz w:val="24"/>
              </w:rPr>
            </w:pPr>
            <w:r>
              <w:rPr>
                <w:color w:val="auto"/>
                <w:sz w:val="24"/>
              </w:rPr>
              <w:t>行业类别</w:t>
            </w:r>
            <w:bookmarkEnd w:id="3"/>
          </w:p>
        </w:tc>
        <w:tc>
          <w:tcPr>
            <w:tcW w:w="2639" w:type="dxa"/>
            <w:vAlign w:val="center"/>
          </w:tcPr>
          <w:p>
            <w:pPr>
              <w:adjustRightInd w:val="0"/>
              <w:snapToGrid w:val="0"/>
              <w:rPr>
                <w:color w:val="auto"/>
                <w:sz w:val="24"/>
              </w:rPr>
            </w:pPr>
            <w:r>
              <w:rPr>
                <w:rFonts w:hint="eastAsia"/>
                <w:color w:val="auto"/>
                <w:sz w:val="24"/>
                <w:lang w:eastAsia="zh-CN"/>
              </w:rPr>
              <w:t>“二十六、橡胶和塑料制品业29、53塑料制品制造”中“其他”类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tcMar>
              <w:top w:w="16" w:type="dxa"/>
              <w:left w:w="16" w:type="dxa"/>
              <w:right w:w="16" w:type="dxa"/>
            </w:tcMar>
            <w:vAlign w:val="center"/>
          </w:tcPr>
          <w:p>
            <w:pPr>
              <w:adjustRightInd w:val="0"/>
              <w:snapToGrid w:val="0"/>
              <w:jc w:val="center"/>
              <w:rPr>
                <w:color w:val="auto"/>
                <w:sz w:val="24"/>
              </w:rPr>
            </w:pPr>
            <w:r>
              <w:rPr>
                <w:color w:val="auto"/>
                <w:sz w:val="24"/>
              </w:rPr>
              <w:t>建设性质</w:t>
            </w:r>
          </w:p>
        </w:tc>
        <w:tc>
          <w:tcPr>
            <w:tcW w:w="1637" w:type="dxa"/>
            <w:vAlign w:val="center"/>
          </w:tcPr>
          <w:p>
            <w:pPr>
              <w:jc w:val="left"/>
              <w:rPr>
                <w:color w:val="auto"/>
                <w:sz w:val="24"/>
              </w:rPr>
            </w:pPr>
            <w:r>
              <w:rPr>
                <w:rFonts w:hint="eastAsia"/>
                <w:color w:val="auto"/>
                <w:sz w:val="24"/>
              </w:rPr>
              <w:t>☑</w:t>
            </w:r>
            <w:r>
              <w:rPr>
                <w:color w:val="auto"/>
                <w:sz w:val="24"/>
              </w:rPr>
              <w:t>新建（迁建）</w:t>
            </w:r>
          </w:p>
          <w:p>
            <w:pPr>
              <w:jc w:val="left"/>
              <w:rPr>
                <w:color w:val="auto"/>
                <w:sz w:val="24"/>
              </w:rPr>
            </w:pPr>
            <w:r>
              <w:rPr>
                <w:rFonts w:hint="eastAsia"/>
                <w:color w:val="auto"/>
                <w:sz w:val="24"/>
              </w:rPr>
              <w:t>□</w:t>
            </w:r>
            <w:r>
              <w:rPr>
                <w:color w:val="auto"/>
                <w:sz w:val="24"/>
              </w:rPr>
              <w:t>改建</w:t>
            </w:r>
          </w:p>
          <w:p>
            <w:pPr>
              <w:jc w:val="left"/>
              <w:rPr>
                <w:color w:val="auto"/>
                <w:sz w:val="24"/>
              </w:rPr>
            </w:pPr>
            <w:r>
              <w:rPr>
                <w:rFonts w:hint="eastAsia"/>
                <w:color w:val="auto"/>
                <w:sz w:val="24"/>
              </w:rPr>
              <w:t>□</w:t>
            </w:r>
            <w:r>
              <w:rPr>
                <w:color w:val="auto"/>
                <w:sz w:val="24"/>
              </w:rPr>
              <w:t>扩建</w:t>
            </w:r>
          </w:p>
          <w:p>
            <w:pPr>
              <w:jc w:val="left"/>
              <w:rPr>
                <w:color w:val="auto"/>
                <w:sz w:val="24"/>
              </w:rPr>
            </w:pPr>
            <w:r>
              <w:rPr>
                <w:rFonts w:hint="eastAsia"/>
                <w:color w:val="auto"/>
                <w:sz w:val="24"/>
              </w:rPr>
              <w:t>□</w:t>
            </w:r>
            <w:r>
              <w:rPr>
                <w:color w:val="auto"/>
                <w:sz w:val="24"/>
              </w:rPr>
              <w:t>技术改造</w:t>
            </w:r>
          </w:p>
        </w:tc>
        <w:tc>
          <w:tcPr>
            <w:tcW w:w="2212" w:type="dxa"/>
            <w:vAlign w:val="center"/>
          </w:tcPr>
          <w:p>
            <w:pPr>
              <w:adjustRightInd w:val="0"/>
              <w:snapToGrid w:val="0"/>
              <w:jc w:val="center"/>
              <w:rPr>
                <w:color w:val="auto"/>
                <w:sz w:val="24"/>
              </w:rPr>
            </w:pPr>
            <w:r>
              <w:rPr>
                <w:color w:val="auto"/>
                <w:sz w:val="24"/>
              </w:rPr>
              <w:t>建设项目</w:t>
            </w:r>
          </w:p>
          <w:p>
            <w:pPr>
              <w:adjustRightInd w:val="0"/>
              <w:snapToGrid w:val="0"/>
              <w:jc w:val="center"/>
              <w:rPr>
                <w:color w:val="auto"/>
                <w:sz w:val="24"/>
              </w:rPr>
            </w:pPr>
            <w:r>
              <w:rPr>
                <w:color w:val="auto"/>
                <w:sz w:val="24"/>
              </w:rPr>
              <w:t>申报情形</w:t>
            </w:r>
          </w:p>
        </w:tc>
        <w:tc>
          <w:tcPr>
            <w:tcW w:w="2639" w:type="dxa"/>
            <w:vAlign w:val="center"/>
          </w:tcPr>
          <w:p>
            <w:pPr>
              <w:jc w:val="left"/>
              <w:rPr>
                <w:color w:val="auto"/>
                <w:sz w:val="24"/>
              </w:rPr>
            </w:pPr>
            <w:r>
              <w:rPr>
                <w:color w:val="auto"/>
                <w:sz w:val="24"/>
              </w:rPr>
              <w:t xml:space="preserve">☑首次申报项目             </w:t>
            </w:r>
          </w:p>
          <w:p>
            <w:pPr>
              <w:jc w:val="left"/>
              <w:rPr>
                <w:color w:val="auto"/>
                <w:sz w:val="24"/>
              </w:rPr>
            </w:pPr>
            <w:r>
              <w:rPr>
                <w:color w:val="auto"/>
                <w:sz w:val="24"/>
              </w:rPr>
              <w:t>□不予批准后再次申报项目</w:t>
            </w:r>
          </w:p>
          <w:p>
            <w:pPr>
              <w:jc w:val="left"/>
              <w:rPr>
                <w:color w:val="auto"/>
                <w:sz w:val="24"/>
              </w:rPr>
            </w:pPr>
            <w:r>
              <w:rPr>
                <w:color w:val="auto"/>
                <w:sz w:val="24"/>
              </w:rPr>
              <w:t xml:space="preserve">□超五年重新审核项目     </w:t>
            </w:r>
          </w:p>
          <w:p>
            <w:pPr>
              <w:jc w:val="left"/>
              <w:rPr>
                <w:color w:val="auto"/>
                <w:sz w:val="24"/>
              </w:rPr>
            </w:pPr>
            <w:r>
              <w:rPr>
                <w:color w:val="auto"/>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tcMar>
              <w:top w:w="16" w:type="dxa"/>
              <w:left w:w="16" w:type="dxa"/>
              <w:right w:w="16" w:type="dxa"/>
            </w:tcMar>
            <w:vAlign w:val="center"/>
          </w:tcPr>
          <w:p>
            <w:pPr>
              <w:adjustRightInd w:val="0"/>
              <w:snapToGrid w:val="0"/>
              <w:jc w:val="center"/>
              <w:rPr>
                <w:color w:val="auto"/>
                <w:sz w:val="24"/>
              </w:rPr>
            </w:pPr>
            <w:r>
              <w:rPr>
                <w:color w:val="auto"/>
                <w:sz w:val="24"/>
              </w:rPr>
              <w:t>项目审批（核准/</w:t>
            </w:r>
          </w:p>
          <w:p>
            <w:pPr>
              <w:adjustRightInd w:val="0"/>
              <w:snapToGrid w:val="0"/>
              <w:jc w:val="center"/>
              <w:rPr>
                <w:color w:val="auto"/>
                <w:sz w:val="24"/>
              </w:rPr>
            </w:pPr>
            <w:r>
              <w:rPr>
                <w:color w:val="auto"/>
                <w:sz w:val="24"/>
              </w:rPr>
              <w:t>备案）部门（选填）</w:t>
            </w:r>
          </w:p>
        </w:tc>
        <w:tc>
          <w:tcPr>
            <w:tcW w:w="1637" w:type="dxa"/>
            <w:vAlign w:val="center"/>
          </w:tcPr>
          <w:p>
            <w:pPr>
              <w:adjustRightInd w:val="0"/>
              <w:snapToGrid w:val="0"/>
              <w:jc w:val="center"/>
              <w:rPr>
                <w:color w:val="auto"/>
                <w:sz w:val="24"/>
              </w:rPr>
            </w:pPr>
            <w:r>
              <w:rPr>
                <w:color w:val="auto"/>
                <w:sz w:val="24"/>
              </w:rPr>
              <w:t>无</w:t>
            </w:r>
          </w:p>
        </w:tc>
        <w:tc>
          <w:tcPr>
            <w:tcW w:w="2212" w:type="dxa"/>
            <w:vAlign w:val="center"/>
          </w:tcPr>
          <w:p>
            <w:pPr>
              <w:adjustRightInd w:val="0"/>
              <w:snapToGrid w:val="0"/>
              <w:jc w:val="center"/>
              <w:rPr>
                <w:color w:val="auto"/>
                <w:sz w:val="24"/>
              </w:rPr>
            </w:pPr>
            <w:r>
              <w:rPr>
                <w:color w:val="auto"/>
                <w:sz w:val="24"/>
              </w:rPr>
              <w:t>项目审批（核准/</w:t>
            </w:r>
          </w:p>
          <w:p>
            <w:pPr>
              <w:adjustRightInd w:val="0"/>
              <w:snapToGrid w:val="0"/>
              <w:jc w:val="center"/>
              <w:rPr>
                <w:color w:val="auto"/>
                <w:sz w:val="24"/>
              </w:rPr>
            </w:pPr>
            <w:r>
              <w:rPr>
                <w:color w:val="auto"/>
                <w:sz w:val="24"/>
              </w:rPr>
              <w:t>备案）文号（选填）</w:t>
            </w:r>
          </w:p>
        </w:tc>
        <w:tc>
          <w:tcPr>
            <w:tcW w:w="2639" w:type="dxa"/>
            <w:vAlign w:val="center"/>
          </w:tcPr>
          <w:p>
            <w:pPr>
              <w:adjustRightInd w:val="0"/>
              <w:snapToGrid w:val="0"/>
              <w:jc w:val="center"/>
              <w:rPr>
                <w:color w:val="auto"/>
                <w:sz w:val="24"/>
              </w:rPr>
            </w:pPr>
            <w:r>
              <w:rPr>
                <w:color w:val="auto"/>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auto"/>
                <w:sz w:val="24"/>
              </w:rPr>
            </w:pPr>
            <w:r>
              <w:rPr>
                <w:color w:val="auto"/>
                <w:sz w:val="24"/>
              </w:rPr>
              <w:t>总投资（万元）</w:t>
            </w:r>
          </w:p>
        </w:tc>
        <w:tc>
          <w:tcPr>
            <w:tcW w:w="1637" w:type="dxa"/>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100</w:t>
            </w:r>
          </w:p>
        </w:tc>
        <w:tc>
          <w:tcPr>
            <w:tcW w:w="2212" w:type="dxa"/>
            <w:tcMar>
              <w:top w:w="16" w:type="dxa"/>
              <w:left w:w="16" w:type="dxa"/>
              <w:right w:w="16" w:type="dxa"/>
            </w:tcMar>
            <w:vAlign w:val="center"/>
          </w:tcPr>
          <w:p>
            <w:pPr>
              <w:adjustRightInd w:val="0"/>
              <w:snapToGrid w:val="0"/>
              <w:jc w:val="center"/>
              <w:rPr>
                <w:color w:val="auto"/>
                <w:sz w:val="24"/>
              </w:rPr>
            </w:pPr>
            <w:r>
              <w:rPr>
                <w:color w:val="auto"/>
                <w:sz w:val="24"/>
              </w:rPr>
              <w:t>环保投资（万元）</w:t>
            </w:r>
          </w:p>
        </w:tc>
        <w:tc>
          <w:tcPr>
            <w:tcW w:w="2639" w:type="dxa"/>
            <w:vAlign w:val="center"/>
          </w:tcPr>
          <w:p>
            <w:pPr>
              <w:adjustRightInd w:val="0"/>
              <w:snapToGrid w:val="0"/>
              <w:jc w:val="center"/>
              <w:rPr>
                <w:rFonts w:hint="eastAsia" w:eastAsia="宋体"/>
                <w:color w:val="auto"/>
                <w:sz w:val="24"/>
                <w:lang w:eastAsia="zh-CN"/>
              </w:rPr>
            </w:pPr>
            <w:r>
              <w:rPr>
                <w:rFonts w:hint="eastAsia"/>
                <w:color w:val="auto"/>
                <w:sz w:val="24"/>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auto"/>
                <w:sz w:val="24"/>
              </w:rPr>
            </w:pPr>
            <w:r>
              <w:rPr>
                <w:color w:val="auto"/>
                <w:sz w:val="24"/>
              </w:rPr>
              <w:t>环保投资占比（%）</w:t>
            </w:r>
          </w:p>
        </w:tc>
        <w:tc>
          <w:tcPr>
            <w:tcW w:w="1637" w:type="dxa"/>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8</w:t>
            </w:r>
          </w:p>
        </w:tc>
        <w:tc>
          <w:tcPr>
            <w:tcW w:w="2212" w:type="dxa"/>
            <w:tcMar>
              <w:top w:w="16" w:type="dxa"/>
              <w:left w:w="16" w:type="dxa"/>
              <w:right w:w="16" w:type="dxa"/>
            </w:tcMar>
            <w:vAlign w:val="center"/>
          </w:tcPr>
          <w:p>
            <w:pPr>
              <w:adjustRightInd w:val="0"/>
              <w:snapToGrid w:val="0"/>
              <w:jc w:val="center"/>
              <w:rPr>
                <w:color w:val="auto"/>
                <w:sz w:val="24"/>
              </w:rPr>
            </w:pPr>
            <w:r>
              <w:rPr>
                <w:color w:val="auto"/>
                <w:sz w:val="24"/>
              </w:rPr>
              <w:t>施工工期</w:t>
            </w:r>
          </w:p>
        </w:tc>
        <w:tc>
          <w:tcPr>
            <w:tcW w:w="2639" w:type="dxa"/>
            <w:vAlign w:val="center"/>
          </w:tcPr>
          <w:p>
            <w:pPr>
              <w:adjustRightInd w:val="0"/>
              <w:snapToGrid w:val="0"/>
              <w:jc w:val="center"/>
              <w:rPr>
                <w:color w:val="auto"/>
                <w:sz w:val="24"/>
              </w:rPr>
            </w:pPr>
            <w:r>
              <w:rPr>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auto"/>
                <w:sz w:val="24"/>
              </w:rPr>
            </w:pPr>
            <w:r>
              <w:rPr>
                <w:color w:val="auto"/>
                <w:sz w:val="24"/>
              </w:rPr>
              <w:t>是否开工建设</w:t>
            </w:r>
          </w:p>
        </w:tc>
        <w:tc>
          <w:tcPr>
            <w:tcW w:w="1637" w:type="dxa"/>
            <w:vAlign w:val="center"/>
          </w:tcPr>
          <w:p>
            <w:pPr>
              <w:adjustRightInd w:val="0"/>
              <w:snapToGrid w:val="0"/>
              <w:rPr>
                <w:color w:val="auto"/>
                <w:sz w:val="24"/>
              </w:rPr>
            </w:pPr>
            <w:r>
              <w:rPr>
                <w:rFonts w:hint="eastAsia"/>
                <w:color w:val="auto"/>
                <w:sz w:val="24"/>
                <w:lang w:eastAsia="zh-CN"/>
              </w:rPr>
              <w:t>□</w:t>
            </w:r>
            <w:r>
              <w:rPr>
                <w:color w:val="auto"/>
                <w:sz w:val="24"/>
              </w:rPr>
              <w:t>否</w:t>
            </w:r>
          </w:p>
          <w:p>
            <w:pPr>
              <w:adjustRightInd w:val="0"/>
              <w:snapToGrid w:val="0"/>
              <w:rPr>
                <w:color w:val="auto"/>
                <w:sz w:val="24"/>
              </w:rPr>
            </w:pPr>
            <w:r>
              <w:rPr>
                <w:color w:val="auto"/>
                <w:sz w:val="24"/>
              </w:rPr>
              <w:sym w:font="Wingdings 2" w:char="0052"/>
            </w:r>
            <w:r>
              <w:rPr>
                <w:color w:val="auto"/>
                <w:sz w:val="24"/>
              </w:rPr>
              <w:t>是：</w:t>
            </w:r>
            <w:r>
              <w:rPr>
                <w:rFonts w:hint="eastAsia"/>
                <w:color w:val="auto"/>
                <w:sz w:val="24"/>
                <w:u w:val="single"/>
                <w:lang w:val="en-US" w:eastAsia="zh-CN"/>
              </w:rPr>
              <w:t>2019年10月</w:t>
            </w:r>
            <w:r>
              <w:rPr>
                <w:color w:val="auto"/>
                <w:sz w:val="24"/>
                <w:u w:val="single"/>
              </w:rPr>
              <w:t xml:space="preserve"> </w:t>
            </w:r>
          </w:p>
        </w:tc>
        <w:tc>
          <w:tcPr>
            <w:tcW w:w="2212" w:type="dxa"/>
            <w:tcMar>
              <w:top w:w="16" w:type="dxa"/>
              <w:left w:w="16" w:type="dxa"/>
              <w:right w:w="16" w:type="dxa"/>
            </w:tcMar>
            <w:vAlign w:val="center"/>
          </w:tcPr>
          <w:p>
            <w:pPr>
              <w:adjustRightInd w:val="0"/>
              <w:snapToGrid w:val="0"/>
              <w:jc w:val="center"/>
              <w:rPr>
                <w:color w:val="auto"/>
                <w:spacing w:val="-6"/>
                <w:sz w:val="24"/>
              </w:rPr>
            </w:pPr>
            <w:r>
              <w:rPr>
                <w:color w:val="auto"/>
                <w:spacing w:val="-6"/>
                <w:sz w:val="24"/>
              </w:rPr>
              <w:t>用地（用海）</w:t>
            </w:r>
          </w:p>
          <w:p>
            <w:pPr>
              <w:adjustRightInd w:val="0"/>
              <w:snapToGrid w:val="0"/>
              <w:jc w:val="center"/>
              <w:rPr>
                <w:color w:val="auto"/>
                <w:sz w:val="24"/>
              </w:rPr>
            </w:pPr>
            <w:r>
              <w:rPr>
                <w:color w:val="auto"/>
                <w:spacing w:val="-6"/>
                <w:sz w:val="24"/>
              </w:rPr>
              <w:t>面积（m</w:t>
            </w:r>
            <w:r>
              <w:rPr>
                <w:color w:val="auto"/>
                <w:spacing w:val="-6"/>
                <w:sz w:val="24"/>
                <w:vertAlign w:val="superscript"/>
              </w:rPr>
              <w:t>2</w:t>
            </w:r>
            <w:r>
              <w:rPr>
                <w:color w:val="auto"/>
                <w:spacing w:val="-6"/>
                <w:sz w:val="24"/>
              </w:rPr>
              <w:t>）</w:t>
            </w:r>
          </w:p>
        </w:tc>
        <w:tc>
          <w:tcPr>
            <w:tcW w:w="2639" w:type="dxa"/>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4200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color w:val="auto"/>
                <w:kern w:val="0"/>
                <w:sz w:val="24"/>
              </w:rPr>
            </w:pPr>
            <w:r>
              <w:rPr>
                <w:color w:val="auto"/>
                <w:kern w:val="0"/>
                <w:sz w:val="24"/>
              </w:rPr>
              <w:t>专项评价设置情况</w:t>
            </w:r>
          </w:p>
        </w:tc>
        <w:tc>
          <w:tcPr>
            <w:tcW w:w="6488" w:type="dxa"/>
            <w:gridSpan w:val="3"/>
            <w:vAlign w:val="center"/>
          </w:tcPr>
          <w:p>
            <w:pPr>
              <w:autoSpaceDE w:val="0"/>
              <w:autoSpaceDN w:val="0"/>
              <w:adjustRightInd w:val="0"/>
              <w:snapToGrid w:val="0"/>
              <w:jc w:val="center"/>
              <w:rPr>
                <w:color w:val="auto"/>
                <w:kern w:val="0"/>
                <w:sz w:val="24"/>
              </w:rPr>
            </w:pPr>
            <w:r>
              <w:rPr>
                <w:color w:val="auto"/>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color w:val="auto"/>
                <w:kern w:val="0"/>
                <w:sz w:val="24"/>
              </w:rPr>
            </w:pPr>
            <w:r>
              <w:rPr>
                <w:color w:val="auto"/>
                <w:sz w:val="24"/>
              </w:rPr>
              <w:t>规划情况</w:t>
            </w:r>
          </w:p>
        </w:tc>
        <w:tc>
          <w:tcPr>
            <w:tcW w:w="6488" w:type="dxa"/>
            <w:gridSpan w:val="3"/>
            <w:vAlign w:val="center"/>
          </w:tcPr>
          <w:p>
            <w:pPr>
              <w:pStyle w:val="6"/>
              <w:pageBreakBefore w:val="0"/>
              <w:widowControl w:val="0"/>
              <w:kinsoku/>
              <w:wordWrap/>
              <w:overflowPunct/>
              <w:topLinePunct w:val="0"/>
              <w:bidi w:val="0"/>
              <w:spacing w:before="0" w:after="0" w:line="360" w:lineRule="auto"/>
              <w:ind w:left="0" w:leftChars="0" w:firstLine="0" w:firstLineChars="0"/>
              <w:jc w:val="center"/>
              <w:textAlignment w:val="auto"/>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djustRightInd w:val="0"/>
              <w:snapToGrid w:val="0"/>
              <w:jc w:val="center"/>
              <w:rPr>
                <w:color w:val="auto"/>
                <w:sz w:val="24"/>
              </w:rPr>
            </w:pPr>
            <w:r>
              <w:rPr>
                <w:color w:val="auto"/>
                <w:sz w:val="24"/>
              </w:rPr>
              <w:t>规划环境影响</w:t>
            </w:r>
          </w:p>
          <w:p>
            <w:pPr>
              <w:adjustRightInd w:val="0"/>
              <w:snapToGrid w:val="0"/>
              <w:jc w:val="center"/>
              <w:rPr>
                <w:color w:val="auto"/>
                <w:kern w:val="0"/>
                <w:sz w:val="24"/>
              </w:rPr>
            </w:pPr>
            <w:r>
              <w:rPr>
                <w:color w:val="auto"/>
                <w:sz w:val="24"/>
              </w:rPr>
              <w:t>评价情况</w:t>
            </w:r>
          </w:p>
        </w:tc>
        <w:tc>
          <w:tcPr>
            <w:tcW w:w="6488" w:type="dxa"/>
            <w:gridSpan w:val="3"/>
            <w:vAlign w:val="center"/>
          </w:tcPr>
          <w:p>
            <w:pPr>
              <w:pStyle w:val="6"/>
              <w:pageBreakBefore w:val="0"/>
              <w:widowControl w:val="0"/>
              <w:kinsoku/>
              <w:wordWrap/>
              <w:overflowPunct/>
              <w:topLinePunct w:val="0"/>
              <w:bidi w:val="0"/>
              <w:spacing w:before="0" w:after="0" w:line="360" w:lineRule="auto"/>
              <w:jc w:val="center"/>
              <w:textAlignment w:val="auto"/>
              <w:rPr>
                <w:rFonts w:hint="eastAsia"/>
                <w:b w:val="0"/>
                <w:bCs w:val="0"/>
                <w:color w:val="auto"/>
              </w:rPr>
            </w:pPr>
            <w:r>
              <w:rPr>
                <w:rFonts w:hint="eastAsia" w:ascii="宋体" w:hAnsi="宋体" w:cs="宋体"/>
                <w:b w:val="0"/>
                <w:bCs w:val="0"/>
                <w:color w:val="auto"/>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color w:val="auto"/>
                <w:kern w:val="0"/>
                <w:sz w:val="24"/>
              </w:rPr>
            </w:pPr>
            <w:r>
              <w:rPr>
                <w:color w:val="auto"/>
                <w:kern w:val="0"/>
                <w:sz w:val="24"/>
              </w:rPr>
              <w:t>规划及规划环境</w:t>
            </w:r>
          </w:p>
          <w:p>
            <w:pPr>
              <w:autoSpaceDE w:val="0"/>
              <w:autoSpaceDN w:val="0"/>
              <w:adjustRightInd w:val="0"/>
              <w:snapToGrid w:val="0"/>
              <w:jc w:val="center"/>
              <w:rPr>
                <w:color w:val="auto"/>
                <w:kern w:val="0"/>
                <w:sz w:val="24"/>
              </w:rPr>
            </w:pPr>
            <w:r>
              <w:rPr>
                <w:color w:val="auto"/>
                <w:kern w:val="0"/>
                <w:sz w:val="24"/>
              </w:rPr>
              <w:t>影响评价符合性分析</w:t>
            </w:r>
          </w:p>
        </w:tc>
        <w:tc>
          <w:tcPr>
            <w:tcW w:w="6488" w:type="dxa"/>
            <w:gridSpan w:val="3"/>
            <w:vAlign w:val="center"/>
          </w:tcPr>
          <w:p>
            <w:pPr>
              <w:jc w:val="center"/>
              <w:rPr>
                <w:color w:val="auto"/>
              </w:rPr>
            </w:pPr>
            <w:r>
              <w:rPr>
                <w:rFonts w:hint="eastAsia" w:ascii="宋体" w:hAnsi="宋体" w:cs="宋体"/>
                <w:color w:val="auto"/>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color w:val="auto"/>
                <w:kern w:val="0"/>
                <w:sz w:val="24"/>
              </w:rPr>
            </w:pPr>
            <w:r>
              <w:rPr>
                <w:color w:val="auto"/>
                <w:kern w:val="0"/>
                <w:sz w:val="24"/>
              </w:rPr>
              <w:t>其他符合性分析</w:t>
            </w:r>
          </w:p>
        </w:tc>
        <w:tc>
          <w:tcPr>
            <w:tcW w:w="6488" w:type="dxa"/>
            <w:gridSpan w:val="3"/>
            <w:vAlign w:val="center"/>
          </w:tcPr>
          <w:p>
            <w:pPr>
              <w:pStyle w:val="5"/>
              <w:ind w:left="0" w:leftChars="0" w:firstLine="0" w:firstLineChars="0"/>
              <w:rPr>
                <w:rFonts w:ascii="Times New Roman" w:hAnsi="Times New Roman"/>
                <w:color w:val="auto"/>
                <w:szCs w:val="24"/>
              </w:rPr>
            </w:pPr>
            <w:r>
              <w:rPr>
                <w:rFonts w:ascii="Times New Roman" w:hAnsi="Times New Roman"/>
                <w:color w:val="auto"/>
                <w:szCs w:val="24"/>
              </w:rPr>
              <w:t>1.1 项目与《产业结构调整指导目录（2019年本）》符合性分析</w:t>
            </w:r>
          </w:p>
          <w:p>
            <w:pPr>
              <w:spacing w:line="360" w:lineRule="auto"/>
              <w:ind w:firstLine="480" w:firstLineChars="200"/>
              <w:rPr>
                <w:rFonts w:hint="default" w:eastAsia="宋体"/>
                <w:color w:val="auto"/>
                <w:sz w:val="24"/>
                <w:lang w:val="en-US" w:eastAsia="zh-CN"/>
              </w:rPr>
            </w:pPr>
            <w:r>
              <w:rPr>
                <w:color w:val="auto"/>
                <w:sz w:val="24"/>
              </w:rPr>
              <w:t>根据中华人民共和国国家发展和改革委员会第29号令《产业结构调整指导目录（2019年本）》本项目不属于鼓励类、淘汰类和限制类之列，视为允许类项目</w:t>
            </w:r>
            <w:r>
              <w:rPr>
                <w:rFonts w:hint="eastAsia"/>
                <w:color w:val="auto"/>
                <w:sz w:val="24"/>
                <w:lang w:eastAsia="zh-CN"/>
              </w:rPr>
              <w:t>，</w:t>
            </w:r>
            <w:r>
              <w:rPr>
                <w:rFonts w:hint="eastAsia"/>
                <w:color w:val="auto"/>
                <w:sz w:val="24"/>
                <w:lang w:val="en-US" w:eastAsia="zh-CN"/>
              </w:rPr>
              <w:t>生产设备不属于</w:t>
            </w:r>
            <w:r>
              <w:rPr>
                <w:color w:val="auto"/>
                <w:sz w:val="24"/>
              </w:rPr>
              <w:t>《产业结构调整指导目录（2019年本）》</w:t>
            </w:r>
            <w:r>
              <w:rPr>
                <w:rFonts w:hint="eastAsia"/>
                <w:color w:val="auto"/>
                <w:sz w:val="24"/>
                <w:lang w:val="en-US" w:eastAsia="zh-CN"/>
              </w:rPr>
              <w:t>中淘汰生产工艺装备和落后产品</w:t>
            </w:r>
            <w:r>
              <w:rPr>
                <w:color w:val="auto"/>
                <w:sz w:val="24"/>
              </w:rPr>
              <w:t>。因此，本项目符合国家产业政策要求。</w:t>
            </w:r>
          </w:p>
          <w:p>
            <w:pPr>
              <w:spacing w:line="360" w:lineRule="auto"/>
              <w:rPr>
                <w:b w:val="0"/>
                <w:bCs/>
                <w:color w:val="auto"/>
                <w:sz w:val="24"/>
              </w:rPr>
            </w:pPr>
            <w:r>
              <w:rPr>
                <w:b w:val="0"/>
                <w:bCs/>
                <w:color w:val="auto"/>
                <w:sz w:val="24"/>
              </w:rPr>
              <w:t>1.2 项目与 《国土资源部、国家发展和改革委员会关于发布实施&lt;限制用地项目目录（2012年本）&gt;和&lt;禁止用地项目目录（2012年本）&gt;的通知》（国土资发【2012】98号）符合性分析</w:t>
            </w:r>
          </w:p>
          <w:p>
            <w:pPr>
              <w:spacing w:line="360" w:lineRule="auto"/>
              <w:ind w:firstLine="480" w:firstLineChars="200"/>
              <w:rPr>
                <w:color w:val="auto"/>
                <w:sz w:val="24"/>
              </w:rPr>
            </w:pPr>
            <w:r>
              <w:rPr>
                <w:color w:val="auto"/>
                <w:sz w:val="24"/>
              </w:rPr>
              <w:t>根据《国土资源部、国家发展和改革委员会关于发布实施&lt;限制用地项目目录（2012年本）&gt;和&lt;禁止用地项目目录（2012年本）&gt;的通知》（国土资发【2012】98号），本项目不属于《限制目录》和《禁止目录》中的建设项目，不属于该文件中限批或禁批的范围。</w:t>
            </w:r>
          </w:p>
          <w:p>
            <w:pPr>
              <w:spacing w:line="360" w:lineRule="auto"/>
              <w:rPr>
                <w:b w:val="0"/>
                <w:bCs/>
                <w:color w:val="auto"/>
                <w:sz w:val="24"/>
              </w:rPr>
            </w:pPr>
            <w:r>
              <w:rPr>
                <w:b w:val="0"/>
                <w:bCs/>
                <w:color w:val="auto"/>
                <w:sz w:val="24"/>
              </w:rPr>
              <w:t>1.3 项目与《湖南省人民政府办公厅关于加快推进产业园区改革和创新发展的实施意见》（湘政办函[2018]15号）的符合性分析</w:t>
            </w:r>
          </w:p>
          <w:p>
            <w:pPr>
              <w:spacing w:line="360" w:lineRule="auto"/>
              <w:ind w:firstLine="480" w:firstLineChars="200"/>
              <w:rPr>
                <w:rFonts w:hint="default" w:eastAsia="宋体"/>
                <w:color w:val="auto"/>
                <w:sz w:val="24"/>
                <w:lang w:val="en-US" w:eastAsia="zh-CN"/>
              </w:rPr>
            </w:pPr>
            <w:r>
              <w:rPr>
                <w:rFonts w:hint="eastAsia"/>
                <w:color w:val="auto"/>
                <w:sz w:val="24"/>
              </w:rPr>
              <w:t>按照湘政办函[2018]15号文件及湘环发[2020]27号文件规定，“除矿产资源、能源开发等对选址有特殊要求的项目外，新上工业项目应当安排在省级及以上工业园区”，本项目属于补办环评，且根据《邵东市人民政府常务会议纪要》（[2020]第20次），“已开工建成项目按照过渡期暂不入园要求，予以办理环评审批手续”，本项目已建设完成，现阶段办理环评审批手续，拟于2021年10前完成环评审批手续及环保竣工验收，因此项目的建设不违背湘政办函[2018]15号文件和湘环发[2020]27号文件的要求，属于《邵东市人民政府常务会议纪要》（[2020]第20次）文件中可办理环评审批手续的项目。具体见附件。</w:t>
            </w:r>
          </w:p>
          <w:p>
            <w:pPr>
              <w:spacing w:line="360" w:lineRule="auto"/>
              <w:rPr>
                <w:b/>
                <w:color w:val="auto"/>
                <w:sz w:val="24"/>
              </w:rPr>
            </w:pPr>
            <w:r>
              <w:rPr>
                <w:rFonts w:hint="eastAsia"/>
                <w:b/>
                <w:color w:val="auto"/>
                <w:sz w:val="24"/>
              </w:rPr>
              <w:t>1.4</w:t>
            </w:r>
            <w:r>
              <w:rPr>
                <w:b/>
                <w:color w:val="auto"/>
                <w:sz w:val="24"/>
              </w:rPr>
              <w:t>项目与</w:t>
            </w:r>
            <w:r>
              <w:rPr>
                <w:rFonts w:hint="eastAsia"/>
                <w:b/>
                <w:color w:val="auto"/>
                <w:sz w:val="24"/>
              </w:rPr>
              <w:t>“三线一单”的符合性分析</w:t>
            </w:r>
          </w:p>
          <w:p>
            <w:pPr>
              <w:spacing w:line="360" w:lineRule="auto"/>
              <w:ind w:firstLine="480" w:firstLineChars="200"/>
              <w:rPr>
                <w:rFonts w:hint="eastAsia"/>
                <w:color w:val="auto"/>
                <w:sz w:val="24"/>
              </w:rPr>
            </w:pPr>
            <w:r>
              <w:rPr>
                <w:rFonts w:hint="eastAsia"/>
                <w:color w:val="auto"/>
                <w:sz w:val="24"/>
              </w:rPr>
              <w:t>根据《邵阳市人民政府关于实施“三线一单”生态环境分区管控的意见》（邵市政发【2</w:t>
            </w:r>
            <w:r>
              <w:rPr>
                <w:color w:val="auto"/>
                <w:sz w:val="24"/>
              </w:rPr>
              <w:t>020</w:t>
            </w:r>
            <w:r>
              <w:rPr>
                <w:rFonts w:hint="eastAsia"/>
                <w:color w:val="auto"/>
                <w:sz w:val="24"/>
              </w:rPr>
              <w:t>】1</w:t>
            </w:r>
            <w:r>
              <w:rPr>
                <w:color w:val="auto"/>
                <w:sz w:val="24"/>
              </w:rPr>
              <w:t>0</w:t>
            </w:r>
            <w:r>
              <w:rPr>
                <w:rFonts w:hint="eastAsia"/>
                <w:color w:val="auto"/>
                <w:sz w:val="24"/>
              </w:rPr>
              <w:t>号），本项目位于</w:t>
            </w:r>
            <w:r>
              <w:rPr>
                <w:color w:val="auto"/>
                <w:sz w:val="24"/>
              </w:rPr>
              <w:t>湖南省</w:t>
            </w:r>
            <w:r>
              <w:rPr>
                <w:rFonts w:hint="eastAsia"/>
                <w:color w:val="auto"/>
                <w:sz w:val="24"/>
                <w:lang w:eastAsia="zh-CN"/>
              </w:rPr>
              <w:t>邵东市牛马司镇湾泥乡工农村01栋</w:t>
            </w:r>
            <w:r>
              <w:rPr>
                <w:rFonts w:hint="eastAsia"/>
                <w:color w:val="auto"/>
                <w:sz w:val="24"/>
              </w:rPr>
              <w:t>，</w:t>
            </w:r>
            <w:r>
              <w:rPr>
                <w:rFonts w:hint="eastAsia"/>
                <w:color w:val="auto"/>
                <w:sz w:val="24"/>
                <w:lang w:eastAsia="zh-CN"/>
              </w:rPr>
              <w:t>牛马司镇</w:t>
            </w:r>
            <w:r>
              <w:rPr>
                <w:rFonts w:hint="eastAsia"/>
                <w:color w:val="auto"/>
                <w:sz w:val="24"/>
              </w:rPr>
              <w:t>属于重点管控单元，</w:t>
            </w:r>
            <w:r>
              <w:rPr>
                <w:rFonts w:hint="eastAsia"/>
                <w:color w:val="auto"/>
                <w:sz w:val="24"/>
              </w:rPr>
              <w:t>主体功能定位</w:t>
            </w:r>
            <w:r>
              <w:rPr>
                <w:rFonts w:hint="eastAsia"/>
                <w:color w:val="auto"/>
                <w:sz w:val="24"/>
                <w:lang w:val="en-US" w:eastAsia="zh-CN"/>
              </w:rPr>
              <w:t>为</w:t>
            </w:r>
            <w:r>
              <w:rPr>
                <w:rFonts w:hint="eastAsia"/>
                <w:color w:val="auto"/>
                <w:sz w:val="24"/>
              </w:rPr>
              <w:t>省级层面重点开发区</w:t>
            </w:r>
            <w:r>
              <w:rPr>
                <w:rFonts w:hint="eastAsia"/>
                <w:color w:val="auto"/>
                <w:sz w:val="24"/>
                <w:lang w:eastAsia="zh-CN"/>
              </w:rPr>
              <w:t>。</w:t>
            </w:r>
            <w:r>
              <w:rPr>
                <w:rFonts w:hint="eastAsia" w:eastAsia="宋体"/>
                <w:color w:val="auto"/>
                <w:sz w:val="24"/>
              </w:rPr>
              <w:t>经济产业布局为：农业种植、畜禽养殖、农副产品加工、食品加工、机电设备制造、制鞋、服装加工、社会服务、商业、建筑材料制造、废旧资源利用、家具、小五金、橡胶制品、塑料制品、印刷包装、皮具加工、煤炭开采洗选、电池等。</w:t>
            </w:r>
            <w:r>
              <w:rPr>
                <w:rFonts w:hint="eastAsia"/>
                <w:color w:val="auto"/>
                <w:sz w:val="24"/>
              </w:rPr>
              <w:t>本项目为</w:t>
            </w:r>
            <w:r>
              <w:rPr>
                <w:rFonts w:hint="eastAsia"/>
                <w:color w:val="auto"/>
                <w:sz w:val="24"/>
                <w:lang w:val="en-US" w:eastAsia="zh-CN"/>
              </w:rPr>
              <w:t>塑料制品生产</w:t>
            </w:r>
            <w:r>
              <w:rPr>
                <w:rFonts w:hint="eastAsia"/>
                <w:color w:val="auto"/>
                <w:sz w:val="24"/>
                <w:lang w:eastAsia="zh-CN"/>
              </w:rPr>
              <w:t>项目</w:t>
            </w:r>
            <w:r>
              <w:rPr>
                <w:rFonts w:hint="eastAsia"/>
                <w:color w:val="auto"/>
                <w:sz w:val="24"/>
              </w:rPr>
              <w:t>，因此符合产业布局要求。</w:t>
            </w:r>
          </w:p>
          <w:p>
            <w:pPr>
              <w:spacing w:line="360" w:lineRule="auto"/>
              <w:ind w:firstLine="480" w:firstLineChars="200"/>
              <w:rPr>
                <w:rFonts w:hint="eastAsia"/>
                <w:color w:val="auto"/>
                <w:sz w:val="24"/>
                <w:lang w:eastAsia="zh-CN"/>
              </w:rPr>
            </w:pPr>
            <w:r>
              <w:rPr>
                <w:rFonts w:hint="eastAsia"/>
                <w:color w:val="auto"/>
                <w:sz w:val="24"/>
              </w:rPr>
              <w:t>本项目不设置锅炉，不涉及重金属，不涉及生态保护红线区域、饮用水源保护区等，采取有效的措施后可实现污染物达标排放；符合空间布局约束</w:t>
            </w:r>
            <w:r>
              <w:rPr>
                <w:rFonts w:hint="eastAsia"/>
                <w:color w:val="auto"/>
                <w:sz w:val="24"/>
                <w:lang w:eastAsia="zh-CN"/>
              </w:rPr>
              <w:t>；</w:t>
            </w:r>
          </w:p>
          <w:p>
            <w:pPr>
              <w:spacing w:line="360" w:lineRule="auto"/>
              <w:ind w:firstLine="480" w:firstLineChars="200"/>
              <w:rPr>
                <w:rFonts w:hint="eastAsia"/>
                <w:color w:val="auto"/>
                <w:sz w:val="24"/>
              </w:rPr>
            </w:pPr>
            <w:r>
              <w:rPr>
                <w:rFonts w:hint="eastAsia"/>
                <w:color w:val="auto"/>
                <w:sz w:val="24"/>
                <w:lang w:val="en-US" w:eastAsia="zh-CN"/>
              </w:rPr>
              <w:t>本项目能够</w:t>
            </w:r>
            <w:r>
              <w:rPr>
                <w:rFonts w:hint="eastAsia"/>
                <w:color w:val="auto"/>
                <w:sz w:val="24"/>
              </w:rPr>
              <w:t>确保污染物达标排放</w:t>
            </w:r>
            <w:r>
              <w:rPr>
                <w:rFonts w:hint="eastAsia"/>
                <w:color w:val="auto"/>
                <w:sz w:val="24"/>
                <w:lang w:eastAsia="zh-CN"/>
              </w:rPr>
              <w:t>；</w:t>
            </w:r>
            <w:r>
              <w:rPr>
                <w:rFonts w:hint="eastAsia"/>
                <w:color w:val="auto"/>
                <w:sz w:val="24"/>
                <w:lang w:val="en-US" w:eastAsia="zh-CN"/>
              </w:rPr>
              <w:t>无工业锅炉工业窑炉，不使用燃煤；生活垃圾、固体废物妥善处置</w:t>
            </w:r>
            <w:r>
              <w:rPr>
                <w:rFonts w:hint="eastAsia"/>
                <w:color w:val="auto"/>
                <w:sz w:val="24"/>
                <w:lang w:eastAsia="zh-CN"/>
              </w:rPr>
              <w:t>；</w:t>
            </w:r>
            <w:r>
              <w:rPr>
                <w:rFonts w:hint="eastAsia"/>
                <w:color w:val="auto"/>
                <w:sz w:val="24"/>
              </w:rPr>
              <w:t>符合污染物排放管控</w:t>
            </w:r>
            <w:r>
              <w:rPr>
                <w:rFonts w:hint="eastAsia"/>
                <w:color w:val="auto"/>
                <w:sz w:val="24"/>
                <w:lang w:val="en-US" w:eastAsia="zh-CN"/>
              </w:rPr>
              <w:t>要求。</w:t>
            </w:r>
          </w:p>
          <w:p>
            <w:pPr>
              <w:spacing w:line="360" w:lineRule="auto"/>
              <w:ind w:firstLine="480" w:firstLineChars="200"/>
              <w:rPr>
                <w:color w:val="auto"/>
                <w:sz w:val="24"/>
              </w:rPr>
            </w:pPr>
            <w:r>
              <w:rPr>
                <w:rFonts w:hint="eastAsia"/>
                <w:color w:val="auto"/>
                <w:sz w:val="24"/>
              </w:rPr>
              <w:t>本项目</w:t>
            </w:r>
            <w:r>
              <w:rPr>
                <w:rFonts w:hint="eastAsia"/>
                <w:color w:val="auto"/>
                <w:sz w:val="24"/>
                <w:lang w:val="en-US" w:eastAsia="zh-CN"/>
              </w:rPr>
              <w:t>冷却</w:t>
            </w:r>
            <w:r>
              <w:rPr>
                <w:rFonts w:hint="eastAsia"/>
                <w:color w:val="auto"/>
                <w:sz w:val="24"/>
              </w:rPr>
              <w:t>废水循环使用、企业固体废物能综合利用的全部综合利用，符合资源开发效率要求。</w:t>
            </w:r>
          </w:p>
          <w:p>
            <w:pPr>
              <w:spacing w:line="360" w:lineRule="auto"/>
              <w:ind w:firstLine="480" w:firstLineChars="200"/>
              <w:rPr>
                <w:color w:val="auto"/>
                <w:sz w:val="24"/>
              </w:rPr>
            </w:pPr>
            <w:r>
              <w:rPr>
                <w:rFonts w:hint="eastAsia"/>
                <w:color w:val="auto"/>
                <w:sz w:val="24"/>
              </w:rPr>
              <w:t>综上所述，本项目的建设符合环保部《关于以改善环境质量为核心加强环境影响评价管理的通知》（环环评[2016]150号）中关于落实“三线一单”的要求</w:t>
            </w:r>
            <w:r>
              <w:rPr>
                <w:rFonts w:hint="eastAsia"/>
                <w:color w:val="auto"/>
                <w:sz w:val="24"/>
                <w:lang w:val="en-US" w:eastAsia="zh-CN"/>
              </w:rPr>
              <w:t>以及《邵阳市人民政府关于实施“三线一单”生态环境分区管控的意见》的要求</w:t>
            </w:r>
            <w:r>
              <w:rPr>
                <w:rFonts w:hint="eastAsia"/>
                <w:color w:val="auto"/>
                <w:sz w:val="24"/>
              </w:rPr>
              <w:t>。</w:t>
            </w:r>
          </w:p>
          <w:p>
            <w:pPr>
              <w:spacing w:line="360" w:lineRule="auto"/>
              <w:ind w:firstLine="482" w:firstLineChars="200"/>
              <w:rPr>
                <w:color w:val="auto"/>
                <w:sz w:val="24"/>
              </w:rPr>
            </w:pPr>
            <w:r>
              <w:rPr>
                <w:rFonts w:hint="eastAsia"/>
                <w:b/>
                <w:color w:val="auto"/>
                <w:sz w:val="24"/>
              </w:rPr>
              <w:t>1.</w:t>
            </w:r>
            <w:r>
              <w:rPr>
                <w:rFonts w:hint="eastAsia"/>
                <w:b/>
                <w:color w:val="auto"/>
                <w:sz w:val="24"/>
                <w:lang w:val="en-US" w:eastAsia="zh-CN"/>
              </w:rPr>
              <w:t>5</w:t>
            </w:r>
            <w:r>
              <w:rPr>
                <w:b/>
                <w:color w:val="auto"/>
                <w:sz w:val="24"/>
              </w:rPr>
              <w:t>项目</w:t>
            </w:r>
            <w:r>
              <w:rPr>
                <w:rFonts w:hint="eastAsia"/>
                <w:b/>
                <w:color w:val="auto"/>
                <w:sz w:val="24"/>
                <w:lang w:val="en-US" w:eastAsia="zh-CN"/>
              </w:rPr>
              <w:t>选址合理性</w:t>
            </w:r>
            <w:r>
              <w:rPr>
                <w:rFonts w:hint="eastAsia"/>
                <w:b/>
                <w:color w:val="auto"/>
                <w:sz w:val="24"/>
              </w:rPr>
              <w:t>分析</w:t>
            </w:r>
          </w:p>
          <w:p>
            <w:pPr>
              <w:spacing w:line="360" w:lineRule="auto"/>
              <w:ind w:firstLine="480" w:firstLineChars="200"/>
              <w:rPr>
                <w:rFonts w:hint="default" w:eastAsia="宋体"/>
                <w:color w:val="auto"/>
                <w:sz w:val="24"/>
                <w:lang w:val="en-US" w:eastAsia="zh-CN"/>
              </w:rPr>
            </w:pPr>
            <w:r>
              <w:rPr>
                <w:rFonts w:hint="eastAsia"/>
                <w:color w:val="auto"/>
                <w:sz w:val="24"/>
                <w:lang w:val="en-US" w:eastAsia="zh-CN"/>
              </w:rPr>
              <w:t>本项目利用现有的工业厂房，周边不涉及生态保护红线区域、饮用水源保护区等敏感目标，项目北面有乡村公路连接G320国道，交通较为便利。项目符合</w:t>
            </w:r>
            <w:r>
              <w:rPr>
                <w:rFonts w:hint="eastAsia"/>
                <w:color w:val="auto"/>
                <w:sz w:val="24"/>
              </w:rPr>
              <w:t>《邵东市人民政府常务会议纪要》（[2020]第20次）文件</w:t>
            </w:r>
            <w:r>
              <w:rPr>
                <w:rFonts w:hint="eastAsia"/>
                <w:color w:val="auto"/>
                <w:sz w:val="24"/>
                <w:lang w:val="en-US" w:eastAsia="zh-CN"/>
              </w:rPr>
              <w:t>要求；符合《邵阳市人民政府关于实施“三线一单”生态环境分区管控的意见》的要求；因此本项目选址较为合理。</w:t>
            </w:r>
          </w:p>
          <w:p>
            <w:pPr>
              <w:spacing w:line="360" w:lineRule="auto"/>
              <w:ind w:firstLine="480" w:firstLineChars="200"/>
              <w:rPr>
                <w:color w:val="auto"/>
                <w:sz w:val="24"/>
              </w:rPr>
            </w:pPr>
          </w:p>
          <w:p>
            <w:pPr>
              <w:autoSpaceDE w:val="0"/>
              <w:autoSpaceDN w:val="0"/>
              <w:adjustRightInd w:val="0"/>
              <w:snapToGrid w:val="0"/>
              <w:jc w:val="center"/>
              <w:rPr>
                <w:color w:val="auto"/>
                <w:kern w:val="0"/>
                <w:sz w:val="24"/>
              </w:rPr>
            </w:pPr>
          </w:p>
        </w:tc>
      </w:tr>
    </w:tbl>
    <w:p>
      <w:pPr>
        <w:spacing w:line="360" w:lineRule="auto"/>
        <w:outlineLvl w:val="0"/>
        <w:rPr>
          <w:rFonts w:eastAsia="黑体"/>
          <w:color w:val="auto"/>
          <w:sz w:val="30"/>
        </w:rPr>
        <w:sectPr>
          <w:footerReference r:id="rId6" w:type="default"/>
          <w:pgSz w:w="11906" w:h="16838"/>
          <w:pgMar w:top="1701" w:right="1531" w:bottom="1701" w:left="1531" w:header="851" w:footer="1077" w:gutter="0"/>
          <w:pgNumType w:start="1"/>
          <w:cols w:space="720" w:num="1"/>
          <w:docGrid w:linePitch="312" w:charSpace="0"/>
        </w:sectPr>
      </w:pPr>
    </w:p>
    <w:p>
      <w:pPr>
        <w:pStyle w:val="3"/>
        <w:rPr>
          <w:color w:val="auto"/>
        </w:rPr>
      </w:pPr>
      <w:bookmarkStart w:id="4" w:name="_Toc73483519"/>
      <w:r>
        <w:rPr>
          <w:color w:val="auto"/>
        </w:rPr>
        <w:t>二、建设项目工程分析</w:t>
      </w:r>
      <w:bookmarkEnd w:id="4"/>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8" w:hRule="atLeast"/>
          <w:jc w:val="center"/>
        </w:trPr>
        <w:tc>
          <w:tcPr>
            <w:tcW w:w="823" w:type="dxa"/>
            <w:vAlign w:val="center"/>
          </w:tcPr>
          <w:p>
            <w:pPr>
              <w:pStyle w:val="24"/>
              <w:adjustRightInd w:val="0"/>
              <w:snapToGrid w:val="0"/>
              <w:spacing w:before="0" w:beforeAutospacing="0" w:after="0" w:afterAutospacing="0"/>
              <w:jc w:val="center"/>
              <w:rPr>
                <w:rFonts w:ascii="Times New Roman" w:hAnsi="Times New Roman"/>
                <w:color w:val="auto"/>
                <w:sz w:val="21"/>
                <w:szCs w:val="21"/>
              </w:rPr>
            </w:pPr>
            <w:r>
              <w:rPr>
                <w:rFonts w:ascii="Times New Roman" w:hAnsi="Times New Roman"/>
                <w:color w:val="auto"/>
                <w:sz w:val="21"/>
                <w:szCs w:val="21"/>
              </w:rPr>
              <w:t>建设内容</w:t>
            </w:r>
          </w:p>
        </w:tc>
        <w:tc>
          <w:tcPr>
            <w:tcW w:w="8161" w:type="dxa"/>
          </w:tcPr>
          <w:p>
            <w:pPr>
              <w:pStyle w:val="5"/>
              <w:rPr>
                <w:rFonts w:ascii="Times New Roman" w:hAnsi="Times New Roman"/>
                <w:color w:val="auto"/>
              </w:rPr>
            </w:pPr>
            <w:r>
              <w:rPr>
                <w:rFonts w:ascii="Times New Roman" w:hAnsi="Times New Roman"/>
                <w:color w:val="auto"/>
              </w:rPr>
              <w:t>2.1项目名称、性质、地点及规模</w:t>
            </w:r>
          </w:p>
          <w:p>
            <w:pPr>
              <w:widowControl/>
              <w:spacing w:line="360" w:lineRule="auto"/>
              <w:ind w:firstLine="482" w:firstLineChars="200"/>
              <w:rPr>
                <w:rFonts w:hint="default" w:ascii="Times New Roman" w:hAnsi="Times New Roman" w:cs="Times New Roman"/>
                <w:color w:val="auto"/>
                <w:sz w:val="24"/>
                <w:szCs w:val="24"/>
                <w:lang w:eastAsia="zh-CN"/>
              </w:rPr>
            </w:pPr>
            <w:r>
              <w:rPr>
                <w:rFonts w:hint="eastAsia"/>
                <w:b/>
                <w:bCs/>
                <w:color w:val="auto"/>
                <w:sz w:val="24"/>
                <w:lang w:val="en-US" w:eastAsia="zh-CN"/>
              </w:rPr>
              <w:t>项目由来：</w:t>
            </w:r>
            <w:r>
              <w:rPr>
                <w:rFonts w:hint="default" w:ascii="Times New Roman" w:hAnsi="Times New Roman" w:cs="Times New Roman"/>
                <w:color w:val="auto"/>
                <w:sz w:val="24"/>
                <w:szCs w:val="24"/>
                <w:lang w:eastAsia="zh-CN"/>
              </w:rPr>
              <w:t>珍珠棉是一种新型环保的包装材料，它具有隔水、防潮、隔音、保温、可塑性强、韧性强、循环再造、环保、可撞力强等诸多优点。亦具有很好的抗化学性能。广泛用于汽车坐垫、电子电器、电脑、音响、医疗器械等高档易碎品包装，是传统包装材料的替代品，市场需求量不断扩大。</w:t>
            </w:r>
          </w:p>
          <w:p>
            <w:pPr>
              <w:widowControl/>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eastAsia="zh-CN"/>
              </w:rPr>
              <w:t>邵东勇博商贸有限公司</w:t>
            </w:r>
            <w:r>
              <w:rPr>
                <w:rFonts w:hint="eastAsia" w:ascii="Times New Roman" w:hAnsi="Times New Roman" w:cs="Times New Roman"/>
                <w:color w:val="auto"/>
                <w:sz w:val="24"/>
                <w:szCs w:val="24"/>
                <w:lang w:val="en-US" w:eastAsia="zh-CN"/>
              </w:rPr>
              <w:t>2019年10月在</w:t>
            </w:r>
            <w:r>
              <w:rPr>
                <w:rFonts w:hint="eastAsia" w:ascii="Times New Roman" w:hAnsi="Times New Roman" w:cs="Times New Roman"/>
                <w:color w:val="auto"/>
                <w:sz w:val="24"/>
                <w:szCs w:val="24"/>
                <w:lang w:eastAsia="zh-CN"/>
              </w:rPr>
              <w:t>湖南省邵阳市邵东市牛马司镇湾泥乡工农村01栋</w:t>
            </w:r>
            <w:r>
              <w:rPr>
                <w:rFonts w:hint="eastAsia" w:ascii="Times New Roman" w:hAnsi="Times New Roman" w:cs="Times New Roman"/>
                <w:color w:val="auto"/>
                <w:sz w:val="24"/>
                <w:szCs w:val="24"/>
                <w:lang w:val="en-US" w:eastAsia="zh-CN"/>
              </w:rPr>
              <w:t>租用湖南省巧大娘食品有限公司的厂房建设珍珠棉生产线。为了完善手续，</w:t>
            </w:r>
            <w:r>
              <w:rPr>
                <w:rFonts w:hint="eastAsia" w:ascii="Times New Roman" w:hAnsi="Times New Roman" w:cs="Times New Roman"/>
                <w:color w:val="auto"/>
                <w:sz w:val="24"/>
                <w:szCs w:val="24"/>
                <w:lang w:eastAsia="zh-CN"/>
              </w:rPr>
              <w:t>邵东勇博商贸有限公司</w:t>
            </w:r>
            <w:r>
              <w:rPr>
                <w:rFonts w:hint="eastAsia" w:ascii="Times New Roman" w:hAnsi="Times New Roman" w:cs="Times New Roman"/>
                <w:color w:val="auto"/>
                <w:sz w:val="24"/>
                <w:szCs w:val="24"/>
                <w:lang w:val="en-US" w:eastAsia="zh-CN"/>
              </w:rPr>
              <w:t>于2021年</w:t>
            </w:r>
            <w:r>
              <w:rPr>
                <w:rFonts w:hint="eastAsia" w:cs="Times New Roman"/>
                <w:color w:val="auto"/>
                <w:sz w:val="24"/>
                <w:szCs w:val="24"/>
                <w:lang w:val="en-US" w:eastAsia="zh-CN"/>
              </w:rPr>
              <w:t>6</w:t>
            </w:r>
            <w:r>
              <w:rPr>
                <w:rFonts w:hint="eastAsia" w:ascii="Times New Roman" w:hAnsi="Times New Roman" w:cs="Times New Roman"/>
                <w:color w:val="auto"/>
                <w:sz w:val="24"/>
                <w:szCs w:val="24"/>
                <w:lang w:val="en-US" w:eastAsia="zh-CN"/>
              </w:rPr>
              <w:t>月委托</w:t>
            </w:r>
            <w:r>
              <w:rPr>
                <w:rFonts w:hint="eastAsia" w:cs="Times New Roman"/>
                <w:color w:val="auto"/>
                <w:sz w:val="24"/>
                <w:szCs w:val="24"/>
                <w:lang w:val="en-US" w:eastAsia="zh-CN"/>
              </w:rPr>
              <w:t>湖南智盛翰海环保科技有限公司</w:t>
            </w:r>
            <w:r>
              <w:rPr>
                <w:rFonts w:hint="eastAsia" w:ascii="Times New Roman" w:hAnsi="Times New Roman" w:cs="Times New Roman"/>
                <w:color w:val="auto"/>
                <w:sz w:val="24"/>
                <w:szCs w:val="24"/>
                <w:lang w:val="en-US" w:eastAsia="zh-CN"/>
              </w:rPr>
              <w:t>对</w:t>
            </w:r>
            <w:r>
              <w:rPr>
                <w:rFonts w:hint="eastAsia" w:ascii="Times New Roman" w:hAnsi="Times New Roman" w:cs="Times New Roman"/>
                <w:color w:val="auto"/>
                <w:sz w:val="24"/>
                <w:szCs w:val="24"/>
                <w:lang w:eastAsia="zh-CN"/>
              </w:rPr>
              <w:t>新建珍珠棉生产线项目</w:t>
            </w:r>
            <w:r>
              <w:rPr>
                <w:rFonts w:hint="eastAsia" w:ascii="Times New Roman" w:hAnsi="Times New Roman" w:cs="Times New Roman"/>
                <w:color w:val="auto"/>
                <w:sz w:val="24"/>
                <w:szCs w:val="24"/>
                <w:lang w:val="en-US" w:eastAsia="zh-CN"/>
              </w:rPr>
              <w:t>进行环境影响评价</w:t>
            </w:r>
            <w:r>
              <w:rPr>
                <w:rFonts w:hint="eastAsia" w:cs="Times New Roman"/>
                <w:color w:val="auto"/>
                <w:sz w:val="24"/>
                <w:szCs w:val="24"/>
                <w:lang w:val="en-US" w:eastAsia="zh-CN"/>
              </w:rPr>
              <w:t>。</w:t>
            </w:r>
            <w:r>
              <w:rPr>
                <w:rFonts w:hint="eastAsia" w:ascii="Times New Roman" w:hAnsi="Times New Roman" w:cs="Times New Roman"/>
                <w:color w:val="auto"/>
                <w:sz w:val="24"/>
                <w:szCs w:val="24"/>
                <w:lang w:val="en-US" w:eastAsia="zh-CN"/>
              </w:rPr>
              <w:t>2021</w:t>
            </w:r>
            <w:r>
              <w:rPr>
                <w:rFonts w:hint="eastAsia" w:ascii="Times New Roman" w:hAnsi="Times New Roman" w:cs="Times New Roman"/>
                <w:color w:val="auto"/>
                <w:sz w:val="24"/>
                <w:szCs w:val="24"/>
                <w:lang w:val="en-US" w:eastAsia="zh-CN"/>
              </w:rPr>
              <w:t>年</w:t>
            </w:r>
            <w:r>
              <w:rPr>
                <w:rFonts w:hint="eastAsia" w:cs="Times New Roman"/>
                <w:color w:val="auto"/>
                <w:sz w:val="24"/>
                <w:szCs w:val="24"/>
                <w:lang w:val="en-US" w:eastAsia="zh-CN"/>
              </w:rPr>
              <w:t>8</w:t>
            </w:r>
            <w:r>
              <w:rPr>
                <w:rFonts w:hint="eastAsia" w:ascii="Times New Roman" w:hAnsi="Times New Roman" w:cs="Times New Roman"/>
                <w:color w:val="auto"/>
                <w:sz w:val="24"/>
                <w:szCs w:val="24"/>
                <w:lang w:val="en-US" w:eastAsia="zh-CN"/>
              </w:rPr>
              <w:t>月</w:t>
            </w:r>
            <w:r>
              <w:rPr>
                <w:rFonts w:hint="eastAsia" w:ascii="Times New Roman" w:hAnsi="Times New Roman" w:cs="Times New Roman"/>
                <w:color w:val="auto"/>
                <w:sz w:val="24"/>
                <w:szCs w:val="24"/>
                <w:lang w:val="en-US" w:eastAsia="zh-CN"/>
              </w:rPr>
              <w:t>，邵阳市生态环境局对</w:t>
            </w:r>
            <w:r>
              <w:rPr>
                <w:rFonts w:hint="eastAsia" w:ascii="Times New Roman" w:hAnsi="Times New Roman" w:cs="Times New Roman"/>
                <w:color w:val="auto"/>
                <w:sz w:val="24"/>
                <w:szCs w:val="24"/>
                <w:lang w:eastAsia="zh-CN"/>
              </w:rPr>
              <w:t>邵东勇博商贸有限公司</w:t>
            </w:r>
            <w:r>
              <w:rPr>
                <w:rFonts w:hint="eastAsia" w:ascii="Times New Roman" w:hAnsi="Times New Roman" w:cs="Times New Roman"/>
                <w:color w:val="auto"/>
                <w:sz w:val="24"/>
                <w:szCs w:val="24"/>
                <w:lang w:val="en-US" w:eastAsia="zh-CN"/>
              </w:rPr>
              <w:t>进行调查，发现存在未批先建的违法行为。</w:t>
            </w:r>
            <w:r>
              <w:rPr>
                <w:rFonts w:hint="eastAsia" w:ascii="Times New Roman" w:hAnsi="Times New Roman" w:cs="Times New Roman"/>
                <w:color w:val="auto"/>
                <w:sz w:val="24"/>
                <w:szCs w:val="24"/>
                <w:lang w:val="en-US" w:eastAsia="zh-CN"/>
              </w:rPr>
              <w:t>2021年</w:t>
            </w:r>
            <w:r>
              <w:rPr>
                <w:rFonts w:hint="eastAsia" w:cs="Times New Roman"/>
                <w:color w:val="auto"/>
                <w:sz w:val="24"/>
                <w:szCs w:val="24"/>
                <w:lang w:val="en-US" w:eastAsia="zh-CN"/>
              </w:rPr>
              <w:t>9</w:t>
            </w:r>
            <w:r>
              <w:rPr>
                <w:rFonts w:hint="eastAsia" w:ascii="Times New Roman" w:hAnsi="Times New Roman" w:cs="Times New Roman"/>
                <w:color w:val="auto"/>
                <w:sz w:val="24"/>
                <w:szCs w:val="24"/>
                <w:lang w:val="en-US" w:eastAsia="zh-CN"/>
              </w:rPr>
              <w:t>月</w:t>
            </w:r>
            <w:r>
              <w:rPr>
                <w:rFonts w:hint="eastAsia" w:ascii="Times New Roman" w:hAnsi="Times New Roman" w:cs="Times New Roman"/>
                <w:color w:val="auto"/>
                <w:sz w:val="24"/>
                <w:szCs w:val="24"/>
                <w:lang w:val="en-US" w:eastAsia="zh-CN"/>
              </w:rPr>
              <w:t>邵阳市生态环境局对</w:t>
            </w:r>
            <w:r>
              <w:rPr>
                <w:rFonts w:hint="eastAsia" w:ascii="Times New Roman" w:hAnsi="Times New Roman" w:cs="Times New Roman"/>
                <w:color w:val="auto"/>
                <w:sz w:val="24"/>
                <w:szCs w:val="24"/>
                <w:lang w:eastAsia="zh-CN"/>
              </w:rPr>
              <w:t>邵东勇博商贸有限公司</w:t>
            </w:r>
            <w:r>
              <w:rPr>
                <w:rFonts w:hint="eastAsia" w:ascii="Times New Roman" w:hAnsi="Times New Roman" w:cs="Times New Roman"/>
                <w:color w:val="auto"/>
                <w:sz w:val="24"/>
                <w:szCs w:val="24"/>
                <w:lang w:val="en-US" w:eastAsia="zh-CN"/>
              </w:rPr>
              <w:t>进行了处罚。</w:t>
            </w:r>
          </w:p>
          <w:p>
            <w:pPr>
              <w:widowControl/>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经查阅《产业结构调整指导目录（201</w:t>
            </w:r>
            <w:r>
              <w:rPr>
                <w:rFonts w:hint="default" w:ascii="Times New Roman" w:hAnsi="Times New Roman" w:cs="Times New Roman"/>
                <w:bCs/>
                <w:color w:val="auto"/>
                <w:sz w:val="24"/>
                <w:szCs w:val="24"/>
                <w:lang w:val="en-US" w:eastAsia="zh-CN"/>
              </w:rPr>
              <w:t>9</w:t>
            </w:r>
            <w:r>
              <w:rPr>
                <w:rFonts w:hint="default" w:ascii="Times New Roman" w:hAnsi="Times New Roman" w:cs="Times New Roman"/>
                <w:bCs/>
                <w:color w:val="auto"/>
                <w:sz w:val="24"/>
                <w:szCs w:val="24"/>
              </w:rPr>
              <w:t>年本）》，</w:t>
            </w:r>
            <w:r>
              <w:rPr>
                <w:rFonts w:hint="default" w:ascii="Times New Roman" w:hAnsi="Times New Roman" w:cs="Times New Roman"/>
                <w:color w:val="auto"/>
                <w:sz w:val="24"/>
                <w:szCs w:val="24"/>
              </w:rPr>
              <w:t>本项目不在限制类、淘汰类和鼓励类之列，属于允许类，符合国家产业政策</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其</w:t>
            </w:r>
            <w:r>
              <w:rPr>
                <w:rFonts w:hint="default" w:ascii="Times New Roman" w:hAnsi="Times New Roman" w:cs="Times New Roman"/>
                <w:color w:val="auto"/>
                <w:sz w:val="24"/>
                <w:szCs w:val="24"/>
              </w:rPr>
              <w:t>土地性质</w:t>
            </w:r>
            <w:r>
              <w:rPr>
                <w:rFonts w:hint="default" w:ascii="Times New Roman" w:hAnsi="Times New Roman" w:cs="Times New Roman"/>
                <w:color w:val="auto"/>
                <w:sz w:val="24"/>
                <w:szCs w:val="24"/>
                <w:lang w:eastAsia="zh-CN"/>
              </w:rPr>
              <w:t>为建设用地，</w:t>
            </w:r>
            <w:r>
              <w:rPr>
                <w:rFonts w:hint="default" w:ascii="Times New Roman" w:hAnsi="Times New Roman" w:cs="Times New Roman"/>
                <w:color w:val="auto"/>
                <w:sz w:val="24"/>
                <w:szCs w:val="24"/>
              </w:rPr>
              <w:t>符合</w:t>
            </w:r>
            <w:r>
              <w:rPr>
                <w:rFonts w:hint="eastAsia" w:ascii="Times New Roman" w:hAnsi="Times New Roman" w:cs="Times New Roman"/>
                <w:color w:val="auto"/>
                <w:sz w:val="24"/>
                <w:szCs w:val="24"/>
                <w:lang w:eastAsia="zh-CN"/>
              </w:rPr>
              <w:t>邵东市牛马司镇</w:t>
            </w:r>
            <w:r>
              <w:rPr>
                <w:rFonts w:hint="default" w:ascii="Times New Roman" w:hAnsi="Times New Roman" w:cs="Times New Roman"/>
                <w:color w:val="auto"/>
                <w:sz w:val="24"/>
                <w:szCs w:val="24"/>
                <w:lang w:eastAsia="zh-CN"/>
              </w:rPr>
              <w:t>土地利用规划</w:t>
            </w:r>
            <w:r>
              <w:rPr>
                <w:rFonts w:hint="default" w:ascii="Times New Roman" w:hAnsi="Times New Roman" w:cs="Times New Roman"/>
                <w:color w:val="auto"/>
                <w:sz w:val="24"/>
                <w:szCs w:val="24"/>
              </w:rPr>
              <w:t>（土地证明见附件3）。</w:t>
            </w:r>
          </w:p>
          <w:p>
            <w:pPr>
              <w:spacing w:line="360" w:lineRule="auto"/>
              <w:ind w:firstLine="480" w:firstLineChars="200"/>
              <w:rPr>
                <w:rFonts w:hint="default" w:ascii="Times New Roman" w:hAnsi="Times New Roman" w:cs="Times New Roman"/>
                <w:bCs/>
                <w:color w:val="auto"/>
                <w:kern w:val="0"/>
                <w:sz w:val="24"/>
                <w:szCs w:val="24"/>
              </w:rPr>
            </w:pPr>
            <w:r>
              <w:rPr>
                <w:rFonts w:hint="default" w:ascii="Times New Roman" w:hAnsi="Times New Roman" w:cs="Times New Roman"/>
                <w:color w:val="auto"/>
                <w:sz w:val="24"/>
                <w:szCs w:val="24"/>
              </w:rPr>
              <w:t>按照《中华人民共和国环境保护法》、《中华人民共和国环境影响评价法》以及</w:t>
            </w:r>
            <w:r>
              <w:rPr>
                <w:rFonts w:hint="default" w:ascii="Times New Roman" w:hAnsi="Times New Roman" w:cs="Times New Roman"/>
                <w:color w:val="auto"/>
                <w:sz w:val="24"/>
                <w:szCs w:val="24"/>
                <w:lang w:eastAsia="zh-CN"/>
              </w:rPr>
              <w:t>《建设项目环境保护管理条例》（</w:t>
            </w:r>
            <w:r>
              <w:rPr>
                <w:rFonts w:hint="default" w:ascii="Times New Roman" w:hAnsi="Times New Roman" w:cs="Times New Roman"/>
                <w:color w:val="auto"/>
                <w:sz w:val="24"/>
                <w:szCs w:val="24"/>
                <w:lang w:val="en-US" w:eastAsia="zh-CN"/>
              </w:rPr>
              <w:t>2017.10.1</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的要求，依据《</w:t>
            </w:r>
            <w:r>
              <w:rPr>
                <w:rFonts w:hint="eastAsia" w:ascii="Times New Roman" w:hAnsi="Times New Roman" w:cs="Times New Roman"/>
                <w:color w:val="auto"/>
                <w:sz w:val="24"/>
                <w:szCs w:val="24"/>
                <w:lang w:eastAsia="zh-CN"/>
              </w:rPr>
              <w:t>建设项目环境影响评价分类管理名录（2021年版）</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eastAsia="zh-CN"/>
              </w:rPr>
              <w:t>2021年1月1日实施</w:t>
            </w:r>
            <w:r>
              <w:rPr>
                <w:rFonts w:hint="default" w:ascii="Times New Roman" w:hAnsi="Times New Roman" w:cs="Times New Roman"/>
                <w:color w:val="auto"/>
                <w:sz w:val="24"/>
                <w:szCs w:val="24"/>
              </w:rPr>
              <w:t>）规定，该项目属于“</w:t>
            </w:r>
            <w:r>
              <w:rPr>
                <w:rFonts w:hint="eastAsia" w:ascii="Times New Roman" w:hAnsi="Times New Roman" w:cs="Times New Roman"/>
                <w:color w:val="auto"/>
                <w:sz w:val="24"/>
                <w:szCs w:val="24"/>
                <w:lang w:val="en-US" w:eastAsia="zh-CN"/>
              </w:rPr>
              <w:t>二十六</w:t>
            </w:r>
            <w:r>
              <w:rPr>
                <w:rFonts w:hint="default" w:ascii="Times New Roman" w:hAnsi="Times New Roman" w:cs="Times New Roman"/>
                <w:color w:val="auto"/>
                <w:sz w:val="24"/>
                <w:szCs w:val="24"/>
                <w:lang w:eastAsia="zh-CN"/>
              </w:rPr>
              <w:t>、橡胶和塑料制品业</w:t>
            </w:r>
            <w:r>
              <w:rPr>
                <w:rFonts w:hint="eastAsia" w:ascii="Times New Roman" w:hAnsi="Times New Roman" w:cs="Times New Roman"/>
                <w:color w:val="auto"/>
                <w:sz w:val="24"/>
                <w:szCs w:val="24"/>
                <w:lang w:val="en-US" w:eastAsia="zh-CN"/>
              </w:rPr>
              <w:t>29</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53</w:t>
            </w:r>
            <w:r>
              <w:rPr>
                <w:rFonts w:hint="default" w:ascii="Times New Roman" w:hAnsi="Times New Roman" w:cs="Times New Roman"/>
                <w:color w:val="auto"/>
                <w:sz w:val="24"/>
                <w:szCs w:val="24"/>
                <w:lang w:val="en-US" w:eastAsia="zh-CN"/>
              </w:rPr>
              <w:t>塑料制品制造”中</w:t>
            </w:r>
            <w:r>
              <w:rPr>
                <w:rFonts w:hint="default" w:ascii="Times New Roman" w:hAnsi="Times New Roman" w:cs="Times New Roman"/>
                <w:bCs/>
                <w:color w:val="auto"/>
                <w:kern w:val="0"/>
                <w:sz w:val="24"/>
                <w:szCs w:val="24"/>
              </w:rPr>
              <w:t>属于“其他”类</w:t>
            </w:r>
            <w:r>
              <w:rPr>
                <w:rFonts w:hint="default" w:ascii="Times New Roman" w:hAnsi="Times New Roman" w:cs="Times New Roman"/>
                <w:color w:val="auto"/>
                <w:spacing w:val="6"/>
                <w:sz w:val="24"/>
                <w:szCs w:val="24"/>
              </w:rPr>
              <w:t>，因此该项目应当编制环境影响报告表。</w:t>
            </w:r>
            <w:r>
              <w:rPr>
                <w:rFonts w:hint="eastAsia" w:ascii="Times New Roman" w:hAnsi="Times New Roman" w:cs="Times New Roman"/>
                <w:color w:val="auto"/>
                <w:sz w:val="24"/>
                <w:szCs w:val="24"/>
                <w:lang w:eastAsia="zh-CN"/>
              </w:rPr>
              <w:t>邵东勇博商贸有限公司</w:t>
            </w:r>
            <w:r>
              <w:rPr>
                <w:rFonts w:hint="default" w:ascii="Times New Roman" w:hAnsi="Times New Roman" w:cs="Times New Roman"/>
                <w:snapToGrid w:val="0"/>
                <w:color w:val="auto"/>
                <w:sz w:val="24"/>
              </w:rPr>
              <w:t>委托</w:t>
            </w:r>
            <w:r>
              <w:rPr>
                <w:rFonts w:hint="default" w:ascii="Times New Roman" w:hAnsi="Times New Roman" w:cs="Times New Roman"/>
                <w:snapToGrid w:val="0"/>
                <w:color w:val="auto"/>
                <w:sz w:val="24"/>
                <w:lang w:eastAsia="zh-CN"/>
              </w:rPr>
              <w:t>我单位</w:t>
            </w:r>
            <w:r>
              <w:rPr>
                <w:rFonts w:hint="default" w:ascii="Times New Roman" w:hAnsi="Times New Roman" w:cs="Times New Roman"/>
                <w:snapToGrid w:val="0"/>
                <w:color w:val="auto"/>
                <w:sz w:val="24"/>
              </w:rPr>
              <w:t>承担该项目的环境影响评价工作</w:t>
            </w:r>
            <w:r>
              <w:rPr>
                <w:rFonts w:hint="default" w:ascii="Times New Roman" w:hAnsi="Times New Roman" w:cs="Times New Roman"/>
                <w:snapToGrid w:val="0"/>
                <w:color w:val="auto"/>
                <w:sz w:val="24"/>
                <w:lang w:eastAsia="zh-CN"/>
              </w:rPr>
              <w:t>（委托书见附件</w:t>
            </w:r>
            <w:r>
              <w:rPr>
                <w:rFonts w:hint="default" w:ascii="Times New Roman" w:hAnsi="Times New Roman" w:cs="Times New Roman"/>
                <w:snapToGrid w:val="0"/>
                <w:color w:val="auto"/>
                <w:sz w:val="24"/>
                <w:lang w:val="en-US" w:eastAsia="zh-CN"/>
              </w:rPr>
              <w:t>1</w:t>
            </w:r>
            <w:r>
              <w:rPr>
                <w:rFonts w:hint="default" w:ascii="Times New Roman" w:hAnsi="Times New Roman" w:cs="Times New Roman"/>
                <w:snapToGrid w:val="0"/>
                <w:color w:val="auto"/>
                <w:sz w:val="24"/>
                <w:lang w:eastAsia="zh-CN"/>
              </w:rPr>
              <w:t>）</w:t>
            </w:r>
            <w:r>
              <w:rPr>
                <w:rFonts w:hint="default" w:ascii="Times New Roman" w:hAnsi="Times New Roman" w:cs="Times New Roman"/>
                <w:snapToGrid w:val="0"/>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接受委托后，我公司立即组织人员对工程情况、项目所处区域的自然及社会环境状况进行了详细调查。根据该项目的工程特征和污染特征，在查清项目所在地环境质量现状以及主要污染物种类和来源的基础上，全面、客观和公正地分析了该项目建成后对环境的影响；结合评价区的环境特征，依据国家、地方环保法规、标准和环境规划功能目标要求，编制完成了《</w:t>
            </w:r>
            <w:r>
              <w:rPr>
                <w:rFonts w:hint="eastAsia" w:ascii="Times New Roman" w:hAnsi="Times New Roman" w:cs="Times New Roman"/>
                <w:color w:val="auto"/>
                <w:sz w:val="24"/>
                <w:szCs w:val="24"/>
                <w:lang w:eastAsia="zh-CN"/>
              </w:rPr>
              <w:t>邵东勇博商贸有限公司新建珍珠棉生产线项目</w:t>
            </w:r>
            <w:r>
              <w:rPr>
                <w:rFonts w:hint="default" w:ascii="Times New Roman" w:hAnsi="Times New Roman" w:eastAsia="宋体" w:cs="Times New Roman"/>
                <w:color w:val="auto"/>
                <w:sz w:val="24"/>
                <w:szCs w:val="24"/>
                <w:lang w:val="en-US" w:eastAsia="zh-CN"/>
              </w:rPr>
              <w:t>环境影响评价报告表</w:t>
            </w:r>
            <w:r>
              <w:rPr>
                <w:rFonts w:hint="default" w:ascii="Times New Roman" w:hAnsi="Times New Roman" w:cs="Times New Roman"/>
                <w:color w:val="auto"/>
                <w:sz w:val="24"/>
              </w:rPr>
              <w:t>》。</w:t>
            </w:r>
          </w:p>
          <w:p>
            <w:pPr>
              <w:spacing w:line="360" w:lineRule="auto"/>
              <w:ind w:firstLine="482" w:firstLineChars="200"/>
              <w:rPr>
                <w:rFonts w:hint="eastAsia" w:eastAsia="宋体"/>
                <w:color w:val="auto"/>
                <w:sz w:val="24"/>
                <w:lang w:eastAsia="zh-CN"/>
              </w:rPr>
            </w:pPr>
            <w:r>
              <w:rPr>
                <w:b/>
                <w:bCs/>
                <w:color w:val="auto"/>
                <w:sz w:val="24"/>
              </w:rPr>
              <w:t>项目名称：</w:t>
            </w:r>
            <w:r>
              <w:rPr>
                <w:rFonts w:hint="eastAsia"/>
                <w:color w:val="auto"/>
                <w:sz w:val="24"/>
                <w:lang w:eastAsia="zh-CN"/>
              </w:rPr>
              <w:t>年产100吨珍珠棉生产线建设项目</w:t>
            </w:r>
          </w:p>
          <w:p>
            <w:pPr>
              <w:pStyle w:val="8"/>
              <w:spacing w:line="360" w:lineRule="auto"/>
              <w:ind w:firstLine="482" w:firstLineChars="200"/>
              <w:rPr>
                <w:rFonts w:hint="eastAsia" w:eastAsia="宋体"/>
                <w:color w:val="auto"/>
                <w:sz w:val="24"/>
                <w:lang w:eastAsia="zh-CN"/>
              </w:rPr>
            </w:pPr>
            <w:r>
              <w:rPr>
                <w:b/>
                <w:bCs/>
                <w:color w:val="auto"/>
                <w:sz w:val="24"/>
              </w:rPr>
              <w:t>建设单位：</w:t>
            </w:r>
            <w:r>
              <w:rPr>
                <w:rFonts w:hint="eastAsia"/>
                <w:color w:val="auto"/>
                <w:sz w:val="24"/>
                <w:lang w:eastAsia="zh-CN"/>
              </w:rPr>
              <w:t>邵东勇博商贸有限公司</w:t>
            </w:r>
          </w:p>
          <w:p>
            <w:pPr>
              <w:pStyle w:val="8"/>
              <w:spacing w:line="360" w:lineRule="auto"/>
              <w:ind w:firstLine="482" w:firstLineChars="200"/>
              <w:rPr>
                <w:rFonts w:hint="eastAsia" w:eastAsia="宋体"/>
                <w:color w:val="auto"/>
                <w:sz w:val="24"/>
                <w:lang w:eastAsia="zh-CN"/>
              </w:rPr>
            </w:pPr>
            <w:r>
              <w:rPr>
                <w:b/>
                <w:bCs/>
                <w:color w:val="auto"/>
                <w:sz w:val="24"/>
              </w:rPr>
              <w:t>建设性质：</w:t>
            </w:r>
            <w:r>
              <w:rPr>
                <w:rFonts w:hint="eastAsia"/>
                <w:color w:val="auto"/>
                <w:sz w:val="24"/>
              </w:rPr>
              <w:t>新建</w:t>
            </w:r>
            <w:r>
              <w:rPr>
                <w:rFonts w:hint="eastAsia"/>
                <w:color w:val="auto"/>
                <w:sz w:val="24"/>
                <w:lang w:eastAsia="zh-CN"/>
              </w:rPr>
              <w:t>（</w:t>
            </w:r>
            <w:r>
              <w:rPr>
                <w:rFonts w:hint="eastAsia"/>
                <w:color w:val="auto"/>
                <w:sz w:val="24"/>
                <w:lang w:val="en-US" w:eastAsia="zh-CN"/>
              </w:rPr>
              <w:t>补办环评</w:t>
            </w:r>
            <w:r>
              <w:rPr>
                <w:rFonts w:hint="eastAsia"/>
                <w:color w:val="auto"/>
                <w:sz w:val="24"/>
                <w:lang w:eastAsia="zh-CN"/>
              </w:rPr>
              <w:t>）</w:t>
            </w:r>
          </w:p>
          <w:p>
            <w:pPr>
              <w:pStyle w:val="8"/>
              <w:spacing w:line="360" w:lineRule="auto"/>
              <w:ind w:firstLine="482" w:firstLineChars="200"/>
              <w:rPr>
                <w:color w:val="auto"/>
                <w:sz w:val="24"/>
              </w:rPr>
            </w:pPr>
            <w:r>
              <w:rPr>
                <w:b/>
                <w:bCs/>
                <w:color w:val="auto"/>
                <w:sz w:val="24"/>
              </w:rPr>
              <w:t>建设规模：</w:t>
            </w:r>
            <w:r>
              <w:rPr>
                <w:rFonts w:hint="eastAsia"/>
                <w:b w:val="0"/>
                <w:bCs w:val="0"/>
                <w:color w:val="auto"/>
                <w:sz w:val="24"/>
                <w:lang w:val="en-US" w:eastAsia="zh-CN"/>
              </w:rPr>
              <w:t>年产100吨珍珠棉</w:t>
            </w:r>
            <w:r>
              <w:rPr>
                <w:color w:val="auto"/>
                <w:sz w:val="24"/>
              </w:rPr>
              <w:t>。</w:t>
            </w:r>
          </w:p>
          <w:p>
            <w:pPr>
              <w:spacing w:line="360" w:lineRule="auto"/>
              <w:ind w:firstLine="482" w:firstLineChars="200"/>
              <w:rPr>
                <w:color w:val="auto"/>
                <w:sz w:val="24"/>
              </w:rPr>
            </w:pPr>
            <w:r>
              <w:rPr>
                <w:b/>
                <w:bCs/>
                <w:color w:val="auto"/>
                <w:sz w:val="24"/>
              </w:rPr>
              <w:t>总投资：</w:t>
            </w:r>
            <w:r>
              <w:rPr>
                <w:color w:val="auto"/>
                <w:sz w:val="24"/>
              </w:rPr>
              <w:t>总投资</w:t>
            </w:r>
            <w:r>
              <w:rPr>
                <w:rFonts w:hint="eastAsia"/>
                <w:color w:val="auto"/>
                <w:sz w:val="24"/>
                <w:lang w:val="en-US" w:eastAsia="zh-CN"/>
              </w:rPr>
              <w:t>1</w:t>
            </w:r>
            <w:r>
              <w:rPr>
                <w:rFonts w:hint="eastAsia"/>
                <w:color w:val="auto"/>
                <w:sz w:val="24"/>
              </w:rPr>
              <w:t>00万</w:t>
            </w:r>
            <w:r>
              <w:rPr>
                <w:color w:val="auto"/>
                <w:sz w:val="24"/>
              </w:rPr>
              <w:t>元，全部为企业自筹。</w:t>
            </w:r>
          </w:p>
          <w:p>
            <w:pPr>
              <w:spacing w:line="360" w:lineRule="auto"/>
              <w:ind w:firstLine="482" w:firstLineChars="200"/>
              <w:rPr>
                <w:color w:val="auto"/>
                <w:sz w:val="24"/>
              </w:rPr>
            </w:pPr>
            <w:r>
              <w:rPr>
                <w:b/>
                <w:bCs/>
                <w:color w:val="auto"/>
                <w:sz w:val="24"/>
              </w:rPr>
              <w:t>建设地点：</w:t>
            </w:r>
            <w:r>
              <w:rPr>
                <w:color w:val="auto"/>
                <w:sz w:val="24"/>
              </w:rPr>
              <w:t>位于湖南省</w:t>
            </w:r>
            <w:r>
              <w:rPr>
                <w:rFonts w:hint="eastAsia"/>
                <w:color w:val="auto"/>
                <w:sz w:val="24"/>
                <w:lang w:eastAsia="zh-CN"/>
              </w:rPr>
              <w:t>邵东市牛马司镇湾泥乡工农村01栋</w:t>
            </w:r>
            <w:r>
              <w:rPr>
                <w:color w:val="auto"/>
                <w:sz w:val="24"/>
              </w:rPr>
              <w:t>，其地理坐标为</w:t>
            </w:r>
            <w:r>
              <w:rPr>
                <w:rFonts w:hint="eastAsia"/>
                <w:color w:val="auto"/>
                <w:sz w:val="24"/>
                <w:lang w:eastAsia="zh-CN"/>
              </w:rPr>
              <w:t>东经111度39分21.73秒，北纬27度15分16.85秒</w:t>
            </w:r>
            <w:r>
              <w:rPr>
                <w:color w:val="auto"/>
                <w:sz w:val="24"/>
              </w:rPr>
              <w:t>，</w:t>
            </w:r>
            <w:r>
              <w:rPr>
                <w:rFonts w:hint="eastAsia"/>
                <w:color w:val="auto"/>
                <w:sz w:val="24"/>
                <w:lang w:eastAsia="zh-CN"/>
              </w:rPr>
              <w:t>项目周边有乡村公路，交通便利，东面为空地，南面为荒山，西面为农地</w:t>
            </w:r>
            <w:r>
              <w:rPr>
                <w:color w:val="auto"/>
                <w:sz w:val="24"/>
              </w:rPr>
              <w:t>。地理位置详见附图1。</w:t>
            </w:r>
          </w:p>
          <w:p>
            <w:pPr>
              <w:pStyle w:val="5"/>
              <w:rPr>
                <w:rFonts w:ascii="Times New Roman" w:hAnsi="Times New Roman"/>
                <w:color w:val="auto"/>
              </w:rPr>
            </w:pPr>
            <w:r>
              <w:rPr>
                <w:rFonts w:hint="eastAsia" w:ascii="Times New Roman" w:hAnsi="Times New Roman"/>
                <w:color w:val="auto"/>
              </w:rPr>
              <w:t>2.2建设工程内容和规模</w:t>
            </w:r>
          </w:p>
          <w:p>
            <w:pPr>
              <w:widowControl/>
              <w:adjustRightInd w:val="0"/>
              <w:snapToGrid w:val="0"/>
              <w:spacing w:line="360" w:lineRule="auto"/>
              <w:ind w:firstLine="480" w:firstLineChars="200"/>
              <w:rPr>
                <w:color w:val="auto"/>
              </w:rPr>
            </w:pPr>
            <w:r>
              <w:rPr>
                <w:rFonts w:hint="eastAsia"/>
                <w:color w:val="auto"/>
                <w:sz w:val="24"/>
              </w:rPr>
              <w:t>本项目主要建设内容和规模见表2-1。</w:t>
            </w:r>
          </w:p>
          <w:p>
            <w:pPr>
              <w:pStyle w:val="50"/>
              <w:spacing w:before="24" w:after="24"/>
              <w:rPr>
                <w:rFonts w:hint="eastAsia"/>
                <w:b/>
                <w:bCs/>
                <w:color w:val="auto"/>
                <w:szCs w:val="21"/>
              </w:rPr>
            </w:pPr>
            <w:r>
              <w:rPr>
                <w:rFonts w:hint="eastAsia"/>
                <w:b/>
                <w:bCs/>
                <w:color w:val="auto"/>
                <w:szCs w:val="21"/>
              </w:rPr>
              <w:t>表2-1项目主要建设内容和规模</w:t>
            </w:r>
          </w:p>
          <w:tbl>
            <w:tblPr>
              <w:tblStyle w:val="29"/>
              <w:tblW w:w="76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41"/>
              <w:gridCol w:w="695"/>
              <w:gridCol w:w="634"/>
              <w:gridCol w:w="773"/>
              <w:gridCol w:w="1182"/>
              <w:gridCol w:w="2468"/>
              <w:gridCol w:w="14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0" w:hRule="atLeast"/>
                <w:jc w:val="center"/>
              </w:trPr>
              <w:tc>
                <w:tcPr>
                  <w:tcW w:w="441"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695"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w:t>
                  </w:r>
                </w:p>
              </w:tc>
              <w:tc>
                <w:tcPr>
                  <w:tcW w:w="1407" w:type="dxa"/>
                  <w:gridSpan w:val="2"/>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1182" w:type="dxa"/>
                  <w:tcBorders>
                    <w:tl2br w:val="nil"/>
                    <w:tr2bl w:val="nil"/>
                  </w:tcBorders>
                  <w:noWrap w:val="0"/>
                  <w:vAlign w:val="center"/>
                </w:tcPr>
                <w:p>
                  <w:pPr>
                    <w:jc w:val="center"/>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占地</w:t>
                  </w:r>
                  <w:r>
                    <w:rPr>
                      <w:rFonts w:hint="default" w:ascii="Times New Roman" w:hAnsi="Times New Roman" w:cs="Times New Roman"/>
                      <w:color w:val="auto"/>
                      <w:sz w:val="21"/>
                      <w:szCs w:val="21"/>
                    </w:rPr>
                    <w:t>面积</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lang w:eastAsia="zh-CN"/>
                    </w:rPr>
                    <w:t>）</w:t>
                  </w:r>
                </w:p>
              </w:tc>
              <w:tc>
                <w:tcPr>
                  <w:tcW w:w="2468" w:type="dxa"/>
                  <w:tcBorders>
                    <w:tl2br w:val="nil"/>
                    <w:tr2bl w:val="nil"/>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结构</w:t>
                  </w:r>
                </w:p>
              </w:tc>
              <w:tc>
                <w:tcPr>
                  <w:tcW w:w="1465"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0" w:hRule="atLeast"/>
                <w:jc w:val="center"/>
              </w:trPr>
              <w:tc>
                <w:tcPr>
                  <w:tcW w:w="441"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695"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主体工程</w:t>
                  </w:r>
                </w:p>
              </w:tc>
              <w:tc>
                <w:tcPr>
                  <w:tcW w:w="1407" w:type="dxa"/>
                  <w:gridSpan w:val="2"/>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生产车间</w:t>
                  </w:r>
                </w:p>
              </w:tc>
              <w:tc>
                <w:tcPr>
                  <w:tcW w:w="1182"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1020</w:t>
                  </w:r>
                </w:p>
              </w:tc>
              <w:tc>
                <w:tcPr>
                  <w:tcW w:w="2468" w:type="dxa"/>
                  <w:tcBorders>
                    <w:tl2br w:val="nil"/>
                    <w:tr2bl w:val="nil"/>
                  </w:tcBorders>
                  <w:noWrap w:val="0"/>
                  <w:vAlign w:val="center"/>
                </w:tcPr>
                <w:p>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1栋，建筑面积1020m</w:t>
                  </w:r>
                  <w:r>
                    <w:rPr>
                      <w:rFonts w:hint="eastAsia" w:cs="Times New Roman"/>
                      <w:color w:val="auto"/>
                      <w:sz w:val="21"/>
                      <w:szCs w:val="21"/>
                      <w:vertAlign w:val="superscript"/>
                      <w:lang w:val="en-US" w:eastAsia="zh-CN"/>
                    </w:rPr>
                    <w:t>2</w:t>
                  </w:r>
                  <w:r>
                    <w:rPr>
                      <w:rFonts w:hint="eastAsia" w:cs="Times New Roman"/>
                      <w:color w:val="auto"/>
                      <w:sz w:val="21"/>
                      <w:szCs w:val="21"/>
                      <w:lang w:val="en-US" w:eastAsia="zh-CN"/>
                    </w:rPr>
                    <w:t>；</w:t>
                  </w:r>
                  <w:r>
                    <w:rPr>
                      <w:rFonts w:hint="default" w:ascii="Times New Roman" w:hAnsi="Times New Roman" w:cs="Times New Roman"/>
                      <w:color w:val="auto"/>
                      <w:sz w:val="21"/>
                      <w:szCs w:val="21"/>
                    </w:rPr>
                    <w:t>钢结构，1层</w:t>
                  </w:r>
                </w:p>
              </w:tc>
              <w:tc>
                <w:tcPr>
                  <w:tcW w:w="1465"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租用现有厂房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2" w:hRule="atLeast"/>
                <w:jc w:val="center"/>
              </w:trPr>
              <w:tc>
                <w:tcPr>
                  <w:tcW w:w="441" w:type="dxa"/>
                  <w:vMerge w:val="restart"/>
                  <w:tcBorders>
                    <w:tl2br w:val="nil"/>
                    <w:tr2bl w:val="nil"/>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695" w:type="dxa"/>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储运工程</w:t>
                  </w:r>
                </w:p>
              </w:tc>
              <w:tc>
                <w:tcPr>
                  <w:tcW w:w="1407" w:type="dxa"/>
                  <w:gridSpan w:val="2"/>
                  <w:tcBorders>
                    <w:tl2br w:val="nil"/>
                    <w:tr2bl w:val="nil"/>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产品仓库</w:t>
                  </w:r>
                </w:p>
              </w:tc>
              <w:tc>
                <w:tcPr>
                  <w:tcW w:w="1182" w:type="dxa"/>
                  <w:tcBorders>
                    <w:tl2br w:val="nil"/>
                    <w:tr2bl w:val="nil"/>
                  </w:tcBorders>
                  <w:noWrap w:val="0"/>
                  <w:vAlign w:val="center"/>
                </w:tcPr>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1020</w:t>
                  </w:r>
                </w:p>
              </w:tc>
              <w:tc>
                <w:tcPr>
                  <w:tcW w:w="2468"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1栋，建筑面积1020m</w:t>
                  </w:r>
                  <w:r>
                    <w:rPr>
                      <w:rFonts w:hint="eastAsia" w:cs="Times New Roman"/>
                      <w:color w:val="auto"/>
                      <w:sz w:val="21"/>
                      <w:szCs w:val="21"/>
                      <w:vertAlign w:val="superscript"/>
                      <w:lang w:val="en-US" w:eastAsia="zh-CN"/>
                    </w:rPr>
                    <w:t>2</w:t>
                  </w:r>
                  <w:r>
                    <w:rPr>
                      <w:rFonts w:hint="eastAsia" w:cs="Times New Roman"/>
                      <w:color w:val="auto"/>
                      <w:sz w:val="21"/>
                      <w:szCs w:val="21"/>
                      <w:lang w:val="en-US" w:eastAsia="zh-CN"/>
                    </w:rPr>
                    <w:t>；</w:t>
                  </w:r>
                  <w:r>
                    <w:rPr>
                      <w:rFonts w:hint="default" w:ascii="Times New Roman" w:hAnsi="Times New Roman" w:cs="Times New Roman"/>
                      <w:color w:val="auto"/>
                      <w:sz w:val="21"/>
                      <w:szCs w:val="21"/>
                    </w:rPr>
                    <w:t>钢结构，1层，</w:t>
                  </w:r>
                  <w:r>
                    <w:rPr>
                      <w:rFonts w:hint="default" w:ascii="Times New Roman" w:hAnsi="Times New Roman" w:cs="Times New Roman"/>
                      <w:color w:val="auto"/>
                      <w:sz w:val="21"/>
                      <w:szCs w:val="21"/>
                    </w:rPr>
                    <w:t>存放成品及原料</w:t>
                  </w:r>
                </w:p>
              </w:tc>
              <w:tc>
                <w:tcPr>
                  <w:tcW w:w="1465"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租用现有厂房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2" w:hRule="atLeast"/>
                <w:jc w:val="center"/>
              </w:trPr>
              <w:tc>
                <w:tcPr>
                  <w:tcW w:w="441" w:type="dxa"/>
                  <w:vMerge w:val="continue"/>
                  <w:tcBorders>
                    <w:tl2br w:val="nil"/>
                    <w:tr2bl w:val="nil"/>
                  </w:tcBorders>
                  <w:noWrap w:val="0"/>
                  <w:vAlign w:val="center"/>
                </w:tcPr>
                <w:p>
                  <w:pPr>
                    <w:jc w:val="center"/>
                    <w:rPr>
                      <w:rFonts w:hint="eastAsia" w:ascii="Times New Roman" w:hAnsi="Times New Roman" w:cs="Times New Roman"/>
                      <w:color w:val="auto"/>
                      <w:sz w:val="21"/>
                      <w:szCs w:val="21"/>
                      <w:lang w:val="en-US" w:eastAsia="zh-CN"/>
                    </w:rPr>
                  </w:pPr>
                </w:p>
              </w:tc>
              <w:tc>
                <w:tcPr>
                  <w:tcW w:w="695" w:type="dxa"/>
                  <w:vMerge w:val="continue"/>
                  <w:tcBorders>
                    <w:tl2br w:val="nil"/>
                    <w:tr2bl w:val="nil"/>
                  </w:tcBorders>
                  <w:noWrap w:val="0"/>
                  <w:vAlign w:val="center"/>
                </w:tcPr>
                <w:p>
                  <w:pPr>
                    <w:jc w:val="center"/>
                    <w:rPr>
                      <w:rFonts w:hint="eastAsia" w:ascii="Times New Roman" w:hAnsi="Times New Roman" w:cs="Times New Roman"/>
                      <w:color w:val="auto"/>
                      <w:sz w:val="21"/>
                      <w:szCs w:val="21"/>
                      <w:lang w:val="en-US" w:eastAsia="zh-CN"/>
                    </w:rPr>
                  </w:pPr>
                </w:p>
              </w:tc>
              <w:tc>
                <w:tcPr>
                  <w:tcW w:w="1407" w:type="dxa"/>
                  <w:gridSpan w:val="2"/>
                  <w:tcBorders>
                    <w:tl2br w:val="nil"/>
                    <w:tr2bl w:val="nil"/>
                  </w:tcBorders>
                  <w:noWrap w:val="0"/>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丁烷仓库</w:t>
                  </w:r>
                </w:p>
              </w:tc>
              <w:tc>
                <w:tcPr>
                  <w:tcW w:w="1182" w:type="dxa"/>
                  <w:tcBorders>
                    <w:tl2br w:val="nil"/>
                    <w:tr2bl w:val="nil"/>
                  </w:tcBorders>
                  <w:noWrap w:val="0"/>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200</w:t>
                  </w:r>
                </w:p>
              </w:tc>
              <w:tc>
                <w:tcPr>
                  <w:tcW w:w="2468"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1栋，建筑面积200m</w:t>
                  </w:r>
                  <w:r>
                    <w:rPr>
                      <w:rFonts w:hint="eastAsia" w:cs="Times New Roman"/>
                      <w:color w:val="auto"/>
                      <w:sz w:val="21"/>
                      <w:szCs w:val="21"/>
                      <w:vertAlign w:val="superscript"/>
                      <w:lang w:val="en-US" w:eastAsia="zh-CN"/>
                    </w:rPr>
                    <w:t>2</w:t>
                  </w:r>
                  <w:r>
                    <w:rPr>
                      <w:rFonts w:hint="eastAsia" w:cs="Times New Roman"/>
                      <w:color w:val="auto"/>
                      <w:sz w:val="21"/>
                      <w:szCs w:val="21"/>
                      <w:lang w:val="en-US" w:eastAsia="zh-CN"/>
                    </w:rPr>
                    <w:t>；</w:t>
                  </w:r>
                  <w:r>
                    <w:rPr>
                      <w:rFonts w:hint="default" w:ascii="Times New Roman" w:hAnsi="Times New Roman" w:cs="Times New Roman"/>
                      <w:color w:val="auto"/>
                      <w:sz w:val="21"/>
                      <w:szCs w:val="21"/>
                    </w:rPr>
                    <w:t>钢结构，1层</w:t>
                  </w:r>
                </w:p>
              </w:tc>
              <w:tc>
                <w:tcPr>
                  <w:tcW w:w="1465" w:type="dxa"/>
                  <w:tcBorders>
                    <w:tl2br w:val="nil"/>
                    <w:tr2bl w:val="nil"/>
                  </w:tcBorders>
                  <w:noWrap w:val="0"/>
                  <w:vAlign w:val="center"/>
                </w:tcPr>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租用现有厂房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2" w:hRule="atLeast"/>
                <w:jc w:val="center"/>
              </w:trPr>
              <w:tc>
                <w:tcPr>
                  <w:tcW w:w="441" w:type="dxa"/>
                  <w:tcBorders>
                    <w:tl2br w:val="nil"/>
                    <w:tr2bl w:val="nil"/>
                  </w:tcBorders>
                  <w:noWrap w:val="0"/>
                  <w:vAlign w:val="center"/>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3</w:t>
                  </w:r>
                </w:p>
              </w:tc>
              <w:tc>
                <w:tcPr>
                  <w:tcW w:w="695"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辅助工程</w:t>
                  </w:r>
                </w:p>
              </w:tc>
              <w:tc>
                <w:tcPr>
                  <w:tcW w:w="1407" w:type="dxa"/>
                  <w:gridSpan w:val="2"/>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办公室及其他配套设施</w:t>
                  </w:r>
                </w:p>
              </w:tc>
              <w:tc>
                <w:tcPr>
                  <w:tcW w:w="1182"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220</w:t>
                  </w:r>
                </w:p>
              </w:tc>
              <w:tc>
                <w:tcPr>
                  <w:tcW w:w="2468"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砖混结构，</w:t>
                  </w:r>
                  <w:r>
                    <w:rPr>
                      <w:rFonts w:hint="default" w:ascii="Times New Roman" w:hAnsi="Times New Roman" w:cs="Times New Roman"/>
                      <w:color w:val="auto"/>
                      <w:sz w:val="21"/>
                      <w:szCs w:val="21"/>
                    </w:rPr>
                    <w:t>1层，用于办公等</w:t>
                  </w:r>
                </w:p>
              </w:tc>
              <w:tc>
                <w:tcPr>
                  <w:tcW w:w="1465"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租用现有厂房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7" w:hRule="atLeast"/>
                <w:jc w:val="center"/>
              </w:trPr>
              <w:tc>
                <w:tcPr>
                  <w:tcW w:w="441" w:type="dxa"/>
                  <w:vMerge w:val="restart"/>
                  <w:tcBorders>
                    <w:tl2br w:val="nil"/>
                    <w:tr2bl w:val="nil"/>
                  </w:tcBorders>
                  <w:noWrap w:val="0"/>
                  <w:vAlign w:val="center"/>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4</w:t>
                  </w:r>
                </w:p>
              </w:tc>
              <w:tc>
                <w:tcPr>
                  <w:tcW w:w="695" w:type="dxa"/>
                  <w:vMerge w:val="restart"/>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1407" w:type="dxa"/>
                  <w:gridSpan w:val="2"/>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供水</w:t>
                  </w:r>
                </w:p>
              </w:tc>
              <w:tc>
                <w:tcPr>
                  <w:tcW w:w="3650" w:type="dxa"/>
                  <w:gridSpan w:val="2"/>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由</w:t>
                  </w:r>
                  <w:r>
                    <w:rPr>
                      <w:rFonts w:hint="eastAsia" w:ascii="Times New Roman" w:hAnsi="Times New Roman" w:cs="Times New Roman"/>
                      <w:color w:val="auto"/>
                      <w:sz w:val="21"/>
                      <w:szCs w:val="21"/>
                      <w:lang w:eastAsia="zh-CN"/>
                    </w:rPr>
                    <w:t>邵东市牛马司镇</w:t>
                  </w:r>
                  <w:r>
                    <w:rPr>
                      <w:rFonts w:hint="eastAsia" w:ascii="Times New Roman" w:hAnsi="Times New Roman" w:cs="Times New Roman"/>
                      <w:color w:val="auto"/>
                      <w:sz w:val="21"/>
                      <w:szCs w:val="21"/>
                      <w:lang w:val="en-US" w:eastAsia="zh-CN"/>
                    </w:rPr>
                    <w:t>自来水公司</w:t>
                  </w:r>
                  <w:r>
                    <w:rPr>
                      <w:rFonts w:hint="default" w:ascii="Times New Roman" w:hAnsi="Times New Roman" w:cs="Times New Roman"/>
                      <w:color w:val="auto"/>
                      <w:sz w:val="21"/>
                      <w:szCs w:val="21"/>
                    </w:rPr>
                    <w:t>提供</w:t>
                  </w:r>
                </w:p>
              </w:tc>
              <w:tc>
                <w:tcPr>
                  <w:tcW w:w="1465"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利现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0" w:hRule="atLeast"/>
                <w:jc w:val="center"/>
              </w:trPr>
              <w:tc>
                <w:tcPr>
                  <w:tcW w:w="441"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695"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1407" w:type="dxa"/>
                  <w:gridSpan w:val="2"/>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供电</w:t>
                  </w:r>
                </w:p>
              </w:tc>
              <w:tc>
                <w:tcPr>
                  <w:tcW w:w="3650" w:type="dxa"/>
                  <w:gridSpan w:val="2"/>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由</w:t>
                  </w:r>
                  <w:r>
                    <w:rPr>
                      <w:rFonts w:hint="eastAsia" w:ascii="Times New Roman" w:hAnsi="Times New Roman" w:cs="Times New Roman"/>
                      <w:color w:val="auto"/>
                      <w:sz w:val="21"/>
                      <w:szCs w:val="21"/>
                      <w:lang w:eastAsia="zh-CN"/>
                    </w:rPr>
                    <w:t>邵东市牛马司镇</w:t>
                  </w:r>
                  <w:r>
                    <w:rPr>
                      <w:rFonts w:hint="default" w:ascii="Times New Roman" w:hAnsi="Times New Roman" w:cs="Times New Roman"/>
                      <w:color w:val="auto"/>
                      <w:sz w:val="21"/>
                      <w:szCs w:val="21"/>
                    </w:rPr>
                    <w:t>供电系统提供，</w:t>
                  </w:r>
                  <w:r>
                    <w:rPr>
                      <w:rFonts w:hint="eastAsia" w:cs="Times New Roman"/>
                      <w:color w:val="auto"/>
                      <w:sz w:val="21"/>
                      <w:szCs w:val="21"/>
                      <w:lang w:val="en-US" w:eastAsia="zh-CN"/>
                    </w:rPr>
                    <w:t>厂区设置配电房，</w:t>
                  </w:r>
                  <w:r>
                    <w:rPr>
                      <w:rFonts w:hint="default" w:ascii="Times New Roman" w:hAnsi="Times New Roman" w:cs="Times New Roman"/>
                      <w:color w:val="auto"/>
                      <w:sz w:val="21"/>
                      <w:szCs w:val="21"/>
                    </w:rPr>
                    <w:t>可以满足项目需求</w:t>
                  </w:r>
                </w:p>
              </w:tc>
              <w:tc>
                <w:tcPr>
                  <w:tcW w:w="1465" w:type="dxa"/>
                  <w:tcBorders>
                    <w:tl2br w:val="nil"/>
                    <w:tr2bl w:val="nil"/>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利现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52" w:hRule="atLeast"/>
                <w:jc w:val="center"/>
              </w:trPr>
              <w:tc>
                <w:tcPr>
                  <w:tcW w:w="441" w:type="dxa"/>
                  <w:vMerge w:val="restart"/>
                  <w:tcBorders>
                    <w:top w:val="single" w:color="auto" w:sz="4" w:space="0"/>
                    <w:tl2br w:val="nil"/>
                    <w:tr2bl w:val="nil"/>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695" w:type="dxa"/>
                  <w:vMerge w:val="restart"/>
                  <w:tcBorders>
                    <w:top w:val="single" w:color="auto" w:sz="4" w:space="0"/>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环保工程</w:t>
                  </w:r>
                </w:p>
              </w:tc>
              <w:tc>
                <w:tcPr>
                  <w:tcW w:w="634" w:type="dxa"/>
                  <w:tcBorders>
                    <w:top w:val="single" w:color="auto" w:sz="4" w:space="0"/>
                    <w:tl2br w:val="nil"/>
                    <w:tr2bl w:val="nil"/>
                  </w:tcBorders>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废气</w:t>
                  </w:r>
                </w:p>
              </w:tc>
              <w:tc>
                <w:tcPr>
                  <w:tcW w:w="773" w:type="dxa"/>
                  <w:tcBorders>
                    <w:tl2br w:val="nil"/>
                    <w:tr2bl w:val="nil"/>
                  </w:tcBorders>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加热、发泡、挤出和复合</w:t>
                  </w:r>
                  <w:r>
                    <w:rPr>
                      <w:rFonts w:hint="default" w:ascii="Times New Roman" w:hAnsi="Times New Roman" w:cs="Times New Roman"/>
                      <w:color w:val="auto"/>
                      <w:sz w:val="21"/>
                      <w:szCs w:val="21"/>
                      <w:lang w:eastAsia="zh-CN"/>
                    </w:rPr>
                    <w:t>工序</w:t>
                  </w:r>
                </w:p>
              </w:tc>
              <w:tc>
                <w:tcPr>
                  <w:tcW w:w="3650" w:type="dxa"/>
                  <w:gridSpan w:val="2"/>
                  <w:tcBorders>
                    <w:tl2br w:val="nil"/>
                    <w:tr2bl w:val="nil"/>
                  </w:tcBorders>
                  <w:noWrap w:val="0"/>
                  <w:vAlign w:val="center"/>
                </w:tcPr>
                <w:p>
                  <w:pPr>
                    <w:spacing w:line="3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设置集气罩+</w:t>
                  </w:r>
                  <w:r>
                    <w:rPr>
                      <w:rFonts w:hint="eastAsia" w:cs="Times New Roman"/>
                      <w:color w:val="auto"/>
                      <w:sz w:val="21"/>
                      <w:szCs w:val="21"/>
                      <w:lang w:val="en-US" w:eastAsia="zh-CN"/>
                    </w:rPr>
                    <w:t>UV光解+活性炭吸附装置</w:t>
                  </w:r>
                  <w:r>
                    <w:rPr>
                      <w:rFonts w:hint="default" w:ascii="Times New Roman" w:hAnsi="Times New Roman" w:cs="Times New Roman"/>
                      <w:color w:val="auto"/>
                      <w:sz w:val="21"/>
                      <w:szCs w:val="21"/>
                      <w:lang w:val="en-US" w:eastAsia="zh-CN"/>
                    </w:rPr>
                    <w:t>+1根15m高排气筒外排</w:t>
                  </w:r>
                  <w:r>
                    <w:rPr>
                      <w:rFonts w:hint="default" w:ascii="Times New Roman" w:hAnsi="Times New Roman" w:cs="Times New Roman"/>
                      <w:color w:val="auto"/>
                      <w:sz w:val="21"/>
                      <w:szCs w:val="21"/>
                      <w:lang w:val="en-US" w:eastAsia="zh-CN"/>
                    </w:rPr>
                    <w:t>。</w:t>
                  </w:r>
                </w:p>
              </w:tc>
              <w:tc>
                <w:tcPr>
                  <w:tcW w:w="1465" w:type="dxa"/>
                  <w:tcBorders>
                    <w:tl2br w:val="nil"/>
                    <w:tr2bl w:val="nil"/>
                  </w:tcBorders>
                  <w:noWrap w:val="0"/>
                  <w:vAlign w:val="center"/>
                </w:tcPr>
                <w:p>
                  <w:pPr>
                    <w:spacing w:line="300" w:lineRule="exact"/>
                    <w:ind w:firstLine="420" w:firstLineChars="200"/>
                    <w:jc w:val="both"/>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45" w:hRule="atLeast"/>
                <w:jc w:val="center"/>
              </w:trPr>
              <w:tc>
                <w:tcPr>
                  <w:tcW w:w="441"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695"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1407" w:type="dxa"/>
                  <w:gridSpan w:val="2"/>
                  <w:vMerge w:val="restart"/>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w:t>
                  </w:r>
                </w:p>
              </w:tc>
              <w:tc>
                <w:tcPr>
                  <w:tcW w:w="3650" w:type="dxa"/>
                  <w:gridSpan w:val="2"/>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项目生产过程中的冷却水经厂区30m</w:t>
                  </w:r>
                  <w:r>
                    <w:rPr>
                      <w:rFonts w:hint="eastAsia" w:cs="Times New Roman"/>
                      <w:color w:val="auto"/>
                      <w:sz w:val="21"/>
                      <w:szCs w:val="21"/>
                      <w:vertAlign w:val="superscript"/>
                      <w:lang w:val="en-US" w:eastAsia="zh-CN"/>
                    </w:rPr>
                    <w:t>3</w:t>
                  </w:r>
                  <w:r>
                    <w:rPr>
                      <w:rFonts w:hint="eastAsia" w:cs="Times New Roman"/>
                      <w:color w:val="auto"/>
                      <w:sz w:val="21"/>
                      <w:szCs w:val="21"/>
                      <w:lang w:val="en-US" w:eastAsia="zh-CN"/>
                    </w:rPr>
                    <w:t>的冷却水池冷却后，循环使用，</w:t>
                  </w:r>
                  <w:r>
                    <w:rPr>
                      <w:rFonts w:hint="default" w:ascii="Times New Roman" w:hAnsi="Times New Roman" w:cs="Times New Roman"/>
                      <w:color w:val="auto"/>
                      <w:sz w:val="21"/>
                      <w:szCs w:val="21"/>
                    </w:rPr>
                    <w:t>项目无生产废水排放</w:t>
                  </w:r>
                </w:p>
              </w:tc>
              <w:tc>
                <w:tcPr>
                  <w:tcW w:w="1465"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利用现有设施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45" w:hRule="atLeast"/>
                <w:jc w:val="center"/>
              </w:trPr>
              <w:tc>
                <w:tcPr>
                  <w:tcW w:w="441"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695"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1407" w:type="dxa"/>
                  <w:gridSpan w:val="2"/>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3650" w:type="dxa"/>
                  <w:gridSpan w:val="2"/>
                  <w:tcBorders>
                    <w:tl2br w:val="nil"/>
                    <w:tr2bl w:val="nil"/>
                  </w:tcBorders>
                  <w:noWrap w:val="0"/>
                  <w:vAlign w:val="center"/>
                </w:tcPr>
                <w:p>
                  <w:pPr>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生活污水经厂区化粪池处理后，由周边居民清运，用作农肥，综合利用</w:t>
                  </w:r>
                </w:p>
              </w:tc>
              <w:tc>
                <w:tcPr>
                  <w:tcW w:w="1465" w:type="dxa"/>
                  <w:tcBorders>
                    <w:tl2br w:val="nil"/>
                    <w:tr2bl w:val="nil"/>
                  </w:tcBorders>
                  <w:noWrap w:val="0"/>
                  <w:vAlign w:val="center"/>
                </w:tcPr>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利用现有设施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2" w:hRule="atLeast"/>
                <w:jc w:val="center"/>
              </w:trPr>
              <w:tc>
                <w:tcPr>
                  <w:tcW w:w="441"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695"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1407" w:type="dxa"/>
                  <w:gridSpan w:val="2"/>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3650" w:type="dxa"/>
                  <w:gridSpan w:val="2"/>
                  <w:tcBorders>
                    <w:tl2br w:val="nil"/>
                    <w:tr2bl w:val="nil"/>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基础减震、厂房隔声等</w:t>
                  </w:r>
                </w:p>
              </w:tc>
              <w:tc>
                <w:tcPr>
                  <w:tcW w:w="1465" w:type="dxa"/>
                  <w:tcBorders>
                    <w:tl2br w:val="nil"/>
                    <w:tr2bl w:val="nil"/>
                  </w:tcBorders>
                  <w:noWrap w:val="0"/>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改造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30" w:hRule="atLeast"/>
                <w:jc w:val="center"/>
              </w:trPr>
              <w:tc>
                <w:tcPr>
                  <w:tcW w:w="441"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695"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1407" w:type="dxa"/>
                  <w:gridSpan w:val="2"/>
                  <w:vMerge w:val="restart"/>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w:t>
                  </w:r>
                </w:p>
              </w:tc>
              <w:tc>
                <w:tcPr>
                  <w:tcW w:w="1182"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一般固废暂存区，1座，</w:t>
                  </w:r>
                  <w:r>
                    <w:rPr>
                      <w:rFonts w:hint="eastAsia" w:ascii="Times New Roman" w:hAnsi="Times New Roman" w:cs="Times New Roman"/>
                      <w:color w:val="auto"/>
                      <w:sz w:val="21"/>
                      <w:szCs w:val="21"/>
                      <w:lang w:val="en-US" w:eastAsia="zh-CN"/>
                    </w:rPr>
                    <w:t>100</w:t>
                  </w:r>
                  <w:r>
                    <w:rPr>
                      <w:rFonts w:hint="default" w:ascii="Times New Roman" w:hAnsi="Times New Roman" w:cs="Times New Roman"/>
                      <w:color w:val="auto"/>
                      <w:sz w:val="21"/>
                      <w:szCs w:val="21"/>
                    </w:rPr>
                    <w:t xml:space="preserve"> m</w:t>
                  </w:r>
                  <w:r>
                    <w:rPr>
                      <w:rFonts w:hint="default" w:ascii="Times New Roman" w:hAnsi="Times New Roman" w:cs="Times New Roman"/>
                      <w:color w:val="auto"/>
                      <w:sz w:val="21"/>
                      <w:szCs w:val="21"/>
                      <w:vertAlign w:val="superscript"/>
                    </w:rPr>
                    <w:t>2</w:t>
                  </w:r>
                </w:p>
              </w:tc>
              <w:tc>
                <w:tcPr>
                  <w:tcW w:w="2468"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砖混结构，</w:t>
                  </w:r>
                  <w:r>
                    <w:rPr>
                      <w:rFonts w:hint="default" w:ascii="Times New Roman" w:hAnsi="Times New Roman" w:cs="Times New Roman"/>
                      <w:color w:val="auto"/>
                      <w:sz w:val="21"/>
                      <w:szCs w:val="21"/>
                    </w:rPr>
                    <w:t>1层，用</w:t>
                  </w:r>
                  <w:r>
                    <w:rPr>
                      <w:rFonts w:hint="default" w:ascii="Times New Roman" w:hAnsi="Times New Roman" w:cs="Times New Roman"/>
                      <w:color w:val="auto"/>
                      <w:sz w:val="21"/>
                      <w:szCs w:val="21"/>
                    </w:rPr>
                    <w:t>存放一般固废</w:t>
                  </w:r>
                </w:p>
              </w:tc>
              <w:tc>
                <w:tcPr>
                  <w:tcW w:w="1465"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利用现有设施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30" w:hRule="atLeast"/>
                <w:jc w:val="center"/>
              </w:trPr>
              <w:tc>
                <w:tcPr>
                  <w:tcW w:w="441"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695" w:type="dxa"/>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1407" w:type="dxa"/>
                  <w:gridSpan w:val="2"/>
                  <w:vMerge w:val="continue"/>
                  <w:tcBorders>
                    <w:tl2br w:val="nil"/>
                    <w:tr2bl w:val="nil"/>
                  </w:tcBorders>
                  <w:noWrap w:val="0"/>
                  <w:vAlign w:val="center"/>
                </w:tcPr>
                <w:p>
                  <w:pPr>
                    <w:jc w:val="center"/>
                    <w:rPr>
                      <w:rFonts w:hint="default" w:ascii="Times New Roman" w:hAnsi="Times New Roman" w:cs="Times New Roman"/>
                      <w:color w:val="auto"/>
                      <w:sz w:val="21"/>
                      <w:szCs w:val="21"/>
                    </w:rPr>
                  </w:pPr>
                </w:p>
              </w:tc>
              <w:tc>
                <w:tcPr>
                  <w:tcW w:w="1182"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危险废物暂存间</w:t>
                  </w:r>
                  <w:r>
                    <w:rPr>
                      <w:rFonts w:hint="default" w:ascii="Times New Roman" w:hAnsi="Times New Roman" w:cs="Times New Roman"/>
                      <w:color w:val="auto"/>
                      <w:sz w:val="21"/>
                      <w:szCs w:val="21"/>
                    </w:rPr>
                    <w:t>，1座，</w:t>
                  </w:r>
                  <w:r>
                    <w:rPr>
                      <w:rFonts w:hint="eastAsia" w:cs="Times New Roman"/>
                      <w:color w:val="auto"/>
                      <w:sz w:val="21"/>
                      <w:szCs w:val="21"/>
                      <w:lang w:val="en-US" w:eastAsia="zh-CN"/>
                    </w:rPr>
                    <w:t>5</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2</w:t>
                  </w:r>
                </w:p>
              </w:tc>
              <w:tc>
                <w:tcPr>
                  <w:tcW w:w="2468"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砖混结构，</w:t>
                  </w:r>
                  <w:r>
                    <w:rPr>
                      <w:rFonts w:hint="default" w:ascii="Times New Roman" w:hAnsi="Times New Roman" w:cs="Times New Roman"/>
                      <w:color w:val="auto"/>
                      <w:sz w:val="21"/>
                      <w:szCs w:val="21"/>
                    </w:rPr>
                    <w:t>1层，用存放</w:t>
                  </w:r>
                  <w:r>
                    <w:rPr>
                      <w:rFonts w:hint="eastAsia" w:cs="Times New Roman"/>
                      <w:color w:val="auto"/>
                      <w:sz w:val="21"/>
                      <w:szCs w:val="21"/>
                      <w:lang w:val="en-US" w:eastAsia="zh-CN"/>
                    </w:rPr>
                    <w:t>废活性炭、废UV灯管等危险废物</w:t>
                  </w:r>
                </w:p>
              </w:tc>
              <w:tc>
                <w:tcPr>
                  <w:tcW w:w="1465" w:type="dxa"/>
                  <w:tcBorders>
                    <w:tl2br w:val="nil"/>
                    <w:tr2bl w:val="nil"/>
                  </w:tcBorders>
                  <w:noWrap w:val="0"/>
                  <w:vAlign w:val="center"/>
                </w:tcPr>
                <w:p>
                  <w:pPr>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新增</w:t>
                  </w:r>
                </w:p>
              </w:tc>
            </w:tr>
          </w:tbl>
          <w:p>
            <w:pPr>
              <w:rPr>
                <w:rFonts w:hint="eastAsia"/>
                <w:b/>
                <w:bCs/>
                <w:color w:val="auto"/>
                <w:szCs w:val="21"/>
              </w:rPr>
            </w:pPr>
          </w:p>
          <w:p>
            <w:pPr>
              <w:pStyle w:val="5"/>
              <w:rPr>
                <w:rFonts w:ascii="Times New Roman" w:hAnsi="Times New Roman"/>
                <w:color w:val="auto"/>
              </w:rPr>
            </w:pPr>
            <w:r>
              <w:rPr>
                <w:rFonts w:hint="eastAsia" w:ascii="Times New Roman" w:hAnsi="Times New Roman"/>
                <w:color w:val="auto"/>
              </w:rPr>
              <w:t>2.3、平面布置合理性分析</w:t>
            </w:r>
          </w:p>
          <w:p>
            <w:pPr>
              <w:widowControl/>
              <w:adjustRightInd w:val="0"/>
              <w:snapToGrid w:val="0"/>
              <w:spacing w:line="360" w:lineRule="auto"/>
              <w:ind w:firstLine="480" w:firstLineChars="200"/>
              <w:rPr>
                <w:rFonts w:hint="default" w:eastAsia="宋体"/>
                <w:color w:val="auto"/>
                <w:sz w:val="24"/>
                <w:lang w:val="en-US" w:eastAsia="zh-CN"/>
              </w:rPr>
            </w:pPr>
            <w:r>
              <w:rPr>
                <w:rFonts w:hint="eastAsia"/>
                <w:color w:val="auto"/>
                <w:sz w:val="24"/>
              </w:rPr>
              <w:t>本项目</w:t>
            </w:r>
            <w:r>
              <w:rPr>
                <w:rFonts w:hint="eastAsia"/>
                <w:color w:val="auto"/>
                <w:sz w:val="24"/>
                <w:lang w:eastAsia="zh-CN"/>
              </w:rPr>
              <w:t>乡村公路</w:t>
            </w:r>
            <w:r>
              <w:rPr>
                <w:rFonts w:hint="eastAsia"/>
                <w:color w:val="auto"/>
                <w:sz w:val="24"/>
              </w:rPr>
              <w:t>，</w:t>
            </w:r>
            <w:r>
              <w:rPr>
                <w:rFonts w:hint="eastAsia"/>
                <w:color w:val="auto"/>
                <w:sz w:val="24"/>
                <w:lang w:eastAsia="zh-CN"/>
              </w:rPr>
              <w:t>其他三面均为空地及农地</w:t>
            </w:r>
            <w:r>
              <w:rPr>
                <w:rFonts w:hint="eastAsia"/>
                <w:color w:val="auto"/>
                <w:sz w:val="24"/>
              </w:rPr>
              <w:t>，因此厂区出入口设置在</w:t>
            </w:r>
            <w:r>
              <w:rPr>
                <w:rFonts w:hint="eastAsia"/>
                <w:color w:val="auto"/>
                <w:sz w:val="24"/>
                <w:lang w:eastAsia="zh-CN"/>
              </w:rPr>
              <w:t>北</w:t>
            </w:r>
            <w:r>
              <w:rPr>
                <w:rFonts w:hint="eastAsia"/>
                <w:color w:val="auto"/>
                <w:sz w:val="24"/>
              </w:rPr>
              <w:t>面。</w:t>
            </w:r>
            <w:r>
              <w:rPr>
                <w:rFonts w:hint="eastAsia"/>
                <w:color w:val="auto"/>
                <w:sz w:val="24"/>
                <w:lang w:eastAsia="zh-CN"/>
              </w:rPr>
              <w:t>北面</w:t>
            </w:r>
            <w:r>
              <w:rPr>
                <w:rFonts w:hint="eastAsia"/>
                <w:color w:val="auto"/>
                <w:sz w:val="24"/>
              </w:rPr>
              <w:t>为办公生活区</w:t>
            </w:r>
            <w:r>
              <w:rPr>
                <w:rFonts w:hint="eastAsia"/>
                <w:color w:val="auto"/>
                <w:sz w:val="24"/>
                <w:lang w:eastAsia="zh-CN"/>
              </w:rPr>
              <w:t>；</w:t>
            </w:r>
            <w:r>
              <w:rPr>
                <w:rFonts w:hint="eastAsia"/>
                <w:color w:val="auto"/>
                <w:sz w:val="24"/>
                <w:lang w:val="en-US" w:eastAsia="zh-CN"/>
              </w:rPr>
              <w:t>南部为生产车间，生产车间中布置原料储存区，丁烷仓库单独布置在生产车间外；厂区中部为产品仓库；西面为一般固体废物储存间。</w:t>
            </w:r>
          </w:p>
          <w:p>
            <w:pPr>
              <w:widowControl/>
              <w:adjustRightInd w:val="0"/>
              <w:snapToGrid w:val="0"/>
              <w:spacing w:line="360" w:lineRule="auto"/>
              <w:ind w:firstLine="480" w:firstLineChars="200"/>
              <w:rPr>
                <w:b/>
                <w:color w:val="auto"/>
                <w:sz w:val="24"/>
              </w:rPr>
            </w:pPr>
            <w:r>
              <w:rPr>
                <w:rFonts w:hint="eastAsia"/>
                <w:color w:val="auto"/>
                <w:sz w:val="24"/>
                <w:lang w:val="en-US" w:eastAsia="zh-CN"/>
              </w:rPr>
              <w:t>本项目生产区与生活区分开布置，且生产区布置在主导风向的下风向，厂区内生产车间与原料区紧邻，丁烷仓库单独布置，</w:t>
            </w:r>
            <w:r>
              <w:rPr>
                <w:rFonts w:hint="eastAsia"/>
                <w:color w:val="auto"/>
                <w:sz w:val="24"/>
              </w:rPr>
              <w:t>厂区布局符合工艺流程中的物料的走向，减少了物流的运输时间和成本</w:t>
            </w:r>
            <w:r>
              <w:rPr>
                <w:rFonts w:hint="eastAsia"/>
                <w:color w:val="auto"/>
                <w:sz w:val="24"/>
                <w:lang w:eastAsia="zh-CN"/>
              </w:rPr>
              <w:t>，</w:t>
            </w:r>
            <w:r>
              <w:rPr>
                <w:rFonts w:hint="eastAsia"/>
                <w:color w:val="auto"/>
                <w:sz w:val="24"/>
                <w:lang w:val="en-US" w:eastAsia="zh-CN"/>
              </w:rPr>
              <w:t>又考虑到安全防火的要求</w:t>
            </w:r>
            <w:r>
              <w:rPr>
                <w:rFonts w:hint="eastAsia"/>
                <w:color w:val="auto"/>
                <w:sz w:val="24"/>
              </w:rPr>
              <w:t>。总体而言，此布局功能区相对独立设置，增加了厂内物流的连续性，缩短了运输时间，生产联系紧密，便于生产和管理。项目平面布置详见</w:t>
            </w:r>
            <w:r>
              <w:rPr>
                <w:rFonts w:hint="eastAsia"/>
                <w:color w:val="auto"/>
                <w:sz w:val="24"/>
                <w:shd w:val="clear" w:color="FFFFFF" w:fill="auto"/>
              </w:rPr>
              <w:t>附图2</w:t>
            </w:r>
            <w:r>
              <w:rPr>
                <w:rFonts w:hint="eastAsia"/>
                <w:color w:val="auto"/>
                <w:sz w:val="24"/>
              </w:rPr>
              <w:t>。</w:t>
            </w:r>
          </w:p>
          <w:p>
            <w:pPr>
              <w:pStyle w:val="5"/>
              <w:rPr>
                <w:rFonts w:ascii="Times New Roman" w:hAnsi="Times New Roman"/>
                <w:color w:val="auto"/>
                <w:szCs w:val="24"/>
              </w:rPr>
            </w:pPr>
            <w:r>
              <w:rPr>
                <w:rFonts w:hint="eastAsia" w:ascii="Times New Roman" w:hAnsi="Times New Roman"/>
                <w:color w:val="auto"/>
                <w:szCs w:val="24"/>
              </w:rPr>
              <w:t>2.4、主要生产设备、原材料消耗和产品方案</w:t>
            </w:r>
          </w:p>
          <w:p>
            <w:pPr>
              <w:adjustRightInd w:val="0"/>
              <w:snapToGrid w:val="0"/>
              <w:spacing w:line="360" w:lineRule="auto"/>
              <w:ind w:firstLine="480" w:firstLineChars="200"/>
              <w:rPr>
                <w:color w:val="auto"/>
                <w:sz w:val="24"/>
              </w:rPr>
            </w:pPr>
            <w:r>
              <w:rPr>
                <w:rFonts w:hint="eastAsia"/>
                <w:color w:val="auto"/>
                <w:sz w:val="24"/>
              </w:rPr>
              <w:t>（一）主要生产设备</w:t>
            </w:r>
          </w:p>
          <w:p>
            <w:pPr>
              <w:pStyle w:val="79"/>
              <w:spacing w:line="360" w:lineRule="auto"/>
              <w:ind w:firstLine="480"/>
              <w:jc w:val="both"/>
              <w:rPr>
                <w:b/>
                <w:bCs/>
                <w:color w:val="auto"/>
                <w:sz w:val="24"/>
                <w:szCs w:val="24"/>
              </w:rPr>
            </w:pPr>
            <w:r>
              <w:rPr>
                <w:rFonts w:hint="eastAsia" w:cs="Times New Roman"/>
                <w:bCs/>
                <w:color w:val="auto"/>
                <w:sz w:val="24"/>
                <w:szCs w:val="24"/>
              </w:rPr>
              <w:t>本项目主要设备见表2-</w:t>
            </w:r>
            <w:r>
              <w:rPr>
                <w:rFonts w:cs="Times New Roman"/>
                <w:bCs/>
                <w:color w:val="auto"/>
                <w:sz w:val="24"/>
                <w:szCs w:val="24"/>
              </w:rPr>
              <w:t>2</w:t>
            </w:r>
            <w:r>
              <w:rPr>
                <w:rFonts w:hint="eastAsia" w:cs="Times New Roman"/>
                <w:bCs/>
                <w:color w:val="auto"/>
                <w:sz w:val="24"/>
                <w:szCs w:val="24"/>
              </w:rPr>
              <w:t>。</w:t>
            </w:r>
          </w:p>
          <w:p>
            <w:pPr>
              <w:pStyle w:val="50"/>
              <w:spacing w:before="24" w:after="24"/>
              <w:rPr>
                <w:rFonts w:hint="eastAsia"/>
                <w:b/>
                <w:bCs/>
                <w:color w:val="auto"/>
                <w:szCs w:val="21"/>
              </w:rPr>
            </w:pPr>
            <w:r>
              <w:rPr>
                <w:rFonts w:hint="eastAsia"/>
                <w:b/>
                <w:bCs/>
                <w:color w:val="auto"/>
                <w:szCs w:val="21"/>
              </w:rPr>
              <w:t>表2-</w:t>
            </w:r>
            <w:r>
              <w:rPr>
                <w:b/>
                <w:bCs/>
                <w:color w:val="auto"/>
                <w:szCs w:val="21"/>
              </w:rPr>
              <w:t>2</w:t>
            </w:r>
            <w:r>
              <w:rPr>
                <w:rFonts w:hint="eastAsia"/>
                <w:b/>
                <w:bCs/>
                <w:color w:val="auto"/>
                <w:szCs w:val="21"/>
              </w:rPr>
              <w:t>主要生产设备一览表</w:t>
            </w:r>
          </w:p>
          <w:tbl>
            <w:tblPr>
              <w:tblStyle w:val="29"/>
              <w:tblW w:w="7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2250"/>
              <w:gridCol w:w="1819"/>
              <w:gridCol w:w="824"/>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设备种类</w:t>
                  </w:r>
                </w:p>
              </w:tc>
              <w:tc>
                <w:tcPr>
                  <w:tcW w:w="18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型号规格</w:t>
                  </w:r>
                </w:p>
              </w:tc>
              <w:tc>
                <w:tcPr>
                  <w:tcW w:w="8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单位</w:t>
                  </w:r>
                </w:p>
              </w:tc>
              <w:tc>
                <w:tcPr>
                  <w:tcW w:w="17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eastAsia" w:cs="Times New Roman"/>
                      <w:color w:val="auto"/>
                      <w:sz w:val="21"/>
                      <w:szCs w:val="21"/>
                      <w:lang w:eastAsia="zh-CN"/>
                    </w:rPr>
                    <w:t>发泡挤出机</w:t>
                  </w:r>
                </w:p>
              </w:tc>
              <w:tc>
                <w:tcPr>
                  <w:tcW w:w="18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rPr>
                  </w:pPr>
                </w:p>
              </w:tc>
              <w:tc>
                <w:tcPr>
                  <w:tcW w:w="8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台</w:t>
                  </w:r>
                </w:p>
              </w:tc>
              <w:tc>
                <w:tcPr>
                  <w:tcW w:w="17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复合机</w:t>
                  </w:r>
                </w:p>
              </w:tc>
              <w:tc>
                <w:tcPr>
                  <w:tcW w:w="18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p>
              </w:tc>
              <w:tc>
                <w:tcPr>
                  <w:tcW w:w="8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台</w:t>
                  </w:r>
                </w:p>
              </w:tc>
              <w:tc>
                <w:tcPr>
                  <w:tcW w:w="17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trPr>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3</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分切机</w:t>
                  </w:r>
                </w:p>
              </w:tc>
              <w:tc>
                <w:tcPr>
                  <w:tcW w:w="18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8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台</w:t>
                  </w:r>
                </w:p>
              </w:tc>
              <w:tc>
                <w:tcPr>
                  <w:tcW w:w="17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trPr>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4</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冷却水塔</w:t>
                  </w:r>
                </w:p>
              </w:tc>
              <w:tc>
                <w:tcPr>
                  <w:tcW w:w="18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30m</w:t>
                  </w:r>
                  <w:r>
                    <w:rPr>
                      <w:rFonts w:hint="eastAsia" w:ascii="Times New Roman" w:hAnsi="Times New Roman" w:cs="Times New Roman"/>
                      <w:color w:val="auto"/>
                      <w:sz w:val="21"/>
                      <w:szCs w:val="21"/>
                      <w:vertAlign w:val="superscript"/>
                      <w:lang w:val="en-US" w:eastAsia="zh-CN"/>
                    </w:rPr>
                    <w:t>3</w:t>
                  </w:r>
                </w:p>
              </w:tc>
              <w:tc>
                <w:tcPr>
                  <w:tcW w:w="8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个</w:t>
                  </w:r>
                </w:p>
              </w:tc>
              <w:tc>
                <w:tcPr>
                  <w:tcW w:w="17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trPr>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cs="Times New Roman"/>
                      <w:color w:val="auto"/>
                      <w:sz w:val="21"/>
                      <w:szCs w:val="21"/>
                      <w:lang w:val="en-US" w:eastAsia="zh-CN"/>
                    </w:rPr>
                  </w:pPr>
                  <w:r>
                    <w:rPr>
                      <w:rFonts w:hint="eastAsia" w:cs="Times New Roman"/>
                      <w:color w:val="auto"/>
                      <w:sz w:val="21"/>
                      <w:szCs w:val="21"/>
                      <w:lang w:val="en-US" w:eastAsia="zh-CN"/>
                    </w:rPr>
                    <w:t>5</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废气处理风机</w:t>
                  </w:r>
                </w:p>
              </w:tc>
              <w:tc>
                <w:tcPr>
                  <w:tcW w:w="18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Times New Roman" w:hAnsi="Times New Roman" w:cs="Times New Roman"/>
                      <w:color w:val="auto"/>
                      <w:sz w:val="21"/>
                      <w:szCs w:val="21"/>
                      <w:lang w:val="en-US" w:eastAsia="zh-CN"/>
                    </w:rPr>
                  </w:pPr>
                </w:p>
              </w:tc>
              <w:tc>
                <w:tcPr>
                  <w:tcW w:w="8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台</w:t>
                  </w:r>
                </w:p>
              </w:tc>
              <w:tc>
                <w:tcPr>
                  <w:tcW w:w="17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trPr>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cs="Times New Roman"/>
                      <w:color w:val="auto"/>
                      <w:sz w:val="21"/>
                      <w:szCs w:val="21"/>
                      <w:lang w:val="en-US" w:eastAsia="zh-CN"/>
                    </w:rPr>
                  </w:pPr>
                  <w:r>
                    <w:rPr>
                      <w:rFonts w:hint="eastAsia" w:cs="Times New Roman"/>
                      <w:color w:val="auto"/>
                      <w:sz w:val="21"/>
                      <w:szCs w:val="21"/>
                      <w:lang w:val="en-US" w:eastAsia="zh-CN"/>
                    </w:rPr>
                    <w:t>6</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cs="Times New Roman"/>
                      <w:color w:val="auto"/>
                      <w:sz w:val="21"/>
                      <w:szCs w:val="21"/>
                      <w:lang w:val="en-US" w:eastAsia="zh-CN"/>
                    </w:rPr>
                  </w:pPr>
                  <w:r>
                    <w:rPr>
                      <w:rFonts w:hint="eastAsia" w:cs="Times New Roman"/>
                      <w:color w:val="auto"/>
                      <w:sz w:val="21"/>
                      <w:szCs w:val="21"/>
                      <w:lang w:val="en-US" w:eastAsia="zh-CN"/>
                    </w:rPr>
                    <w:t>光氧处理设备</w:t>
                  </w:r>
                </w:p>
              </w:tc>
              <w:tc>
                <w:tcPr>
                  <w:tcW w:w="18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Times New Roman" w:hAnsi="Times New Roman" w:cs="Times New Roman"/>
                      <w:color w:val="auto"/>
                      <w:sz w:val="21"/>
                      <w:szCs w:val="21"/>
                      <w:lang w:val="en-US" w:eastAsia="zh-CN"/>
                    </w:rPr>
                  </w:pPr>
                </w:p>
              </w:tc>
              <w:tc>
                <w:tcPr>
                  <w:tcW w:w="8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台</w:t>
                  </w:r>
                </w:p>
              </w:tc>
              <w:tc>
                <w:tcPr>
                  <w:tcW w:w="17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1</w:t>
                  </w:r>
                </w:p>
              </w:tc>
            </w:tr>
          </w:tbl>
          <w:p>
            <w:pPr>
              <w:rPr>
                <w:rFonts w:hint="eastAsia"/>
                <w:b/>
                <w:bCs/>
                <w:color w:val="auto"/>
                <w:szCs w:val="21"/>
              </w:rPr>
            </w:pPr>
          </w:p>
          <w:p>
            <w:pPr>
              <w:adjustRightInd w:val="0"/>
              <w:snapToGrid w:val="0"/>
              <w:spacing w:line="360" w:lineRule="auto"/>
              <w:ind w:firstLine="480" w:firstLineChars="200"/>
              <w:rPr>
                <w:color w:val="auto"/>
                <w:sz w:val="24"/>
              </w:rPr>
            </w:pPr>
            <w:r>
              <w:rPr>
                <w:rFonts w:hint="eastAsia"/>
                <w:color w:val="auto"/>
                <w:sz w:val="24"/>
              </w:rPr>
              <w:t>经查《产业结构调整指导目录（2019年本）》，本项目设备均不属于淘汰落后生产工艺装备。</w:t>
            </w:r>
          </w:p>
          <w:p>
            <w:pPr>
              <w:adjustRightInd w:val="0"/>
              <w:snapToGrid w:val="0"/>
              <w:spacing w:line="360" w:lineRule="auto"/>
              <w:ind w:firstLine="480" w:firstLineChars="200"/>
              <w:rPr>
                <w:color w:val="auto"/>
                <w:sz w:val="24"/>
              </w:rPr>
            </w:pPr>
            <w:r>
              <w:rPr>
                <w:rFonts w:hint="eastAsia"/>
                <w:color w:val="auto"/>
                <w:sz w:val="24"/>
              </w:rPr>
              <w:t>（二）产品方案</w:t>
            </w:r>
          </w:p>
          <w:p>
            <w:pPr>
              <w:adjustRightInd w:val="0"/>
              <w:snapToGrid w:val="0"/>
              <w:spacing w:line="360" w:lineRule="auto"/>
              <w:ind w:firstLine="200"/>
              <w:rPr>
                <w:bCs/>
                <w:color w:val="auto"/>
                <w:sz w:val="24"/>
              </w:rPr>
            </w:pPr>
            <w:r>
              <w:rPr>
                <w:rFonts w:hint="eastAsia"/>
                <w:bCs/>
                <w:color w:val="auto"/>
                <w:sz w:val="24"/>
              </w:rPr>
              <w:t>主要产品方案见表2-</w:t>
            </w:r>
            <w:r>
              <w:rPr>
                <w:bCs/>
                <w:color w:val="auto"/>
                <w:sz w:val="24"/>
              </w:rPr>
              <w:t>3</w:t>
            </w:r>
            <w:r>
              <w:rPr>
                <w:rFonts w:hint="eastAsia"/>
                <w:bCs/>
                <w:color w:val="auto"/>
                <w:sz w:val="24"/>
              </w:rPr>
              <w:t>。</w:t>
            </w:r>
          </w:p>
          <w:p>
            <w:pPr>
              <w:pStyle w:val="50"/>
              <w:spacing w:before="24" w:after="24"/>
              <w:rPr>
                <w:b/>
                <w:bCs/>
                <w:color w:val="auto"/>
                <w:szCs w:val="21"/>
              </w:rPr>
            </w:pPr>
            <w:r>
              <w:rPr>
                <w:rFonts w:hint="eastAsia"/>
                <w:b/>
                <w:bCs/>
                <w:color w:val="auto"/>
                <w:szCs w:val="21"/>
              </w:rPr>
              <w:t>表2-</w:t>
            </w:r>
            <w:r>
              <w:rPr>
                <w:b/>
                <w:bCs/>
                <w:color w:val="auto"/>
                <w:szCs w:val="21"/>
              </w:rPr>
              <w:t>3</w:t>
            </w:r>
            <w:r>
              <w:rPr>
                <w:rFonts w:hint="eastAsia"/>
                <w:b/>
                <w:bCs/>
                <w:color w:val="auto"/>
                <w:szCs w:val="21"/>
              </w:rPr>
              <w:t>产品一览表</w:t>
            </w:r>
          </w:p>
          <w:tbl>
            <w:tblPr>
              <w:tblStyle w:val="2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89"/>
              <w:gridCol w:w="34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4389" w:type="dxa"/>
                  <w:tcBorders>
                    <w:tl2br w:val="nil"/>
                    <w:tr2bl w:val="nil"/>
                  </w:tcBorders>
                  <w:shd w:val="clear" w:color="auto" w:fill="auto"/>
                </w:tcPr>
                <w:p>
                  <w:pPr>
                    <w:adjustRightInd w:val="0"/>
                    <w:snapToGrid w:val="0"/>
                    <w:spacing w:line="360" w:lineRule="exact"/>
                    <w:jc w:val="center"/>
                    <w:rPr>
                      <w:color w:val="auto"/>
                    </w:rPr>
                  </w:pPr>
                  <w:r>
                    <w:rPr>
                      <w:color w:val="auto"/>
                    </w:rPr>
                    <w:t>产品名称</w:t>
                  </w:r>
                </w:p>
              </w:tc>
              <w:tc>
                <w:tcPr>
                  <w:tcW w:w="3444" w:type="dxa"/>
                  <w:tcBorders>
                    <w:tl2br w:val="nil"/>
                    <w:tr2bl w:val="nil"/>
                  </w:tcBorders>
                  <w:shd w:val="clear" w:color="auto" w:fill="auto"/>
                </w:tcPr>
                <w:p>
                  <w:pPr>
                    <w:adjustRightInd w:val="0"/>
                    <w:snapToGrid w:val="0"/>
                    <w:spacing w:line="360" w:lineRule="exact"/>
                    <w:jc w:val="center"/>
                    <w:rPr>
                      <w:color w:val="auto"/>
                    </w:rPr>
                  </w:pPr>
                  <w:r>
                    <w:rPr>
                      <w:color w:val="auto"/>
                    </w:rPr>
                    <w:t>规模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4389" w:type="dxa"/>
                  <w:tcBorders>
                    <w:tl2br w:val="nil"/>
                    <w:tr2bl w:val="nil"/>
                  </w:tcBorders>
                  <w:shd w:val="clear" w:color="auto" w:fill="auto"/>
                </w:tcPr>
                <w:p>
                  <w:pPr>
                    <w:adjustRightInd w:val="0"/>
                    <w:snapToGrid w:val="0"/>
                    <w:spacing w:line="360" w:lineRule="exact"/>
                    <w:jc w:val="center"/>
                    <w:rPr>
                      <w:rFonts w:hint="eastAsia" w:eastAsia="宋体"/>
                      <w:color w:val="auto"/>
                      <w:lang w:eastAsia="zh-CN"/>
                    </w:rPr>
                  </w:pPr>
                  <w:r>
                    <w:rPr>
                      <w:rFonts w:hint="eastAsia"/>
                      <w:color w:val="auto"/>
                      <w:lang w:val="en-US" w:eastAsia="zh-CN"/>
                    </w:rPr>
                    <w:t>珍珠棉</w:t>
                  </w:r>
                </w:p>
              </w:tc>
              <w:tc>
                <w:tcPr>
                  <w:tcW w:w="3444" w:type="dxa"/>
                  <w:tcBorders>
                    <w:tl2br w:val="nil"/>
                    <w:tr2bl w:val="nil"/>
                  </w:tcBorders>
                  <w:shd w:val="clear" w:color="auto" w:fill="auto"/>
                </w:tcPr>
                <w:p>
                  <w:pPr>
                    <w:adjustRightInd w:val="0"/>
                    <w:snapToGrid w:val="0"/>
                    <w:spacing w:line="360" w:lineRule="exact"/>
                    <w:jc w:val="center"/>
                    <w:rPr>
                      <w:color w:val="auto"/>
                    </w:rPr>
                  </w:pPr>
                  <w:r>
                    <w:rPr>
                      <w:rFonts w:hint="eastAsia"/>
                      <w:color w:val="auto"/>
                      <w:lang w:eastAsia="zh-CN"/>
                    </w:rPr>
                    <w:t>100吨</w:t>
                  </w:r>
                  <w:r>
                    <w:rPr>
                      <w:color w:val="auto"/>
                    </w:rPr>
                    <w:t>/年</w:t>
                  </w:r>
                </w:p>
              </w:tc>
            </w:tr>
          </w:tbl>
          <w:p>
            <w:pPr>
              <w:rPr>
                <w:color w:val="auto"/>
              </w:rPr>
            </w:pPr>
          </w:p>
          <w:p>
            <w:pPr>
              <w:adjustRightInd w:val="0"/>
              <w:snapToGrid w:val="0"/>
              <w:spacing w:line="360" w:lineRule="auto"/>
              <w:ind w:firstLine="480" w:firstLineChars="200"/>
              <w:rPr>
                <w:color w:val="auto"/>
                <w:sz w:val="24"/>
              </w:rPr>
            </w:pPr>
            <w:r>
              <w:rPr>
                <w:rFonts w:hint="eastAsia"/>
                <w:color w:val="auto"/>
                <w:sz w:val="24"/>
              </w:rPr>
              <w:t>（三）主要原辅材料</w:t>
            </w:r>
          </w:p>
          <w:p>
            <w:pPr>
              <w:widowControl/>
              <w:adjustRightInd w:val="0"/>
              <w:snapToGrid w:val="0"/>
              <w:spacing w:line="360" w:lineRule="auto"/>
              <w:ind w:firstLine="480" w:firstLineChars="200"/>
              <w:rPr>
                <w:color w:val="auto"/>
                <w:sz w:val="24"/>
              </w:rPr>
            </w:pPr>
            <w:r>
              <w:rPr>
                <w:rFonts w:hint="eastAsia"/>
                <w:color w:val="auto"/>
                <w:sz w:val="24"/>
              </w:rPr>
              <w:t>本项目主要原辅材料消耗情况见表2-</w:t>
            </w:r>
            <w:r>
              <w:rPr>
                <w:color w:val="auto"/>
                <w:sz w:val="24"/>
              </w:rPr>
              <w:t>4</w:t>
            </w:r>
            <w:r>
              <w:rPr>
                <w:rFonts w:hint="eastAsia"/>
                <w:color w:val="auto"/>
                <w:sz w:val="24"/>
              </w:rPr>
              <w:t>。</w:t>
            </w:r>
          </w:p>
          <w:p>
            <w:pPr>
              <w:adjustRightInd w:val="0"/>
              <w:snapToGrid w:val="0"/>
              <w:jc w:val="center"/>
              <w:rPr>
                <w:rFonts w:hint="eastAsia"/>
                <w:b/>
                <w:bCs/>
                <w:color w:val="auto"/>
              </w:rPr>
            </w:pPr>
            <w:r>
              <w:rPr>
                <w:rFonts w:hint="eastAsia"/>
                <w:b/>
                <w:bCs/>
                <w:color w:val="auto"/>
              </w:rPr>
              <w:t>表2-</w:t>
            </w:r>
            <w:r>
              <w:rPr>
                <w:b/>
                <w:bCs/>
                <w:color w:val="auto"/>
              </w:rPr>
              <w:t>4</w:t>
            </w:r>
            <w:r>
              <w:rPr>
                <w:rFonts w:hint="eastAsia"/>
                <w:b/>
                <w:bCs/>
                <w:color w:val="auto"/>
              </w:rPr>
              <w:t>主要原辅材料消耗情况一览表</w:t>
            </w:r>
          </w:p>
          <w:tbl>
            <w:tblPr>
              <w:tblStyle w:val="2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14"/>
              <w:gridCol w:w="2364"/>
              <w:gridCol w:w="1371"/>
              <w:gridCol w:w="1709"/>
              <w:gridCol w:w="14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exact"/>
              </w:trPr>
              <w:tc>
                <w:tcPr>
                  <w:tcW w:w="10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pacing w:val="12"/>
                      <w:sz w:val="21"/>
                      <w:szCs w:val="21"/>
                    </w:rPr>
                  </w:pPr>
                  <w:r>
                    <w:rPr>
                      <w:rFonts w:hint="default" w:ascii="Times New Roman" w:hAnsi="Times New Roman" w:cs="Times New Roman"/>
                      <w:color w:val="auto"/>
                      <w:spacing w:val="12"/>
                      <w:sz w:val="21"/>
                      <w:szCs w:val="21"/>
                    </w:rPr>
                    <w:t>序号</w:t>
                  </w:r>
                </w:p>
              </w:tc>
              <w:tc>
                <w:tcPr>
                  <w:tcW w:w="23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pacing w:val="12"/>
                      <w:sz w:val="21"/>
                      <w:szCs w:val="21"/>
                    </w:rPr>
                  </w:pPr>
                  <w:r>
                    <w:rPr>
                      <w:rFonts w:hint="default" w:ascii="Times New Roman" w:hAnsi="Times New Roman" w:cs="Times New Roman"/>
                      <w:color w:val="auto"/>
                      <w:spacing w:val="12"/>
                      <w:sz w:val="21"/>
                      <w:szCs w:val="21"/>
                    </w:rPr>
                    <w:t>名称</w:t>
                  </w:r>
                </w:p>
              </w:tc>
              <w:tc>
                <w:tcPr>
                  <w:tcW w:w="13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pacing w:val="12"/>
                      <w:sz w:val="21"/>
                      <w:szCs w:val="21"/>
                    </w:rPr>
                  </w:pPr>
                  <w:r>
                    <w:rPr>
                      <w:rFonts w:hint="default" w:ascii="Times New Roman" w:hAnsi="Times New Roman" w:cs="Times New Roman"/>
                      <w:color w:val="auto"/>
                      <w:spacing w:val="12"/>
                      <w:sz w:val="21"/>
                      <w:szCs w:val="21"/>
                    </w:rPr>
                    <w:t>单位</w:t>
                  </w:r>
                </w:p>
              </w:tc>
              <w:tc>
                <w:tcPr>
                  <w:tcW w:w="17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pacing w:val="12"/>
                      <w:sz w:val="21"/>
                      <w:szCs w:val="21"/>
                    </w:rPr>
                  </w:pPr>
                  <w:r>
                    <w:rPr>
                      <w:rFonts w:hint="default" w:ascii="Times New Roman" w:hAnsi="Times New Roman" w:cs="Times New Roman"/>
                      <w:color w:val="auto"/>
                      <w:spacing w:val="12"/>
                      <w:sz w:val="21"/>
                      <w:szCs w:val="21"/>
                    </w:rPr>
                    <w:t>年消耗量</w:t>
                  </w:r>
                </w:p>
              </w:tc>
              <w:tc>
                <w:tcPr>
                  <w:tcW w:w="1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pacing w:val="12"/>
                      <w:sz w:val="21"/>
                      <w:szCs w:val="21"/>
                    </w:rPr>
                  </w:pPr>
                  <w:r>
                    <w:rPr>
                      <w:rFonts w:hint="default" w:ascii="Times New Roman" w:hAnsi="Times New Roman" w:cs="Times New Roman"/>
                      <w:color w:val="auto"/>
                      <w:spacing w:val="12"/>
                      <w:sz w:val="21"/>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exact"/>
              </w:trPr>
              <w:tc>
                <w:tcPr>
                  <w:tcW w:w="10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pacing w:val="12"/>
                      <w:sz w:val="21"/>
                      <w:szCs w:val="21"/>
                    </w:rPr>
                  </w:pPr>
                  <w:r>
                    <w:rPr>
                      <w:rFonts w:hint="default" w:ascii="Times New Roman" w:hAnsi="Times New Roman" w:cs="Times New Roman"/>
                      <w:color w:val="auto"/>
                      <w:spacing w:val="12"/>
                      <w:sz w:val="21"/>
                      <w:szCs w:val="21"/>
                    </w:rPr>
                    <w:t>1</w:t>
                  </w:r>
                </w:p>
              </w:tc>
              <w:tc>
                <w:tcPr>
                  <w:tcW w:w="23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pacing w:val="12"/>
                      <w:sz w:val="21"/>
                      <w:szCs w:val="21"/>
                      <w:lang w:eastAsia="zh-CN"/>
                    </w:rPr>
                  </w:pPr>
                  <w:r>
                    <w:rPr>
                      <w:rFonts w:hint="default" w:ascii="Times New Roman" w:hAnsi="Times New Roman" w:eastAsia="宋体" w:cs="Times New Roman"/>
                      <w:color w:val="auto"/>
                      <w:spacing w:val="12"/>
                      <w:sz w:val="21"/>
                      <w:szCs w:val="21"/>
                      <w:lang w:eastAsia="zh-CN"/>
                    </w:rPr>
                    <w:t>聚乙烯颗粒</w:t>
                  </w:r>
                </w:p>
              </w:tc>
              <w:tc>
                <w:tcPr>
                  <w:tcW w:w="13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pacing w:val="12"/>
                      <w:sz w:val="21"/>
                      <w:szCs w:val="21"/>
                    </w:rPr>
                  </w:pPr>
                  <w:r>
                    <w:rPr>
                      <w:rFonts w:hint="default" w:ascii="Times New Roman" w:hAnsi="Times New Roman" w:cs="Times New Roman"/>
                      <w:color w:val="auto"/>
                      <w:sz w:val="21"/>
                      <w:szCs w:val="21"/>
                    </w:rPr>
                    <w:t>吨/年</w:t>
                  </w:r>
                </w:p>
              </w:tc>
              <w:tc>
                <w:tcPr>
                  <w:tcW w:w="17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pacing w:val="12"/>
                      <w:sz w:val="21"/>
                      <w:szCs w:val="21"/>
                      <w:lang w:val="en-US" w:eastAsia="zh-CN"/>
                    </w:rPr>
                  </w:pPr>
                  <w:r>
                    <w:rPr>
                      <w:rFonts w:hint="eastAsia" w:ascii="Times New Roman" w:hAnsi="Times New Roman" w:eastAsia="宋体" w:cs="Times New Roman"/>
                      <w:color w:val="auto"/>
                      <w:spacing w:val="12"/>
                      <w:sz w:val="21"/>
                      <w:szCs w:val="21"/>
                      <w:lang w:val="en-US" w:eastAsia="zh-CN"/>
                    </w:rPr>
                    <w:t>9</w:t>
                  </w:r>
                  <w:r>
                    <w:rPr>
                      <w:rFonts w:hint="eastAsia" w:cs="Times New Roman"/>
                      <w:color w:val="auto"/>
                      <w:spacing w:val="12"/>
                      <w:sz w:val="21"/>
                      <w:szCs w:val="21"/>
                      <w:lang w:val="en-US" w:eastAsia="zh-CN"/>
                    </w:rPr>
                    <w:t>1.55</w:t>
                  </w:r>
                </w:p>
              </w:tc>
              <w:tc>
                <w:tcPr>
                  <w:tcW w:w="1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pacing w:val="12"/>
                      <w:sz w:val="21"/>
                      <w:szCs w:val="21"/>
                    </w:rPr>
                  </w:pPr>
                  <w:r>
                    <w:rPr>
                      <w:rFonts w:hint="default" w:ascii="Times New Roman" w:hAnsi="Times New Roman" w:cs="Times New Roman"/>
                      <w:color w:val="auto"/>
                      <w:sz w:val="21"/>
                      <w:szCs w:val="21"/>
                    </w:rPr>
                    <w:t>外购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exact"/>
              </w:trPr>
              <w:tc>
                <w:tcPr>
                  <w:tcW w:w="10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pacing w:val="12"/>
                      <w:sz w:val="21"/>
                      <w:szCs w:val="21"/>
                      <w:lang w:val="en-US" w:eastAsia="zh-CN"/>
                    </w:rPr>
                  </w:pPr>
                  <w:r>
                    <w:rPr>
                      <w:rFonts w:hint="default" w:ascii="Times New Roman" w:hAnsi="Times New Roman" w:cs="Times New Roman"/>
                      <w:color w:val="auto"/>
                      <w:spacing w:val="12"/>
                      <w:sz w:val="21"/>
                      <w:szCs w:val="21"/>
                      <w:lang w:val="en-US" w:eastAsia="zh-CN"/>
                    </w:rPr>
                    <w:t>2</w:t>
                  </w:r>
                </w:p>
              </w:tc>
              <w:tc>
                <w:tcPr>
                  <w:tcW w:w="23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pacing w:val="12"/>
                      <w:sz w:val="21"/>
                      <w:szCs w:val="21"/>
                      <w:lang w:val="en-US" w:eastAsia="zh-CN"/>
                    </w:rPr>
                  </w:pPr>
                  <w:r>
                    <w:rPr>
                      <w:rFonts w:hint="eastAsia" w:cs="Times New Roman"/>
                      <w:color w:val="auto"/>
                      <w:spacing w:val="12"/>
                      <w:sz w:val="21"/>
                      <w:szCs w:val="21"/>
                      <w:lang w:val="en-US" w:eastAsia="zh-CN"/>
                    </w:rPr>
                    <w:t>发泡母粒</w:t>
                  </w:r>
                </w:p>
              </w:tc>
              <w:tc>
                <w:tcPr>
                  <w:tcW w:w="13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吨/年</w:t>
                  </w:r>
                </w:p>
              </w:tc>
              <w:tc>
                <w:tcPr>
                  <w:tcW w:w="17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pacing w:val="12"/>
                      <w:sz w:val="21"/>
                      <w:szCs w:val="21"/>
                      <w:lang w:val="en-US" w:eastAsia="zh-CN"/>
                    </w:rPr>
                  </w:pPr>
                  <w:r>
                    <w:rPr>
                      <w:rFonts w:hint="eastAsia" w:cs="Times New Roman"/>
                      <w:color w:val="auto"/>
                      <w:spacing w:val="12"/>
                      <w:sz w:val="21"/>
                      <w:szCs w:val="21"/>
                      <w:lang w:val="en-US" w:eastAsia="zh-CN"/>
                    </w:rPr>
                    <w:t>5</w:t>
                  </w:r>
                </w:p>
              </w:tc>
              <w:tc>
                <w:tcPr>
                  <w:tcW w:w="1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外购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exact"/>
              </w:trPr>
              <w:tc>
                <w:tcPr>
                  <w:tcW w:w="10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pacing w:val="12"/>
                      <w:sz w:val="21"/>
                      <w:szCs w:val="21"/>
                      <w:lang w:val="en-US" w:eastAsia="zh-CN"/>
                    </w:rPr>
                  </w:pPr>
                  <w:r>
                    <w:rPr>
                      <w:rFonts w:hint="default" w:ascii="Times New Roman" w:hAnsi="Times New Roman" w:cs="Times New Roman"/>
                      <w:color w:val="auto"/>
                      <w:spacing w:val="12"/>
                      <w:sz w:val="21"/>
                      <w:szCs w:val="21"/>
                      <w:lang w:val="en-US" w:eastAsia="zh-CN"/>
                    </w:rPr>
                    <w:t>3</w:t>
                  </w:r>
                </w:p>
              </w:tc>
              <w:tc>
                <w:tcPr>
                  <w:tcW w:w="23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pacing w:val="12"/>
                      <w:sz w:val="21"/>
                      <w:szCs w:val="21"/>
                      <w:lang w:val="en-US" w:eastAsia="zh-CN"/>
                    </w:rPr>
                  </w:pPr>
                  <w:r>
                    <w:rPr>
                      <w:rFonts w:hint="default" w:ascii="Times New Roman" w:hAnsi="Times New Roman" w:cs="Times New Roman"/>
                      <w:color w:val="auto"/>
                      <w:spacing w:val="12"/>
                      <w:sz w:val="21"/>
                      <w:szCs w:val="21"/>
                      <w:lang w:val="en-US" w:eastAsia="zh-CN"/>
                    </w:rPr>
                    <w:t>丁烷</w:t>
                  </w:r>
                </w:p>
              </w:tc>
              <w:tc>
                <w:tcPr>
                  <w:tcW w:w="13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吨/年</w:t>
                  </w:r>
                </w:p>
              </w:tc>
              <w:tc>
                <w:tcPr>
                  <w:tcW w:w="17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pacing w:val="12"/>
                      <w:sz w:val="21"/>
                      <w:szCs w:val="21"/>
                      <w:lang w:val="en-US" w:eastAsia="zh-CN"/>
                    </w:rPr>
                  </w:pPr>
                  <w:r>
                    <w:rPr>
                      <w:rFonts w:hint="eastAsia" w:cs="Times New Roman"/>
                      <w:color w:val="auto"/>
                      <w:spacing w:val="12"/>
                      <w:sz w:val="21"/>
                      <w:szCs w:val="21"/>
                      <w:lang w:val="en-US" w:eastAsia="zh-CN"/>
                    </w:rPr>
                    <w:t>1.5</w:t>
                  </w:r>
                </w:p>
              </w:tc>
              <w:tc>
                <w:tcPr>
                  <w:tcW w:w="1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外购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exact"/>
              </w:trPr>
              <w:tc>
                <w:tcPr>
                  <w:tcW w:w="10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pacing w:val="12"/>
                      <w:sz w:val="21"/>
                      <w:szCs w:val="21"/>
                      <w:lang w:val="en-US" w:eastAsia="zh-CN"/>
                    </w:rPr>
                  </w:pPr>
                  <w:r>
                    <w:rPr>
                      <w:rFonts w:hint="eastAsia" w:cs="Times New Roman"/>
                      <w:color w:val="auto"/>
                      <w:spacing w:val="12"/>
                      <w:sz w:val="21"/>
                      <w:szCs w:val="21"/>
                      <w:lang w:val="en-US" w:eastAsia="zh-CN"/>
                    </w:rPr>
                    <w:t>4</w:t>
                  </w:r>
                </w:p>
              </w:tc>
              <w:tc>
                <w:tcPr>
                  <w:tcW w:w="23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pacing w:val="12"/>
                      <w:sz w:val="21"/>
                      <w:szCs w:val="21"/>
                      <w:lang w:val="en-US" w:eastAsia="zh-CN"/>
                    </w:rPr>
                  </w:pPr>
                  <w:r>
                    <w:rPr>
                      <w:rFonts w:hint="eastAsia" w:cs="Times New Roman"/>
                      <w:color w:val="auto"/>
                      <w:spacing w:val="12"/>
                      <w:sz w:val="21"/>
                      <w:szCs w:val="21"/>
                      <w:lang w:val="en-US" w:eastAsia="zh-CN"/>
                    </w:rPr>
                    <w:t>活性炭</w:t>
                  </w:r>
                </w:p>
              </w:tc>
              <w:tc>
                <w:tcPr>
                  <w:tcW w:w="13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吨/年</w:t>
                  </w:r>
                </w:p>
              </w:tc>
              <w:tc>
                <w:tcPr>
                  <w:tcW w:w="17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cs="Times New Roman"/>
                      <w:color w:val="auto"/>
                      <w:spacing w:val="12"/>
                      <w:sz w:val="21"/>
                      <w:szCs w:val="21"/>
                      <w:lang w:val="en-US" w:eastAsia="zh-CN"/>
                    </w:rPr>
                  </w:pPr>
                  <w:r>
                    <w:rPr>
                      <w:rFonts w:hint="eastAsia" w:cs="Times New Roman"/>
                      <w:color w:val="auto"/>
                      <w:spacing w:val="12"/>
                      <w:sz w:val="21"/>
                      <w:szCs w:val="21"/>
                      <w:lang w:val="en-US" w:eastAsia="zh-CN"/>
                    </w:rPr>
                    <w:t>0.33</w:t>
                  </w:r>
                </w:p>
              </w:tc>
              <w:tc>
                <w:tcPr>
                  <w:tcW w:w="1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外购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exact"/>
              </w:trPr>
              <w:tc>
                <w:tcPr>
                  <w:tcW w:w="10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cs="Times New Roman"/>
                      <w:color w:val="auto"/>
                      <w:spacing w:val="12"/>
                      <w:sz w:val="21"/>
                      <w:szCs w:val="21"/>
                      <w:lang w:val="en-US" w:eastAsia="zh-CN"/>
                    </w:rPr>
                  </w:pPr>
                  <w:r>
                    <w:rPr>
                      <w:rFonts w:hint="eastAsia" w:cs="Times New Roman"/>
                      <w:color w:val="auto"/>
                      <w:spacing w:val="12"/>
                      <w:sz w:val="21"/>
                      <w:szCs w:val="21"/>
                      <w:lang w:val="en-US" w:eastAsia="zh-CN"/>
                    </w:rPr>
                    <w:t>5</w:t>
                  </w:r>
                </w:p>
              </w:tc>
              <w:tc>
                <w:tcPr>
                  <w:tcW w:w="23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cs="Times New Roman"/>
                      <w:color w:val="auto"/>
                      <w:spacing w:val="12"/>
                      <w:sz w:val="21"/>
                      <w:szCs w:val="21"/>
                      <w:lang w:val="en-US" w:eastAsia="zh-CN"/>
                    </w:rPr>
                  </w:pPr>
                  <w:r>
                    <w:rPr>
                      <w:rFonts w:hint="eastAsia" w:cs="Times New Roman"/>
                      <w:color w:val="auto"/>
                      <w:spacing w:val="12"/>
                      <w:sz w:val="21"/>
                      <w:szCs w:val="21"/>
                      <w:lang w:val="en-US" w:eastAsia="zh-CN"/>
                    </w:rPr>
                    <w:t>UV灯管</w:t>
                  </w:r>
                </w:p>
              </w:tc>
              <w:tc>
                <w:tcPr>
                  <w:tcW w:w="13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支/年</w:t>
                  </w:r>
                </w:p>
              </w:tc>
              <w:tc>
                <w:tcPr>
                  <w:tcW w:w="17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cs="Times New Roman"/>
                      <w:color w:val="auto"/>
                      <w:spacing w:val="12"/>
                      <w:sz w:val="21"/>
                      <w:szCs w:val="21"/>
                      <w:lang w:val="en-US" w:eastAsia="zh-CN"/>
                    </w:rPr>
                  </w:pPr>
                  <w:r>
                    <w:rPr>
                      <w:rFonts w:hint="eastAsia" w:cs="Times New Roman"/>
                      <w:color w:val="auto"/>
                      <w:spacing w:val="12"/>
                      <w:sz w:val="21"/>
                      <w:szCs w:val="21"/>
                      <w:lang w:val="en-US" w:eastAsia="zh-CN"/>
                    </w:rPr>
                    <w:t>40</w:t>
                  </w:r>
                </w:p>
              </w:tc>
              <w:tc>
                <w:tcPr>
                  <w:tcW w:w="1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外购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exact"/>
              </w:trPr>
              <w:tc>
                <w:tcPr>
                  <w:tcW w:w="10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pacing w:val="12"/>
                      <w:sz w:val="21"/>
                      <w:szCs w:val="21"/>
                      <w:lang w:eastAsia="zh-CN"/>
                    </w:rPr>
                  </w:pPr>
                  <w:r>
                    <w:rPr>
                      <w:rFonts w:hint="eastAsia" w:cs="Times New Roman"/>
                      <w:color w:val="auto"/>
                      <w:spacing w:val="12"/>
                      <w:sz w:val="21"/>
                      <w:szCs w:val="21"/>
                      <w:lang w:val="en-US" w:eastAsia="zh-CN"/>
                    </w:rPr>
                    <w:t>6</w:t>
                  </w:r>
                </w:p>
              </w:tc>
              <w:tc>
                <w:tcPr>
                  <w:tcW w:w="23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pacing w:val="12"/>
                      <w:sz w:val="21"/>
                      <w:szCs w:val="21"/>
                      <w:lang w:val="en-US" w:eastAsia="zh-CN"/>
                    </w:rPr>
                  </w:pPr>
                  <w:r>
                    <w:rPr>
                      <w:rFonts w:hint="default" w:ascii="Times New Roman" w:hAnsi="Times New Roman" w:eastAsia="宋体" w:cs="Times New Roman"/>
                      <w:color w:val="auto"/>
                      <w:spacing w:val="12"/>
                      <w:sz w:val="21"/>
                      <w:szCs w:val="21"/>
                      <w:lang w:val="en-US" w:eastAsia="zh-CN"/>
                    </w:rPr>
                    <w:t>水</w:t>
                  </w:r>
                </w:p>
              </w:tc>
              <w:tc>
                <w:tcPr>
                  <w:tcW w:w="13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pacing w:val="12"/>
                      <w:sz w:val="21"/>
                      <w:szCs w:val="21"/>
                    </w:rPr>
                  </w:pPr>
                  <w:r>
                    <w:rPr>
                      <w:rFonts w:hint="default" w:ascii="Times New Roman" w:hAnsi="Times New Roman" w:cs="Times New Roman"/>
                      <w:color w:val="auto"/>
                      <w:sz w:val="21"/>
                      <w:szCs w:val="21"/>
                    </w:rPr>
                    <w:t>吨/年</w:t>
                  </w:r>
                </w:p>
              </w:tc>
              <w:tc>
                <w:tcPr>
                  <w:tcW w:w="17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pacing w:val="12"/>
                      <w:sz w:val="21"/>
                      <w:szCs w:val="21"/>
                      <w:lang w:val="en-US" w:eastAsia="zh-CN"/>
                    </w:rPr>
                  </w:pPr>
                  <w:r>
                    <w:rPr>
                      <w:rFonts w:hint="eastAsia" w:cs="Times New Roman"/>
                      <w:color w:val="auto"/>
                      <w:spacing w:val="12"/>
                      <w:sz w:val="21"/>
                      <w:szCs w:val="21"/>
                      <w:lang w:val="en-US" w:eastAsia="zh-CN"/>
                    </w:rPr>
                    <w:t>330</w:t>
                  </w:r>
                </w:p>
              </w:tc>
              <w:tc>
                <w:tcPr>
                  <w:tcW w:w="1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pacing w:val="12"/>
                      <w:sz w:val="21"/>
                      <w:szCs w:val="21"/>
                      <w:lang w:eastAsia="zh-CN"/>
                    </w:rPr>
                  </w:pPr>
                  <w:r>
                    <w:rPr>
                      <w:rFonts w:hint="default" w:ascii="Times New Roman" w:hAnsi="Times New Roman" w:cs="Times New Roman"/>
                      <w:color w:val="auto"/>
                      <w:sz w:val="21"/>
                      <w:szCs w:val="21"/>
                      <w:lang w:val="en-US" w:eastAsia="zh-CN"/>
                    </w:rPr>
                    <w:t>市政供水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1" w:hRule="exact"/>
              </w:trPr>
              <w:tc>
                <w:tcPr>
                  <w:tcW w:w="10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pacing w:val="12"/>
                      <w:sz w:val="21"/>
                      <w:szCs w:val="21"/>
                      <w:lang w:val="en-US" w:eastAsia="zh-CN"/>
                    </w:rPr>
                  </w:pPr>
                  <w:r>
                    <w:rPr>
                      <w:rFonts w:hint="eastAsia" w:cs="Times New Roman"/>
                      <w:color w:val="auto"/>
                      <w:spacing w:val="12"/>
                      <w:sz w:val="21"/>
                      <w:szCs w:val="21"/>
                      <w:lang w:val="en-US" w:eastAsia="zh-CN"/>
                    </w:rPr>
                    <w:t>7</w:t>
                  </w:r>
                </w:p>
              </w:tc>
              <w:tc>
                <w:tcPr>
                  <w:tcW w:w="23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w:t>
                  </w:r>
                </w:p>
              </w:tc>
              <w:tc>
                <w:tcPr>
                  <w:tcW w:w="13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万度/年</w:t>
                  </w:r>
                </w:p>
              </w:tc>
              <w:tc>
                <w:tcPr>
                  <w:tcW w:w="17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w:t>
                  </w:r>
                </w:p>
              </w:tc>
              <w:tc>
                <w:tcPr>
                  <w:tcW w:w="1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市政供电</w:t>
                  </w:r>
                </w:p>
              </w:tc>
            </w:tr>
          </w:tbl>
          <w:p>
            <w:pPr>
              <w:rPr>
                <w:rFonts w:hint="eastAsia"/>
                <w:b/>
                <w:bCs/>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2"/>
                <w:lang w:val="en-US" w:eastAsia="zh-CN"/>
              </w:rPr>
            </w:pPr>
            <w:r>
              <w:rPr>
                <w:rFonts w:hint="default" w:ascii="Times New Roman" w:hAnsi="Times New Roman" w:cs="Times New Roman"/>
                <w:color w:val="auto"/>
                <w:sz w:val="24"/>
                <w:szCs w:val="22"/>
                <w:lang w:val="en-US" w:eastAsia="zh-CN"/>
              </w:rPr>
              <w:fldChar w:fldCharType="begin"/>
            </w:r>
            <w:r>
              <w:rPr>
                <w:rFonts w:hint="default" w:ascii="Times New Roman" w:hAnsi="Times New Roman" w:cs="Times New Roman"/>
                <w:color w:val="auto"/>
                <w:sz w:val="24"/>
                <w:szCs w:val="22"/>
                <w:lang w:val="en-US" w:eastAsia="zh-CN"/>
              </w:rPr>
              <w:instrText xml:space="preserve"> HYPERLINK "https://baike.baidu.com/item/%E8%81%9A%E4%B9%99%E7%83%AF" \t "https://baike.baidu.com/item/%E4%BD%8E%E5%AF%86%E5%BA%A6%E8%81%9A%E4%B9%99%E7%83%AF/_blank" </w:instrText>
            </w:r>
            <w:r>
              <w:rPr>
                <w:rFonts w:hint="default" w:ascii="Times New Roman" w:hAnsi="Times New Roman" w:cs="Times New Roman"/>
                <w:color w:val="auto"/>
                <w:sz w:val="24"/>
                <w:szCs w:val="22"/>
                <w:lang w:val="en-US" w:eastAsia="zh-CN"/>
              </w:rPr>
              <w:fldChar w:fldCharType="separate"/>
            </w:r>
            <w:r>
              <w:rPr>
                <w:rFonts w:hint="default" w:ascii="Times New Roman" w:hAnsi="Times New Roman" w:cs="Times New Roman"/>
                <w:color w:val="auto"/>
                <w:sz w:val="24"/>
                <w:szCs w:val="22"/>
                <w:lang w:val="en-US" w:eastAsia="zh-CN"/>
              </w:rPr>
              <w:t>聚乙烯</w:t>
            </w:r>
            <w:r>
              <w:rPr>
                <w:rFonts w:hint="default" w:ascii="Times New Roman" w:hAnsi="Times New Roman" w:cs="Times New Roman"/>
                <w:color w:val="auto"/>
                <w:sz w:val="24"/>
                <w:szCs w:val="22"/>
                <w:lang w:val="en-US" w:eastAsia="zh-CN"/>
              </w:rPr>
              <w:fldChar w:fldCharType="end"/>
            </w:r>
            <w:r>
              <w:rPr>
                <w:rFonts w:hint="default" w:ascii="Times New Roman" w:hAnsi="Times New Roman" w:cs="Times New Roman"/>
                <w:color w:val="auto"/>
                <w:sz w:val="24"/>
                <w:szCs w:val="22"/>
                <w:lang w:val="en-US" w:eastAsia="zh-CN"/>
              </w:rPr>
              <w:t>（LDPE）：是低密度</w:t>
            </w:r>
            <w:r>
              <w:rPr>
                <w:rFonts w:hint="default" w:ascii="Times New Roman" w:hAnsi="Times New Roman" w:cs="Times New Roman"/>
                <w:color w:val="auto"/>
                <w:sz w:val="24"/>
                <w:szCs w:val="22"/>
                <w:lang w:val="en-US" w:eastAsia="zh-CN"/>
              </w:rPr>
              <w:fldChar w:fldCharType="begin"/>
            </w:r>
            <w:r>
              <w:rPr>
                <w:rFonts w:hint="default" w:ascii="Times New Roman" w:hAnsi="Times New Roman" w:cs="Times New Roman"/>
                <w:color w:val="auto"/>
                <w:sz w:val="24"/>
                <w:szCs w:val="22"/>
                <w:lang w:val="en-US" w:eastAsia="zh-CN"/>
              </w:rPr>
              <w:instrText xml:space="preserve"> HYPERLINK "https://baike.baidu.com/item/%E8%81%9A%E4%B9%99%E7%83%AF" \t "https://baike.baidu.com/item/%E4%BD%8E%E5%AF%86%E5%BA%A6%E8%81%9A%E4%B9%99%E7%83%AF/_blank" </w:instrText>
            </w:r>
            <w:r>
              <w:rPr>
                <w:rFonts w:hint="default" w:ascii="Times New Roman" w:hAnsi="Times New Roman" w:cs="Times New Roman"/>
                <w:color w:val="auto"/>
                <w:sz w:val="24"/>
                <w:szCs w:val="22"/>
                <w:lang w:val="en-US" w:eastAsia="zh-CN"/>
              </w:rPr>
              <w:fldChar w:fldCharType="separate"/>
            </w:r>
            <w:r>
              <w:rPr>
                <w:rFonts w:hint="default" w:ascii="Times New Roman" w:hAnsi="Times New Roman" w:cs="Times New Roman"/>
                <w:color w:val="auto"/>
                <w:sz w:val="24"/>
                <w:szCs w:val="22"/>
                <w:lang w:val="en-US" w:eastAsia="zh-CN"/>
              </w:rPr>
              <w:t>聚乙烯</w:t>
            </w:r>
            <w:r>
              <w:rPr>
                <w:rFonts w:hint="default" w:ascii="Times New Roman" w:hAnsi="Times New Roman" w:cs="Times New Roman"/>
                <w:color w:val="auto"/>
                <w:sz w:val="24"/>
                <w:szCs w:val="22"/>
                <w:lang w:val="en-US" w:eastAsia="zh-CN"/>
              </w:rPr>
              <w:fldChar w:fldCharType="end"/>
            </w:r>
            <w:r>
              <w:rPr>
                <w:rFonts w:hint="default" w:ascii="Times New Roman" w:hAnsi="Times New Roman" w:cs="Times New Roman"/>
                <w:color w:val="auto"/>
                <w:sz w:val="24"/>
                <w:szCs w:val="22"/>
                <w:lang w:val="en-US" w:eastAsia="zh-CN"/>
              </w:rPr>
              <w:t>又称</w:t>
            </w:r>
            <w:r>
              <w:rPr>
                <w:rFonts w:hint="default" w:ascii="Times New Roman" w:hAnsi="Times New Roman" w:cs="Times New Roman"/>
                <w:color w:val="auto"/>
                <w:sz w:val="24"/>
                <w:szCs w:val="22"/>
                <w:lang w:val="en-US" w:eastAsia="zh-CN"/>
              </w:rPr>
              <w:fldChar w:fldCharType="begin"/>
            </w:r>
            <w:r>
              <w:rPr>
                <w:rFonts w:hint="default" w:ascii="Times New Roman" w:hAnsi="Times New Roman" w:cs="Times New Roman"/>
                <w:color w:val="auto"/>
                <w:sz w:val="24"/>
                <w:szCs w:val="22"/>
                <w:lang w:val="en-US" w:eastAsia="zh-CN"/>
              </w:rPr>
              <w:instrText xml:space="preserve"> HYPERLINK "https://baike.baidu.com/item/%E9%AB%98%E5%8E%8B%E8%81%9A%E4%B9%99%E7%83%AF/6038254" \t "https://baike.baidu.com/item/%E4%BD%8E%E5%AF%86%E5%BA%A6%E8%81%9A%E4%B9%99%E7%83%AF/_blank" </w:instrText>
            </w:r>
            <w:r>
              <w:rPr>
                <w:rFonts w:hint="default" w:ascii="Times New Roman" w:hAnsi="Times New Roman" w:cs="Times New Roman"/>
                <w:color w:val="auto"/>
                <w:sz w:val="24"/>
                <w:szCs w:val="22"/>
                <w:lang w:val="en-US" w:eastAsia="zh-CN"/>
              </w:rPr>
              <w:fldChar w:fldCharType="separate"/>
            </w:r>
            <w:r>
              <w:rPr>
                <w:rFonts w:hint="default" w:ascii="Times New Roman" w:hAnsi="Times New Roman" w:cs="Times New Roman"/>
                <w:color w:val="auto"/>
                <w:sz w:val="24"/>
                <w:szCs w:val="22"/>
                <w:lang w:val="en-US" w:eastAsia="zh-CN"/>
              </w:rPr>
              <w:t>高压聚乙烯</w:t>
            </w:r>
            <w:r>
              <w:rPr>
                <w:rFonts w:hint="default" w:ascii="Times New Roman" w:hAnsi="Times New Roman" w:cs="Times New Roman"/>
                <w:color w:val="auto"/>
                <w:sz w:val="24"/>
                <w:szCs w:val="22"/>
                <w:lang w:val="en-US" w:eastAsia="zh-CN"/>
              </w:rPr>
              <w:fldChar w:fldCharType="end"/>
            </w:r>
            <w:r>
              <w:rPr>
                <w:rFonts w:hint="default" w:ascii="Times New Roman" w:hAnsi="Times New Roman" w:cs="Times New Roman"/>
                <w:color w:val="auto"/>
                <w:sz w:val="24"/>
                <w:szCs w:val="22"/>
                <w:lang w:val="en-US" w:eastAsia="zh-CN"/>
              </w:rPr>
              <w:t>，是一种塑料材料，它适合热塑性成型加工的各种成型工艺，</w:t>
            </w:r>
            <w:r>
              <w:rPr>
                <w:rFonts w:hint="default" w:ascii="Times New Roman" w:hAnsi="Times New Roman" w:cs="Times New Roman"/>
                <w:color w:val="auto"/>
                <w:sz w:val="24"/>
                <w:szCs w:val="22"/>
                <w:lang w:val="en-US" w:eastAsia="zh-CN"/>
              </w:rPr>
              <w:fldChar w:fldCharType="begin"/>
            </w:r>
            <w:r>
              <w:rPr>
                <w:rFonts w:hint="default" w:ascii="Times New Roman" w:hAnsi="Times New Roman" w:cs="Times New Roman"/>
                <w:color w:val="auto"/>
                <w:sz w:val="24"/>
                <w:szCs w:val="22"/>
                <w:lang w:val="en-US" w:eastAsia="zh-CN"/>
              </w:rPr>
              <w:instrText xml:space="preserve"> HYPERLINK "https://baike.baidu.com/item/%E6%88%90%E5%9E%8B/208721" \t "https://baike.baidu.com/item/%E4%BD%8E%E5%AF%86%E5%BA%A6%E8%81%9A%E4%B9%99%E7%83%AF/_blank" </w:instrText>
            </w:r>
            <w:r>
              <w:rPr>
                <w:rFonts w:hint="default" w:ascii="Times New Roman" w:hAnsi="Times New Roman" w:cs="Times New Roman"/>
                <w:color w:val="auto"/>
                <w:sz w:val="24"/>
                <w:szCs w:val="22"/>
                <w:lang w:val="en-US" w:eastAsia="zh-CN"/>
              </w:rPr>
              <w:fldChar w:fldCharType="separate"/>
            </w:r>
            <w:r>
              <w:rPr>
                <w:rFonts w:hint="default" w:ascii="Times New Roman" w:hAnsi="Times New Roman" w:cs="Times New Roman"/>
                <w:color w:val="auto"/>
                <w:sz w:val="24"/>
                <w:szCs w:val="22"/>
                <w:lang w:val="en-US" w:eastAsia="zh-CN"/>
              </w:rPr>
              <w:t>成型</w:t>
            </w:r>
            <w:r>
              <w:rPr>
                <w:rFonts w:hint="default" w:ascii="Times New Roman" w:hAnsi="Times New Roman" w:cs="Times New Roman"/>
                <w:color w:val="auto"/>
                <w:sz w:val="24"/>
                <w:szCs w:val="22"/>
                <w:lang w:val="en-US" w:eastAsia="zh-CN"/>
              </w:rPr>
              <w:fldChar w:fldCharType="end"/>
            </w:r>
            <w:r>
              <w:rPr>
                <w:rFonts w:hint="default" w:ascii="Times New Roman" w:hAnsi="Times New Roman" w:cs="Times New Roman"/>
                <w:color w:val="auto"/>
                <w:sz w:val="24"/>
                <w:szCs w:val="22"/>
                <w:lang w:val="en-US" w:eastAsia="zh-CN"/>
              </w:rPr>
              <w:t>加工性好。LDPE主要用途是作薄膜产品，还用于注塑制品，医疗器具，药品和食品包装材料，吹塑中空成型制品等。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2"/>
                <w:lang w:val="en-US" w:eastAsia="zh-CN"/>
              </w:rPr>
            </w:pPr>
            <w:r>
              <w:rPr>
                <w:rFonts w:hint="default" w:ascii="Times New Roman" w:hAnsi="Times New Roman" w:cs="Times New Roman"/>
                <w:color w:val="auto"/>
                <w:sz w:val="24"/>
                <w:szCs w:val="22"/>
                <w:lang w:val="en-US" w:eastAsia="zh-CN"/>
              </w:rPr>
              <w:t>发泡母粒</w:t>
            </w:r>
            <w:r>
              <w:rPr>
                <w:rFonts w:hint="eastAsia" w:cs="Times New Roman"/>
                <w:color w:val="auto"/>
                <w:sz w:val="24"/>
                <w:szCs w:val="22"/>
                <w:lang w:val="en-US" w:eastAsia="zh-CN"/>
              </w:rPr>
              <w:t>：</w:t>
            </w:r>
            <w:r>
              <w:rPr>
                <w:rFonts w:hint="default" w:ascii="Times New Roman" w:hAnsi="Times New Roman" w:cs="Times New Roman"/>
                <w:color w:val="auto"/>
                <w:sz w:val="24"/>
                <w:szCs w:val="22"/>
                <w:lang w:val="en-US" w:eastAsia="zh-CN"/>
              </w:rPr>
              <w:t>各原料组分按重量份比为:超细复合非金属粉</w:t>
            </w:r>
            <w:r>
              <w:rPr>
                <w:rFonts w:hint="eastAsia" w:cs="Times New Roman"/>
                <w:color w:val="auto"/>
                <w:sz w:val="24"/>
                <w:szCs w:val="22"/>
                <w:lang w:val="en-US" w:eastAsia="zh-CN"/>
              </w:rPr>
              <w:t>（滑石粉）</w:t>
            </w:r>
            <w:r>
              <w:rPr>
                <w:rFonts w:hint="default" w:ascii="Times New Roman" w:hAnsi="Times New Roman" w:cs="Times New Roman"/>
                <w:color w:val="auto"/>
                <w:sz w:val="24"/>
                <w:szCs w:val="22"/>
                <w:lang w:val="en-US" w:eastAsia="zh-CN"/>
              </w:rPr>
              <w:t>75-85,复合改性剂1.5-2.5,低密度聚乙烯树脂15-25,单甘脂0.5-0.8。</w:t>
            </w:r>
            <w:r>
              <w:rPr>
                <w:rFonts w:hint="eastAsia" w:cs="Times New Roman"/>
                <w:color w:val="auto"/>
                <w:sz w:val="24"/>
                <w:szCs w:val="22"/>
                <w:lang w:val="en-US" w:eastAsia="zh-CN"/>
              </w:rPr>
              <w:t>复合改性剂主要成分为</w:t>
            </w:r>
            <w:r>
              <w:rPr>
                <w:rFonts w:hint="default" w:ascii="Times New Roman" w:hAnsi="Times New Roman" w:cs="Times New Roman"/>
                <w:color w:val="auto"/>
                <w:sz w:val="24"/>
                <w:szCs w:val="22"/>
                <w:lang w:val="en-US" w:eastAsia="zh-CN"/>
              </w:rPr>
              <w:t>硬脂酸、二(磷酸二辛酯)钛酸乙二酯和聚乙二醇</w:t>
            </w:r>
            <w:r>
              <w:rPr>
                <w:rFonts w:hint="eastAsia" w:cs="Times New Roman"/>
                <w:color w:val="auto"/>
                <w:sz w:val="24"/>
                <w:szCs w:val="22"/>
                <w:lang w:val="en-US" w:eastAsia="zh-CN"/>
              </w:rPr>
              <w:t>，滑石粉粒子表面分布有强亲水性的羟基，表现为碱性，和有机高聚物基质材料的界面性质不同，相容性差，难以在基质材料中分散均匀以及和基质材料形成强的结合力。通过表面改性，改变表面功能团、表面包复等方式，改变微粒的表面性质、改善其和基质材料的相容性。单甘酯即单脂肪酸甘油酯(monoacylglyceride，MAC)，是一类重要的非离子型表面活性剂 。它含有一个亲油的长链烷基和两个亲水的羟基，因而具有良好的表面活性，可以作为乳化剂应用于食品、化妆品、医药等领域。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2"/>
                <w:lang w:val="en-US" w:eastAsia="zh-CN"/>
              </w:rPr>
            </w:pPr>
            <w:r>
              <w:rPr>
                <w:rFonts w:hint="default" w:ascii="Times New Roman" w:hAnsi="Times New Roman" w:cs="Times New Roman"/>
                <w:color w:val="auto"/>
                <w:sz w:val="24"/>
                <w:szCs w:val="22"/>
                <w:lang w:val="en-US" w:eastAsia="zh-CN"/>
              </w:rPr>
              <w:t>丁烷：是一种无色可燃性气体，不溶于水，易溶于乙醇和其他烃，主要用于制冷剂、发泡剂及民用燃料，由于丁烷无色、无味无毒，化学性质稳定，作为氟利昂的替代品，市场需要正在稳步增加。</w:t>
            </w:r>
          </w:p>
          <w:p>
            <w:pPr>
              <w:spacing w:line="360" w:lineRule="auto"/>
              <w:ind w:firstLine="480" w:firstLineChars="200"/>
              <w:rPr>
                <w:color w:val="auto"/>
                <w:sz w:val="24"/>
              </w:rPr>
            </w:pPr>
            <w:r>
              <w:rPr>
                <w:color w:val="auto"/>
                <w:sz w:val="24"/>
              </w:rPr>
              <w:t>2.</w:t>
            </w:r>
            <w:r>
              <w:rPr>
                <w:rFonts w:hint="eastAsia"/>
                <w:color w:val="auto"/>
                <w:sz w:val="24"/>
              </w:rPr>
              <w:t>5</w:t>
            </w:r>
            <w:r>
              <w:rPr>
                <w:color w:val="auto"/>
                <w:sz w:val="24"/>
              </w:rPr>
              <w:t>公用工程</w:t>
            </w:r>
          </w:p>
          <w:p>
            <w:pPr>
              <w:spacing w:line="360" w:lineRule="auto"/>
              <w:ind w:firstLine="480" w:firstLineChars="200"/>
              <w:rPr>
                <w:b/>
                <w:bCs/>
                <w:color w:val="auto"/>
                <w:sz w:val="24"/>
              </w:rPr>
            </w:pPr>
            <w:r>
              <w:rPr>
                <w:color w:val="auto"/>
                <w:sz w:val="24"/>
              </w:rPr>
              <w:t>2.</w:t>
            </w:r>
            <w:r>
              <w:rPr>
                <w:rFonts w:hint="eastAsia"/>
                <w:color w:val="auto"/>
                <w:sz w:val="24"/>
              </w:rPr>
              <w:t>5</w:t>
            </w:r>
            <w:r>
              <w:rPr>
                <w:color w:val="auto"/>
                <w:sz w:val="24"/>
              </w:rPr>
              <w:t>.1给排水</w:t>
            </w:r>
          </w:p>
          <w:p>
            <w:pPr>
              <w:spacing w:line="360" w:lineRule="auto"/>
              <w:ind w:firstLine="480" w:firstLineChars="200"/>
              <w:rPr>
                <w:color w:val="auto"/>
                <w:sz w:val="24"/>
              </w:rPr>
            </w:pPr>
            <w:r>
              <w:rPr>
                <w:color w:val="auto"/>
                <w:sz w:val="24"/>
              </w:rPr>
              <w:t>（1）给水</w:t>
            </w:r>
          </w:p>
          <w:p>
            <w:pPr>
              <w:spacing w:line="360" w:lineRule="auto"/>
              <w:ind w:firstLine="480" w:firstLineChars="200"/>
              <w:rPr>
                <w:color w:val="auto"/>
                <w:sz w:val="24"/>
              </w:rPr>
            </w:pPr>
            <w:r>
              <w:rPr>
                <w:color w:val="auto"/>
                <w:sz w:val="24"/>
              </w:rPr>
              <w:t>本项目供水水源来自于</w:t>
            </w:r>
            <w:r>
              <w:rPr>
                <w:rFonts w:hint="eastAsia"/>
                <w:color w:val="auto"/>
                <w:sz w:val="24"/>
                <w:lang w:val="en-US" w:eastAsia="zh-CN"/>
              </w:rPr>
              <w:t>牛马司镇</w:t>
            </w:r>
            <w:r>
              <w:rPr>
                <w:color w:val="auto"/>
                <w:sz w:val="24"/>
              </w:rPr>
              <w:t>的自来水供水管网，能满足本项目正常生产、生活需要。</w:t>
            </w:r>
          </w:p>
          <w:p>
            <w:pPr>
              <w:spacing w:line="360" w:lineRule="auto"/>
              <w:ind w:firstLine="480" w:firstLineChars="200"/>
              <w:rPr>
                <w:color w:val="auto"/>
                <w:sz w:val="24"/>
              </w:rPr>
            </w:pPr>
            <w:r>
              <w:rPr>
                <w:color w:val="auto"/>
                <w:sz w:val="24"/>
              </w:rPr>
              <w:t>（2）用水</w:t>
            </w:r>
          </w:p>
          <w:p>
            <w:pPr>
              <w:adjustRightInd w:val="0"/>
              <w:snapToGrid w:val="0"/>
              <w:spacing w:line="360" w:lineRule="auto"/>
              <w:ind w:firstLine="480" w:firstLineChars="200"/>
              <w:rPr>
                <w:color w:val="auto"/>
                <w:sz w:val="24"/>
              </w:rPr>
            </w:pPr>
            <w:r>
              <w:rPr>
                <w:color w:val="auto"/>
                <w:sz w:val="24"/>
              </w:rPr>
              <w:t>生活用水：本</w:t>
            </w:r>
            <w:r>
              <w:rPr>
                <w:rFonts w:hint="eastAsia"/>
                <w:color w:val="auto"/>
                <w:sz w:val="24"/>
              </w:rPr>
              <w:t>项目</w:t>
            </w:r>
            <w:r>
              <w:rPr>
                <w:color w:val="auto"/>
                <w:sz w:val="24"/>
              </w:rPr>
              <w:t>职工人数为</w:t>
            </w:r>
            <w:r>
              <w:rPr>
                <w:rFonts w:hint="eastAsia"/>
                <w:color w:val="auto"/>
                <w:sz w:val="24"/>
                <w:lang w:val="en-US" w:eastAsia="zh-CN"/>
              </w:rPr>
              <w:t>5</w:t>
            </w:r>
            <w:r>
              <w:rPr>
                <w:rFonts w:hint="eastAsia"/>
                <w:color w:val="auto"/>
                <w:sz w:val="24"/>
              </w:rPr>
              <w:t>人</w:t>
            </w:r>
            <w:r>
              <w:rPr>
                <w:rFonts w:hint="eastAsia"/>
                <w:color w:val="auto"/>
                <w:sz w:val="24"/>
                <w:lang w:eastAsia="zh-CN"/>
              </w:rPr>
              <w:t>，</w:t>
            </w:r>
            <w:r>
              <w:rPr>
                <w:rFonts w:hint="eastAsia"/>
                <w:color w:val="auto"/>
                <w:sz w:val="24"/>
                <w:lang w:val="en-US" w:eastAsia="zh-CN"/>
              </w:rPr>
              <w:t>职工在厂内住宿，由于人数较少，不设食堂</w:t>
            </w:r>
            <w:r>
              <w:rPr>
                <w:rFonts w:hint="eastAsia"/>
                <w:color w:val="auto"/>
                <w:sz w:val="24"/>
              </w:rPr>
              <w:t>。</w:t>
            </w:r>
            <w:r>
              <w:rPr>
                <w:color w:val="auto"/>
                <w:sz w:val="24"/>
              </w:rPr>
              <w:t>根据《湖南省用水定额》（DB43/T388-2020）</w:t>
            </w:r>
            <w:r>
              <w:rPr>
                <w:rFonts w:hint="eastAsia"/>
                <w:color w:val="auto"/>
                <w:sz w:val="24"/>
              </w:rPr>
              <w:t>，</w:t>
            </w:r>
            <w:r>
              <w:rPr>
                <w:color w:val="auto"/>
                <w:sz w:val="24"/>
              </w:rPr>
              <w:t>单位用水量</w:t>
            </w:r>
            <w:r>
              <w:rPr>
                <w:rFonts w:hint="eastAsia"/>
                <w:color w:val="auto"/>
                <w:sz w:val="24"/>
              </w:rPr>
              <w:t>参照</w:t>
            </w:r>
            <w:r>
              <w:rPr>
                <w:rFonts w:hint="eastAsia"/>
                <w:color w:val="auto"/>
                <w:sz w:val="24"/>
                <w:lang w:eastAsia="zh-CN"/>
              </w:rPr>
              <w:t>农村居民用水</w:t>
            </w:r>
            <w:r>
              <w:rPr>
                <w:rFonts w:hint="eastAsia"/>
                <w:color w:val="auto"/>
                <w:sz w:val="24"/>
              </w:rPr>
              <w:t>，</w:t>
            </w:r>
            <w:r>
              <w:rPr>
                <w:color w:val="auto"/>
                <w:sz w:val="24"/>
              </w:rPr>
              <w:t>为</w:t>
            </w:r>
            <w:r>
              <w:rPr>
                <w:rFonts w:hint="eastAsia"/>
                <w:color w:val="auto"/>
                <w:sz w:val="24"/>
                <w:lang w:val="en-US" w:eastAsia="zh-CN"/>
              </w:rPr>
              <w:t>120</w:t>
            </w:r>
            <w:r>
              <w:rPr>
                <w:color w:val="auto"/>
                <w:sz w:val="24"/>
              </w:rPr>
              <w:t>L/人•d，则用水量为</w:t>
            </w:r>
            <w:r>
              <w:rPr>
                <w:rFonts w:hint="eastAsia"/>
                <w:color w:val="auto"/>
                <w:sz w:val="24"/>
                <w:lang w:eastAsia="zh-CN"/>
              </w:rPr>
              <w:t>0.6m</w:t>
            </w:r>
            <w:r>
              <w:rPr>
                <w:color w:val="auto"/>
                <w:sz w:val="24"/>
                <w:vertAlign w:val="superscript"/>
              </w:rPr>
              <w:t>3</w:t>
            </w:r>
            <w:r>
              <w:rPr>
                <w:color w:val="auto"/>
                <w:sz w:val="24"/>
              </w:rPr>
              <w:t>/d。</w:t>
            </w:r>
          </w:p>
          <w:p>
            <w:pPr>
              <w:adjustRightInd w:val="0"/>
              <w:snapToGrid w:val="0"/>
              <w:spacing w:line="360" w:lineRule="auto"/>
              <w:ind w:firstLine="480" w:firstLineChars="200"/>
              <w:rPr>
                <w:color w:val="auto"/>
                <w:sz w:val="24"/>
              </w:rPr>
            </w:pPr>
            <w:r>
              <w:rPr>
                <w:color w:val="auto"/>
                <w:sz w:val="24"/>
              </w:rPr>
              <w:t>生产用水：</w:t>
            </w:r>
            <w:r>
              <w:rPr>
                <w:rFonts w:hint="eastAsia"/>
                <w:color w:val="auto"/>
                <w:sz w:val="24"/>
              </w:rPr>
              <w:t>本项目设备冷却水循环使用不外排，定期补充，补充量为</w:t>
            </w:r>
            <w:r>
              <w:rPr>
                <w:rFonts w:hint="eastAsia"/>
                <w:color w:val="auto"/>
                <w:sz w:val="24"/>
                <w:lang w:val="en-US" w:eastAsia="zh-CN"/>
              </w:rPr>
              <w:t>150</w:t>
            </w:r>
            <w:r>
              <w:rPr>
                <w:rFonts w:hint="eastAsia"/>
                <w:color w:val="auto"/>
                <w:sz w:val="24"/>
              </w:rPr>
              <w:t>t/a</w:t>
            </w:r>
            <w:r>
              <w:rPr>
                <w:color w:val="auto"/>
                <w:sz w:val="24"/>
              </w:rPr>
              <w:t>。</w:t>
            </w:r>
          </w:p>
          <w:p>
            <w:pPr>
              <w:adjustRightInd w:val="0"/>
              <w:snapToGrid w:val="0"/>
              <w:spacing w:line="360" w:lineRule="auto"/>
              <w:ind w:firstLine="480" w:firstLineChars="200"/>
              <w:rPr>
                <w:color w:val="auto"/>
                <w:sz w:val="24"/>
              </w:rPr>
            </w:pPr>
            <w:r>
              <w:rPr>
                <w:color w:val="auto"/>
                <w:sz w:val="24"/>
              </w:rPr>
              <w:t>本项目用水量具体情况详见表2</w:t>
            </w:r>
            <w:r>
              <w:rPr>
                <w:rFonts w:hint="eastAsia"/>
                <w:color w:val="auto"/>
                <w:sz w:val="24"/>
              </w:rPr>
              <w:t>-</w:t>
            </w:r>
            <w:r>
              <w:rPr>
                <w:rFonts w:hint="eastAsia"/>
                <w:color w:val="auto"/>
                <w:sz w:val="24"/>
                <w:lang w:val="en-US" w:eastAsia="zh-CN"/>
              </w:rPr>
              <w:t>8</w:t>
            </w:r>
            <w:r>
              <w:rPr>
                <w:color w:val="auto"/>
                <w:sz w:val="24"/>
              </w:rPr>
              <w:t>。</w:t>
            </w:r>
          </w:p>
          <w:p>
            <w:pPr>
              <w:adjustRightInd w:val="0"/>
              <w:snapToGrid w:val="0"/>
              <w:jc w:val="center"/>
              <w:rPr>
                <w:color w:val="auto"/>
              </w:rPr>
            </w:pPr>
            <w:r>
              <w:rPr>
                <w:color w:val="auto"/>
              </w:rPr>
              <w:t>表2</w:t>
            </w:r>
            <w:r>
              <w:rPr>
                <w:rFonts w:hint="eastAsia"/>
                <w:color w:val="auto"/>
              </w:rPr>
              <w:t>-</w:t>
            </w:r>
            <w:r>
              <w:rPr>
                <w:rFonts w:hint="eastAsia"/>
                <w:color w:val="auto"/>
                <w:lang w:val="en-US" w:eastAsia="zh-CN"/>
              </w:rPr>
              <w:t>8</w:t>
            </w:r>
            <w:r>
              <w:rPr>
                <w:color w:val="auto"/>
              </w:rPr>
              <w:t xml:space="preserve">   项目营运期用水及排水量分析表</w:t>
            </w:r>
          </w:p>
          <w:tbl>
            <w:tblPr>
              <w:tblStyle w:val="29"/>
              <w:tblW w:w="0" w:type="auto"/>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88"/>
              <w:gridCol w:w="1266"/>
              <w:gridCol w:w="1067"/>
              <w:gridCol w:w="1059"/>
              <w:gridCol w:w="963"/>
              <w:gridCol w:w="913"/>
              <w:gridCol w:w="174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c>
                <w:tcPr>
                  <w:tcW w:w="888" w:type="dxa"/>
                  <w:vMerge w:val="restart"/>
                  <w:tcBorders>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rPr>
                      <w:color w:val="auto"/>
                    </w:rPr>
                  </w:pPr>
                  <w:r>
                    <w:rPr>
                      <w:color w:val="auto"/>
                    </w:rPr>
                    <w:t>序号</w:t>
                  </w:r>
                </w:p>
              </w:tc>
              <w:tc>
                <w:tcPr>
                  <w:tcW w:w="1266" w:type="dxa"/>
                  <w:vMerge w:val="restart"/>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rPr>
                      <w:color w:val="auto"/>
                    </w:rPr>
                  </w:pPr>
                  <w:r>
                    <w:rPr>
                      <w:color w:val="auto"/>
                    </w:rPr>
                    <w:t>用水名称</w:t>
                  </w:r>
                </w:p>
              </w:tc>
              <w:tc>
                <w:tcPr>
                  <w:tcW w:w="1067" w:type="dxa"/>
                  <w:vMerge w:val="restart"/>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rPr>
                      <w:color w:val="auto"/>
                    </w:rPr>
                  </w:pPr>
                  <w:r>
                    <w:rPr>
                      <w:color w:val="auto"/>
                    </w:rPr>
                    <w:t>用水定额</w:t>
                  </w:r>
                </w:p>
              </w:tc>
              <w:tc>
                <w:tcPr>
                  <w:tcW w:w="1059" w:type="dxa"/>
                  <w:vMerge w:val="restart"/>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rPr>
                      <w:color w:val="auto"/>
                    </w:rPr>
                  </w:pPr>
                  <w:r>
                    <w:rPr>
                      <w:color w:val="auto"/>
                    </w:rPr>
                    <w:t>使用人数或单位数</w:t>
                  </w:r>
                </w:p>
              </w:tc>
              <w:tc>
                <w:tcPr>
                  <w:tcW w:w="1876" w:type="dxa"/>
                  <w:gridSpan w:val="2"/>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rPr>
                      <w:color w:val="auto"/>
                    </w:rPr>
                  </w:pPr>
                  <w:r>
                    <w:rPr>
                      <w:color w:val="auto"/>
                    </w:rPr>
                    <w:t>用水量</w:t>
                  </w:r>
                </w:p>
              </w:tc>
              <w:tc>
                <w:tcPr>
                  <w:tcW w:w="1746" w:type="dxa"/>
                  <w:vMerge w:val="restart"/>
                  <w:tcBorders>
                    <w:left w:val="single" w:color="000000" w:sz="4" w:space="0"/>
                    <w:bottom w:val="single" w:color="000000" w:sz="4" w:space="0"/>
                  </w:tcBorders>
                  <w:tcMar>
                    <w:top w:w="15" w:type="dxa"/>
                    <w:left w:w="15" w:type="dxa"/>
                    <w:bottom w:w="15" w:type="dxa"/>
                    <w:right w:w="15" w:type="dxa"/>
                  </w:tcMar>
                  <w:vAlign w:val="center"/>
                </w:tcPr>
                <w:p>
                  <w:pPr>
                    <w:adjustRightInd w:val="0"/>
                    <w:snapToGrid w:val="0"/>
                    <w:jc w:val="center"/>
                    <w:rPr>
                      <w:color w:val="auto"/>
                    </w:rPr>
                  </w:pPr>
                  <w:r>
                    <w:rPr>
                      <w:color w:val="auto"/>
                    </w:rPr>
                    <w:t>排放量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c>
                <w:tcPr>
                  <w:tcW w:w="888" w:type="dxa"/>
                  <w:vMerge w:val="continue"/>
                  <w:tcBorders>
                    <w:top w:val="single" w:color="000000" w:sz="4" w:space="0"/>
                    <w:bottom w:val="single" w:color="000000" w:sz="4" w:space="0"/>
                    <w:right w:val="single" w:color="000000" w:sz="4" w:space="0"/>
                  </w:tcBorders>
                  <w:vAlign w:val="center"/>
                </w:tcPr>
                <w:p>
                  <w:pPr>
                    <w:adjustRightInd w:val="0"/>
                    <w:snapToGrid w:val="0"/>
                    <w:jc w:val="center"/>
                    <w:rPr>
                      <w:color w:val="auto"/>
                    </w:rPr>
                  </w:pPr>
                </w:p>
              </w:tc>
              <w:tc>
                <w:tcPr>
                  <w:tcW w:w="126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auto"/>
                    </w:rPr>
                  </w:pPr>
                </w:p>
              </w:tc>
              <w:tc>
                <w:tcPr>
                  <w:tcW w:w="1067"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auto"/>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auto"/>
                    </w:rPr>
                  </w:pP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rPr>
                      <w:color w:val="auto"/>
                    </w:rPr>
                  </w:pPr>
                  <w:r>
                    <w:rPr>
                      <w:color w:val="auto"/>
                    </w:rPr>
                    <w:t>m</w:t>
                  </w:r>
                  <w:r>
                    <w:rPr>
                      <w:color w:val="auto"/>
                      <w:vertAlign w:val="superscript"/>
                    </w:rPr>
                    <w:t>3</w:t>
                  </w:r>
                  <w:r>
                    <w:rPr>
                      <w:color w:val="auto"/>
                    </w:rPr>
                    <w:t>/d</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rPr>
                      <w:color w:val="auto"/>
                    </w:rPr>
                  </w:pPr>
                  <w:r>
                    <w:rPr>
                      <w:color w:val="auto"/>
                    </w:rPr>
                    <w:t>m</w:t>
                  </w:r>
                  <w:r>
                    <w:rPr>
                      <w:color w:val="auto"/>
                      <w:vertAlign w:val="superscript"/>
                    </w:rPr>
                    <w:t>3</w:t>
                  </w:r>
                  <w:r>
                    <w:rPr>
                      <w:color w:val="auto"/>
                    </w:rPr>
                    <w:t>/a</w:t>
                  </w:r>
                </w:p>
              </w:tc>
              <w:tc>
                <w:tcPr>
                  <w:tcW w:w="1746" w:type="dxa"/>
                  <w:vMerge w:val="continue"/>
                  <w:tcBorders>
                    <w:top w:val="single" w:color="000000" w:sz="4" w:space="0"/>
                    <w:left w:val="single" w:color="000000" w:sz="4" w:space="0"/>
                    <w:bottom w:val="single" w:color="000000" w:sz="4" w:space="0"/>
                  </w:tcBorders>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c>
                <w:tcPr>
                  <w:tcW w:w="888" w:type="dxa"/>
                  <w:tcBorders>
                    <w:top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rPr>
                      <w:color w:val="auto"/>
                    </w:rPr>
                  </w:pPr>
                  <w:r>
                    <w:rPr>
                      <w:color w:val="auto"/>
                    </w:rPr>
                    <w:t>1</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rPr>
                      <w:color w:val="auto"/>
                    </w:rPr>
                  </w:pPr>
                  <w:r>
                    <w:rPr>
                      <w:color w:val="auto"/>
                    </w:rPr>
                    <w:t>员工生活用水</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rPr>
                      <w:color w:val="auto"/>
                    </w:rPr>
                  </w:pPr>
                  <w:r>
                    <w:rPr>
                      <w:rFonts w:hint="eastAsia"/>
                      <w:color w:val="auto"/>
                      <w:lang w:val="en-US" w:eastAsia="zh-CN"/>
                    </w:rPr>
                    <w:t>120</w:t>
                  </w:r>
                  <w:r>
                    <w:rPr>
                      <w:color w:val="auto"/>
                    </w:rPr>
                    <w:t>L/人·d</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rPr>
                      <w:color w:val="auto"/>
                    </w:rPr>
                  </w:pPr>
                  <w:r>
                    <w:rPr>
                      <w:rFonts w:hint="eastAsia"/>
                      <w:color w:val="auto"/>
                      <w:lang w:val="en-US" w:eastAsia="zh-CN"/>
                    </w:rPr>
                    <w:t>5</w:t>
                  </w:r>
                  <w:r>
                    <w:rPr>
                      <w:color w:val="auto"/>
                    </w:rPr>
                    <w:t>人</w:t>
                  </w: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rPr>
                      <w:rFonts w:hint="default" w:eastAsia="宋体"/>
                      <w:color w:val="auto"/>
                      <w:lang w:val="en-US" w:eastAsia="zh-CN"/>
                    </w:rPr>
                  </w:pPr>
                  <w:r>
                    <w:rPr>
                      <w:rFonts w:hint="eastAsia"/>
                      <w:color w:val="auto"/>
                      <w:lang w:val="en-US" w:eastAsia="zh-CN"/>
                    </w:rPr>
                    <w:t>0.6</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default" w:eastAsia="宋体"/>
                      <w:color w:val="auto"/>
                      <w:lang w:val="en-US" w:eastAsia="zh-CN"/>
                    </w:rPr>
                  </w:pPr>
                  <w:r>
                    <w:rPr>
                      <w:rFonts w:hint="eastAsia"/>
                      <w:color w:val="auto"/>
                      <w:lang w:val="en-US" w:eastAsia="zh-CN"/>
                    </w:rPr>
                    <w:t>180</w:t>
                  </w:r>
                </w:p>
              </w:tc>
              <w:tc>
                <w:tcPr>
                  <w:tcW w:w="1746" w:type="dxa"/>
                  <w:tcBorders>
                    <w:top w:val="single" w:color="000000" w:sz="4" w:space="0"/>
                    <w:left w:val="single" w:color="000000" w:sz="4" w:space="0"/>
                    <w:bottom w:val="single" w:color="000000" w:sz="4" w:space="0"/>
                  </w:tcBorders>
                  <w:tcMar>
                    <w:top w:w="15" w:type="dxa"/>
                    <w:left w:w="15" w:type="dxa"/>
                    <w:bottom w:w="15" w:type="dxa"/>
                    <w:right w:w="15" w:type="dxa"/>
                  </w:tcMar>
                  <w:vAlign w:val="center"/>
                </w:tcPr>
                <w:p>
                  <w:pPr>
                    <w:adjustRightInd w:val="0"/>
                    <w:snapToGrid w:val="0"/>
                    <w:jc w:val="center"/>
                    <w:rPr>
                      <w:rFonts w:hint="eastAsia" w:eastAsia="宋体"/>
                      <w:color w:val="auto"/>
                      <w:lang w:eastAsia="zh-CN"/>
                    </w:rPr>
                  </w:pPr>
                  <w:r>
                    <w:rPr>
                      <w:rFonts w:hint="eastAsia"/>
                      <w:color w:val="auto"/>
                      <w:lang w:eastAsia="zh-CN"/>
                    </w:rPr>
                    <w:t>经化粪池处理后由周边农户清运，用作农肥</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c>
                <w:tcPr>
                  <w:tcW w:w="888" w:type="dxa"/>
                  <w:tcBorders>
                    <w:top w:val="single" w:color="000000" w:sz="4" w:space="0"/>
                    <w:right w:val="single" w:color="000000" w:sz="4" w:space="0"/>
                  </w:tcBorders>
                  <w:tcMar>
                    <w:top w:w="15" w:type="dxa"/>
                    <w:left w:w="15" w:type="dxa"/>
                    <w:bottom w:w="15" w:type="dxa"/>
                    <w:right w:w="15" w:type="dxa"/>
                  </w:tcMar>
                  <w:vAlign w:val="center"/>
                </w:tcPr>
                <w:p>
                  <w:pPr>
                    <w:adjustRightInd w:val="0"/>
                    <w:snapToGrid w:val="0"/>
                    <w:jc w:val="center"/>
                    <w:rPr>
                      <w:rFonts w:hint="eastAsia" w:eastAsia="宋体"/>
                      <w:color w:val="auto"/>
                      <w:lang w:val="en-US" w:eastAsia="zh-CN"/>
                    </w:rPr>
                  </w:pPr>
                  <w:r>
                    <w:rPr>
                      <w:rFonts w:hint="eastAsia"/>
                      <w:color w:val="auto"/>
                      <w:lang w:val="en-US" w:eastAsia="zh-CN"/>
                    </w:rPr>
                    <w:t>2</w:t>
                  </w:r>
                </w:p>
              </w:tc>
              <w:tc>
                <w:tcPr>
                  <w:tcW w:w="1266" w:type="dxa"/>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adjustRightInd w:val="0"/>
                    <w:snapToGrid w:val="0"/>
                    <w:jc w:val="center"/>
                    <w:rPr>
                      <w:rFonts w:hint="eastAsia" w:eastAsia="宋体"/>
                      <w:color w:val="auto"/>
                      <w:lang w:val="en-US" w:eastAsia="zh-CN"/>
                    </w:rPr>
                  </w:pPr>
                  <w:r>
                    <w:rPr>
                      <w:rFonts w:hint="eastAsia"/>
                      <w:color w:val="auto"/>
                      <w:lang w:val="en-US" w:eastAsia="zh-CN"/>
                    </w:rPr>
                    <w:t>冷却水</w:t>
                  </w:r>
                </w:p>
              </w:tc>
              <w:tc>
                <w:tcPr>
                  <w:tcW w:w="1067" w:type="dxa"/>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adjustRightInd w:val="0"/>
                    <w:snapToGrid w:val="0"/>
                    <w:jc w:val="center"/>
                    <w:rPr>
                      <w:rFonts w:hint="default" w:eastAsia="宋体"/>
                      <w:color w:val="auto"/>
                      <w:lang w:val="en-US" w:eastAsia="zh-CN"/>
                    </w:rPr>
                  </w:pPr>
                  <w:r>
                    <w:rPr>
                      <w:rFonts w:hint="eastAsia"/>
                      <w:color w:val="auto"/>
                      <w:lang w:val="en-US" w:eastAsia="zh-CN"/>
                    </w:rPr>
                    <w:t>0.5m</w:t>
                  </w:r>
                  <w:r>
                    <w:rPr>
                      <w:rFonts w:hint="eastAsia"/>
                      <w:color w:val="auto"/>
                      <w:vertAlign w:val="superscript"/>
                      <w:lang w:val="en-US" w:eastAsia="zh-CN"/>
                    </w:rPr>
                    <w:t>3</w:t>
                  </w:r>
                  <w:r>
                    <w:rPr>
                      <w:rFonts w:hint="eastAsia"/>
                      <w:color w:val="auto"/>
                      <w:lang w:val="en-US" w:eastAsia="zh-CN"/>
                    </w:rPr>
                    <w:t>/d</w:t>
                  </w:r>
                </w:p>
              </w:tc>
              <w:tc>
                <w:tcPr>
                  <w:tcW w:w="1059" w:type="dxa"/>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adjustRightInd w:val="0"/>
                    <w:snapToGrid w:val="0"/>
                    <w:jc w:val="center"/>
                    <w:rPr>
                      <w:rFonts w:hint="default"/>
                      <w:color w:val="auto"/>
                      <w:lang w:val="en-US" w:eastAsia="zh-CN"/>
                    </w:rPr>
                  </w:pPr>
                  <w:r>
                    <w:rPr>
                      <w:rFonts w:hint="eastAsia"/>
                      <w:color w:val="auto"/>
                      <w:lang w:val="en-US" w:eastAsia="zh-CN"/>
                    </w:rPr>
                    <w:t>300天</w:t>
                  </w:r>
                </w:p>
              </w:tc>
              <w:tc>
                <w:tcPr>
                  <w:tcW w:w="963" w:type="dxa"/>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adjustRightInd w:val="0"/>
                    <w:snapToGrid w:val="0"/>
                    <w:jc w:val="center"/>
                    <w:rPr>
                      <w:rFonts w:hint="default"/>
                      <w:color w:val="auto"/>
                      <w:lang w:val="en-US" w:eastAsia="zh-CN"/>
                    </w:rPr>
                  </w:pPr>
                  <w:r>
                    <w:rPr>
                      <w:rFonts w:hint="eastAsia"/>
                      <w:color w:val="auto"/>
                      <w:lang w:val="en-US" w:eastAsia="zh-CN"/>
                    </w:rPr>
                    <w:t>0.5</w:t>
                  </w:r>
                </w:p>
              </w:tc>
              <w:tc>
                <w:tcPr>
                  <w:tcW w:w="913" w:type="dxa"/>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default"/>
                      <w:color w:val="auto"/>
                      <w:lang w:val="en-US" w:eastAsia="zh-CN"/>
                    </w:rPr>
                  </w:pPr>
                  <w:r>
                    <w:rPr>
                      <w:rFonts w:hint="eastAsia"/>
                      <w:color w:val="auto"/>
                      <w:lang w:val="en-US" w:eastAsia="zh-CN"/>
                    </w:rPr>
                    <w:t>150</w:t>
                  </w:r>
                </w:p>
              </w:tc>
              <w:tc>
                <w:tcPr>
                  <w:tcW w:w="1746" w:type="dxa"/>
                  <w:tcBorders>
                    <w:top w:val="single" w:color="000000" w:sz="4" w:space="0"/>
                    <w:left w:val="single" w:color="000000" w:sz="4" w:space="0"/>
                  </w:tcBorders>
                  <w:tcMar>
                    <w:top w:w="15" w:type="dxa"/>
                    <w:left w:w="15" w:type="dxa"/>
                    <w:bottom w:w="15" w:type="dxa"/>
                    <w:right w:w="15" w:type="dxa"/>
                  </w:tcMar>
                  <w:vAlign w:val="center"/>
                </w:tcPr>
                <w:p>
                  <w:pPr>
                    <w:adjustRightInd w:val="0"/>
                    <w:snapToGrid w:val="0"/>
                    <w:jc w:val="center"/>
                    <w:rPr>
                      <w:rFonts w:hint="default"/>
                      <w:color w:val="auto"/>
                      <w:lang w:val="en-US" w:eastAsia="zh-CN"/>
                    </w:rPr>
                  </w:pPr>
                  <w:r>
                    <w:rPr>
                      <w:rFonts w:hint="eastAsia"/>
                      <w:color w:val="auto"/>
                      <w:lang w:val="en-US" w:eastAsia="zh-CN"/>
                    </w:rPr>
                    <w:t>循环使用，不外排</w:t>
                  </w:r>
                </w:p>
              </w:tc>
            </w:tr>
          </w:tbl>
          <w:p>
            <w:pPr>
              <w:adjustRightInd w:val="0"/>
              <w:snapToGrid w:val="0"/>
              <w:spacing w:line="480" w:lineRule="exact"/>
              <w:ind w:firstLine="480" w:firstLineChars="200"/>
              <w:rPr>
                <w:color w:val="auto"/>
                <w:sz w:val="24"/>
              </w:rPr>
            </w:pPr>
            <w:r>
              <w:rPr>
                <w:color w:val="auto"/>
                <w:sz w:val="24"/>
              </w:rPr>
              <w:t>（3）排水</w:t>
            </w:r>
          </w:p>
          <w:p>
            <w:pPr>
              <w:spacing w:line="360" w:lineRule="auto"/>
              <w:ind w:firstLine="480" w:firstLineChars="200"/>
              <w:rPr>
                <w:color w:val="auto"/>
                <w:sz w:val="24"/>
              </w:rPr>
            </w:pPr>
            <w:r>
              <w:rPr>
                <w:color w:val="auto"/>
                <w:sz w:val="24"/>
              </w:rPr>
              <w:t>本项目生产过程中无生产废水外排。生活污水</w:t>
            </w:r>
            <w:r>
              <w:rPr>
                <w:rFonts w:hint="eastAsia"/>
                <w:color w:val="auto"/>
                <w:sz w:val="24"/>
              </w:rPr>
              <w:t>经化粪池处理后</w:t>
            </w:r>
            <w:r>
              <w:rPr>
                <w:rFonts w:hint="eastAsia"/>
                <w:color w:val="auto"/>
                <w:sz w:val="24"/>
                <w:lang w:eastAsia="zh-CN"/>
              </w:rPr>
              <w:t>清运用作农肥</w:t>
            </w:r>
            <w:r>
              <w:rPr>
                <w:color w:val="auto"/>
                <w:sz w:val="24"/>
              </w:rPr>
              <w:t>。</w:t>
            </w:r>
          </w:p>
          <w:p>
            <w:pPr>
              <w:pStyle w:val="2"/>
              <w:rPr>
                <w:color w:val="auto"/>
                <w:sz w:val="24"/>
              </w:rPr>
            </w:pPr>
          </w:p>
          <w:p>
            <w:pPr>
              <w:rPr>
                <w:color w:val="auto"/>
                <w:sz w:val="24"/>
              </w:rPr>
            </w:pPr>
          </w:p>
          <w:p>
            <w:pPr>
              <w:pStyle w:val="2"/>
              <w:rPr>
                <w:color w:val="auto"/>
              </w:rPr>
            </w:pPr>
          </w:p>
          <w:p>
            <w:pPr>
              <w:pStyle w:val="8"/>
              <w:spacing w:line="360" w:lineRule="auto"/>
              <w:ind w:firstLine="0"/>
              <w:rPr>
                <w:color w:val="auto"/>
                <w:sz w:val="24"/>
              </w:rPr>
            </w:pPr>
            <w:r>
              <w:rPr>
                <w:color w:val="auto"/>
                <w:sz w:val="24"/>
              </w:rPr>
              <mc:AlternateContent>
                <mc:Choice Requires="wps">
                  <w:drawing>
                    <wp:anchor distT="0" distB="0" distL="114300" distR="114300" simplePos="0" relativeHeight="251659264" behindDoc="0" locked="0" layoutInCell="1" allowOverlap="1">
                      <wp:simplePos x="0" y="0"/>
                      <wp:positionH relativeFrom="column">
                        <wp:posOffset>1576705</wp:posOffset>
                      </wp:positionH>
                      <wp:positionV relativeFrom="paragraph">
                        <wp:posOffset>67310</wp:posOffset>
                      </wp:positionV>
                      <wp:extent cx="514350" cy="363855"/>
                      <wp:effectExtent l="0" t="0" r="0" b="0"/>
                      <wp:wrapNone/>
                      <wp:docPr id="284" name="文本框 1056"/>
                      <wp:cNvGraphicFramePr/>
                      <a:graphic xmlns:a="http://schemas.openxmlformats.org/drawingml/2006/main">
                        <a:graphicData uri="http://schemas.microsoft.com/office/word/2010/wordprocessingShape">
                          <wps:wsp>
                            <wps:cNvSpPr txBox="1">
                              <a:spLocks noChangeArrowheads="1"/>
                            </wps:cNvSpPr>
                            <wps:spPr bwMode="auto">
                              <a:xfrm>
                                <a:off x="0" y="0"/>
                                <a:ext cx="514350" cy="363855"/>
                              </a:xfrm>
                              <a:prstGeom prst="rect">
                                <a:avLst/>
                              </a:prstGeom>
                              <a:noFill/>
                              <a:ln>
                                <a:noFill/>
                              </a:ln>
                            </wps:spPr>
                            <wps:txbx>
                              <w:txbxContent>
                                <w:p>
                                  <w:pPr>
                                    <w:rPr>
                                      <w:rFonts w:hint="default" w:eastAsia="宋体"/>
                                      <w:lang w:val="en-US" w:eastAsia="zh-CN"/>
                                    </w:rPr>
                                  </w:pPr>
                                  <w:r>
                                    <w:rPr>
                                      <w:rFonts w:hint="eastAsia"/>
                                      <w:lang w:val="en-US" w:eastAsia="zh-CN"/>
                                    </w:rPr>
                                    <w:t>36</w:t>
                                  </w:r>
                                </w:p>
                              </w:txbxContent>
                            </wps:txbx>
                            <wps:bodyPr rot="0" vert="horz" wrap="square" lIns="91440" tIns="45720" rIns="91440" bIns="45720" anchor="t" anchorCtr="0" upright="1">
                              <a:noAutofit/>
                            </wps:bodyPr>
                          </wps:wsp>
                        </a:graphicData>
                      </a:graphic>
                    </wp:anchor>
                  </w:drawing>
                </mc:Choice>
                <mc:Fallback>
                  <w:pict>
                    <v:shape id="文本框 1056" o:spid="_x0000_s1026" o:spt="202" type="#_x0000_t202" style="position:absolute;left:0pt;margin-left:124.15pt;margin-top:5.3pt;height:28.65pt;width:40.5pt;z-index:251659264;mso-width-relative:page;mso-height-relative:page;" filled="f" stroked="f" coordsize="21600,21600" o:gfxdata="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5hdoTXAAAACQEA&#10;AA8AAAAAAAAAAQAgAAAAIgAAAGRycy9kb3ducmV2LnhtbFBLAQIUABQAAAAIAIdO4kDyrurfGwIA&#10;ABkEAAAOAAAAAAAAAAEAIAAAACYBAABkcnMvZTJvRG9jLnhtbFBLBQYAAAAABgAGAFkBAACzBQAA&#10;AAA=&#10;">
                      <v:fill on="f" focussize="0,0"/>
                      <v:stroke on="f"/>
                      <v:imagedata o:title=""/>
                      <o:lock v:ext="edit" aspectratio="f"/>
                      <v:textbox>
                        <w:txbxContent>
                          <w:p>
                            <w:pPr>
                              <w:rPr>
                                <w:rFonts w:hint="default" w:eastAsia="宋体"/>
                                <w:lang w:val="en-US" w:eastAsia="zh-CN"/>
                              </w:rPr>
                            </w:pPr>
                            <w:r>
                              <w:rPr>
                                <w:rFonts w:hint="eastAsia"/>
                                <w:lang w:val="en-US" w:eastAsia="zh-CN"/>
                              </w:rPr>
                              <w:t>36</w:t>
                            </w:r>
                          </w:p>
                        </w:txbxContent>
                      </v:textbox>
                    </v:shape>
                  </w:pict>
                </mc:Fallback>
              </mc:AlternateContent>
            </w:r>
          </w:p>
          <w:p>
            <w:pPr>
              <w:pStyle w:val="8"/>
              <w:spacing w:line="360" w:lineRule="auto"/>
              <w:ind w:firstLine="0"/>
              <w:rPr>
                <w:color w:val="auto"/>
                <w:sz w:val="24"/>
              </w:rPr>
            </w:pPr>
            <w:r>
              <w:rPr>
                <w:color w:val="auto"/>
                <w:sz w:val="24"/>
              </w:rPr>
              <mc:AlternateContent>
                <mc:Choice Requires="wps">
                  <w:drawing>
                    <wp:anchor distT="0" distB="0" distL="114300" distR="114300" simplePos="0" relativeHeight="251675648" behindDoc="0" locked="0" layoutInCell="1" allowOverlap="1">
                      <wp:simplePos x="0" y="0"/>
                      <wp:positionH relativeFrom="column">
                        <wp:posOffset>683895</wp:posOffset>
                      </wp:positionH>
                      <wp:positionV relativeFrom="paragraph">
                        <wp:posOffset>113030</wp:posOffset>
                      </wp:positionV>
                      <wp:extent cx="575310" cy="266065"/>
                      <wp:effectExtent l="0" t="0" r="0" b="0"/>
                      <wp:wrapNone/>
                      <wp:docPr id="62" name="文本框 1054"/>
                      <wp:cNvGraphicFramePr/>
                      <a:graphic xmlns:a="http://schemas.openxmlformats.org/drawingml/2006/main">
                        <a:graphicData uri="http://schemas.microsoft.com/office/word/2010/wordprocessingShape">
                          <wps:wsp>
                            <wps:cNvSpPr txBox="1">
                              <a:spLocks noChangeArrowheads="1"/>
                            </wps:cNvSpPr>
                            <wps:spPr bwMode="auto">
                              <a:xfrm>
                                <a:off x="0" y="0"/>
                                <a:ext cx="575310" cy="266065"/>
                              </a:xfrm>
                              <a:prstGeom prst="rect">
                                <a:avLst/>
                              </a:prstGeom>
                              <a:noFill/>
                              <a:ln>
                                <a:noFill/>
                              </a:ln>
                            </wps:spPr>
                            <wps:txbx>
                              <w:txbxContent>
                                <w:p>
                                  <w:pPr>
                                    <w:rPr>
                                      <w:rFonts w:hint="default" w:eastAsia="宋体"/>
                                      <w:lang w:val="en-US" w:eastAsia="zh-CN"/>
                                    </w:rPr>
                                  </w:pPr>
                                  <w:r>
                                    <w:rPr>
                                      <w:rFonts w:hint="eastAsia"/>
                                      <w:lang w:val="en-US" w:eastAsia="zh-CN"/>
                                    </w:rPr>
                                    <w:t>180</w:t>
                                  </w:r>
                                </w:p>
                              </w:txbxContent>
                            </wps:txbx>
                            <wps:bodyPr rot="0" vert="horz" wrap="square" lIns="91440" tIns="45720" rIns="91440" bIns="45720" anchor="t" anchorCtr="0" upright="1">
                              <a:noAutofit/>
                            </wps:bodyPr>
                          </wps:wsp>
                        </a:graphicData>
                      </a:graphic>
                    </wp:anchor>
                  </w:drawing>
                </mc:Choice>
                <mc:Fallback>
                  <w:pict>
                    <v:shape id="文本框 1054" o:spid="_x0000_s1026" o:spt="202" type="#_x0000_t202" style="position:absolute;left:0pt;margin-left:53.85pt;margin-top:8.9pt;height:20.95pt;width:45.3pt;z-index:251675648;mso-width-relative:page;mso-height-relative:page;" filled="f" stroked="f" coordsize="21600,21600" o:gfxdata="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RSFetUAAAAJAQAADwAA&#10;AAAAAAABACAAAAAiAAAAZHJzL2Rvd25yZXYueG1sUEsBAhQAFAAAAAgAh07iQHTHi3cZAgAAGAQA&#10;AA4AAAAAAAAAAQAgAAAAJAEAAGRycy9lMm9Eb2MueG1sUEsFBgAAAAAGAAYAWQEAAK8FAAAAAA==&#10;">
                      <v:fill on="f" focussize="0,0"/>
                      <v:stroke on="f"/>
                      <v:imagedata o:title=""/>
                      <o:lock v:ext="edit" aspectratio="f"/>
                      <v:textbox>
                        <w:txbxContent>
                          <w:p>
                            <w:pPr>
                              <w:rPr>
                                <w:rFonts w:hint="default" w:eastAsia="宋体"/>
                                <w:lang w:val="en-US" w:eastAsia="zh-CN"/>
                              </w:rPr>
                            </w:pPr>
                            <w:r>
                              <w:rPr>
                                <w:rFonts w:hint="eastAsia"/>
                                <w:lang w:val="en-US" w:eastAsia="zh-CN"/>
                              </w:rPr>
                              <w:t>180</w:t>
                            </w:r>
                          </w:p>
                        </w:txbxContent>
                      </v:textbox>
                    </v:shap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1423035</wp:posOffset>
                      </wp:positionH>
                      <wp:positionV relativeFrom="paragraph">
                        <wp:posOffset>106045</wp:posOffset>
                      </wp:positionV>
                      <wp:extent cx="276225" cy="161925"/>
                      <wp:effectExtent l="8255" t="43815" r="39370" b="13335"/>
                      <wp:wrapNone/>
                      <wp:docPr id="282" name="自选图形 1055"/>
                      <wp:cNvGraphicFramePr/>
                      <a:graphic xmlns:a="http://schemas.openxmlformats.org/drawingml/2006/main">
                        <a:graphicData uri="http://schemas.microsoft.com/office/word/2010/wordprocessingShape">
                          <wps:wsp>
                            <wps:cNvCnPr>
                              <a:cxnSpLocks noChangeShapeType="1"/>
                            </wps:cNvCnPr>
                            <wps:spPr bwMode="auto">
                              <a:xfrm flipV="1">
                                <a:off x="0" y="0"/>
                                <a:ext cx="276225" cy="161925"/>
                              </a:xfrm>
                              <a:prstGeom prst="straightConnector1">
                                <a:avLst/>
                              </a:prstGeom>
                              <a:noFill/>
                              <a:ln w="6350">
                                <a:solidFill>
                                  <a:srgbClr val="000000"/>
                                </a:solidFill>
                                <a:prstDash val="dash"/>
                                <a:round/>
                                <a:tailEnd type="triangle" w="sm" len="med"/>
                              </a:ln>
                            </wps:spPr>
                            <wps:bodyPr/>
                          </wps:wsp>
                        </a:graphicData>
                      </a:graphic>
                    </wp:anchor>
                  </w:drawing>
                </mc:Choice>
                <mc:Fallback>
                  <w:pict>
                    <v:shape id="自选图形 1055" o:spid="_x0000_s1026" o:spt="32" type="#_x0000_t32" style="position:absolute;left:0pt;flip:y;margin-left:112.05pt;margin-top:8.35pt;height:12.75pt;width:21.75pt;z-index:251660288;mso-width-relative:page;mso-height-relative:page;" filled="f" stroked="t" coordsize="21600,21600" o:gfxdata="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J9taXWAAAA&#10;CQEAAA8AAAAAAAAAAQAgAAAAIgAAAGRycy9kb3ducmV2LnhtbFBLAQIUABQAAAAIAIdO4kA24P5F&#10;HwIAAA0EAAAOAAAAAAAAAAEAIAAAACUBAABkcnMvZTJvRG9jLnhtbFBLBQYAAAAABgAGAFkBAAC2&#10;BQAAAAA=&#10;">
                      <v:fill on="f" focussize="0,0"/>
                      <v:stroke weight="0.5pt" color="#000000" joinstyle="round" dashstyle="dash" endarrow="block" endarrowwidth="narrow"/>
                      <v:imagedata o:title=""/>
                      <o:lock v:ext="edit" aspectratio="f"/>
                    </v:shape>
                  </w:pict>
                </mc:Fallback>
              </mc:AlternateContent>
            </w: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3589020</wp:posOffset>
                      </wp:positionH>
                      <wp:positionV relativeFrom="paragraph">
                        <wp:posOffset>233680</wp:posOffset>
                      </wp:positionV>
                      <wp:extent cx="652780" cy="449580"/>
                      <wp:effectExtent l="12065" t="9525" r="11430" b="7620"/>
                      <wp:wrapNone/>
                      <wp:docPr id="281" name="Text Box 12"/>
                      <wp:cNvGraphicFramePr/>
                      <a:graphic xmlns:a="http://schemas.openxmlformats.org/drawingml/2006/main">
                        <a:graphicData uri="http://schemas.microsoft.com/office/word/2010/wordprocessingShape">
                          <wps:wsp>
                            <wps:cNvSpPr txBox="1">
                              <a:spLocks noChangeArrowheads="1"/>
                            </wps:cNvSpPr>
                            <wps:spPr bwMode="auto">
                              <a:xfrm>
                                <a:off x="0" y="0"/>
                                <a:ext cx="652780" cy="449580"/>
                              </a:xfrm>
                              <a:prstGeom prst="rect">
                                <a:avLst/>
                              </a:prstGeom>
                              <a:noFill/>
                              <a:ln w="6350">
                                <a:solidFill>
                                  <a:srgbClr val="000000"/>
                                </a:solidFill>
                                <a:miter lim="800000"/>
                              </a:ln>
                            </wps:spPr>
                            <wps:txbx>
                              <w:txbxContent>
                                <w:p>
                                  <w:pPr>
                                    <w:jc w:val="center"/>
                                    <w:rPr>
                                      <w:rFonts w:hint="eastAsia" w:ascii="宋体" w:hAnsi="宋体" w:eastAsia="宋体"/>
                                      <w:lang w:eastAsia="zh-CN"/>
                                    </w:rPr>
                                  </w:pPr>
                                  <w:r>
                                    <w:rPr>
                                      <w:rFonts w:hint="eastAsia" w:ascii="宋体" w:hAnsi="宋体"/>
                                      <w:lang w:eastAsia="zh-CN"/>
                                    </w:rPr>
                                    <w:t>清运用作农肥</w:t>
                                  </w:r>
                                </w:p>
                              </w:txbxContent>
                            </wps:txbx>
                            <wps:bodyPr rot="0" vert="horz" wrap="square" lIns="91440" tIns="45720" rIns="91440" bIns="45720" anchor="t" anchorCtr="0" upright="1">
                              <a:noAutofit/>
                            </wps:bodyPr>
                          </wps:wsp>
                        </a:graphicData>
                      </a:graphic>
                    </wp:anchor>
                  </w:drawing>
                </mc:Choice>
                <mc:Fallback>
                  <w:pict>
                    <v:shape id="Text Box 12" o:spid="_x0000_s1026" o:spt="202" type="#_x0000_t202" style="position:absolute;left:0pt;margin-left:282.6pt;margin-top:18.4pt;height:35.4pt;width:51.4pt;z-index:251661312;mso-width-relative:page;mso-height-relative:page;" filled="f" stroked="t" coordsize="21600,21600" o:gfxdata="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enoqNkAAAAKAQAADwAAAAAAAAABACAAAAAiAAAAZHJzL2Rvd25yZXYueG1sUEsB&#10;AhQAFAAAAAgAh07iQJ2JI2ItAgAAXwQAAA4AAAAAAAAAAQAgAAAAKAEAAGRycy9lMm9Eb2MueG1s&#10;UEsFBgAAAAAGAAYAWQEAAMcFAAAAAA==&#10;">
                      <v:fill on="f" focussize="0,0"/>
                      <v:stroke weight="0.5pt" color="#000000" miterlimit="8" joinstyle="miter"/>
                      <v:imagedata o:title=""/>
                      <o:lock v:ext="edit" aspectratio="f"/>
                      <v:textbox>
                        <w:txbxContent>
                          <w:p>
                            <w:pPr>
                              <w:jc w:val="center"/>
                              <w:rPr>
                                <w:rFonts w:hint="eastAsia" w:ascii="宋体" w:hAnsi="宋体" w:eastAsia="宋体"/>
                                <w:lang w:eastAsia="zh-CN"/>
                              </w:rPr>
                            </w:pPr>
                            <w:r>
                              <w:rPr>
                                <w:rFonts w:hint="eastAsia" w:ascii="宋体" w:hAnsi="宋体"/>
                                <w:lang w:eastAsia="zh-CN"/>
                              </w:rPr>
                              <w:t>清运用作农肥</w:t>
                            </w:r>
                          </w:p>
                        </w:txbxContent>
                      </v:textbox>
                    </v:shape>
                  </w:pict>
                </mc:Fallback>
              </mc:AlternateContent>
            </w:r>
            <w:r>
              <w:rPr>
                <w:color w:val="auto"/>
                <w:sz w:val="24"/>
              </w:rPr>
              <mc:AlternateContent>
                <mc:Choice Requires="wps">
                  <w:drawing>
                    <wp:anchor distT="0" distB="0" distL="114300" distR="114300" simplePos="0" relativeHeight="251662336" behindDoc="0" locked="0" layoutInCell="1" allowOverlap="1">
                      <wp:simplePos x="0" y="0"/>
                      <wp:positionH relativeFrom="column">
                        <wp:posOffset>3182620</wp:posOffset>
                      </wp:positionH>
                      <wp:positionV relativeFrom="paragraph">
                        <wp:posOffset>67310</wp:posOffset>
                      </wp:positionV>
                      <wp:extent cx="514350" cy="292735"/>
                      <wp:effectExtent l="0" t="0" r="3810" b="0"/>
                      <wp:wrapNone/>
                      <wp:docPr id="280" name="文本框 1058"/>
                      <wp:cNvGraphicFramePr/>
                      <a:graphic xmlns:a="http://schemas.openxmlformats.org/drawingml/2006/main">
                        <a:graphicData uri="http://schemas.microsoft.com/office/word/2010/wordprocessingShape">
                          <wps:wsp>
                            <wps:cNvSpPr txBox="1">
                              <a:spLocks noChangeArrowheads="1"/>
                            </wps:cNvSpPr>
                            <wps:spPr bwMode="auto">
                              <a:xfrm>
                                <a:off x="0" y="0"/>
                                <a:ext cx="514350" cy="292735"/>
                              </a:xfrm>
                              <a:prstGeom prst="rect">
                                <a:avLst/>
                              </a:prstGeom>
                              <a:noFill/>
                              <a:ln>
                                <a:noFill/>
                              </a:ln>
                            </wps:spPr>
                            <wps:txbx>
                              <w:txbxContent>
                                <w:p>
                                  <w:pPr>
                                    <w:rPr>
                                      <w:rFonts w:hint="default" w:eastAsia="宋体"/>
                                      <w:lang w:val="en-US" w:eastAsia="zh-CN"/>
                                    </w:rPr>
                                  </w:pPr>
                                  <w:r>
                                    <w:rPr>
                                      <w:rFonts w:hint="eastAsia"/>
                                      <w:lang w:val="en-US" w:eastAsia="zh-CN"/>
                                    </w:rPr>
                                    <w:t>144</w:t>
                                  </w:r>
                                </w:p>
                              </w:txbxContent>
                            </wps:txbx>
                            <wps:bodyPr rot="0" vert="horz" wrap="square" lIns="91440" tIns="45720" rIns="91440" bIns="45720" anchor="t" anchorCtr="0" upright="1">
                              <a:noAutofit/>
                            </wps:bodyPr>
                          </wps:wsp>
                        </a:graphicData>
                      </a:graphic>
                    </wp:anchor>
                  </w:drawing>
                </mc:Choice>
                <mc:Fallback>
                  <w:pict>
                    <v:shape id="文本框 1058" o:spid="_x0000_s1026" o:spt="202" type="#_x0000_t202" style="position:absolute;left:0pt;margin-left:250.6pt;margin-top:5.3pt;height:23.05pt;width:40.5pt;z-index:251662336;mso-width-relative:page;mso-height-relative:page;" filled="f" stroked="f" coordsize="21600,21600" o:gfxdata="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1xgP+tYAAAAJAQAA&#10;DwAAAAAAAAABACAAAAAiAAAAZHJzL2Rvd25yZXYueG1sUEsBAhQAFAAAAAgAh07iQDpplMwbAgAA&#10;GQQAAA4AAAAAAAAAAQAgAAAAJQEAAGRycy9lMm9Eb2MueG1sUEsFBgAAAAAGAAYAWQEAALIFAAAA&#10;AA==&#10;">
                      <v:fill on="f" focussize="0,0"/>
                      <v:stroke on="f"/>
                      <v:imagedata o:title=""/>
                      <o:lock v:ext="edit" aspectratio="f"/>
                      <v:textbox>
                        <w:txbxContent>
                          <w:p>
                            <w:pPr>
                              <w:rPr>
                                <w:rFonts w:hint="default" w:eastAsia="宋体"/>
                                <w:lang w:val="en-US" w:eastAsia="zh-CN"/>
                              </w:rPr>
                            </w:pPr>
                            <w:r>
                              <w:rPr>
                                <w:rFonts w:hint="eastAsia"/>
                                <w:lang w:val="en-US" w:eastAsia="zh-CN"/>
                              </w:rPr>
                              <w:t>144</w:t>
                            </w:r>
                          </w:p>
                        </w:txbxContent>
                      </v:textbox>
                    </v:shape>
                  </w:pict>
                </mc:Fallback>
              </mc:AlternateContent>
            </w:r>
            <w:r>
              <w:rPr>
                <w:color w:val="auto"/>
                <w:sz w:val="24"/>
              </w:rPr>
              <mc:AlternateContent>
                <mc:Choice Requires="wps">
                  <w:drawing>
                    <wp:anchor distT="0" distB="0" distL="114300" distR="114300" simplePos="0" relativeHeight="251663360" behindDoc="0" locked="0" layoutInCell="1" allowOverlap="1">
                      <wp:simplePos x="0" y="0"/>
                      <wp:positionH relativeFrom="column">
                        <wp:posOffset>1878965</wp:posOffset>
                      </wp:positionH>
                      <wp:positionV relativeFrom="paragraph">
                        <wp:posOffset>86995</wp:posOffset>
                      </wp:positionV>
                      <wp:extent cx="575310" cy="266065"/>
                      <wp:effectExtent l="0" t="0" r="0" b="4445"/>
                      <wp:wrapNone/>
                      <wp:docPr id="279" name="文本框 1054"/>
                      <wp:cNvGraphicFramePr/>
                      <a:graphic xmlns:a="http://schemas.openxmlformats.org/drawingml/2006/main">
                        <a:graphicData uri="http://schemas.microsoft.com/office/word/2010/wordprocessingShape">
                          <wps:wsp>
                            <wps:cNvSpPr txBox="1">
                              <a:spLocks noChangeArrowheads="1"/>
                            </wps:cNvSpPr>
                            <wps:spPr bwMode="auto">
                              <a:xfrm>
                                <a:off x="0" y="0"/>
                                <a:ext cx="575310" cy="266065"/>
                              </a:xfrm>
                              <a:prstGeom prst="rect">
                                <a:avLst/>
                              </a:prstGeom>
                              <a:noFill/>
                              <a:ln>
                                <a:noFill/>
                              </a:ln>
                            </wps:spPr>
                            <wps:txbx>
                              <w:txbxContent>
                                <w:p>
                                  <w:pPr>
                                    <w:rPr>
                                      <w:rFonts w:hint="default" w:eastAsia="宋体"/>
                                      <w:lang w:val="en-US" w:eastAsia="zh-CN"/>
                                    </w:rPr>
                                  </w:pPr>
                                  <w:r>
                                    <w:rPr>
                                      <w:rFonts w:hint="eastAsia"/>
                                      <w:lang w:val="en-US" w:eastAsia="zh-CN"/>
                                    </w:rPr>
                                    <w:t>144</w:t>
                                  </w:r>
                                </w:p>
                              </w:txbxContent>
                            </wps:txbx>
                            <wps:bodyPr rot="0" vert="horz" wrap="square" lIns="91440" tIns="45720" rIns="91440" bIns="45720" anchor="t" anchorCtr="0" upright="1">
                              <a:noAutofit/>
                            </wps:bodyPr>
                          </wps:wsp>
                        </a:graphicData>
                      </a:graphic>
                    </wp:anchor>
                  </w:drawing>
                </mc:Choice>
                <mc:Fallback>
                  <w:pict>
                    <v:shape id="文本框 1054" o:spid="_x0000_s1026" o:spt="202" type="#_x0000_t202" style="position:absolute;left:0pt;margin-left:147.95pt;margin-top:6.85pt;height:20.95pt;width:45.3pt;z-index:251663360;mso-width-relative:page;mso-height-relative:page;" filled="f" stroked="f" coordsize="21600,21600" o:gfxdata="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Z3v9dcAAAAJAQAA&#10;DwAAAAAAAAABACAAAAAiAAAAZHJzL2Rvd25yZXYueG1sUEsBAhQAFAAAAAgAh07iQKYvi0QaAgAA&#10;GQQAAA4AAAAAAAAAAQAgAAAAJgEAAGRycy9lMm9Eb2MueG1sUEsFBgAAAAAGAAYAWQEAALIFAAAA&#10;AA==&#10;">
                      <v:fill on="f" focussize="0,0"/>
                      <v:stroke on="f"/>
                      <v:imagedata o:title=""/>
                      <o:lock v:ext="edit" aspectratio="f"/>
                      <v:textbox>
                        <w:txbxContent>
                          <w:p>
                            <w:pPr>
                              <w:rPr>
                                <w:rFonts w:hint="default" w:eastAsia="宋体"/>
                                <w:lang w:val="en-US" w:eastAsia="zh-CN"/>
                              </w:rPr>
                            </w:pPr>
                            <w:r>
                              <w:rPr>
                                <w:rFonts w:hint="eastAsia"/>
                                <w:lang w:val="en-US" w:eastAsia="zh-CN"/>
                              </w:rPr>
                              <w:t>144</w:t>
                            </w:r>
                          </w:p>
                        </w:txbxContent>
                      </v:textbox>
                    </v:shape>
                  </w:pict>
                </mc:Fallback>
              </mc:AlternateContent>
            </w:r>
            <w:r>
              <w:rPr>
                <w:color w:val="auto"/>
                <w:sz w:val="24"/>
              </w:rPr>
              <mc:AlternateContent>
                <mc:Choice Requires="wps">
                  <w:drawing>
                    <wp:anchor distT="0" distB="0" distL="114300" distR="114300" simplePos="0" relativeHeight="251664384" behindDoc="0" locked="0" layoutInCell="1" allowOverlap="1">
                      <wp:simplePos x="0" y="0"/>
                      <wp:positionH relativeFrom="column">
                        <wp:posOffset>2353310</wp:posOffset>
                      </wp:positionH>
                      <wp:positionV relativeFrom="paragraph">
                        <wp:posOffset>237490</wp:posOffset>
                      </wp:positionV>
                      <wp:extent cx="723900" cy="342900"/>
                      <wp:effectExtent l="5080" t="13335" r="13970" b="5715"/>
                      <wp:wrapNone/>
                      <wp:docPr id="278" name="文本框 1053"/>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noFill/>
                              <a:ln w="6350">
                                <a:solidFill>
                                  <a:srgbClr val="000000"/>
                                </a:solidFill>
                                <a:miter lim="800000"/>
                              </a:ln>
                            </wps:spPr>
                            <wps:txbx>
                              <w:txbxContent>
                                <w:p>
                                  <w:pPr>
                                    <w:rPr>
                                      <w:rFonts w:ascii="宋体" w:hAnsi="宋体"/>
                                    </w:rPr>
                                  </w:pPr>
                                  <w:r>
                                    <w:rPr>
                                      <w:rFonts w:hint="eastAsia" w:ascii="宋体" w:hAnsi="宋体"/>
                                    </w:rPr>
                                    <w:t>化粪池</w:t>
                                  </w:r>
                                </w:p>
                              </w:txbxContent>
                            </wps:txbx>
                            <wps:bodyPr rot="0" vert="horz" wrap="square" lIns="91440" tIns="45720" rIns="91440" bIns="45720" anchor="t" anchorCtr="0" upright="1">
                              <a:noAutofit/>
                            </wps:bodyPr>
                          </wps:wsp>
                        </a:graphicData>
                      </a:graphic>
                    </wp:anchor>
                  </w:drawing>
                </mc:Choice>
                <mc:Fallback>
                  <w:pict>
                    <v:shape id="文本框 1053" o:spid="_x0000_s1026" o:spt="202" type="#_x0000_t202" style="position:absolute;left:0pt;margin-left:185.3pt;margin-top:18.7pt;height:27pt;width:57pt;z-index:251664384;mso-width-relative:page;mso-height-relative:page;" filled="f" stroked="t" coordsize="21600,21600" o:gfxdata="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&#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DTKJ2QAAAAkBAAAPAAAAAAAAAAEAIAAAACIAAABk&#10;cnMvZG93bnJldi54bWxQSwECFAAUAAAACACHTuJAm472UT4CAABiBAAADgAAAAAAAAABACAAAAAo&#10;AQAAZHJzL2Uyb0RvYy54bWxQSwUGAAAAAAYABgBZAQAA2AUAAAAA&#10;">
                      <v:fill on="f" focussize="0,0"/>
                      <v:stroke weight="0.5pt" color="#000000" miterlimit="8" joinstyle="miter"/>
                      <v:imagedata o:title=""/>
                      <o:lock v:ext="edit" aspectratio="f"/>
                      <v:textbox>
                        <w:txbxContent>
                          <w:p>
                            <w:pPr>
                              <w:rPr>
                                <w:rFonts w:ascii="宋体" w:hAnsi="宋体"/>
                              </w:rPr>
                            </w:pPr>
                            <w:r>
                              <w:rPr>
                                <w:rFonts w:hint="eastAsia" w:ascii="宋体" w:hAnsi="宋体"/>
                              </w:rPr>
                              <w:t>化粪池</w:t>
                            </w:r>
                          </w:p>
                        </w:txbxContent>
                      </v:textbox>
                    </v:shape>
                  </w:pict>
                </mc:Fallback>
              </mc:AlternateContent>
            </w:r>
          </w:p>
          <w:p>
            <w:pPr>
              <w:pStyle w:val="8"/>
              <w:spacing w:line="360" w:lineRule="auto"/>
              <w:rPr>
                <w:color w:val="auto"/>
                <w:sz w:val="24"/>
              </w:rPr>
            </w:pPr>
            <w:r>
              <w:rPr>
                <w:color w:val="auto"/>
                <w:sz w:val="24"/>
              </w:rPr>
              <mc:AlternateContent>
                <mc:Choice Requires="wps">
                  <w:drawing>
                    <wp:anchor distT="0" distB="0" distL="114300" distR="114300" simplePos="0" relativeHeight="251665408" behindDoc="0" locked="0" layoutInCell="1" allowOverlap="1">
                      <wp:simplePos x="0" y="0"/>
                      <wp:positionH relativeFrom="column">
                        <wp:posOffset>62865</wp:posOffset>
                      </wp:positionH>
                      <wp:positionV relativeFrom="paragraph">
                        <wp:posOffset>128270</wp:posOffset>
                      </wp:positionV>
                      <wp:extent cx="619125" cy="454025"/>
                      <wp:effectExtent l="1270" t="4445" r="0" b="0"/>
                      <wp:wrapNone/>
                      <wp:docPr id="277" name="文本框 1030"/>
                      <wp:cNvGraphicFramePr/>
                      <a:graphic xmlns:a="http://schemas.openxmlformats.org/drawingml/2006/main">
                        <a:graphicData uri="http://schemas.microsoft.com/office/word/2010/wordprocessingShape">
                          <wps:wsp>
                            <wps:cNvSpPr txBox="1">
                              <a:spLocks noChangeArrowheads="1"/>
                            </wps:cNvSpPr>
                            <wps:spPr bwMode="auto">
                              <a:xfrm>
                                <a:off x="0" y="0"/>
                                <a:ext cx="619125" cy="454025"/>
                              </a:xfrm>
                              <a:prstGeom prst="rect">
                                <a:avLst/>
                              </a:prstGeom>
                              <a:noFill/>
                              <a:ln>
                                <a:noFill/>
                              </a:ln>
                            </wps:spPr>
                            <wps:txbx>
                              <w:txbxContent>
                                <w:p>
                                  <w:pPr>
                                    <w:ind w:left="210" w:hanging="210" w:hangingChars="100"/>
                                    <w:rPr>
                                      <w:rFonts w:hint="default" w:ascii="宋体" w:hAnsi="宋体" w:eastAsia="宋体"/>
                                      <w:color w:val="auto"/>
                                      <w:lang w:val="en-US" w:eastAsia="zh-CN"/>
                                    </w:rPr>
                                  </w:pPr>
                                  <w:r>
                                    <w:rPr>
                                      <w:rFonts w:hint="eastAsia" w:ascii="宋体" w:hAnsi="宋体"/>
                                      <w:color w:val="auto"/>
                                    </w:rPr>
                                    <w:t>新鲜水</w:t>
                                  </w:r>
                                  <w:r>
                                    <w:rPr>
                                      <w:rFonts w:hint="eastAsia"/>
                                      <w:color w:val="auto"/>
                                      <w:lang w:val="en-US" w:eastAsia="zh-CN"/>
                                    </w:rPr>
                                    <w:t>330</w:t>
                                  </w:r>
                                </w:p>
                              </w:txbxContent>
                            </wps:txbx>
                            <wps:bodyPr rot="0" vert="horz" wrap="square" lIns="91440" tIns="45720" rIns="91440" bIns="45720" anchor="t" anchorCtr="0" upright="1">
                              <a:noAutofit/>
                            </wps:bodyPr>
                          </wps:wsp>
                        </a:graphicData>
                      </a:graphic>
                    </wp:anchor>
                  </w:drawing>
                </mc:Choice>
                <mc:Fallback>
                  <w:pict>
                    <v:shape id="文本框 1030" o:spid="_x0000_s1026" o:spt="202" type="#_x0000_t202" style="position:absolute;left:0pt;margin-left:4.95pt;margin-top:10.1pt;height:35.75pt;width:48.75pt;z-index:251665408;mso-width-relative:page;mso-height-relative:page;" filled="f" stroked="f" coordsize="21600,21600" o:gfxdata="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W/V1NMAAAAHAQAADwAA&#10;AAAAAAABACAAAAAiAAAAZHJzL2Rvd25yZXYueG1sUEsBAhQAFAAAAAgAh07iQMruATwbAgAAGQQA&#10;AA4AAAAAAAAAAQAgAAAAIgEAAGRycy9lMm9Eb2MueG1sUEsFBgAAAAAGAAYAWQEAAK8FAAAAAA==&#10;">
                      <v:fill on="f" focussize="0,0"/>
                      <v:stroke on="f"/>
                      <v:imagedata o:title=""/>
                      <o:lock v:ext="edit" aspectratio="f"/>
                      <v:textbox>
                        <w:txbxContent>
                          <w:p>
                            <w:pPr>
                              <w:ind w:left="210" w:hanging="210" w:hangingChars="100"/>
                              <w:rPr>
                                <w:rFonts w:hint="default" w:ascii="宋体" w:hAnsi="宋体" w:eastAsia="宋体"/>
                                <w:color w:val="auto"/>
                                <w:lang w:val="en-US" w:eastAsia="zh-CN"/>
                              </w:rPr>
                            </w:pPr>
                            <w:r>
                              <w:rPr>
                                <w:rFonts w:hint="eastAsia" w:ascii="宋体" w:hAnsi="宋体"/>
                                <w:color w:val="auto"/>
                              </w:rPr>
                              <w:t>新鲜水</w:t>
                            </w:r>
                            <w:r>
                              <w:rPr>
                                <w:rFonts w:hint="eastAsia"/>
                                <w:color w:val="auto"/>
                                <w:lang w:val="en-US" w:eastAsia="zh-CN"/>
                              </w:rPr>
                              <w:t>330</w:t>
                            </w:r>
                          </w:p>
                        </w:txbxContent>
                      </v:textbox>
                    </v:shape>
                  </w:pict>
                </mc:Fallback>
              </mc:AlternateContent>
            </w:r>
            <w:r>
              <w:rPr>
                <w:color w:val="auto"/>
                <w:sz w:val="24"/>
              </w:rPr>
              <mc:AlternateContent>
                <mc:Choice Requires="wps">
                  <w:drawing>
                    <wp:anchor distT="0" distB="0" distL="114300" distR="114300" simplePos="0" relativeHeight="251673600" behindDoc="0" locked="0" layoutInCell="1" allowOverlap="1">
                      <wp:simplePos x="0" y="0"/>
                      <wp:positionH relativeFrom="column">
                        <wp:posOffset>594360</wp:posOffset>
                      </wp:positionH>
                      <wp:positionV relativeFrom="paragraph">
                        <wp:posOffset>185420</wp:posOffset>
                      </wp:positionV>
                      <wp:extent cx="8255" cy="822325"/>
                      <wp:effectExtent l="6350" t="0" r="23495" b="15875"/>
                      <wp:wrapNone/>
                      <wp:docPr id="59" name="直接连接符 59"/>
                      <wp:cNvGraphicFramePr/>
                      <a:graphic xmlns:a="http://schemas.openxmlformats.org/drawingml/2006/main">
                        <a:graphicData uri="http://schemas.microsoft.com/office/word/2010/wordprocessingShape">
                          <wps:wsp>
                            <wps:cNvCnPr/>
                            <wps:spPr>
                              <a:xfrm flipH="1">
                                <a:off x="2113280" y="4305300"/>
                                <a:ext cx="8255" cy="822325"/>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46.8pt;margin-top:14.6pt;height:64.75pt;width:0.65pt;z-index:251673600;mso-width-relative:page;mso-height-relative:page;" filled="f" stroked="t" coordsize="21600,21600" o:gfxdata="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PTfyp1gAAAAgBAAAPAAAAAAAAAAEAIAAAACIAAABkcnMvZG93bnJldi54&#10;bWxQSwECFAAUAAAACACHTuJA4hpszfwBAADMAwAADgAAAAAAAAABACAAAAAlAQAAZHJzL2Uyb0Rv&#10;Yy54bWxQSwUGAAAAAAYABgBZAQAAkwUAAAAA&#10;">
                      <v:fill on="f" focussize="0,0"/>
                      <v:stroke weight="1pt" color="#000000 [3213]" miterlimit="8" joinstyle="miter"/>
                      <v:imagedata o:title=""/>
                      <o:lock v:ext="edit" aspectratio="f"/>
                    </v:line>
                  </w:pict>
                </mc:Fallback>
              </mc:AlternateContent>
            </w:r>
            <w:r>
              <w:rPr>
                <w:color w:val="auto"/>
                <w:sz w:val="24"/>
              </w:rPr>
              <mc:AlternateContent>
                <mc:Choice Requires="wps">
                  <w:drawing>
                    <wp:anchor distT="0" distB="0" distL="114300" distR="114300" simplePos="0" relativeHeight="251666432" behindDoc="0" locked="0" layoutInCell="1" allowOverlap="1">
                      <wp:simplePos x="0" y="0"/>
                      <wp:positionH relativeFrom="column">
                        <wp:posOffset>587375</wp:posOffset>
                      </wp:positionH>
                      <wp:positionV relativeFrom="paragraph">
                        <wp:posOffset>182245</wp:posOffset>
                      </wp:positionV>
                      <wp:extent cx="514350" cy="0"/>
                      <wp:effectExtent l="10795" t="40005" r="17780" b="45720"/>
                      <wp:wrapNone/>
                      <wp:docPr id="275" name="AutoShape 4"/>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6350">
                                <a:solidFill>
                                  <a:srgbClr val="000000"/>
                                </a:solidFill>
                                <a:round/>
                                <a:tailEnd type="triangle" w="sm" len="med"/>
                              </a:ln>
                            </wps:spPr>
                            <wps:bodyPr/>
                          </wps:wsp>
                        </a:graphicData>
                      </a:graphic>
                    </wp:anchor>
                  </w:drawing>
                </mc:Choice>
                <mc:Fallback>
                  <w:pict>
                    <v:shape id="AutoShape 4" o:spid="_x0000_s1026" o:spt="32" type="#_x0000_t32" style="position:absolute;left:0pt;margin-left:46.25pt;margin-top:14.35pt;height:0pt;width:40.5pt;z-index:251666432;mso-width-relative:page;mso-height-relative:page;" filled="f" stroked="t" coordsize="21600,21600" o:gfxdata="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RPeA&#10;1QAAAAgBAAAPAAAAAAAAAAEAIAAAACIAAABkcnMvZG93bnJldi54bWxQSwECFAAUAAAACACHTuJA&#10;sOvUBOsBAADgAwAADgAAAAAAAAABACAAAAAkAQAAZHJzL2Uyb0RvYy54bWxQSwUGAAAAAAYABgBZ&#10;AQAAgQUAAAAA&#10;">
                      <v:fill on="f" focussize="0,0"/>
                      <v:stroke weight="0.5pt" color="#000000" joinstyle="round" endarrow="block" endarrowwidth="narrow"/>
                      <v:imagedata o:title=""/>
                      <o:lock v:ext="edit" aspectratio="f"/>
                    </v:shape>
                  </w:pict>
                </mc:Fallback>
              </mc:AlternateContent>
            </w:r>
            <w:r>
              <w:rPr>
                <w:color w:val="auto"/>
                <w:sz w:val="24"/>
              </w:rPr>
              <mc:AlternateContent>
                <mc:Choice Requires="wps">
                  <w:drawing>
                    <wp:anchor distT="0" distB="0" distL="114300" distR="114300" simplePos="0" relativeHeight="251667456" behindDoc="0" locked="0" layoutInCell="1" allowOverlap="1">
                      <wp:simplePos x="0" y="0"/>
                      <wp:positionH relativeFrom="column">
                        <wp:posOffset>1091565</wp:posOffset>
                      </wp:positionH>
                      <wp:positionV relativeFrom="paragraph">
                        <wp:posOffset>22225</wp:posOffset>
                      </wp:positionV>
                      <wp:extent cx="723900" cy="342900"/>
                      <wp:effectExtent l="10160" t="13335" r="8890" b="5715"/>
                      <wp:wrapNone/>
                      <wp:docPr id="274" name="Text Box 3"/>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noFill/>
                              <a:ln w="6350">
                                <a:solidFill>
                                  <a:srgbClr val="000000"/>
                                </a:solidFill>
                                <a:miter lim="800000"/>
                              </a:ln>
                            </wps:spPr>
                            <wps:txbx>
                              <w:txbxContent>
                                <w:p>
                                  <w:pPr>
                                    <w:rPr>
                                      <w:rFonts w:ascii="宋体" w:hAnsi="宋体"/>
                                    </w:rPr>
                                  </w:pPr>
                                  <w:r>
                                    <w:rPr>
                                      <w:rFonts w:hint="eastAsia" w:ascii="宋体" w:hAnsi="宋体"/>
                                    </w:rPr>
                                    <w:t>生活用水</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85.95pt;margin-top:1.75pt;height:27pt;width:57pt;z-index:251667456;mso-width-relative:page;mso-height-relative:page;" filled="f" stroked="t" coordsize="21600,21600" o:gfxdata="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npxA51wAAAAgBAAAPAAAAAAAAAAEAIAAAACIAAABkcnMvZG93bnJldi54bWxQSwECFAAU&#10;AAAACACHTuJAHqIpmCsCAABeBAAADgAAAAAAAAABACAAAAAmAQAAZHJzL2Uyb0RvYy54bWxQSwUG&#10;AAAAAAYABgBZAQAAwwUAAAAA&#10;">
                      <v:fill on="f" focussize="0,0"/>
                      <v:stroke weight="0.5pt" color="#000000" miterlimit="8" joinstyle="miter"/>
                      <v:imagedata o:title=""/>
                      <o:lock v:ext="edit" aspectratio="f"/>
                      <v:textbox>
                        <w:txbxContent>
                          <w:p>
                            <w:pPr>
                              <w:rPr>
                                <w:rFonts w:ascii="宋体" w:hAnsi="宋体"/>
                              </w:rPr>
                            </w:pPr>
                            <w:r>
                              <w:rPr>
                                <w:rFonts w:hint="eastAsia" w:ascii="宋体" w:hAnsi="宋体"/>
                              </w:rPr>
                              <w:t>生活用水</w:t>
                            </w:r>
                          </w:p>
                        </w:txbxContent>
                      </v:textbox>
                    </v:shape>
                  </w:pict>
                </mc:Fallback>
              </mc:AlternateContent>
            </w:r>
            <w:r>
              <w:rPr>
                <w:color w:val="auto"/>
                <w:sz w:val="24"/>
              </w:rPr>
              <mc:AlternateContent>
                <mc:Choice Requires="wps">
                  <w:drawing>
                    <wp:anchor distT="0" distB="0" distL="114300" distR="114300" simplePos="0" relativeHeight="251668480" behindDoc="0" locked="0" layoutInCell="1" allowOverlap="1">
                      <wp:simplePos x="0" y="0"/>
                      <wp:positionH relativeFrom="column">
                        <wp:posOffset>3072765</wp:posOffset>
                      </wp:positionH>
                      <wp:positionV relativeFrom="paragraph">
                        <wp:posOffset>137160</wp:posOffset>
                      </wp:positionV>
                      <wp:extent cx="514350" cy="0"/>
                      <wp:effectExtent l="10160" t="42545" r="18415" b="43180"/>
                      <wp:wrapNone/>
                      <wp:docPr id="272" name="自选图形 1057"/>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6350">
                                <a:solidFill>
                                  <a:srgbClr val="000000"/>
                                </a:solidFill>
                                <a:round/>
                                <a:tailEnd type="triangle" w="sm" len="med"/>
                              </a:ln>
                            </wps:spPr>
                            <wps:bodyPr/>
                          </wps:wsp>
                        </a:graphicData>
                      </a:graphic>
                    </wp:anchor>
                  </w:drawing>
                </mc:Choice>
                <mc:Fallback>
                  <w:pict>
                    <v:shape id="自选图形 1057" o:spid="_x0000_s1026" o:spt="32" type="#_x0000_t32" style="position:absolute;left:0pt;margin-left:241.95pt;margin-top:10.8pt;height:0pt;width:40.5pt;z-index:251668480;mso-width-relative:page;mso-height-relative:page;" filled="f" stroked="t" coordsize="21600,21600" o:gfxdata="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Ss4OzWAAAACQEAAA8AAAAAAAAAAQAgAAAAIgAAAGRycy9k&#10;b3ducmV2LnhtbFBLAQIUABQAAAAIAIdO4kC16oMZBAIAAOYDAAAOAAAAAAAAAAEAIAAAACUBAABk&#10;cnMvZTJvRG9jLnhtbFBLBQYAAAAABgAGAFkBAACbBQAAAAA=&#10;">
                      <v:fill on="f" focussize="0,0"/>
                      <v:stroke weight="0.5pt" color="#000000" joinstyle="round" endarrow="block" endarrowwidth="narrow"/>
                      <v:imagedata o:title=""/>
                      <o:lock v:ext="edit" aspectratio="f"/>
                    </v:shape>
                  </w:pict>
                </mc:Fallback>
              </mc:AlternateContent>
            </w:r>
            <w:r>
              <w:rPr>
                <w:color w:val="auto"/>
                <w:sz w:val="24"/>
              </w:rPr>
              <mc:AlternateContent>
                <mc:Choice Requires="wps">
                  <w:drawing>
                    <wp:anchor distT="0" distB="0" distL="114300" distR="114300" simplePos="0" relativeHeight="251669504" behindDoc="0" locked="0" layoutInCell="1" allowOverlap="1">
                      <wp:simplePos x="0" y="0"/>
                      <wp:positionH relativeFrom="column">
                        <wp:posOffset>1837690</wp:posOffset>
                      </wp:positionH>
                      <wp:positionV relativeFrom="paragraph">
                        <wp:posOffset>158115</wp:posOffset>
                      </wp:positionV>
                      <wp:extent cx="514350" cy="0"/>
                      <wp:effectExtent l="13335" t="44450" r="15240" b="41275"/>
                      <wp:wrapNone/>
                      <wp:docPr id="271" name="自选图形 1052"/>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6350">
                                <a:solidFill>
                                  <a:srgbClr val="000000"/>
                                </a:solidFill>
                                <a:round/>
                                <a:tailEnd type="triangle" w="sm" len="med"/>
                              </a:ln>
                            </wps:spPr>
                            <wps:bodyPr/>
                          </wps:wsp>
                        </a:graphicData>
                      </a:graphic>
                    </wp:anchor>
                  </w:drawing>
                </mc:Choice>
                <mc:Fallback>
                  <w:pict>
                    <v:shape id="自选图形 1052" o:spid="_x0000_s1026" o:spt="32" type="#_x0000_t32" style="position:absolute;left:0pt;margin-left:144.7pt;margin-top:12.45pt;height:0pt;width:40.5pt;z-index:251669504;mso-width-relative:page;mso-height-relative:page;" filled="f" stroked="t" coordsize="21600,21600" o:gfxdata="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G3v9D1wAAAAkBAAAPAAAAAAAAAAEAIAAAACIAAABkcnMv&#10;ZG93bnJldi54bWxQSwECFAAUAAAACACHTuJAgtC44AQCAADmAwAADgAAAAAAAAABACAAAAAmAQAA&#10;ZHJzL2Uyb0RvYy54bWxQSwUGAAAAAAYABgBZAQAAnAUAAAAA&#10;">
                      <v:fill on="f" focussize="0,0"/>
                      <v:stroke weight="0.5pt" color="#000000" joinstyle="round" endarrow="block" endarrowwidth="narrow"/>
                      <v:imagedata o:title=""/>
                      <o:lock v:ext="edit" aspectratio="f"/>
                    </v:shape>
                  </w:pict>
                </mc:Fallback>
              </mc:AlternateContent>
            </w:r>
          </w:p>
          <w:p>
            <w:pPr>
              <w:pStyle w:val="8"/>
              <w:spacing w:line="360" w:lineRule="auto"/>
              <w:rPr>
                <w:color w:val="auto"/>
                <w:sz w:val="24"/>
              </w:rPr>
            </w:pPr>
            <w:r>
              <w:rPr>
                <w:color w:val="auto"/>
                <w:sz w:val="24"/>
              </w:rPr>
              <mc:AlternateContent>
                <mc:Choice Requires="wps">
                  <w:drawing>
                    <wp:anchor distT="0" distB="0" distL="114300" distR="114300" simplePos="0" relativeHeight="251677696" behindDoc="0" locked="0" layoutInCell="1" allowOverlap="1">
                      <wp:simplePos x="0" y="0"/>
                      <wp:positionH relativeFrom="column">
                        <wp:posOffset>1753870</wp:posOffset>
                      </wp:positionH>
                      <wp:positionV relativeFrom="paragraph">
                        <wp:posOffset>234315</wp:posOffset>
                      </wp:positionV>
                      <wp:extent cx="514350" cy="292735"/>
                      <wp:effectExtent l="0" t="0" r="0" b="0"/>
                      <wp:wrapNone/>
                      <wp:docPr id="64" name="文本框 1058"/>
                      <wp:cNvGraphicFramePr/>
                      <a:graphic xmlns:a="http://schemas.openxmlformats.org/drawingml/2006/main">
                        <a:graphicData uri="http://schemas.microsoft.com/office/word/2010/wordprocessingShape">
                          <wps:wsp>
                            <wps:cNvSpPr txBox="1">
                              <a:spLocks noChangeArrowheads="1"/>
                            </wps:cNvSpPr>
                            <wps:spPr bwMode="auto">
                              <a:xfrm>
                                <a:off x="0" y="0"/>
                                <a:ext cx="514350" cy="292735"/>
                              </a:xfrm>
                              <a:prstGeom prst="rect">
                                <a:avLst/>
                              </a:prstGeom>
                              <a:noFill/>
                              <a:ln>
                                <a:noFill/>
                              </a:ln>
                            </wps:spPr>
                            <wps:txbx>
                              <w:txbxContent>
                                <w:p>
                                  <w:pPr>
                                    <w:rPr>
                                      <w:rFonts w:hint="default" w:eastAsia="宋体"/>
                                      <w:lang w:val="en-US" w:eastAsia="zh-CN"/>
                                    </w:rPr>
                                  </w:pPr>
                                  <w:r>
                                    <w:rPr>
                                      <w:rFonts w:hint="eastAsia"/>
                                      <w:lang w:val="en-US" w:eastAsia="zh-CN"/>
                                    </w:rPr>
                                    <w:t>150</w:t>
                                  </w:r>
                                </w:p>
                              </w:txbxContent>
                            </wps:txbx>
                            <wps:bodyPr rot="0" vert="horz" wrap="square" lIns="91440" tIns="45720" rIns="91440" bIns="45720" anchor="t" anchorCtr="0" upright="1">
                              <a:noAutofit/>
                            </wps:bodyPr>
                          </wps:wsp>
                        </a:graphicData>
                      </a:graphic>
                    </wp:anchor>
                  </w:drawing>
                </mc:Choice>
                <mc:Fallback>
                  <w:pict>
                    <v:shape id="文本框 1058" o:spid="_x0000_s1026" o:spt="202" type="#_x0000_t202" style="position:absolute;left:0pt;margin-left:138.1pt;margin-top:18.45pt;height:23.05pt;width:40.5pt;z-index:251677696;mso-width-relative:page;mso-height-relative:page;" filled="f" stroked="f" coordsize="21600,21600" o:gfxdata="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MZewtcAAAAJAQAA&#10;DwAAAAAAAAABACAAAAAiAAAAZHJzL2Rvd25yZXYueG1sUEsBAhQAFAAAAAgAh07iQBZRRegaAgAA&#10;GAQAAA4AAAAAAAAAAQAgAAAAJgEAAGRycy9lMm9Eb2MueG1sUEsFBgAAAAAGAAYAWQEAALIFAAAA&#10;AA==&#10;">
                      <v:fill on="f" focussize="0,0"/>
                      <v:stroke on="f"/>
                      <v:imagedata o:title=""/>
                      <o:lock v:ext="edit" aspectratio="f"/>
                      <v:textbox>
                        <w:txbxContent>
                          <w:p>
                            <w:pPr>
                              <w:rPr>
                                <w:rFonts w:hint="default" w:eastAsia="宋体"/>
                                <w:lang w:val="en-US" w:eastAsia="zh-CN"/>
                              </w:rPr>
                            </w:pPr>
                            <w:r>
                              <w:rPr>
                                <w:rFonts w:hint="eastAsia"/>
                                <w:lang w:val="en-US" w:eastAsia="zh-CN"/>
                              </w:rPr>
                              <w:t>150</w:t>
                            </w:r>
                          </w:p>
                        </w:txbxContent>
                      </v:textbox>
                    </v:shape>
                  </w:pict>
                </mc:Fallback>
              </mc:AlternateContent>
            </w:r>
          </w:p>
          <w:p>
            <w:pPr>
              <w:pStyle w:val="2"/>
              <w:rPr>
                <w:color w:val="auto"/>
                <w:highlight w:val="none"/>
              </w:rPr>
            </w:pPr>
            <w:r>
              <w:rPr>
                <w:color w:val="auto"/>
                <w:sz w:val="24"/>
              </w:rPr>
              <mc:AlternateContent>
                <mc:Choice Requires="wps">
                  <w:drawing>
                    <wp:anchor distT="0" distB="0" distL="114300" distR="114300" simplePos="0" relativeHeight="251676672" behindDoc="0" locked="0" layoutInCell="1" allowOverlap="1">
                      <wp:simplePos x="0" y="0"/>
                      <wp:positionH relativeFrom="column">
                        <wp:posOffset>662940</wp:posOffset>
                      </wp:positionH>
                      <wp:positionV relativeFrom="paragraph">
                        <wp:posOffset>118745</wp:posOffset>
                      </wp:positionV>
                      <wp:extent cx="514350" cy="292735"/>
                      <wp:effectExtent l="0" t="0" r="0" b="0"/>
                      <wp:wrapNone/>
                      <wp:docPr id="63" name="文本框 1058"/>
                      <wp:cNvGraphicFramePr/>
                      <a:graphic xmlns:a="http://schemas.openxmlformats.org/drawingml/2006/main">
                        <a:graphicData uri="http://schemas.microsoft.com/office/word/2010/wordprocessingShape">
                          <wps:wsp>
                            <wps:cNvSpPr txBox="1">
                              <a:spLocks noChangeArrowheads="1"/>
                            </wps:cNvSpPr>
                            <wps:spPr bwMode="auto">
                              <a:xfrm>
                                <a:off x="0" y="0"/>
                                <a:ext cx="514350" cy="292735"/>
                              </a:xfrm>
                              <a:prstGeom prst="rect">
                                <a:avLst/>
                              </a:prstGeom>
                              <a:noFill/>
                              <a:ln>
                                <a:noFill/>
                              </a:ln>
                            </wps:spPr>
                            <wps:txbx>
                              <w:txbxContent>
                                <w:p>
                                  <w:pPr>
                                    <w:rPr>
                                      <w:rFonts w:hint="default" w:eastAsia="宋体"/>
                                      <w:lang w:val="en-US" w:eastAsia="zh-CN"/>
                                    </w:rPr>
                                  </w:pPr>
                                  <w:r>
                                    <w:rPr>
                                      <w:rFonts w:hint="eastAsia"/>
                                      <w:lang w:val="en-US" w:eastAsia="zh-CN"/>
                                    </w:rPr>
                                    <w:t>150</w:t>
                                  </w:r>
                                </w:p>
                              </w:txbxContent>
                            </wps:txbx>
                            <wps:bodyPr rot="0" vert="horz" wrap="square" lIns="91440" tIns="45720" rIns="91440" bIns="45720" anchor="t" anchorCtr="0" upright="1">
                              <a:noAutofit/>
                            </wps:bodyPr>
                          </wps:wsp>
                        </a:graphicData>
                      </a:graphic>
                    </wp:anchor>
                  </w:drawing>
                </mc:Choice>
                <mc:Fallback>
                  <w:pict>
                    <v:shape id="文本框 1058" o:spid="_x0000_s1026" o:spt="202" type="#_x0000_t202" style="position:absolute;left:0pt;margin-left:52.2pt;margin-top:9.35pt;height:23.05pt;width:40.5pt;z-index:251676672;mso-width-relative:page;mso-height-relative:page;" filled="f" stroked="f" coordsize="21600,21600" o:gfxdata="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8YfcrVAAAACQEAAA8A&#10;AAAAAAAAAQAgAAAAIgAAAGRycy9kb3ducmV2LnhtbFBLAQIUABQAAAAIAIdO4kCWNZfUGgIAABgE&#10;AAAOAAAAAAAAAAEAIAAAACQBAABkcnMvZTJvRG9jLnhtbFBLBQYAAAAABgAGAFkBAACwBQAAAAA=&#10;">
                      <v:fill on="f" focussize="0,0"/>
                      <v:stroke on="f"/>
                      <v:imagedata o:title=""/>
                      <o:lock v:ext="edit" aspectratio="f"/>
                      <v:textbox>
                        <w:txbxContent>
                          <w:p>
                            <w:pPr>
                              <w:rPr>
                                <w:rFonts w:hint="default" w:eastAsia="宋体"/>
                                <w:lang w:val="en-US" w:eastAsia="zh-CN"/>
                              </w:rPr>
                            </w:pPr>
                            <w:r>
                              <w:rPr>
                                <w:rFonts w:hint="eastAsia"/>
                                <w:lang w:val="en-US" w:eastAsia="zh-CN"/>
                              </w:rPr>
                              <w:t>150</w:t>
                            </w:r>
                          </w:p>
                        </w:txbxContent>
                      </v:textbox>
                    </v:shape>
                  </w:pict>
                </mc:Fallback>
              </mc:AlternateContent>
            </w:r>
            <w:r>
              <w:rPr>
                <w:color w:val="auto"/>
                <w:sz w:val="24"/>
              </w:rPr>
              <mc:AlternateContent>
                <mc:Choice Requires="wps">
                  <w:drawing>
                    <wp:anchor distT="0" distB="0" distL="114300" distR="114300" simplePos="0" relativeHeight="251674624" behindDoc="0" locked="0" layoutInCell="1" allowOverlap="1">
                      <wp:simplePos x="0" y="0"/>
                      <wp:positionH relativeFrom="column">
                        <wp:posOffset>144145</wp:posOffset>
                      </wp:positionH>
                      <wp:positionV relativeFrom="paragraph">
                        <wp:posOffset>72390</wp:posOffset>
                      </wp:positionV>
                      <wp:extent cx="464820" cy="2540"/>
                      <wp:effectExtent l="0" t="24765" r="11430" b="29845"/>
                      <wp:wrapNone/>
                      <wp:docPr id="60" name="AutoShape 4"/>
                      <wp:cNvGraphicFramePr/>
                      <a:graphic xmlns:a="http://schemas.openxmlformats.org/drawingml/2006/main">
                        <a:graphicData uri="http://schemas.microsoft.com/office/word/2010/wordprocessingShape">
                          <wps:wsp>
                            <wps:cNvCnPr>
                              <a:cxnSpLocks noChangeShapeType="1"/>
                            </wps:cNvCnPr>
                            <wps:spPr bwMode="auto">
                              <a:xfrm flipV="1">
                                <a:off x="0" y="0"/>
                                <a:ext cx="464820" cy="2540"/>
                              </a:xfrm>
                              <a:prstGeom prst="straightConnector1">
                                <a:avLst/>
                              </a:prstGeom>
                              <a:noFill/>
                              <a:ln w="6350">
                                <a:solidFill>
                                  <a:srgbClr val="000000"/>
                                </a:solidFill>
                                <a:round/>
                                <a:tailEnd type="triangle" w="sm" len="med"/>
                              </a:ln>
                            </wps:spPr>
                            <wps:bodyPr/>
                          </wps:wsp>
                        </a:graphicData>
                      </a:graphic>
                    </wp:anchor>
                  </w:drawing>
                </mc:Choice>
                <mc:Fallback>
                  <w:pict>
                    <v:shape id="AutoShape 4" o:spid="_x0000_s1026" o:spt="32" type="#_x0000_t32" style="position:absolute;left:0pt;flip:y;margin-left:11.35pt;margin-top:5.7pt;height:0.2pt;width:36.6pt;z-index:251674624;mso-width-relative:page;mso-height-relative:page;" filled="f" stroked="t" coordsize="21600,21600" o:gfxdata="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kOKTb1gAAAAcBAAAPAAAAAAAAAAEAIAAAACIAAABkcnMvZG93bnJldi54bWxQSwEC&#10;FAAUAAAACACHTuJAmVt8W/YBAADsAwAADgAAAAAAAAABACAAAAAlAQAAZHJzL2Uyb0RvYy54bWxQ&#10;SwUGAAAAAAYABgBZAQAAjQUAAAAA&#10;">
                      <v:fill on="f" focussize="0,0"/>
                      <v:stroke weight="0.5pt" color="#000000" joinstyle="round" endarrow="block" endarrowwidth="narrow"/>
                      <v:imagedata o:title=""/>
                      <o:lock v:ext="edit" aspectratio="f"/>
                    </v:shape>
                  </w:pict>
                </mc:Fallback>
              </mc:AlternateContent>
            </w:r>
            <w:r>
              <w:rPr>
                <w:color w:val="auto"/>
                <w:sz w:val="24"/>
              </w:rPr>
              <mc:AlternateContent>
                <mc:Choice Requires="wps">
                  <w:drawing>
                    <wp:anchor distT="0" distB="0" distL="114300" distR="114300" simplePos="0" relativeHeight="251672576" behindDoc="0" locked="0" layoutInCell="1" allowOverlap="1">
                      <wp:simplePos x="0" y="0"/>
                      <wp:positionH relativeFrom="column">
                        <wp:posOffset>1466215</wp:posOffset>
                      </wp:positionH>
                      <wp:positionV relativeFrom="paragraph">
                        <wp:posOffset>140335</wp:posOffset>
                      </wp:positionV>
                      <wp:extent cx="276225" cy="161925"/>
                      <wp:effectExtent l="2540" t="0" r="6985" b="9525"/>
                      <wp:wrapNone/>
                      <wp:docPr id="58" name="自选图形 1055"/>
                      <wp:cNvGraphicFramePr/>
                      <a:graphic xmlns:a="http://schemas.openxmlformats.org/drawingml/2006/main">
                        <a:graphicData uri="http://schemas.microsoft.com/office/word/2010/wordprocessingShape">
                          <wps:wsp>
                            <wps:cNvCnPr>
                              <a:cxnSpLocks noChangeShapeType="1"/>
                            </wps:cNvCnPr>
                            <wps:spPr bwMode="auto">
                              <a:xfrm flipV="1">
                                <a:off x="0" y="0"/>
                                <a:ext cx="276225" cy="161925"/>
                              </a:xfrm>
                              <a:prstGeom prst="straightConnector1">
                                <a:avLst/>
                              </a:prstGeom>
                              <a:noFill/>
                              <a:ln w="6350">
                                <a:solidFill>
                                  <a:srgbClr val="000000"/>
                                </a:solidFill>
                                <a:prstDash val="dash"/>
                                <a:round/>
                                <a:tailEnd type="triangle" w="sm" len="med"/>
                              </a:ln>
                            </wps:spPr>
                            <wps:bodyPr/>
                          </wps:wsp>
                        </a:graphicData>
                      </a:graphic>
                    </wp:anchor>
                  </w:drawing>
                </mc:Choice>
                <mc:Fallback>
                  <w:pict>
                    <v:shape id="自选图形 1055" o:spid="_x0000_s1026" o:spt="32" type="#_x0000_t32" style="position:absolute;left:0pt;flip:y;margin-left:115.45pt;margin-top:11.05pt;height:12.75pt;width:21.75pt;z-index:251672576;mso-width-relative:page;mso-height-relative:page;" filled="f" stroked="t" coordsize="21600,21600" o:gfxdata="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bHN8n2AAA&#10;AAkBAAAPAAAAAAAAAAEAIAAAACIAAABkcnMvZG93bnJldi54bWxQSwECFAAUAAAACACHTuJA21LZ&#10;ph4CAAAMBAAADgAAAAAAAAABACAAAAAnAQAAZHJzL2Uyb0RvYy54bWxQSwUGAAAAAAYABgBZAQAA&#10;twUAAAAA&#10;">
                      <v:fill on="f" focussize="0,0"/>
                      <v:stroke weight="0.5pt" color="#000000" joinstyle="round" dashstyle="dash" endarrow="block" endarrowwidth="narrow"/>
                      <v:imagedata o:title=""/>
                      <o:lock v:ext="edit" aspectratio="f"/>
                    </v:shape>
                  </w:pict>
                </mc:Fallback>
              </mc:AlternateContent>
            </w:r>
          </w:p>
          <w:p>
            <w:pPr>
              <w:rPr>
                <w:color w:val="auto"/>
              </w:rPr>
            </w:pPr>
            <w:r>
              <w:rPr>
                <w:color w:val="auto"/>
                <w:sz w:val="24"/>
              </w:rPr>
              <mc:AlternateContent>
                <mc:Choice Requires="wps">
                  <w:drawing>
                    <wp:anchor distT="0" distB="0" distL="114300" distR="114300" simplePos="0" relativeHeight="251671552" behindDoc="0" locked="0" layoutInCell="1" allowOverlap="1">
                      <wp:simplePos x="0" y="0"/>
                      <wp:positionH relativeFrom="column">
                        <wp:posOffset>1091565</wp:posOffset>
                      </wp:positionH>
                      <wp:positionV relativeFrom="paragraph">
                        <wp:posOffset>116840</wp:posOffset>
                      </wp:positionV>
                      <wp:extent cx="723900" cy="342900"/>
                      <wp:effectExtent l="4445" t="4445" r="14605" b="14605"/>
                      <wp:wrapNone/>
                      <wp:docPr id="57" name="Text Box 3"/>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noFill/>
                              <a:ln w="6350">
                                <a:solidFill>
                                  <a:srgbClr val="000000"/>
                                </a:solidFill>
                                <a:miter lim="800000"/>
                              </a:ln>
                            </wps:spPr>
                            <wps:txbx>
                              <w:txbxContent>
                                <w:p>
                                  <w:pPr>
                                    <w:rPr>
                                      <w:rFonts w:ascii="宋体" w:hAnsi="宋体"/>
                                    </w:rPr>
                                  </w:pPr>
                                  <w:r>
                                    <w:rPr>
                                      <w:rFonts w:hint="eastAsia" w:ascii="宋体" w:hAnsi="宋体"/>
                                      <w:lang w:val="en-US" w:eastAsia="zh-CN"/>
                                    </w:rPr>
                                    <w:t>冷却</w:t>
                                  </w:r>
                                  <w:r>
                                    <w:rPr>
                                      <w:rFonts w:hint="eastAsia" w:ascii="宋体" w:hAnsi="宋体"/>
                                    </w:rPr>
                                    <w:t>用水</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85.95pt;margin-top:9.2pt;height:27pt;width:57pt;z-index:251671552;mso-width-relative:page;mso-height-relative:page;" filled="f" stroked="t" coordsize="21600,21600" o:gfxdata="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0AjGjZAAAACQEAAA8AAAAAAAAAAQAgAAAAIgAAAGRycy9kb3ducmV2LnhtbFBLAQIU&#10;ABQAAAAIAIdO4kAXblxTKwIAAF0EAAAOAAAAAAAAAAEAIAAAACgBAABkcnMvZTJvRG9jLnhtbFBL&#10;BQYAAAAABgAGAFkBAADFBQAAAAA=&#10;">
                      <v:fill on="f" focussize="0,0"/>
                      <v:stroke weight="0.5pt" color="#000000" miterlimit="8" joinstyle="miter"/>
                      <v:imagedata o:title=""/>
                      <o:lock v:ext="edit" aspectratio="f"/>
                      <v:textbox>
                        <w:txbxContent>
                          <w:p>
                            <w:pPr>
                              <w:rPr>
                                <w:rFonts w:ascii="宋体" w:hAnsi="宋体"/>
                              </w:rPr>
                            </w:pPr>
                            <w:r>
                              <w:rPr>
                                <w:rFonts w:hint="eastAsia" w:ascii="宋体" w:hAnsi="宋体"/>
                                <w:lang w:val="en-US" w:eastAsia="zh-CN"/>
                              </w:rPr>
                              <w:t>冷却</w:t>
                            </w:r>
                            <w:r>
                              <w:rPr>
                                <w:rFonts w:hint="eastAsia" w:ascii="宋体" w:hAnsi="宋体"/>
                              </w:rPr>
                              <w:t>用水</w:t>
                            </w:r>
                          </w:p>
                        </w:txbxContent>
                      </v:textbox>
                    </v:shape>
                  </w:pict>
                </mc:Fallback>
              </mc:AlternateContent>
            </w:r>
          </w:p>
          <w:p>
            <w:pPr>
              <w:pStyle w:val="2"/>
              <w:rPr>
                <w:color w:val="auto"/>
              </w:rPr>
            </w:pPr>
            <w:r>
              <w:rPr>
                <w:color w:val="auto"/>
                <w:sz w:val="24"/>
              </w:rPr>
              <mc:AlternateContent>
                <mc:Choice Requires="wps">
                  <w:drawing>
                    <wp:anchor distT="0" distB="0" distL="114300" distR="114300" simplePos="0" relativeHeight="251670528" behindDoc="0" locked="0" layoutInCell="1" allowOverlap="1">
                      <wp:simplePos x="0" y="0"/>
                      <wp:positionH relativeFrom="column">
                        <wp:posOffset>611505</wp:posOffset>
                      </wp:positionH>
                      <wp:positionV relativeFrom="paragraph">
                        <wp:posOffset>123190</wp:posOffset>
                      </wp:positionV>
                      <wp:extent cx="464820" cy="2540"/>
                      <wp:effectExtent l="0" t="24765" r="11430" b="29845"/>
                      <wp:wrapNone/>
                      <wp:docPr id="55" name="AutoShape 4"/>
                      <wp:cNvGraphicFramePr/>
                      <a:graphic xmlns:a="http://schemas.openxmlformats.org/drawingml/2006/main">
                        <a:graphicData uri="http://schemas.microsoft.com/office/word/2010/wordprocessingShape">
                          <wps:wsp>
                            <wps:cNvCnPr>
                              <a:cxnSpLocks noChangeShapeType="1"/>
                            </wps:cNvCnPr>
                            <wps:spPr bwMode="auto">
                              <a:xfrm flipV="1">
                                <a:off x="0" y="0"/>
                                <a:ext cx="464820" cy="2540"/>
                              </a:xfrm>
                              <a:prstGeom prst="straightConnector1">
                                <a:avLst/>
                              </a:prstGeom>
                              <a:noFill/>
                              <a:ln w="6350">
                                <a:solidFill>
                                  <a:srgbClr val="000000"/>
                                </a:solidFill>
                                <a:round/>
                                <a:tailEnd type="triangle" w="sm" len="med"/>
                              </a:ln>
                            </wps:spPr>
                            <wps:bodyPr/>
                          </wps:wsp>
                        </a:graphicData>
                      </a:graphic>
                    </wp:anchor>
                  </w:drawing>
                </mc:Choice>
                <mc:Fallback>
                  <w:pict>
                    <v:shape id="AutoShape 4" o:spid="_x0000_s1026" o:spt="32" type="#_x0000_t32" style="position:absolute;left:0pt;flip:y;margin-left:48.15pt;margin-top:9.7pt;height:0.2pt;width:36.6pt;z-index:251670528;mso-width-relative:page;mso-height-relative:page;" filled="f" stroked="t" coordsize="21600,21600" o:gfxdata="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PWQYjXAAAACAEAAA8AAAAAAAAAAQAgAAAAIgAAAGRycy9kb3ducmV2LnhtbFBL&#10;AQIUABQAAAAIAIdO4kDvW+JN9wEAAOwDAAAOAAAAAAAAAAEAIAAAACYBAABkcnMvZTJvRG9jLnht&#10;bFBLBQYAAAAABgAGAFkBAACPBQAAAAA=&#10;">
                      <v:fill on="f" focussize="0,0"/>
                      <v:stroke weight="0.5pt" color="#000000" joinstyle="round" endarrow="block" endarrowwidth="narrow"/>
                      <v:imagedata o:title=""/>
                      <o:lock v:ext="edit" aspectratio="f"/>
                    </v:shape>
                  </w:pict>
                </mc:Fallback>
              </mc:AlternateContent>
            </w:r>
          </w:p>
          <w:p>
            <w:pPr>
              <w:rPr>
                <w:color w:val="auto"/>
              </w:rPr>
            </w:pPr>
          </w:p>
          <w:p>
            <w:pPr>
              <w:pStyle w:val="2"/>
              <w:rPr>
                <w:color w:val="auto"/>
              </w:rPr>
            </w:pPr>
          </w:p>
          <w:p>
            <w:pPr>
              <w:spacing w:line="360" w:lineRule="auto"/>
              <w:jc w:val="center"/>
              <w:rPr>
                <w:rFonts w:hint="eastAsia" w:eastAsia="宋体"/>
                <w:color w:val="auto"/>
                <w:sz w:val="24"/>
                <w:highlight w:val="none"/>
                <w:lang w:eastAsia="zh-CN"/>
              </w:rPr>
            </w:pPr>
            <w:r>
              <w:rPr>
                <w:b/>
                <w:bCs/>
                <w:color w:val="auto"/>
                <w:sz w:val="24"/>
                <w:highlight w:val="none"/>
              </w:rPr>
              <w:t>图2-1  项目水平衡图  单位：m</w:t>
            </w:r>
            <w:r>
              <w:rPr>
                <w:b/>
                <w:bCs/>
                <w:color w:val="auto"/>
                <w:sz w:val="24"/>
                <w:highlight w:val="none"/>
                <w:vertAlign w:val="superscript"/>
              </w:rPr>
              <w:t>3</w:t>
            </w:r>
            <w:r>
              <w:rPr>
                <w:b/>
                <w:bCs/>
                <w:color w:val="auto"/>
                <w:sz w:val="24"/>
                <w:highlight w:val="none"/>
              </w:rPr>
              <w:t>/</w:t>
            </w:r>
            <w:r>
              <w:rPr>
                <w:rFonts w:hint="eastAsia"/>
                <w:b/>
                <w:bCs/>
                <w:color w:val="auto"/>
                <w:sz w:val="24"/>
                <w:highlight w:val="none"/>
                <w:lang w:val="en-US" w:eastAsia="zh-CN"/>
              </w:rPr>
              <w:t>a</w:t>
            </w:r>
          </w:p>
          <w:p>
            <w:pPr>
              <w:spacing w:line="360" w:lineRule="auto"/>
              <w:ind w:firstLine="480" w:firstLineChars="200"/>
              <w:rPr>
                <w:b/>
                <w:bCs/>
                <w:color w:val="auto"/>
                <w:sz w:val="24"/>
              </w:rPr>
            </w:pPr>
            <w:r>
              <w:rPr>
                <w:color w:val="auto"/>
                <w:sz w:val="24"/>
              </w:rPr>
              <w:t>2.</w:t>
            </w:r>
            <w:r>
              <w:rPr>
                <w:rFonts w:hint="eastAsia"/>
                <w:color w:val="auto"/>
                <w:sz w:val="24"/>
              </w:rPr>
              <w:t>5</w:t>
            </w:r>
            <w:r>
              <w:rPr>
                <w:color w:val="auto"/>
                <w:sz w:val="24"/>
              </w:rPr>
              <w:t>.2 供电</w:t>
            </w:r>
          </w:p>
          <w:p>
            <w:pPr>
              <w:spacing w:line="360" w:lineRule="auto"/>
              <w:ind w:firstLine="480" w:firstLineChars="200"/>
              <w:rPr>
                <w:color w:val="auto"/>
                <w:sz w:val="24"/>
              </w:rPr>
            </w:pPr>
            <w:r>
              <w:rPr>
                <w:color w:val="auto"/>
                <w:sz w:val="24"/>
              </w:rPr>
              <w:t>本次</w:t>
            </w:r>
            <w:r>
              <w:rPr>
                <w:rFonts w:hint="eastAsia"/>
                <w:color w:val="auto"/>
                <w:sz w:val="24"/>
              </w:rPr>
              <w:t>新建项目</w:t>
            </w:r>
            <w:r>
              <w:rPr>
                <w:color w:val="auto"/>
                <w:sz w:val="24"/>
              </w:rPr>
              <w:t>用电引自邵东市</w:t>
            </w:r>
            <w:r>
              <w:rPr>
                <w:rFonts w:hint="eastAsia"/>
                <w:color w:val="auto"/>
                <w:sz w:val="24"/>
                <w:lang w:eastAsia="zh-CN"/>
              </w:rPr>
              <w:t>牛马司</w:t>
            </w:r>
            <w:r>
              <w:rPr>
                <w:rFonts w:hint="eastAsia"/>
                <w:color w:val="auto"/>
                <w:sz w:val="24"/>
              </w:rPr>
              <w:t>变电站</w:t>
            </w:r>
            <w:r>
              <w:rPr>
                <w:color w:val="auto"/>
                <w:sz w:val="24"/>
              </w:rPr>
              <w:t>，厂内配电柜。</w:t>
            </w:r>
          </w:p>
          <w:p>
            <w:pPr>
              <w:spacing w:line="360" w:lineRule="auto"/>
              <w:ind w:firstLine="480" w:firstLineChars="200"/>
              <w:rPr>
                <w:color w:val="auto"/>
                <w:sz w:val="24"/>
              </w:rPr>
            </w:pPr>
            <w:r>
              <w:rPr>
                <w:color w:val="auto"/>
                <w:sz w:val="24"/>
              </w:rPr>
              <w:t>2.</w:t>
            </w:r>
            <w:r>
              <w:rPr>
                <w:rFonts w:hint="eastAsia"/>
                <w:color w:val="auto"/>
                <w:sz w:val="24"/>
              </w:rPr>
              <w:t>5</w:t>
            </w:r>
            <w:r>
              <w:rPr>
                <w:color w:val="auto"/>
                <w:sz w:val="24"/>
              </w:rPr>
              <w:t>.3 供暖</w:t>
            </w:r>
          </w:p>
          <w:p>
            <w:pPr>
              <w:spacing w:line="360" w:lineRule="auto"/>
              <w:ind w:firstLine="480" w:firstLineChars="200"/>
              <w:rPr>
                <w:color w:val="auto"/>
                <w:sz w:val="24"/>
              </w:rPr>
            </w:pPr>
            <w:r>
              <w:rPr>
                <w:color w:val="auto"/>
                <w:sz w:val="24"/>
              </w:rPr>
              <w:t>本次</w:t>
            </w:r>
            <w:r>
              <w:rPr>
                <w:rFonts w:hint="eastAsia"/>
                <w:color w:val="auto"/>
                <w:sz w:val="24"/>
              </w:rPr>
              <w:t>新建项目</w:t>
            </w:r>
            <w:r>
              <w:rPr>
                <w:color w:val="auto"/>
                <w:sz w:val="24"/>
              </w:rPr>
              <w:t>完成后，生产车间不供暖，办公室电采暖。</w:t>
            </w:r>
          </w:p>
          <w:p>
            <w:pPr>
              <w:pStyle w:val="3"/>
              <w:rPr>
                <w:color w:val="auto"/>
                <w:sz w:val="24"/>
                <w:szCs w:val="24"/>
              </w:rPr>
            </w:pPr>
            <w:bookmarkStart w:id="5" w:name="_Toc73482608"/>
            <w:bookmarkStart w:id="6" w:name="_Toc73483520"/>
            <w:r>
              <w:rPr>
                <w:color w:val="auto"/>
                <w:sz w:val="24"/>
                <w:szCs w:val="24"/>
              </w:rPr>
              <w:t>2.</w:t>
            </w:r>
            <w:r>
              <w:rPr>
                <w:rFonts w:hint="eastAsia"/>
                <w:color w:val="auto"/>
                <w:sz w:val="24"/>
                <w:szCs w:val="24"/>
              </w:rPr>
              <w:t>6</w:t>
            </w:r>
            <w:r>
              <w:rPr>
                <w:color w:val="auto"/>
                <w:sz w:val="24"/>
                <w:szCs w:val="24"/>
              </w:rPr>
              <w:t>生产制度及劳动定员</w:t>
            </w:r>
            <w:bookmarkEnd w:id="5"/>
            <w:bookmarkEnd w:id="6"/>
          </w:p>
          <w:p>
            <w:pPr>
              <w:pStyle w:val="8"/>
              <w:spacing w:line="360" w:lineRule="auto"/>
              <w:ind w:firstLine="480" w:firstLineChars="200"/>
              <w:rPr>
                <w:color w:val="auto"/>
                <w:sz w:val="24"/>
              </w:rPr>
            </w:pPr>
            <w:r>
              <w:rPr>
                <w:color w:val="auto"/>
                <w:sz w:val="24"/>
              </w:rPr>
              <w:t>本次</w:t>
            </w:r>
            <w:r>
              <w:rPr>
                <w:rFonts w:hint="eastAsia"/>
                <w:color w:val="auto"/>
                <w:sz w:val="24"/>
              </w:rPr>
              <w:t>新建项目</w:t>
            </w:r>
            <w:r>
              <w:rPr>
                <w:color w:val="auto"/>
                <w:sz w:val="24"/>
              </w:rPr>
              <w:t>员工人数为</w:t>
            </w:r>
            <w:r>
              <w:rPr>
                <w:rFonts w:hint="eastAsia"/>
                <w:color w:val="auto"/>
                <w:sz w:val="24"/>
                <w:lang w:val="en-US" w:eastAsia="zh-CN"/>
              </w:rPr>
              <w:t>5</w:t>
            </w:r>
            <w:r>
              <w:rPr>
                <w:rFonts w:hint="eastAsia"/>
                <w:color w:val="auto"/>
                <w:sz w:val="24"/>
                <w:lang w:eastAsia="zh-CN"/>
              </w:rPr>
              <w:t>人</w:t>
            </w:r>
            <w:r>
              <w:rPr>
                <w:color w:val="auto"/>
                <w:sz w:val="24"/>
              </w:rPr>
              <w:t>，年工作日为300天，实行</w:t>
            </w:r>
            <w:r>
              <w:rPr>
                <w:rFonts w:hint="eastAsia"/>
                <w:color w:val="auto"/>
                <w:sz w:val="24"/>
              </w:rPr>
              <w:t>一</w:t>
            </w:r>
            <w:r>
              <w:rPr>
                <w:color w:val="auto"/>
                <w:sz w:val="24"/>
              </w:rPr>
              <w:t>班制生产，每班工作8小时，</w:t>
            </w:r>
            <w:r>
              <w:rPr>
                <w:rFonts w:hint="eastAsia"/>
                <w:color w:val="auto"/>
                <w:sz w:val="24"/>
                <w:lang w:eastAsia="zh-CN"/>
              </w:rPr>
              <w:t>厂区不设食堂</w:t>
            </w:r>
            <w:r>
              <w:rPr>
                <w:color w:val="auto"/>
                <w:sz w:val="24"/>
              </w:rPr>
              <w:t>。</w:t>
            </w:r>
          </w:p>
          <w:p>
            <w:pPr>
              <w:rPr>
                <w:color w:val="auto"/>
                <w:sz w:val="24"/>
              </w:rPr>
            </w:pPr>
          </w:p>
          <w:p>
            <w:pPr>
              <w:pStyle w:val="11"/>
              <w:rPr>
                <w:color w:val="auto"/>
              </w:rPr>
            </w:pPr>
          </w:p>
          <w:p>
            <w:pPr>
              <w:pStyle w:val="8"/>
              <w:spacing w:line="360" w:lineRule="auto"/>
              <w:ind w:firstLine="480" w:firstLineChars="200"/>
              <w:rPr>
                <w:color w:val="auto"/>
                <w:sz w:val="24"/>
              </w:rPr>
            </w:pPr>
          </w:p>
          <w:p>
            <w:pPr>
              <w:pStyle w:val="8"/>
              <w:spacing w:line="360" w:lineRule="auto"/>
              <w:ind w:firstLine="560" w:firstLineChars="200"/>
              <w:rPr>
                <w:bCs/>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823" w:type="dxa"/>
            <w:vAlign w:val="center"/>
          </w:tcPr>
          <w:p>
            <w:pPr>
              <w:pStyle w:val="24"/>
              <w:adjustRightInd w:val="0"/>
              <w:snapToGrid w:val="0"/>
              <w:spacing w:before="0" w:beforeAutospacing="0" w:after="0" w:afterAutospacing="0"/>
              <w:jc w:val="center"/>
              <w:rPr>
                <w:rFonts w:ascii="Times New Roman" w:hAnsi="Times New Roman"/>
                <w:color w:val="auto"/>
                <w:sz w:val="21"/>
                <w:szCs w:val="21"/>
              </w:rPr>
            </w:pPr>
            <w:r>
              <w:rPr>
                <w:rFonts w:ascii="Times New Roman" w:hAnsi="Times New Roman"/>
                <w:color w:val="auto"/>
                <w:sz w:val="21"/>
                <w:szCs w:val="21"/>
              </w:rPr>
              <w:t>工艺流程和产排污环节</w:t>
            </w:r>
          </w:p>
        </w:tc>
        <w:tc>
          <w:tcPr>
            <w:tcW w:w="8161" w:type="dxa"/>
          </w:tcPr>
          <w:p>
            <w:pPr>
              <w:spacing w:line="360" w:lineRule="auto"/>
              <w:rPr>
                <w:b/>
                <w:bCs/>
                <w:color w:val="auto"/>
                <w:sz w:val="24"/>
              </w:rPr>
            </w:pPr>
            <w:r>
              <w:rPr>
                <w:rFonts w:hint="eastAsia"/>
                <w:b/>
                <w:bCs/>
                <w:color w:val="auto"/>
                <w:sz w:val="24"/>
              </w:rPr>
              <w:t>一）</w:t>
            </w:r>
            <w:r>
              <w:rPr>
                <w:b/>
                <w:bCs/>
                <w:color w:val="auto"/>
                <w:sz w:val="24"/>
              </w:rPr>
              <w:t>工艺流程</w:t>
            </w:r>
          </w:p>
          <w:p>
            <w:pPr>
              <w:spacing w:line="360" w:lineRule="auto"/>
              <w:rPr>
                <w:b/>
                <w:snapToGrid w:val="0"/>
                <w:color w:val="auto"/>
                <w:kern w:val="0"/>
                <w:sz w:val="24"/>
              </w:rPr>
            </w:pPr>
            <w:r>
              <w:rPr>
                <w:rFonts w:hint="eastAsia"/>
                <w:b/>
                <w:snapToGrid w:val="0"/>
                <w:color w:val="auto"/>
                <w:kern w:val="0"/>
                <w:sz w:val="24"/>
              </w:rPr>
              <w:t>1</w:t>
            </w:r>
            <w:r>
              <w:rPr>
                <w:b/>
                <w:snapToGrid w:val="0"/>
                <w:color w:val="auto"/>
                <w:kern w:val="0"/>
                <w:sz w:val="24"/>
              </w:rPr>
              <w:t>施工期施工流程及产污环节</w:t>
            </w:r>
          </w:p>
          <w:p>
            <w:pPr>
              <w:spacing w:line="360" w:lineRule="auto"/>
              <w:ind w:firstLine="480"/>
              <w:rPr>
                <w:rFonts w:hint="eastAsia"/>
                <w:color w:val="auto"/>
                <w:kern w:val="0"/>
                <w:sz w:val="24"/>
              </w:rPr>
            </w:pPr>
            <w:r>
              <w:rPr>
                <w:rFonts w:hint="eastAsia"/>
                <w:color w:val="auto"/>
                <w:kern w:val="0"/>
                <w:sz w:val="24"/>
              </w:rPr>
              <w:t>本项目利用</w:t>
            </w:r>
            <w:r>
              <w:rPr>
                <w:rFonts w:hint="eastAsia"/>
                <w:color w:val="auto"/>
                <w:kern w:val="0"/>
                <w:sz w:val="24"/>
                <w:lang w:val="en-US" w:eastAsia="zh-CN"/>
              </w:rPr>
              <w:t>自有</w:t>
            </w:r>
            <w:r>
              <w:rPr>
                <w:rFonts w:hint="eastAsia"/>
                <w:color w:val="auto"/>
                <w:kern w:val="0"/>
                <w:sz w:val="24"/>
              </w:rPr>
              <w:t>的工业厂房，只进行设备安装，施工量较小，施工期环境影响很小</w:t>
            </w:r>
            <w:r>
              <w:rPr>
                <w:rFonts w:hint="eastAsia"/>
                <w:color w:val="auto"/>
                <w:kern w:val="0"/>
                <w:sz w:val="24"/>
                <w:lang w:eastAsia="zh-CN"/>
              </w:rPr>
              <w:t>，</w:t>
            </w:r>
            <w:r>
              <w:rPr>
                <w:rFonts w:hint="eastAsia"/>
                <w:color w:val="auto"/>
                <w:kern w:val="0"/>
                <w:sz w:val="24"/>
                <w:lang w:val="en-US" w:eastAsia="zh-CN"/>
              </w:rPr>
              <w:t>目前项目已经建成，施工期环境影响已消除</w:t>
            </w:r>
            <w:r>
              <w:rPr>
                <w:rFonts w:hint="eastAsia"/>
                <w:color w:val="auto"/>
                <w:kern w:val="0"/>
                <w:sz w:val="24"/>
              </w:rPr>
              <w:t>。</w:t>
            </w:r>
          </w:p>
          <w:p>
            <w:pPr>
              <w:pStyle w:val="3"/>
              <w:rPr>
                <w:color w:val="auto"/>
                <w:sz w:val="24"/>
                <w:szCs w:val="24"/>
              </w:rPr>
            </w:pPr>
            <w:bookmarkStart w:id="7" w:name="_Toc73482609"/>
            <w:bookmarkStart w:id="8" w:name="_Toc73483521"/>
            <w:r>
              <w:rPr>
                <w:rFonts w:hint="eastAsia"/>
                <w:color w:val="auto"/>
                <w:sz w:val="24"/>
                <w:szCs w:val="24"/>
              </w:rPr>
              <w:t>2</w:t>
            </w:r>
            <w:r>
              <w:rPr>
                <w:rFonts w:hint="eastAsia" w:eastAsia="宋体"/>
                <w:snapToGrid w:val="0"/>
                <w:color w:val="auto"/>
                <w:kern w:val="0"/>
                <w:sz w:val="24"/>
                <w:szCs w:val="24"/>
              </w:rPr>
              <w:t>营运期</w:t>
            </w:r>
            <w:r>
              <w:rPr>
                <w:rFonts w:eastAsia="宋体"/>
                <w:snapToGrid w:val="0"/>
                <w:color w:val="auto"/>
                <w:kern w:val="0"/>
                <w:sz w:val="24"/>
                <w:szCs w:val="24"/>
              </w:rPr>
              <w:t>施工流程及产污环节</w:t>
            </w:r>
            <w:bookmarkEnd w:id="7"/>
            <w:bookmarkEnd w:id="8"/>
          </w:p>
          <w:p>
            <w:pPr>
              <w:pStyle w:val="26"/>
              <w:ind w:firstLine="480" w:firstLineChars="200"/>
              <w:rPr>
                <w:color w:val="auto"/>
                <w:sz w:val="24"/>
                <w:szCs w:val="24"/>
              </w:rPr>
            </w:pPr>
            <w:r>
              <w:rPr>
                <w:color w:val="auto"/>
                <w:sz w:val="24"/>
                <w:szCs w:val="24"/>
              </w:rPr>
              <w:t>本项目营运期工艺流程及产排污环节见图2-</w:t>
            </w:r>
            <w:r>
              <w:rPr>
                <w:rFonts w:hint="eastAsia"/>
                <w:color w:val="auto"/>
                <w:sz w:val="24"/>
                <w:szCs w:val="24"/>
                <w:lang w:val="en-US" w:eastAsia="zh-CN"/>
              </w:rPr>
              <w:t>3</w:t>
            </w:r>
            <w:r>
              <w:rPr>
                <w:color w:val="auto"/>
                <w:sz w:val="24"/>
                <w:szCs w:val="24"/>
              </w:rPr>
              <w:t>。</w:t>
            </w:r>
          </w:p>
          <w:p>
            <w:pPr>
              <w:spacing w:line="480" w:lineRule="exact"/>
              <w:ind w:left="2942" w:leftChars="1301" w:hanging="210" w:hangingChars="100"/>
              <w:rPr>
                <w:color w:val="auto"/>
              </w:rPr>
            </w:pPr>
          </w:p>
          <w:p>
            <w:pPr>
              <w:spacing w:line="480" w:lineRule="exact"/>
              <w:ind w:left="2942" w:leftChars="1301" w:hanging="210" w:hangingChars="100"/>
              <w:rPr>
                <w:color w:val="auto"/>
              </w:rPr>
            </w:pPr>
          </w:p>
          <w:p>
            <w:pPr>
              <w:spacing w:line="480" w:lineRule="exact"/>
              <w:ind w:left="2942" w:leftChars="1301" w:hanging="210" w:hangingChars="100"/>
              <w:rPr>
                <w:color w:val="auto"/>
              </w:rPr>
            </w:pPr>
          </w:p>
          <w:p>
            <w:pPr>
              <w:spacing w:line="480" w:lineRule="exact"/>
              <w:ind w:left="2942" w:leftChars="1301" w:hanging="210" w:hangingChars="100"/>
              <w:rPr>
                <w:color w:val="auto"/>
              </w:rPr>
            </w:pPr>
            <w:r>
              <w:rPr>
                <w:color w:val="auto"/>
              </w:rPr>
              <w:drawing>
                <wp:anchor distT="0" distB="0" distL="114300" distR="114300" simplePos="0" relativeHeight="251679744" behindDoc="1" locked="0" layoutInCell="1" allowOverlap="1">
                  <wp:simplePos x="0" y="0"/>
                  <wp:positionH relativeFrom="column">
                    <wp:posOffset>825500</wp:posOffset>
                  </wp:positionH>
                  <wp:positionV relativeFrom="paragraph">
                    <wp:posOffset>187960</wp:posOffset>
                  </wp:positionV>
                  <wp:extent cx="2781300" cy="4314825"/>
                  <wp:effectExtent l="0" t="0" r="0" b="9525"/>
                  <wp:wrapNone/>
                  <wp:docPr id="6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
                          <pic:cNvPicPr>
                            <a:picLocks noChangeAspect="1"/>
                          </pic:cNvPicPr>
                        </pic:nvPicPr>
                        <pic:blipFill>
                          <a:blip r:embed="rId10"/>
                          <a:stretch>
                            <a:fillRect/>
                          </a:stretch>
                        </pic:blipFill>
                        <pic:spPr>
                          <a:xfrm>
                            <a:off x="0" y="0"/>
                            <a:ext cx="2781300" cy="4314825"/>
                          </a:xfrm>
                          <a:prstGeom prst="rect">
                            <a:avLst/>
                          </a:prstGeom>
                          <a:noFill/>
                          <a:ln>
                            <a:noFill/>
                          </a:ln>
                        </pic:spPr>
                      </pic:pic>
                    </a:graphicData>
                  </a:graphic>
                </wp:anchor>
              </w:drawing>
            </w:r>
            <w:r>
              <w:rPr>
                <w:color w:val="auto"/>
                <w:sz w:val="21"/>
              </w:rPr>
              <mc:AlternateContent>
                <mc:Choice Requires="wps">
                  <w:drawing>
                    <wp:anchor distT="0" distB="0" distL="114300" distR="114300" simplePos="0" relativeHeight="251678720" behindDoc="0" locked="0" layoutInCell="1" allowOverlap="1">
                      <wp:simplePos x="0" y="0"/>
                      <wp:positionH relativeFrom="column">
                        <wp:posOffset>2075180</wp:posOffset>
                      </wp:positionH>
                      <wp:positionV relativeFrom="paragraph">
                        <wp:posOffset>194310</wp:posOffset>
                      </wp:positionV>
                      <wp:extent cx="986790" cy="459105"/>
                      <wp:effectExtent l="0" t="0" r="0" b="0"/>
                      <wp:wrapNone/>
                      <wp:docPr id="65" name="文本框 65"/>
                      <wp:cNvGraphicFramePr/>
                      <a:graphic xmlns:a="http://schemas.openxmlformats.org/drawingml/2006/main">
                        <a:graphicData uri="http://schemas.microsoft.com/office/word/2010/wordprocessingShape">
                          <wps:wsp>
                            <wps:cNvSpPr txBox="1"/>
                            <wps:spPr>
                              <a:xfrm>
                                <a:off x="3594100" y="3300095"/>
                                <a:ext cx="986790" cy="459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聚乙烯颗粒、母料颗粒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3.4pt;margin-top:15.3pt;height:36.15pt;width:77.7pt;z-index:251678720;mso-width-relative:page;mso-height-relative:page;" filled="f" stroked="f" coordsize="21600,21600" o:gfxdata="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lgbzLaAAAACgEAAA8AAAAAAAAA&#10;AQAgAAAAIgAAAGRycy9kb3ducmV2LnhtbFBLAQIUABQAAAAIAIdO4kCIK1/VSAIAAHMEAAAOAAAA&#10;AAAAAAEAIAAAACkBAABkcnMvZTJvRG9jLnhtbFBLBQYAAAAABgAGAFkBAADjBQAAAAA=&#10;">
                      <v:fill on="f" focussize="0,0"/>
                      <v:stroke on="f" weight="0.5pt"/>
                      <v:imagedata o:title=""/>
                      <o:lock v:ext="edit" aspectratio="f"/>
                      <v:textbox>
                        <w:txbxContent>
                          <w:p>
                            <w:pPr>
                              <w:rPr>
                                <w:rFonts w:hint="default" w:eastAsia="宋体"/>
                                <w:lang w:val="en-US" w:eastAsia="zh-CN"/>
                              </w:rPr>
                            </w:pPr>
                            <w:r>
                              <w:rPr>
                                <w:rFonts w:hint="eastAsia"/>
                                <w:lang w:val="en-US" w:eastAsia="zh-CN"/>
                              </w:rPr>
                              <w:t>聚乙烯颗粒、母料颗粒</w:t>
                            </w:r>
                          </w:p>
                        </w:txbxContent>
                      </v:textbox>
                    </v:shape>
                  </w:pict>
                </mc:Fallback>
              </mc:AlternateContent>
            </w:r>
          </w:p>
          <w:p>
            <w:pPr>
              <w:spacing w:line="480" w:lineRule="exact"/>
              <w:ind w:left="2942" w:leftChars="1301" w:hanging="210" w:hangingChars="100"/>
              <w:rPr>
                <w:color w:val="auto"/>
              </w:rPr>
            </w:pPr>
          </w:p>
          <w:p>
            <w:pPr>
              <w:spacing w:line="480" w:lineRule="exact"/>
              <w:ind w:left="2942" w:leftChars="1301" w:hanging="210" w:hangingChars="100"/>
              <w:rPr>
                <w:color w:val="auto"/>
              </w:rPr>
            </w:pPr>
          </w:p>
          <w:p>
            <w:pPr>
              <w:spacing w:line="480" w:lineRule="exact"/>
              <w:ind w:left="2942" w:leftChars="1301" w:hanging="210" w:hangingChars="100"/>
              <w:rPr>
                <w:color w:val="auto"/>
              </w:rPr>
            </w:pPr>
          </w:p>
          <w:p>
            <w:pPr>
              <w:spacing w:line="480" w:lineRule="exact"/>
              <w:ind w:left="2942" w:leftChars="1301" w:hanging="210" w:hangingChars="100"/>
              <w:rPr>
                <w:color w:val="auto"/>
              </w:rPr>
            </w:pPr>
          </w:p>
          <w:p>
            <w:pPr>
              <w:spacing w:line="480" w:lineRule="exact"/>
              <w:ind w:left="2942" w:leftChars="1301" w:hanging="210" w:hangingChars="100"/>
              <w:rPr>
                <w:color w:val="auto"/>
              </w:rPr>
            </w:pPr>
          </w:p>
          <w:p>
            <w:pPr>
              <w:spacing w:line="480" w:lineRule="exact"/>
              <w:ind w:left="2942" w:leftChars="1301" w:hanging="210" w:hangingChars="100"/>
              <w:rPr>
                <w:color w:val="auto"/>
              </w:rPr>
            </w:pPr>
          </w:p>
          <w:p>
            <w:pPr>
              <w:spacing w:line="480" w:lineRule="exact"/>
              <w:ind w:left="2942" w:leftChars="1301" w:hanging="210" w:hangingChars="100"/>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spacing w:line="480" w:lineRule="exact"/>
              <w:ind w:left="2943" w:leftChars="1301" w:hanging="211" w:hangingChars="100"/>
              <w:rPr>
                <w:color w:val="auto"/>
              </w:rPr>
            </w:pPr>
            <w:r>
              <w:rPr>
                <w:b/>
                <w:bCs/>
                <w:color w:val="auto"/>
              </w:rPr>
              <w:t>图2-</w:t>
            </w:r>
            <w:r>
              <w:rPr>
                <w:rFonts w:hint="eastAsia"/>
                <w:b/>
                <w:bCs/>
                <w:color w:val="auto"/>
                <w:lang w:val="en-US" w:eastAsia="zh-CN"/>
              </w:rPr>
              <w:t>3</w:t>
            </w:r>
            <w:r>
              <w:rPr>
                <w:b/>
                <w:bCs/>
                <w:color w:val="auto"/>
              </w:rPr>
              <w:t xml:space="preserve">  </w:t>
            </w:r>
            <w:r>
              <w:rPr>
                <w:b/>
                <w:color w:val="auto"/>
                <w:szCs w:val="21"/>
              </w:rPr>
              <w:t>生产工艺流程及产污环节图</w:t>
            </w:r>
          </w:p>
          <w:p>
            <w:pPr>
              <w:spacing w:line="360" w:lineRule="auto"/>
              <w:jc w:val="left"/>
              <w:rPr>
                <w:rFonts w:ascii="新宋体" w:hAnsi="新宋体" w:eastAsia="新宋体" w:cs="新宋体"/>
                <w:color w:val="auto"/>
                <w:sz w:val="24"/>
              </w:rPr>
            </w:pPr>
            <w:r>
              <w:rPr>
                <w:rFonts w:ascii="新宋体" w:hAnsi="新宋体" w:eastAsia="新宋体" w:cs="新宋体"/>
                <w:b/>
                <w:bCs/>
                <w:color w:val="auto"/>
                <w:sz w:val="24"/>
              </w:rPr>
              <w:t>工艺流程简介：</w:t>
            </w:r>
          </w:p>
          <w:p>
            <w:pPr>
              <w:pStyle w:val="26"/>
              <w:spacing w:before="0" w:after="0" w:line="360" w:lineRule="auto"/>
              <w:ind w:right="0" w:firstLine="480" w:firstLineChars="200"/>
              <w:rPr>
                <w:rFonts w:hint="eastAsia"/>
                <w:color w:val="auto"/>
                <w:sz w:val="24"/>
              </w:rPr>
            </w:pPr>
            <w:r>
              <w:rPr>
                <w:rFonts w:hint="eastAsia"/>
                <w:color w:val="auto"/>
                <w:sz w:val="24"/>
                <w:lang w:val="en-US" w:eastAsia="zh-CN"/>
              </w:rPr>
              <w:t>本</w:t>
            </w:r>
            <w:r>
              <w:rPr>
                <w:rFonts w:hint="eastAsia"/>
                <w:color w:val="auto"/>
                <w:sz w:val="24"/>
              </w:rPr>
              <w:t>项目发泡为物理发泡，通过改变操作过程中的条件，依据丁烷加热变气态的原理生成气泡的过程。</w:t>
            </w:r>
          </w:p>
          <w:p>
            <w:pPr>
              <w:pStyle w:val="26"/>
              <w:spacing w:before="0" w:after="0" w:line="360" w:lineRule="auto"/>
              <w:ind w:right="0" w:firstLine="480" w:firstLineChars="200"/>
              <w:rPr>
                <w:rFonts w:hint="eastAsia"/>
                <w:color w:val="auto"/>
                <w:sz w:val="24"/>
              </w:rPr>
            </w:pPr>
            <w:r>
              <w:rPr>
                <w:rFonts w:hint="eastAsia"/>
                <w:color w:val="auto"/>
                <w:sz w:val="24"/>
              </w:rPr>
              <w:t>（1）上料搅拌：低密度聚乙烯</w:t>
            </w:r>
            <w:r>
              <w:rPr>
                <w:rFonts w:hint="eastAsia"/>
                <w:color w:val="auto"/>
                <w:sz w:val="24"/>
                <w:lang w:val="en-US" w:eastAsia="zh-CN"/>
              </w:rPr>
              <w:t>及母料颗粒</w:t>
            </w:r>
            <w:r>
              <w:rPr>
                <w:rFonts w:hint="eastAsia"/>
                <w:color w:val="auto"/>
                <w:sz w:val="24"/>
              </w:rPr>
              <w:t>被提升到上料搅拌</w:t>
            </w:r>
            <w:r>
              <w:rPr>
                <w:rFonts w:hint="eastAsia"/>
                <w:color w:val="auto"/>
                <w:sz w:val="24"/>
                <w:lang w:val="en-US" w:eastAsia="zh-CN"/>
              </w:rPr>
              <w:t>系统</w:t>
            </w:r>
            <w:r>
              <w:rPr>
                <w:rFonts w:hint="eastAsia"/>
                <w:color w:val="auto"/>
                <w:sz w:val="24"/>
              </w:rPr>
              <w:t>中，两种原材料进行搅拌。</w:t>
            </w:r>
            <w:r>
              <w:rPr>
                <w:rFonts w:hint="eastAsia"/>
                <w:color w:val="auto"/>
                <w:sz w:val="24"/>
              </w:rPr>
              <w:t>本工序</w:t>
            </w:r>
            <w:r>
              <w:rPr>
                <w:rFonts w:hint="eastAsia"/>
                <w:color w:val="auto"/>
                <w:sz w:val="24"/>
                <w:lang w:val="en-US" w:eastAsia="zh-CN"/>
              </w:rPr>
              <w:t>使用的原料</w:t>
            </w:r>
            <w:r>
              <w:rPr>
                <w:rFonts w:hint="eastAsia"/>
                <w:color w:val="auto"/>
                <w:sz w:val="24"/>
              </w:rPr>
              <w:t>聚乙烯</w:t>
            </w:r>
            <w:r>
              <w:rPr>
                <w:rFonts w:hint="eastAsia"/>
                <w:color w:val="auto"/>
                <w:sz w:val="24"/>
                <w:lang w:val="en-US" w:eastAsia="zh-CN"/>
              </w:rPr>
              <w:t>及母料为粒料，不使用滑石粉等粉料，</w:t>
            </w:r>
            <w:r>
              <w:rPr>
                <w:rFonts w:hint="eastAsia"/>
                <w:color w:val="auto"/>
                <w:sz w:val="24"/>
              </w:rPr>
              <w:t>产生</w:t>
            </w:r>
            <w:r>
              <w:rPr>
                <w:rFonts w:hint="eastAsia"/>
                <w:color w:val="auto"/>
                <w:sz w:val="24"/>
                <w:lang w:val="en-US" w:eastAsia="zh-CN"/>
              </w:rPr>
              <w:t>及少量的</w:t>
            </w:r>
            <w:r>
              <w:rPr>
                <w:rFonts w:hint="eastAsia"/>
                <w:color w:val="auto"/>
                <w:sz w:val="24"/>
              </w:rPr>
              <w:t>颗粒物、设备运行噪声、废包装材料。</w:t>
            </w:r>
          </w:p>
          <w:p>
            <w:pPr>
              <w:pStyle w:val="26"/>
              <w:spacing w:before="0" w:after="0" w:line="360" w:lineRule="auto"/>
              <w:ind w:right="0" w:firstLine="480" w:firstLineChars="200"/>
              <w:rPr>
                <w:rFonts w:hint="eastAsia"/>
                <w:color w:val="auto"/>
                <w:sz w:val="24"/>
              </w:rPr>
            </w:pPr>
            <w:r>
              <w:rPr>
                <w:rFonts w:hint="eastAsia"/>
                <w:color w:val="auto"/>
                <w:sz w:val="24"/>
              </w:rPr>
              <w:t>（2）塑化：原料进入发泡挤出机塑化区，通过发泡挤出机自带的电加热系统进行加热，该区温度为 190℃，原料在塑化区被塑化。本工序产生非甲烷总烃、设备运行噪声。</w:t>
            </w:r>
          </w:p>
          <w:p>
            <w:pPr>
              <w:pStyle w:val="26"/>
              <w:spacing w:before="0" w:after="0" w:line="360" w:lineRule="auto"/>
              <w:ind w:right="0" w:firstLine="480" w:firstLineChars="200"/>
              <w:rPr>
                <w:rFonts w:hint="eastAsia"/>
                <w:color w:val="auto"/>
                <w:sz w:val="24"/>
              </w:rPr>
            </w:pPr>
            <w:r>
              <w:rPr>
                <w:rFonts w:hint="eastAsia"/>
                <w:color w:val="auto"/>
                <w:sz w:val="24"/>
              </w:rPr>
              <w:t>（3）发泡挤出：被塑化的原料进入发泡挤出机的发泡区，通过丁烷泵将液化丁烷以1015Mpa的高压注入机筒。该区温度为80-90℃之间，通过冷却循环水控制发泡区温度。发泡原理：由于丁烷在常温高压可以呈液态，因而在被高压注入聚合物熔体中。当减压发泡时丁烷气</w:t>
            </w:r>
            <w:r>
              <w:rPr>
                <w:rFonts w:hint="eastAsia"/>
                <w:color w:val="auto"/>
                <w:sz w:val="24"/>
                <w:lang w:val="en-US" w:eastAsia="zh-CN"/>
              </w:rPr>
              <w:t>由</w:t>
            </w:r>
            <w:r>
              <w:rPr>
                <w:rFonts w:hint="eastAsia"/>
                <w:color w:val="auto"/>
                <w:sz w:val="24"/>
              </w:rPr>
              <w:t>液态转变为气态，以成核心点为中心均匀地分散在聚合物中，降温至聚合物呈玻璃状薄膜后，形成泡沫塑料。发泡过程全程密闭。本工序产生非甲烷总烃、设备运行噪声。</w:t>
            </w:r>
          </w:p>
          <w:p>
            <w:pPr>
              <w:pStyle w:val="26"/>
              <w:spacing w:before="0" w:after="0" w:line="360" w:lineRule="auto"/>
              <w:ind w:right="0" w:firstLine="480" w:firstLineChars="200"/>
              <w:rPr>
                <w:rFonts w:hint="eastAsia"/>
                <w:color w:val="auto"/>
                <w:sz w:val="24"/>
              </w:rPr>
            </w:pPr>
            <w:r>
              <w:rPr>
                <w:rFonts w:hint="eastAsia"/>
                <w:color w:val="auto"/>
                <w:sz w:val="24"/>
                <w:lang w:eastAsia="zh-CN"/>
              </w:rPr>
              <w:t>发泡挤出机</w:t>
            </w:r>
            <w:r>
              <w:rPr>
                <w:rFonts w:hint="eastAsia"/>
                <w:color w:val="auto"/>
                <w:sz w:val="24"/>
              </w:rPr>
              <w:t>工作流程如下：</w:t>
            </w:r>
          </w:p>
          <w:p>
            <w:pPr>
              <w:pStyle w:val="26"/>
              <w:spacing w:before="0" w:after="0" w:line="360" w:lineRule="auto"/>
              <w:ind w:right="0" w:firstLine="480" w:firstLineChars="200"/>
              <w:rPr>
                <w:rFonts w:hint="eastAsia"/>
                <w:color w:val="auto"/>
                <w:sz w:val="24"/>
              </w:rPr>
            </w:pPr>
            <w:r>
              <w:rPr>
                <w:rFonts w:hint="eastAsia"/>
                <w:color w:val="auto"/>
                <w:sz w:val="24"/>
              </w:rPr>
              <w:t xml:space="preserve">第一步：升温，脉宽调节加热环到最大功率输出，使料筒升温到设定温度； </w:t>
            </w:r>
          </w:p>
          <w:p>
            <w:pPr>
              <w:pStyle w:val="26"/>
              <w:spacing w:before="0" w:after="0" w:line="360" w:lineRule="auto"/>
              <w:ind w:right="0" w:firstLine="480" w:firstLineChars="200"/>
              <w:rPr>
                <w:rFonts w:hint="eastAsia"/>
                <w:color w:val="auto"/>
                <w:sz w:val="24"/>
              </w:rPr>
            </w:pPr>
            <w:r>
              <w:rPr>
                <w:rFonts w:hint="eastAsia"/>
                <w:color w:val="auto"/>
                <w:sz w:val="24"/>
              </w:rPr>
              <w:t>第二步：开喂料电机，设定在低转速，同时按配方加添加剂；</w:t>
            </w:r>
          </w:p>
          <w:p>
            <w:pPr>
              <w:pStyle w:val="26"/>
              <w:spacing w:before="0" w:after="0" w:line="360" w:lineRule="auto"/>
              <w:ind w:right="0" w:firstLine="480" w:firstLineChars="200"/>
              <w:rPr>
                <w:rFonts w:hint="eastAsia"/>
                <w:color w:val="auto"/>
                <w:sz w:val="24"/>
              </w:rPr>
            </w:pPr>
            <w:r>
              <w:rPr>
                <w:rFonts w:hint="eastAsia"/>
                <w:color w:val="auto"/>
                <w:sz w:val="24"/>
              </w:rPr>
              <w:t xml:space="preserve">第三步：降温，使用冷却水降温； </w:t>
            </w:r>
          </w:p>
          <w:p>
            <w:pPr>
              <w:pStyle w:val="26"/>
              <w:spacing w:before="0" w:after="0" w:line="360" w:lineRule="auto"/>
              <w:ind w:right="0" w:firstLine="480" w:firstLineChars="200"/>
              <w:rPr>
                <w:rFonts w:hint="eastAsia"/>
                <w:color w:val="auto"/>
                <w:sz w:val="24"/>
              </w:rPr>
            </w:pPr>
            <w:r>
              <w:rPr>
                <w:rFonts w:hint="eastAsia"/>
                <w:color w:val="auto"/>
                <w:sz w:val="24"/>
              </w:rPr>
              <w:t>第四步：调节模头开度；</w:t>
            </w:r>
          </w:p>
          <w:p>
            <w:pPr>
              <w:pStyle w:val="26"/>
              <w:spacing w:before="0" w:after="0" w:line="360" w:lineRule="auto"/>
              <w:ind w:right="0" w:firstLine="480" w:firstLineChars="200"/>
              <w:rPr>
                <w:rFonts w:hint="eastAsia"/>
                <w:color w:val="auto"/>
                <w:sz w:val="24"/>
              </w:rPr>
            </w:pPr>
            <w:r>
              <w:rPr>
                <w:rFonts w:hint="eastAsia"/>
                <w:color w:val="auto"/>
                <w:sz w:val="24"/>
              </w:rPr>
              <w:t xml:space="preserve">第五步：开主动牵引装置和收料机构，开始发泡生产； </w:t>
            </w:r>
          </w:p>
          <w:p>
            <w:pPr>
              <w:pStyle w:val="26"/>
              <w:spacing w:before="0" w:after="0" w:line="360" w:lineRule="auto"/>
              <w:ind w:right="0" w:firstLine="480" w:firstLineChars="200"/>
              <w:rPr>
                <w:rFonts w:hint="eastAsia"/>
                <w:color w:val="auto"/>
                <w:sz w:val="24"/>
              </w:rPr>
            </w:pPr>
            <w:r>
              <w:rPr>
                <w:rFonts w:hint="eastAsia"/>
                <w:color w:val="auto"/>
                <w:sz w:val="24"/>
              </w:rPr>
              <w:t>第六步：停加热系统、主电机等；</w:t>
            </w:r>
          </w:p>
          <w:p>
            <w:pPr>
              <w:pStyle w:val="26"/>
              <w:spacing w:before="0" w:after="0" w:line="360" w:lineRule="auto"/>
              <w:ind w:right="0" w:firstLine="480" w:firstLineChars="200"/>
              <w:rPr>
                <w:rFonts w:hint="eastAsia"/>
                <w:color w:val="auto"/>
                <w:sz w:val="24"/>
              </w:rPr>
            </w:pPr>
            <w:r>
              <w:rPr>
                <w:rFonts w:hint="eastAsia"/>
                <w:color w:val="auto"/>
                <w:sz w:val="24"/>
              </w:rPr>
              <w:t>第七步：停牵引系统和收料系统。</w:t>
            </w:r>
          </w:p>
          <w:p>
            <w:pPr>
              <w:pStyle w:val="26"/>
              <w:spacing w:before="0" w:after="0" w:line="360" w:lineRule="auto"/>
              <w:ind w:right="0" w:firstLine="480" w:firstLineChars="200"/>
              <w:rPr>
                <w:rFonts w:hint="eastAsia"/>
                <w:color w:val="auto"/>
                <w:sz w:val="24"/>
              </w:rPr>
            </w:pPr>
            <w:r>
              <w:rPr>
                <w:rFonts w:hint="eastAsia"/>
                <w:color w:val="auto"/>
                <w:sz w:val="24"/>
              </w:rPr>
              <w:t>（4）定型冷却：通过风冷来控制珍珠棉片材的宽度。</w:t>
            </w:r>
          </w:p>
          <w:p>
            <w:pPr>
              <w:pStyle w:val="26"/>
              <w:spacing w:before="0" w:after="0" w:line="360" w:lineRule="auto"/>
              <w:ind w:right="0" w:firstLine="480" w:firstLineChars="200"/>
              <w:rPr>
                <w:rFonts w:hint="eastAsia"/>
                <w:color w:val="auto"/>
                <w:sz w:val="24"/>
              </w:rPr>
            </w:pPr>
            <w:r>
              <w:rPr>
                <w:rFonts w:hint="eastAsia"/>
                <w:color w:val="auto"/>
                <w:sz w:val="24"/>
              </w:rPr>
              <w:t>（5）收卷：珍珠棉收卷后存放，作为复合、覆膜工序的原料。本工序产生设备运行噪声。</w:t>
            </w:r>
          </w:p>
          <w:p>
            <w:pPr>
              <w:pStyle w:val="26"/>
              <w:spacing w:before="0" w:after="0" w:line="360" w:lineRule="auto"/>
              <w:ind w:right="0" w:firstLine="480" w:firstLineChars="200"/>
              <w:rPr>
                <w:rFonts w:hint="eastAsia"/>
                <w:color w:val="auto"/>
                <w:sz w:val="24"/>
              </w:rPr>
            </w:pPr>
            <w:r>
              <w:rPr>
                <w:rFonts w:hint="eastAsia"/>
                <w:color w:val="auto"/>
                <w:sz w:val="24"/>
              </w:rPr>
              <w:t>（6）复合：根据客户要求，部分成型物料需用复合机进行复合。复合为生产设备将半成品粘合面进行加热并粘合到一起的原理。本工序产生非甲烷总烃、设备运行噪声。</w:t>
            </w:r>
          </w:p>
          <w:p>
            <w:pPr>
              <w:pStyle w:val="26"/>
              <w:spacing w:before="0" w:after="0" w:line="360" w:lineRule="auto"/>
              <w:ind w:right="0" w:firstLine="480" w:firstLineChars="200"/>
              <w:rPr>
                <w:rFonts w:hint="eastAsia" w:eastAsia="宋体"/>
                <w:color w:val="auto"/>
                <w:sz w:val="24"/>
                <w:szCs w:val="24"/>
                <w:lang w:eastAsia="zh-CN"/>
              </w:rPr>
            </w:pPr>
            <w:r>
              <w:rPr>
                <w:rFonts w:hint="eastAsia"/>
                <w:color w:val="auto"/>
                <w:sz w:val="24"/>
              </w:rPr>
              <w:t>（7）分切：用切割机将复合后珍珠棉分切成型，本工序产生下脚料、设备运行噪声</w:t>
            </w:r>
            <w:r>
              <w:rPr>
                <w:rFonts w:hint="eastAsia"/>
                <w:color w:val="auto"/>
                <w:sz w:val="24"/>
                <w:lang w:eastAsia="zh-CN"/>
              </w:rPr>
              <w:t>。</w:t>
            </w:r>
          </w:p>
          <w:p>
            <w:pPr>
              <w:pStyle w:val="26"/>
              <w:spacing w:before="0" w:after="0" w:line="360" w:lineRule="auto"/>
              <w:ind w:right="0" w:firstLine="240"/>
              <w:rPr>
                <w:color w:val="auto"/>
                <w:sz w:val="24"/>
                <w:szCs w:val="24"/>
              </w:rPr>
            </w:pPr>
            <w:r>
              <w:rPr>
                <w:color w:val="auto"/>
                <w:sz w:val="24"/>
                <w:szCs w:val="24"/>
              </w:rPr>
              <w:t xml:space="preserve"> </w:t>
            </w:r>
            <w:r>
              <w:rPr>
                <w:rFonts w:hint="eastAsia"/>
                <w:color w:val="auto"/>
                <w:sz w:val="24"/>
                <w:szCs w:val="24"/>
              </w:rPr>
              <w:t>二）主要污染工序</w:t>
            </w:r>
          </w:p>
          <w:p>
            <w:pPr>
              <w:pStyle w:val="26"/>
              <w:spacing w:before="0" w:after="0" w:line="360" w:lineRule="auto"/>
              <w:ind w:right="0" w:firstLine="480" w:firstLineChars="200"/>
              <w:rPr>
                <w:color w:val="auto"/>
                <w:sz w:val="24"/>
                <w:szCs w:val="24"/>
              </w:rPr>
            </w:pPr>
            <w:r>
              <w:rPr>
                <w:color w:val="auto"/>
                <w:sz w:val="24"/>
                <w:szCs w:val="24"/>
              </w:rPr>
              <w:t>根据项目的工程概况和工艺特点，主要污染源和污染物如下所示。</w:t>
            </w:r>
          </w:p>
          <w:p>
            <w:pPr>
              <w:pStyle w:val="26"/>
              <w:spacing w:after="0" w:line="240" w:lineRule="auto"/>
              <w:ind w:right="0" w:firstLine="241"/>
              <w:jc w:val="center"/>
              <w:rPr>
                <w:b/>
                <w:bCs/>
                <w:color w:val="auto"/>
                <w:sz w:val="21"/>
                <w:szCs w:val="21"/>
              </w:rPr>
            </w:pPr>
            <w:r>
              <w:rPr>
                <w:rFonts w:hint="eastAsia"/>
                <w:b/>
                <w:bCs/>
                <w:color w:val="auto"/>
                <w:sz w:val="21"/>
                <w:szCs w:val="21"/>
              </w:rPr>
              <w:t>表2</w:t>
            </w:r>
            <w:r>
              <w:rPr>
                <w:b/>
                <w:bCs/>
                <w:color w:val="auto"/>
                <w:sz w:val="21"/>
                <w:szCs w:val="21"/>
              </w:rPr>
              <w:t>-6  营运期主要污染工序一览表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474"/>
              <w:gridCol w:w="2262"/>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Align w:val="center"/>
                </w:tcPr>
                <w:p>
                  <w:pPr>
                    <w:pStyle w:val="26"/>
                    <w:spacing w:before="0" w:after="0" w:line="240" w:lineRule="auto"/>
                    <w:ind w:right="0" w:firstLine="0" w:firstLineChars="0"/>
                    <w:jc w:val="center"/>
                    <w:rPr>
                      <w:color w:val="auto"/>
                      <w:sz w:val="21"/>
                      <w:szCs w:val="21"/>
                    </w:rPr>
                  </w:pPr>
                  <w:r>
                    <w:rPr>
                      <w:color w:val="auto"/>
                      <w:sz w:val="21"/>
                      <w:szCs w:val="21"/>
                    </w:rPr>
                    <w:t>类型</w:t>
                  </w:r>
                </w:p>
              </w:tc>
              <w:tc>
                <w:tcPr>
                  <w:tcW w:w="2474" w:type="dxa"/>
                  <w:vAlign w:val="center"/>
                </w:tcPr>
                <w:p>
                  <w:pPr>
                    <w:pStyle w:val="26"/>
                    <w:spacing w:before="0" w:after="0" w:line="240" w:lineRule="auto"/>
                    <w:ind w:right="0" w:firstLine="0" w:firstLineChars="0"/>
                    <w:jc w:val="center"/>
                    <w:rPr>
                      <w:color w:val="auto"/>
                      <w:sz w:val="21"/>
                      <w:szCs w:val="21"/>
                    </w:rPr>
                  </w:pPr>
                  <w:r>
                    <w:rPr>
                      <w:color w:val="auto"/>
                      <w:sz w:val="21"/>
                      <w:szCs w:val="21"/>
                    </w:rPr>
                    <w:t>污染源</w:t>
                  </w:r>
                </w:p>
              </w:tc>
              <w:tc>
                <w:tcPr>
                  <w:tcW w:w="2262" w:type="dxa"/>
                  <w:vAlign w:val="center"/>
                </w:tcPr>
                <w:p>
                  <w:pPr>
                    <w:pStyle w:val="26"/>
                    <w:spacing w:before="0" w:after="0" w:line="240" w:lineRule="auto"/>
                    <w:ind w:right="0" w:firstLine="0" w:firstLineChars="0"/>
                    <w:jc w:val="center"/>
                    <w:rPr>
                      <w:color w:val="auto"/>
                      <w:sz w:val="21"/>
                      <w:szCs w:val="21"/>
                    </w:rPr>
                  </w:pPr>
                  <w:r>
                    <w:rPr>
                      <w:color w:val="auto"/>
                      <w:sz w:val="21"/>
                      <w:szCs w:val="21"/>
                    </w:rPr>
                    <w:t>产生工序</w:t>
                  </w:r>
                </w:p>
              </w:tc>
              <w:tc>
                <w:tcPr>
                  <w:tcW w:w="2060" w:type="dxa"/>
                  <w:vAlign w:val="center"/>
                </w:tcPr>
                <w:p>
                  <w:pPr>
                    <w:pStyle w:val="26"/>
                    <w:spacing w:before="0" w:after="0" w:line="240" w:lineRule="auto"/>
                    <w:ind w:right="0" w:firstLine="0" w:firstLineChars="0"/>
                    <w:jc w:val="center"/>
                    <w:rPr>
                      <w:color w:val="auto"/>
                      <w:sz w:val="21"/>
                      <w:szCs w:val="21"/>
                    </w:rPr>
                  </w:pPr>
                  <w:r>
                    <w:rPr>
                      <w:color w:val="auto"/>
                      <w:sz w:val="21"/>
                      <w:szCs w:val="21"/>
                    </w:rPr>
                    <w:t>主要污染因子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Merge w:val="restart"/>
                  <w:vAlign w:val="center"/>
                </w:tcPr>
                <w:p>
                  <w:pPr>
                    <w:pStyle w:val="26"/>
                    <w:spacing w:before="0" w:after="0" w:line="240" w:lineRule="auto"/>
                    <w:ind w:right="0" w:firstLine="0" w:firstLineChars="0"/>
                    <w:jc w:val="center"/>
                    <w:rPr>
                      <w:color w:val="auto"/>
                      <w:sz w:val="21"/>
                      <w:szCs w:val="21"/>
                    </w:rPr>
                  </w:pPr>
                  <w:r>
                    <w:rPr>
                      <w:color w:val="auto"/>
                      <w:sz w:val="21"/>
                      <w:szCs w:val="21"/>
                    </w:rPr>
                    <w:t>废气</w:t>
                  </w:r>
                </w:p>
              </w:tc>
              <w:tc>
                <w:tcPr>
                  <w:tcW w:w="2474" w:type="dxa"/>
                  <w:vAlign w:val="center"/>
                </w:tcPr>
                <w:p>
                  <w:pPr>
                    <w:pStyle w:val="26"/>
                    <w:spacing w:before="0" w:after="0" w:line="240" w:lineRule="auto"/>
                    <w:ind w:right="0" w:firstLine="0" w:firstLineChars="0"/>
                    <w:jc w:val="center"/>
                    <w:rPr>
                      <w:color w:val="auto"/>
                      <w:sz w:val="21"/>
                      <w:szCs w:val="21"/>
                    </w:rPr>
                  </w:pPr>
                  <w:r>
                    <w:rPr>
                      <w:rFonts w:hint="eastAsia"/>
                      <w:color w:val="auto"/>
                      <w:sz w:val="21"/>
                      <w:szCs w:val="21"/>
                      <w:lang w:eastAsia="zh-CN"/>
                    </w:rPr>
                    <w:t>塑化、挤出、复合</w:t>
                  </w:r>
                  <w:r>
                    <w:rPr>
                      <w:color w:val="auto"/>
                      <w:sz w:val="21"/>
                      <w:szCs w:val="21"/>
                    </w:rPr>
                    <w:t>废气</w:t>
                  </w:r>
                </w:p>
              </w:tc>
              <w:tc>
                <w:tcPr>
                  <w:tcW w:w="2262" w:type="dxa"/>
                  <w:vAlign w:val="center"/>
                </w:tcPr>
                <w:p>
                  <w:pPr>
                    <w:pStyle w:val="26"/>
                    <w:spacing w:before="0" w:after="0" w:line="240" w:lineRule="auto"/>
                    <w:ind w:right="0" w:firstLine="0" w:firstLineChars="0"/>
                    <w:jc w:val="center"/>
                    <w:rPr>
                      <w:color w:val="auto"/>
                      <w:sz w:val="21"/>
                      <w:szCs w:val="21"/>
                    </w:rPr>
                  </w:pPr>
                  <w:r>
                    <w:rPr>
                      <w:rFonts w:hint="eastAsia"/>
                      <w:color w:val="auto"/>
                      <w:sz w:val="21"/>
                      <w:szCs w:val="21"/>
                      <w:lang w:eastAsia="zh-CN"/>
                    </w:rPr>
                    <w:t>塑化、挤出、复合</w:t>
                  </w:r>
                </w:p>
              </w:tc>
              <w:tc>
                <w:tcPr>
                  <w:tcW w:w="2060" w:type="dxa"/>
                  <w:vAlign w:val="center"/>
                </w:tcPr>
                <w:p>
                  <w:pPr>
                    <w:pStyle w:val="26"/>
                    <w:spacing w:before="0" w:after="0" w:line="240" w:lineRule="auto"/>
                    <w:ind w:right="0" w:firstLine="0" w:firstLineChars="0"/>
                    <w:jc w:val="center"/>
                    <w:rPr>
                      <w:rFonts w:hint="default" w:eastAsia="宋体"/>
                      <w:color w:val="auto"/>
                      <w:sz w:val="21"/>
                      <w:szCs w:val="21"/>
                      <w:lang w:val="en-US" w:eastAsia="zh-CN"/>
                    </w:rPr>
                  </w:pPr>
                  <w:r>
                    <w:rPr>
                      <w:rFonts w:hint="eastAsia"/>
                      <w:color w:val="auto"/>
                      <w:sz w:val="21"/>
                      <w:szCs w:val="21"/>
                      <w:lang w:val="en-US"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Merge w:val="continue"/>
                  <w:vAlign w:val="center"/>
                </w:tcPr>
                <w:p>
                  <w:pPr>
                    <w:pStyle w:val="26"/>
                    <w:spacing w:before="0" w:after="0" w:line="240" w:lineRule="auto"/>
                    <w:ind w:right="0" w:firstLine="0" w:firstLineChars="0"/>
                    <w:jc w:val="center"/>
                    <w:rPr>
                      <w:color w:val="auto"/>
                      <w:sz w:val="21"/>
                      <w:szCs w:val="21"/>
                    </w:rPr>
                  </w:pPr>
                </w:p>
              </w:tc>
              <w:tc>
                <w:tcPr>
                  <w:tcW w:w="2474" w:type="dxa"/>
                  <w:vAlign w:val="center"/>
                </w:tcPr>
                <w:p>
                  <w:pPr>
                    <w:pStyle w:val="26"/>
                    <w:spacing w:before="0" w:after="0" w:line="240" w:lineRule="auto"/>
                    <w:ind w:right="0" w:firstLine="0" w:firstLineChars="0"/>
                    <w:jc w:val="center"/>
                    <w:rPr>
                      <w:rFonts w:hint="eastAsia" w:eastAsia="宋体"/>
                      <w:color w:val="auto"/>
                      <w:sz w:val="21"/>
                      <w:szCs w:val="21"/>
                      <w:lang w:eastAsia="zh-CN"/>
                    </w:rPr>
                  </w:pPr>
                  <w:r>
                    <w:rPr>
                      <w:rFonts w:hint="eastAsia" w:eastAsia="宋体"/>
                      <w:color w:val="auto"/>
                      <w:sz w:val="21"/>
                      <w:szCs w:val="21"/>
                      <w:lang w:eastAsia="zh-CN"/>
                    </w:rPr>
                    <w:t>上料搅拌</w:t>
                  </w:r>
                </w:p>
              </w:tc>
              <w:tc>
                <w:tcPr>
                  <w:tcW w:w="2262" w:type="dxa"/>
                  <w:vAlign w:val="center"/>
                </w:tcPr>
                <w:p>
                  <w:pPr>
                    <w:pStyle w:val="26"/>
                    <w:spacing w:before="0" w:after="0" w:line="240" w:lineRule="auto"/>
                    <w:ind w:right="0" w:firstLine="0" w:firstLineChars="0"/>
                    <w:jc w:val="center"/>
                    <w:rPr>
                      <w:rFonts w:hint="eastAsia" w:eastAsia="宋体"/>
                      <w:color w:val="auto"/>
                      <w:sz w:val="21"/>
                      <w:szCs w:val="21"/>
                      <w:lang w:eastAsia="zh-CN"/>
                    </w:rPr>
                  </w:pPr>
                  <w:r>
                    <w:rPr>
                      <w:rFonts w:hint="eastAsia" w:eastAsia="宋体"/>
                      <w:color w:val="auto"/>
                      <w:sz w:val="21"/>
                      <w:szCs w:val="21"/>
                      <w:lang w:eastAsia="zh-CN"/>
                    </w:rPr>
                    <w:t>上料</w:t>
                  </w:r>
                  <w:r>
                    <w:rPr>
                      <w:rFonts w:hint="eastAsia"/>
                      <w:color w:val="auto"/>
                      <w:sz w:val="21"/>
                      <w:szCs w:val="21"/>
                      <w:lang w:eastAsia="zh-CN"/>
                    </w:rPr>
                    <w:t>、</w:t>
                  </w:r>
                  <w:r>
                    <w:rPr>
                      <w:rFonts w:hint="eastAsia" w:eastAsia="宋体"/>
                      <w:color w:val="auto"/>
                      <w:sz w:val="21"/>
                      <w:szCs w:val="21"/>
                      <w:lang w:eastAsia="zh-CN"/>
                    </w:rPr>
                    <w:t>搅拌</w:t>
                  </w:r>
                </w:p>
              </w:tc>
              <w:tc>
                <w:tcPr>
                  <w:tcW w:w="2060" w:type="dxa"/>
                  <w:vAlign w:val="center"/>
                </w:tcPr>
                <w:p>
                  <w:pPr>
                    <w:pStyle w:val="26"/>
                    <w:spacing w:before="0" w:after="0" w:line="240" w:lineRule="auto"/>
                    <w:ind w:right="0" w:firstLine="0" w:firstLineChars="0"/>
                    <w:jc w:val="center"/>
                    <w:rPr>
                      <w:rFonts w:hint="eastAsia" w:eastAsia="宋体"/>
                      <w:color w:val="auto"/>
                      <w:sz w:val="21"/>
                      <w:szCs w:val="21"/>
                      <w:lang w:eastAsia="zh-CN"/>
                    </w:rPr>
                  </w:pPr>
                  <w:r>
                    <w:rPr>
                      <w:rFonts w:hint="eastAsia"/>
                      <w:color w:val="auto"/>
                      <w:sz w:val="21"/>
                      <w:szCs w:val="21"/>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Align w:val="center"/>
                </w:tcPr>
                <w:p>
                  <w:pPr>
                    <w:pStyle w:val="26"/>
                    <w:spacing w:before="0" w:after="0" w:line="240" w:lineRule="auto"/>
                    <w:ind w:right="0" w:firstLine="0" w:firstLineChars="0"/>
                    <w:jc w:val="center"/>
                    <w:rPr>
                      <w:color w:val="auto"/>
                      <w:sz w:val="21"/>
                      <w:szCs w:val="21"/>
                    </w:rPr>
                  </w:pPr>
                  <w:r>
                    <w:rPr>
                      <w:color w:val="auto"/>
                      <w:sz w:val="21"/>
                      <w:szCs w:val="21"/>
                    </w:rPr>
                    <w:t>废水</w:t>
                  </w:r>
                </w:p>
              </w:tc>
              <w:tc>
                <w:tcPr>
                  <w:tcW w:w="2474" w:type="dxa"/>
                  <w:vAlign w:val="center"/>
                </w:tcPr>
                <w:p>
                  <w:pPr>
                    <w:pStyle w:val="26"/>
                    <w:spacing w:before="0" w:after="0" w:line="240" w:lineRule="auto"/>
                    <w:ind w:right="0" w:firstLine="0" w:firstLineChars="0"/>
                    <w:jc w:val="center"/>
                    <w:rPr>
                      <w:color w:val="auto"/>
                      <w:sz w:val="21"/>
                      <w:szCs w:val="21"/>
                    </w:rPr>
                  </w:pPr>
                  <w:r>
                    <w:rPr>
                      <w:color w:val="auto"/>
                      <w:sz w:val="21"/>
                      <w:szCs w:val="21"/>
                    </w:rPr>
                    <w:t>生活废水</w:t>
                  </w:r>
                </w:p>
              </w:tc>
              <w:tc>
                <w:tcPr>
                  <w:tcW w:w="2262" w:type="dxa"/>
                  <w:vAlign w:val="center"/>
                </w:tcPr>
                <w:p>
                  <w:pPr>
                    <w:pStyle w:val="26"/>
                    <w:spacing w:before="0" w:after="0" w:line="240" w:lineRule="auto"/>
                    <w:ind w:right="0" w:firstLine="0" w:firstLineChars="0"/>
                    <w:jc w:val="center"/>
                    <w:rPr>
                      <w:color w:val="auto"/>
                      <w:sz w:val="21"/>
                      <w:szCs w:val="21"/>
                    </w:rPr>
                  </w:pPr>
                  <w:r>
                    <w:rPr>
                      <w:color w:val="auto"/>
                      <w:sz w:val="21"/>
                      <w:szCs w:val="21"/>
                    </w:rPr>
                    <w:t>生活</w:t>
                  </w:r>
                </w:p>
              </w:tc>
              <w:tc>
                <w:tcPr>
                  <w:tcW w:w="2060" w:type="dxa"/>
                  <w:vAlign w:val="center"/>
                </w:tcPr>
                <w:p>
                  <w:pPr>
                    <w:pStyle w:val="26"/>
                    <w:spacing w:before="0" w:after="0" w:line="240" w:lineRule="auto"/>
                    <w:ind w:right="0" w:firstLine="0" w:firstLineChars="0"/>
                    <w:jc w:val="center"/>
                    <w:rPr>
                      <w:color w:val="auto"/>
                      <w:sz w:val="21"/>
                      <w:szCs w:val="21"/>
                    </w:rPr>
                  </w:pPr>
                  <w:r>
                    <w:rPr>
                      <w:color w:val="auto"/>
                      <w:sz w:val="21"/>
                      <w:szCs w:val="21"/>
                    </w:rPr>
                    <w:t>COD、氨氮等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Merge w:val="restart"/>
                  <w:vAlign w:val="center"/>
                </w:tcPr>
                <w:p>
                  <w:pPr>
                    <w:pStyle w:val="26"/>
                    <w:spacing w:before="0" w:after="0" w:line="240" w:lineRule="auto"/>
                    <w:ind w:right="0" w:firstLine="0" w:firstLineChars="0"/>
                    <w:jc w:val="center"/>
                    <w:rPr>
                      <w:color w:val="auto"/>
                      <w:sz w:val="21"/>
                      <w:szCs w:val="21"/>
                    </w:rPr>
                  </w:pPr>
                  <w:r>
                    <w:rPr>
                      <w:color w:val="auto"/>
                      <w:sz w:val="21"/>
                      <w:szCs w:val="21"/>
                    </w:rPr>
                    <w:t>固体废物</w:t>
                  </w:r>
                </w:p>
              </w:tc>
              <w:tc>
                <w:tcPr>
                  <w:tcW w:w="2474" w:type="dxa"/>
                  <w:vAlign w:val="center"/>
                </w:tcPr>
                <w:p>
                  <w:pPr>
                    <w:pStyle w:val="26"/>
                    <w:spacing w:before="0" w:after="0" w:line="240" w:lineRule="auto"/>
                    <w:ind w:right="0" w:firstLine="0" w:firstLineChars="0"/>
                    <w:jc w:val="center"/>
                    <w:rPr>
                      <w:color w:val="auto"/>
                      <w:sz w:val="21"/>
                      <w:szCs w:val="21"/>
                    </w:rPr>
                  </w:pPr>
                  <w:r>
                    <w:rPr>
                      <w:color w:val="auto"/>
                      <w:sz w:val="21"/>
                      <w:szCs w:val="21"/>
                    </w:rPr>
                    <w:t>生活垃圾</w:t>
                  </w:r>
                </w:p>
              </w:tc>
              <w:tc>
                <w:tcPr>
                  <w:tcW w:w="2262" w:type="dxa"/>
                  <w:vAlign w:val="center"/>
                </w:tcPr>
                <w:p>
                  <w:pPr>
                    <w:pStyle w:val="26"/>
                    <w:spacing w:before="0" w:after="0" w:line="240" w:lineRule="auto"/>
                    <w:ind w:right="0" w:firstLine="0" w:firstLineChars="0"/>
                    <w:jc w:val="center"/>
                    <w:rPr>
                      <w:color w:val="auto"/>
                      <w:sz w:val="21"/>
                      <w:szCs w:val="21"/>
                    </w:rPr>
                  </w:pPr>
                  <w:r>
                    <w:rPr>
                      <w:color w:val="auto"/>
                      <w:sz w:val="21"/>
                      <w:szCs w:val="21"/>
                    </w:rPr>
                    <w:t>生活</w:t>
                  </w:r>
                </w:p>
              </w:tc>
              <w:tc>
                <w:tcPr>
                  <w:tcW w:w="2060" w:type="dxa"/>
                  <w:vAlign w:val="center"/>
                </w:tcPr>
                <w:p>
                  <w:pPr>
                    <w:pStyle w:val="26"/>
                    <w:spacing w:before="0" w:after="0" w:line="240" w:lineRule="auto"/>
                    <w:ind w:right="0" w:firstLine="0" w:firstLineChars="0"/>
                    <w:jc w:val="center"/>
                    <w:rPr>
                      <w:color w:val="auto"/>
                      <w:sz w:val="21"/>
                      <w:szCs w:val="21"/>
                    </w:rPr>
                  </w:pPr>
                  <w:r>
                    <w:rPr>
                      <w:color w:val="auto"/>
                      <w:sz w:val="21"/>
                      <w:szCs w:val="21"/>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Merge w:val="continue"/>
                  <w:vAlign w:val="center"/>
                </w:tcPr>
                <w:p>
                  <w:pPr>
                    <w:pStyle w:val="26"/>
                    <w:spacing w:before="0" w:after="0" w:line="240" w:lineRule="auto"/>
                    <w:ind w:right="0" w:firstLine="0" w:firstLineChars="0"/>
                    <w:jc w:val="center"/>
                    <w:rPr>
                      <w:color w:val="auto"/>
                      <w:sz w:val="21"/>
                      <w:szCs w:val="21"/>
                    </w:rPr>
                  </w:pPr>
                </w:p>
              </w:tc>
              <w:tc>
                <w:tcPr>
                  <w:tcW w:w="2474" w:type="dxa"/>
                  <w:vMerge w:val="restart"/>
                  <w:vAlign w:val="center"/>
                </w:tcPr>
                <w:p>
                  <w:pPr>
                    <w:pStyle w:val="26"/>
                    <w:spacing w:before="0" w:after="0" w:line="240" w:lineRule="auto"/>
                    <w:ind w:right="0" w:firstLine="0" w:firstLineChars="0"/>
                    <w:jc w:val="center"/>
                    <w:rPr>
                      <w:color w:val="auto"/>
                      <w:sz w:val="21"/>
                      <w:szCs w:val="21"/>
                    </w:rPr>
                  </w:pPr>
                  <w:r>
                    <w:rPr>
                      <w:color w:val="auto"/>
                      <w:sz w:val="21"/>
                      <w:szCs w:val="21"/>
                    </w:rPr>
                    <w:t>生产固废</w:t>
                  </w:r>
                </w:p>
              </w:tc>
              <w:tc>
                <w:tcPr>
                  <w:tcW w:w="2262" w:type="dxa"/>
                  <w:vAlign w:val="center"/>
                </w:tcPr>
                <w:p>
                  <w:pPr>
                    <w:pStyle w:val="26"/>
                    <w:spacing w:before="0" w:after="0" w:line="240" w:lineRule="auto"/>
                    <w:ind w:right="0" w:firstLine="0" w:firstLineChars="0"/>
                    <w:jc w:val="center"/>
                    <w:rPr>
                      <w:rFonts w:hint="eastAsia" w:eastAsia="宋体"/>
                      <w:color w:val="auto"/>
                      <w:sz w:val="21"/>
                      <w:szCs w:val="21"/>
                      <w:lang w:eastAsia="zh-CN"/>
                    </w:rPr>
                  </w:pPr>
                  <w:r>
                    <w:rPr>
                      <w:rFonts w:hint="eastAsia"/>
                      <w:color w:val="auto"/>
                      <w:sz w:val="21"/>
                      <w:szCs w:val="21"/>
                      <w:lang w:eastAsia="zh-CN"/>
                    </w:rPr>
                    <w:t>废包装袋</w:t>
                  </w:r>
                </w:p>
              </w:tc>
              <w:tc>
                <w:tcPr>
                  <w:tcW w:w="2060" w:type="dxa"/>
                  <w:vAlign w:val="center"/>
                </w:tcPr>
                <w:p>
                  <w:pPr>
                    <w:pStyle w:val="26"/>
                    <w:spacing w:before="0" w:after="0" w:line="240" w:lineRule="auto"/>
                    <w:ind w:right="0" w:firstLine="0" w:firstLineChars="0"/>
                    <w:jc w:val="center"/>
                    <w:rPr>
                      <w:rFonts w:hint="default" w:eastAsia="宋体"/>
                      <w:color w:val="auto"/>
                      <w:sz w:val="21"/>
                      <w:szCs w:val="21"/>
                      <w:lang w:val="en-US" w:eastAsia="zh-CN"/>
                    </w:rPr>
                  </w:pPr>
                  <w:r>
                    <w:rPr>
                      <w:rFonts w:hint="eastAsia"/>
                      <w:color w:val="auto"/>
                      <w:sz w:val="21"/>
                      <w:szCs w:val="21"/>
                      <w:lang w:val="en-US" w:eastAsia="zh-CN"/>
                    </w:rPr>
                    <w:t>一般固体废物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Merge w:val="continue"/>
                  <w:vAlign w:val="center"/>
                </w:tcPr>
                <w:p>
                  <w:pPr>
                    <w:pStyle w:val="26"/>
                    <w:spacing w:before="0" w:after="0" w:line="240" w:lineRule="auto"/>
                    <w:ind w:right="0" w:firstLine="0" w:firstLineChars="0"/>
                    <w:jc w:val="center"/>
                    <w:rPr>
                      <w:color w:val="auto"/>
                      <w:sz w:val="21"/>
                      <w:szCs w:val="21"/>
                    </w:rPr>
                  </w:pPr>
                </w:p>
              </w:tc>
              <w:tc>
                <w:tcPr>
                  <w:tcW w:w="2474" w:type="dxa"/>
                  <w:vMerge w:val="continue"/>
                  <w:vAlign w:val="center"/>
                </w:tcPr>
                <w:p>
                  <w:pPr>
                    <w:pStyle w:val="26"/>
                    <w:spacing w:before="0" w:after="0" w:line="240" w:lineRule="auto"/>
                    <w:ind w:right="0" w:firstLine="0" w:firstLineChars="0"/>
                    <w:jc w:val="center"/>
                    <w:rPr>
                      <w:color w:val="auto"/>
                      <w:sz w:val="21"/>
                      <w:szCs w:val="21"/>
                    </w:rPr>
                  </w:pPr>
                </w:p>
              </w:tc>
              <w:tc>
                <w:tcPr>
                  <w:tcW w:w="2262" w:type="dxa"/>
                  <w:vAlign w:val="center"/>
                </w:tcPr>
                <w:p>
                  <w:pPr>
                    <w:pStyle w:val="26"/>
                    <w:spacing w:before="0" w:after="0" w:line="240" w:lineRule="auto"/>
                    <w:ind w:right="0" w:firstLine="0" w:firstLineChars="0"/>
                    <w:jc w:val="center"/>
                    <w:rPr>
                      <w:rFonts w:hint="eastAsia" w:eastAsia="宋体"/>
                      <w:color w:val="auto"/>
                      <w:sz w:val="21"/>
                      <w:szCs w:val="21"/>
                      <w:lang w:eastAsia="zh-CN"/>
                    </w:rPr>
                  </w:pPr>
                  <w:r>
                    <w:rPr>
                      <w:rFonts w:hint="eastAsia"/>
                      <w:color w:val="auto"/>
                      <w:sz w:val="21"/>
                      <w:szCs w:val="21"/>
                      <w:lang w:eastAsia="zh-CN"/>
                    </w:rPr>
                    <w:t>下脚料</w:t>
                  </w:r>
                </w:p>
              </w:tc>
              <w:tc>
                <w:tcPr>
                  <w:tcW w:w="2060" w:type="dxa"/>
                  <w:vAlign w:val="center"/>
                </w:tcPr>
                <w:p>
                  <w:pPr>
                    <w:pStyle w:val="26"/>
                    <w:spacing w:before="0" w:after="0" w:line="240" w:lineRule="auto"/>
                    <w:ind w:right="0" w:firstLine="0" w:firstLineChars="0"/>
                    <w:jc w:val="center"/>
                    <w:rPr>
                      <w:color w:val="auto"/>
                      <w:sz w:val="21"/>
                      <w:szCs w:val="21"/>
                    </w:rPr>
                  </w:pPr>
                  <w:r>
                    <w:rPr>
                      <w:rFonts w:hint="eastAsia"/>
                      <w:color w:val="auto"/>
                      <w:sz w:val="21"/>
                      <w:szCs w:val="21"/>
                      <w:lang w:val="en-US" w:eastAsia="zh-CN"/>
                    </w:rPr>
                    <w:t>一般固体废物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Merge w:val="continue"/>
                  <w:vAlign w:val="center"/>
                </w:tcPr>
                <w:p>
                  <w:pPr>
                    <w:pStyle w:val="26"/>
                    <w:spacing w:before="0" w:after="0" w:line="240" w:lineRule="auto"/>
                    <w:ind w:right="0" w:firstLine="0" w:firstLineChars="0"/>
                    <w:jc w:val="center"/>
                    <w:rPr>
                      <w:color w:val="auto"/>
                      <w:sz w:val="21"/>
                      <w:szCs w:val="21"/>
                    </w:rPr>
                  </w:pPr>
                </w:p>
              </w:tc>
              <w:tc>
                <w:tcPr>
                  <w:tcW w:w="2474" w:type="dxa"/>
                  <w:vMerge w:val="restart"/>
                  <w:vAlign w:val="center"/>
                </w:tcPr>
                <w:p>
                  <w:pPr>
                    <w:pStyle w:val="26"/>
                    <w:spacing w:before="0" w:after="0" w:line="240" w:lineRule="auto"/>
                    <w:ind w:right="0" w:firstLine="0" w:firstLineChars="0"/>
                    <w:jc w:val="center"/>
                    <w:rPr>
                      <w:rFonts w:hint="eastAsia" w:eastAsia="宋体"/>
                      <w:color w:val="auto"/>
                      <w:sz w:val="21"/>
                      <w:szCs w:val="21"/>
                      <w:lang w:eastAsia="zh-CN"/>
                    </w:rPr>
                  </w:pPr>
                  <w:r>
                    <w:rPr>
                      <w:rFonts w:hint="eastAsia"/>
                      <w:color w:val="auto"/>
                      <w:sz w:val="21"/>
                      <w:szCs w:val="21"/>
                      <w:lang w:eastAsia="zh-CN"/>
                    </w:rPr>
                    <w:t>废气处理</w:t>
                  </w:r>
                </w:p>
              </w:tc>
              <w:tc>
                <w:tcPr>
                  <w:tcW w:w="2262" w:type="dxa"/>
                  <w:vAlign w:val="center"/>
                </w:tcPr>
                <w:p>
                  <w:pPr>
                    <w:pStyle w:val="26"/>
                    <w:spacing w:before="0" w:after="0" w:line="240" w:lineRule="auto"/>
                    <w:ind w:right="0" w:rightChars="0" w:firstLine="0" w:firstLineChars="0"/>
                    <w:jc w:val="center"/>
                    <w:rPr>
                      <w:rFonts w:hint="eastAsia" w:eastAsia="宋体"/>
                      <w:color w:val="auto"/>
                      <w:sz w:val="21"/>
                      <w:szCs w:val="21"/>
                      <w:lang w:eastAsia="zh-CN"/>
                    </w:rPr>
                  </w:pPr>
                  <w:r>
                    <w:rPr>
                      <w:rFonts w:hint="eastAsia"/>
                      <w:color w:val="auto"/>
                      <w:sz w:val="21"/>
                      <w:szCs w:val="21"/>
                      <w:lang w:val="en-US" w:eastAsia="zh-CN"/>
                    </w:rPr>
                    <w:t>废UV灯管</w:t>
                  </w:r>
                </w:p>
              </w:tc>
              <w:tc>
                <w:tcPr>
                  <w:tcW w:w="2060" w:type="dxa"/>
                  <w:vAlign w:val="center"/>
                </w:tcPr>
                <w:p>
                  <w:pPr>
                    <w:pStyle w:val="26"/>
                    <w:spacing w:before="0" w:after="0" w:line="240" w:lineRule="auto"/>
                    <w:ind w:right="0" w:rightChars="0" w:firstLine="0" w:firstLineChars="0"/>
                    <w:jc w:val="center"/>
                    <w:rPr>
                      <w:color w:val="auto"/>
                      <w:sz w:val="21"/>
                      <w:szCs w:val="21"/>
                    </w:rPr>
                  </w:pPr>
                  <w:r>
                    <w:rPr>
                      <w:rFonts w:hint="eastAsia"/>
                      <w:color w:val="auto"/>
                      <w:sz w:val="21"/>
                      <w:szCs w:val="21"/>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Merge w:val="continue"/>
                  <w:vAlign w:val="center"/>
                </w:tcPr>
                <w:p>
                  <w:pPr>
                    <w:pStyle w:val="26"/>
                    <w:spacing w:before="0" w:after="0" w:line="240" w:lineRule="auto"/>
                    <w:ind w:right="0" w:firstLine="0" w:firstLineChars="0"/>
                    <w:jc w:val="center"/>
                    <w:rPr>
                      <w:color w:val="auto"/>
                      <w:sz w:val="21"/>
                      <w:szCs w:val="21"/>
                    </w:rPr>
                  </w:pPr>
                </w:p>
              </w:tc>
              <w:tc>
                <w:tcPr>
                  <w:tcW w:w="2474" w:type="dxa"/>
                  <w:vMerge w:val="continue"/>
                  <w:vAlign w:val="center"/>
                </w:tcPr>
                <w:p>
                  <w:pPr>
                    <w:pStyle w:val="26"/>
                    <w:spacing w:before="0" w:after="0" w:line="240" w:lineRule="auto"/>
                    <w:ind w:right="0" w:firstLine="0" w:firstLineChars="0"/>
                    <w:jc w:val="center"/>
                    <w:rPr>
                      <w:rFonts w:hint="eastAsia"/>
                      <w:color w:val="auto"/>
                      <w:sz w:val="21"/>
                      <w:szCs w:val="21"/>
                      <w:lang w:eastAsia="zh-CN"/>
                    </w:rPr>
                  </w:pPr>
                </w:p>
              </w:tc>
              <w:tc>
                <w:tcPr>
                  <w:tcW w:w="2262" w:type="dxa"/>
                  <w:vAlign w:val="center"/>
                </w:tcPr>
                <w:p>
                  <w:pPr>
                    <w:pStyle w:val="26"/>
                    <w:spacing w:before="0" w:after="0" w:line="240" w:lineRule="auto"/>
                    <w:ind w:right="0"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废活性炭</w:t>
                  </w:r>
                </w:p>
              </w:tc>
              <w:tc>
                <w:tcPr>
                  <w:tcW w:w="2060" w:type="dxa"/>
                  <w:vAlign w:val="center"/>
                </w:tcPr>
                <w:p>
                  <w:pPr>
                    <w:pStyle w:val="26"/>
                    <w:spacing w:before="0" w:after="0" w:line="240" w:lineRule="auto"/>
                    <w:ind w:right="0" w:rightChars="0"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Align w:val="center"/>
                </w:tcPr>
                <w:p>
                  <w:pPr>
                    <w:pStyle w:val="26"/>
                    <w:spacing w:before="0" w:after="0" w:line="240" w:lineRule="auto"/>
                    <w:ind w:right="0" w:firstLine="0" w:firstLineChars="0"/>
                    <w:jc w:val="center"/>
                    <w:rPr>
                      <w:color w:val="auto"/>
                      <w:sz w:val="21"/>
                      <w:szCs w:val="21"/>
                    </w:rPr>
                  </w:pPr>
                  <w:r>
                    <w:rPr>
                      <w:color w:val="auto"/>
                      <w:sz w:val="21"/>
                      <w:szCs w:val="21"/>
                    </w:rPr>
                    <w:t>噪声</w:t>
                  </w:r>
                </w:p>
              </w:tc>
              <w:tc>
                <w:tcPr>
                  <w:tcW w:w="2474" w:type="dxa"/>
                  <w:vAlign w:val="center"/>
                </w:tcPr>
                <w:p>
                  <w:pPr>
                    <w:pStyle w:val="26"/>
                    <w:spacing w:before="0" w:after="0" w:line="240" w:lineRule="auto"/>
                    <w:ind w:right="0" w:firstLine="0" w:firstLineChars="0"/>
                    <w:jc w:val="center"/>
                    <w:rPr>
                      <w:color w:val="auto"/>
                      <w:sz w:val="21"/>
                      <w:szCs w:val="21"/>
                    </w:rPr>
                  </w:pPr>
                  <w:r>
                    <w:rPr>
                      <w:color w:val="auto"/>
                      <w:sz w:val="21"/>
                      <w:szCs w:val="21"/>
                    </w:rPr>
                    <w:t>设备噪声</w:t>
                  </w:r>
                </w:p>
              </w:tc>
              <w:tc>
                <w:tcPr>
                  <w:tcW w:w="2262" w:type="dxa"/>
                  <w:vAlign w:val="center"/>
                </w:tcPr>
                <w:p>
                  <w:pPr>
                    <w:pStyle w:val="26"/>
                    <w:spacing w:before="0" w:after="0" w:line="240" w:lineRule="auto"/>
                    <w:ind w:right="0" w:firstLine="0" w:firstLineChars="0"/>
                    <w:jc w:val="center"/>
                    <w:rPr>
                      <w:color w:val="auto"/>
                      <w:sz w:val="21"/>
                      <w:szCs w:val="21"/>
                    </w:rPr>
                  </w:pPr>
                  <w:r>
                    <w:rPr>
                      <w:rFonts w:hint="eastAsia"/>
                      <w:color w:val="auto"/>
                      <w:sz w:val="21"/>
                      <w:szCs w:val="21"/>
                      <w:lang w:eastAsia="zh-CN"/>
                    </w:rPr>
                    <w:t>发泡挤出机、复合机、分切机、风机</w:t>
                  </w:r>
                  <w:r>
                    <w:rPr>
                      <w:color w:val="auto"/>
                      <w:sz w:val="21"/>
                      <w:szCs w:val="21"/>
                    </w:rPr>
                    <w:t>等</w:t>
                  </w:r>
                </w:p>
              </w:tc>
              <w:tc>
                <w:tcPr>
                  <w:tcW w:w="2060" w:type="dxa"/>
                  <w:vAlign w:val="center"/>
                </w:tcPr>
                <w:p>
                  <w:pPr>
                    <w:pStyle w:val="26"/>
                    <w:spacing w:before="0" w:after="0" w:line="240" w:lineRule="auto"/>
                    <w:ind w:right="0" w:firstLine="0" w:firstLineChars="0"/>
                    <w:jc w:val="center"/>
                    <w:rPr>
                      <w:color w:val="auto"/>
                      <w:sz w:val="21"/>
                      <w:szCs w:val="21"/>
                    </w:rPr>
                  </w:pPr>
                  <w:r>
                    <w:rPr>
                      <w:color w:val="auto"/>
                      <w:sz w:val="21"/>
                      <w:szCs w:val="21"/>
                    </w:rPr>
                    <w:t>连续等效A声级</w:t>
                  </w:r>
                </w:p>
              </w:tc>
            </w:tr>
          </w:tbl>
          <w:p>
            <w:pPr>
              <w:pStyle w:val="26"/>
              <w:spacing w:before="0" w:after="0" w:line="360" w:lineRule="auto"/>
              <w:ind w:right="0" w:firstLine="480" w:firstLineChars="200"/>
              <w:jc w:val="center"/>
              <w:rPr>
                <w:color w:val="auto"/>
                <w:sz w:val="24"/>
                <w:szCs w:val="24"/>
              </w:rPr>
            </w:pPr>
          </w:p>
          <w:p>
            <w:pPr>
              <w:spacing w:line="360" w:lineRule="auto"/>
              <w:ind w:firstLine="420" w:firstLineChars="200"/>
              <w:rPr>
                <w:bCs/>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23" w:type="dxa"/>
            <w:vAlign w:val="center"/>
          </w:tcPr>
          <w:p>
            <w:pPr>
              <w:pStyle w:val="24"/>
              <w:adjustRightInd w:val="0"/>
              <w:snapToGrid w:val="0"/>
              <w:spacing w:before="0" w:beforeAutospacing="0" w:after="0" w:afterAutospacing="0"/>
              <w:jc w:val="center"/>
              <w:rPr>
                <w:rFonts w:ascii="Times New Roman" w:hAnsi="Times New Roman"/>
                <w:color w:val="auto"/>
                <w:sz w:val="21"/>
                <w:szCs w:val="21"/>
              </w:rPr>
            </w:pPr>
            <w:r>
              <w:rPr>
                <w:rFonts w:ascii="Times New Roman" w:hAnsi="Times New Roman"/>
                <w:bCs/>
                <w:color w:val="auto"/>
                <w:kern w:val="2"/>
                <w:sz w:val="21"/>
                <w:szCs w:val="21"/>
              </w:rPr>
              <w:t>与项目有关的原有环境污染问题</w:t>
            </w:r>
          </w:p>
        </w:tc>
        <w:tc>
          <w:tcPr>
            <w:tcW w:w="8161" w:type="dxa"/>
          </w:tcPr>
          <w:p>
            <w:pPr>
              <w:pStyle w:val="28"/>
              <w:snapToGrid w:val="0"/>
              <w:spacing w:line="360" w:lineRule="auto"/>
              <w:ind w:firstLine="480" w:firstLineChars="200"/>
              <w:rPr>
                <w:rFonts w:hint="eastAsia"/>
                <w:color w:val="auto"/>
                <w:szCs w:val="24"/>
              </w:rPr>
            </w:pPr>
            <w:r>
              <w:rPr>
                <w:color w:val="auto"/>
                <w:szCs w:val="24"/>
              </w:rPr>
              <w:t>本项目为新建项目，</w:t>
            </w:r>
            <w:r>
              <w:rPr>
                <w:rFonts w:hint="eastAsia"/>
                <w:color w:val="auto"/>
                <w:szCs w:val="24"/>
                <w:lang w:val="en-US" w:eastAsia="zh-CN"/>
              </w:rPr>
              <w:t>利用现有工业厂房进行建设。原有场地为湖南巧大娘食品有限公司的厂房。湖南巧大娘食品有限公司的生产设施及锅炉已经拆除，遗留的废渣已经清理，无</w:t>
            </w:r>
            <w:r>
              <w:rPr>
                <w:color w:val="auto"/>
                <w:szCs w:val="24"/>
              </w:rPr>
              <w:t>原有</w:t>
            </w:r>
            <w:r>
              <w:rPr>
                <w:rFonts w:hint="eastAsia"/>
                <w:color w:val="auto"/>
                <w:szCs w:val="24"/>
                <w:lang w:val="en-US" w:eastAsia="zh-CN"/>
              </w:rPr>
              <w:t>遗留</w:t>
            </w:r>
            <w:r>
              <w:rPr>
                <w:rFonts w:hint="eastAsia"/>
                <w:color w:val="auto"/>
                <w:szCs w:val="24"/>
              </w:rPr>
              <w:t>环境污染问题。</w:t>
            </w:r>
          </w:p>
          <w:p>
            <w:pPr>
              <w:pStyle w:val="28"/>
              <w:snapToGrid w:val="0"/>
              <w:spacing w:line="360" w:lineRule="auto"/>
              <w:ind w:firstLine="480" w:firstLineChars="200"/>
              <w:rPr>
                <w:rFonts w:hint="default" w:eastAsia="宋体"/>
                <w:color w:val="auto"/>
                <w:szCs w:val="24"/>
                <w:lang w:val="en-US" w:eastAsia="zh-CN"/>
              </w:rPr>
            </w:pPr>
            <w:r>
              <w:rPr>
                <w:rFonts w:hint="eastAsia" w:eastAsia="宋体"/>
                <w:color w:val="auto"/>
                <w:szCs w:val="24"/>
                <w:lang w:val="en-US" w:eastAsia="zh-CN"/>
              </w:rPr>
              <w:t>本项目为未批先建项目，目前邵阳市生态环境局邵东分局对该项目进行了查处，责令停产，完善环评手续。生产设备已安装，设备负荷已经能够达到设计产能100t/a的规模，现有的环保设施主要为利用湖南巧大娘食品有限公司的现有设施，冷却水通过30m</w:t>
            </w:r>
            <w:r>
              <w:rPr>
                <w:rFonts w:hint="eastAsia" w:eastAsia="宋体"/>
                <w:color w:val="auto"/>
                <w:szCs w:val="24"/>
                <w:vertAlign w:val="superscript"/>
                <w:lang w:val="en-US" w:eastAsia="zh-CN"/>
              </w:rPr>
              <w:t>3</w:t>
            </w:r>
            <w:r>
              <w:rPr>
                <w:rFonts w:hint="eastAsia" w:eastAsia="宋体"/>
                <w:color w:val="auto"/>
                <w:szCs w:val="24"/>
                <w:lang w:val="en-US" w:eastAsia="zh-CN"/>
              </w:rPr>
              <w:t>的循环冷却水塔进行冷却后循环使用；生活污水经化粪池处理，由附件的农户清运。存在的问题为：无废气处理设施，无危险废物暂存间。</w:t>
            </w:r>
          </w:p>
          <w:p>
            <w:pPr>
              <w:pStyle w:val="28"/>
              <w:snapToGrid w:val="0"/>
              <w:spacing w:line="360" w:lineRule="auto"/>
              <w:ind w:firstLine="480" w:firstLineChars="200"/>
              <w:rPr>
                <w:rFonts w:hint="eastAsia"/>
                <w:color w:val="auto"/>
                <w:szCs w:val="24"/>
              </w:rPr>
            </w:pPr>
            <w:r>
              <w:rPr>
                <w:rFonts w:hint="eastAsia"/>
                <w:color w:val="auto"/>
                <w:szCs w:val="24"/>
              </w:rPr>
              <w:t>本项目现有环境问题对应的拟采取的改进环保措施情况见下表。</w:t>
            </w:r>
          </w:p>
          <w:p>
            <w:pPr>
              <w:spacing w:line="360" w:lineRule="auto"/>
              <w:ind w:firstLine="480"/>
              <w:jc w:val="center"/>
              <w:rPr>
                <w:color w:val="auto"/>
                <w:kern w:val="0"/>
                <w:szCs w:val="21"/>
              </w:rPr>
            </w:pPr>
            <w:r>
              <w:rPr>
                <w:color w:val="auto"/>
                <w:kern w:val="0"/>
                <w:szCs w:val="21"/>
              </w:rPr>
              <w:t>表2-</w:t>
            </w:r>
            <w:r>
              <w:rPr>
                <w:rFonts w:hint="eastAsia"/>
                <w:color w:val="auto"/>
                <w:kern w:val="0"/>
                <w:szCs w:val="21"/>
                <w:lang w:val="en-US" w:eastAsia="zh-CN"/>
              </w:rPr>
              <w:t>7</w:t>
            </w:r>
            <w:r>
              <w:rPr>
                <w:color w:val="auto"/>
                <w:kern w:val="0"/>
                <w:szCs w:val="21"/>
              </w:rPr>
              <w:t xml:space="preserve">  环境问题及拟采取的环保措施一览表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2672"/>
              <w:gridCol w:w="4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rPr>
                      <w:color w:val="auto"/>
                      <w:sz w:val="21"/>
                      <w:szCs w:val="21"/>
                    </w:rPr>
                  </w:pPr>
                  <w:r>
                    <w:rPr>
                      <w:color w:val="auto"/>
                      <w:sz w:val="21"/>
                      <w:szCs w:val="21"/>
                    </w:rPr>
                    <w:t>序号</w:t>
                  </w:r>
                </w:p>
              </w:tc>
              <w:tc>
                <w:tcPr>
                  <w:tcW w:w="2672" w:type="dxa"/>
                  <w:noWrap w:val="0"/>
                  <w:vAlign w:val="center"/>
                </w:tcPr>
                <w:p>
                  <w:pPr>
                    <w:rPr>
                      <w:color w:val="auto"/>
                      <w:sz w:val="21"/>
                      <w:szCs w:val="21"/>
                    </w:rPr>
                  </w:pPr>
                  <w:r>
                    <w:rPr>
                      <w:color w:val="auto"/>
                      <w:sz w:val="21"/>
                      <w:szCs w:val="21"/>
                    </w:rPr>
                    <w:t>环境问题</w:t>
                  </w:r>
                </w:p>
              </w:tc>
              <w:tc>
                <w:tcPr>
                  <w:tcW w:w="4624" w:type="dxa"/>
                  <w:noWrap w:val="0"/>
                  <w:vAlign w:val="center"/>
                </w:tcPr>
                <w:p>
                  <w:pPr>
                    <w:rPr>
                      <w:color w:val="auto"/>
                      <w:sz w:val="21"/>
                      <w:szCs w:val="21"/>
                    </w:rPr>
                  </w:pPr>
                  <w:r>
                    <w:rPr>
                      <w:color w:val="auto"/>
                      <w:sz w:val="21"/>
                      <w:szCs w:val="21"/>
                    </w:rPr>
                    <w:t>拟采取的环保措施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rPr>
                      <w:color w:val="auto"/>
                      <w:sz w:val="21"/>
                      <w:szCs w:val="21"/>
                    </w:rPr>
                  </w:pPr>
                  <w:r>
                    <w:rPr>
                      <w:color w:val="auto"/>
                      <w:sz w:val="21"/>
                      <w:szCs w:val="21"/>
                    </w:rPr>
                    <w:t>1</w:t>
                  </w:r>
                </w:p>
              </w:tc>
              <w:tc>
                <w:tcPr>
                  <w:tcW w:w="2672" w:type="dxa"/>
                  <w:noWrap w:val="0"/>
                  <w:vAlign w:val="center"/>
                </w:tcPr>
                <w:p>
                  <w:pPr>
                    <w:rPr>
                      <w:rFonts w:hint="default" w:eastAsia="宋体"/>
                      <w:color w:val="auto"/>
                      <w:sz w:val="21"/>
                      <w:szCs w:val="21"/>
                      <w:lang w:val="en-US" w:eastAsia="zh-CN"/>
                    </w:rPr>
                  </w:pPr>
                  <w:r>
                    <w:rPr>
                      <w:rFonts w:hint="eastAsia" w:eastAsia="宋体"/>
                      <w:color w:val="auto"/>
                      <w:sz w:val="21"/>
                      <w:szCs w:val="21"/>
                      <w:lang w:val="en-US" w:eastAsia="zh-CN"/>
                    </w:rPr>
                    <w:t>无废气处理设施</w:t>
                  </w:r>
                </w:p>
              </w:tc>
              <w:tc>
                <w:tcPr>
                  <w:tcW w:w="4624" w:type="dxa"/>
                  <w:noWrap w:val="0"/>
                  <w:vAlign w:val="center"/>
                </w:tcPr>
                <w:p>
                  <w:pPr>
                    <w:rPr>
                      <w:rFonts w:hint="default" w:eastAsia="宋体"/>
                      <w:color w:val="auto"/>
                      <w:sz w:val="21"/>
                      <w:szCs w:val="21"/>
                      <w:lang w:val="en-US" w:eastAsia="zh-CN"/>
                    </w:rPr>
                  </w:pPr>
                  <w:r>
                    <w:rPr>
                      <w:rFonts w:hint="eastAsia"/>
                      <w:color w:val="auto"/>
                      <w:sz w:val="21"/>
                      <w:szCs w:val="21"/>
                      <w:lang w:val="en-US" w:eastAsia="zh-CN"/>
                    </w:rPr>
                    <w:t>在发泡机、复合机上方设施集气罩，废气经收集后通过UV光解+活性炭吸附装置处理后，通过15m高的排气筒高空排放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rPr>
                      <w:rFonts w:hint="eastAsia" w:eastAsia="宋体"/>
                      <w:color w:val="auto"/>
                      <w:sz w:val="21"/>
                      <w:szCs w:val="21"/>
                      <w:lang w:val="en-US" w:eastAsia="zh-CN"/>
                    </w:rPr>
                  </w:pPr>
                  <w:r>
                    <w:rPr>
                      <w:rFonts w:hint="eastAsia"/>
                      <w:color w:val="auto"/>
                      <w:sz w:val="21"/>
                      <w:szCs w:val="21"/>
                      <w:lang w:val="en-US" w:eastAsia="zh-CN"/>
                    </w:rPr>
                    <w:t>2</w:t>
                  </w:r>
                </w:p>
              </w:tc>
              <w:tc>
                <w:tcPr>
                  <w:tcW w:w="2672" w:type="dxa"/>
                  <w:noWrap w:val="0"/>
                  <w:vAlign w:val="center"/>
                </w:tcPr>
                <w:p>
                  <w:pPr>
                    <w:rPr>
                      <w:rFonts w:hint="default" w:eastAsia="宋体"/>
                      <w:color w:val="auto"/>
                      <w:sz w:val="21"/>
                      <w:szCs w:val="21"/>
                      <w:lang w:val="en-US" w:eastAsia="zh-CN"/>
                    </w:rPr>
                  </w:pPr>
                  <w:r>
                    <w:rPr>
                      <w:rFonts w:hint="eastAsia" w:eastAsia="宋体"/>
                      <w:color w:val="auto"/>
                      <w:sz w:val="21"/>
                      <w:szCs w:val="21"/>
                      <w:lang w:val="en-US" w:eastAsia="zh-CN"/>
                    </w:rPr>
                    <w:t>无危险废物暂存间</w:t>
                  </w:r>
                </w:p>
              </w:tc>
              <w:tc>
                <w:tcPr>
                  <w:tcW w:w="4624" w:type="dxa"/>
                  <w:noWrap w:val="0"/>
                  <w:vAlign w:val="center"/>
                </w:tcPr>
                <w:p>
                  <w:pPr>
                    <w:rPr>
                      <w:rFonts w:hint="default" w:eastAsia="宋体"/>
                      <w:color w:val="auto"/>
                      <w:sz w:val="21"/>
                      <w:szCs w:val="21"/>
                      <w:lang w:val="en-US" w:eastAsia="zh-CN"/>
                    </w:rPr>
                  </w:pPr>
                  <w:r>
                    <w:rPr>
                      <w:rFonts w:hint="eastAsia"/>
                      <w:color w:val="auto"/>
                      <w:sz w:val="21"/>
                      <w:szCs w:val="21"/>
                      <w:lang w:val="en-US" w:eastAsia="zh-CN"/>
                    </w:rPr>
                    <w:t>本项目废气处理过程中会产生废活性炭及废UV灯管，环评要求按规范建设危险废物暂存间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pPr>
                    <w:rPr>
                      <w:rFonts w:hint="eastAsia" w:eastAsia="宋体"/>
                      <w:color w:val="auto"/>
                      <w:sz w:val="21"/>
                      <w:szCs w:val="21"/>
                      <w:lang w:val="en-US" w:eastAsia="zh-CN"/>
                    </w:rPr>
                  </w:pPr>
                  <w:r>
                    <w:rPr>
                      <w:rFonts w:hint="eastAsia" w:eastAsia="宋体"/>
                      <w:color w:val="auto"/>
                      <w:sz w:val="21"/>
                      <w:szCs w:val="21"/>
                      <w:lang w:val="en-US" w:eastAsia="zh-CN"/>
                    </w:rPr>
                    <w:t>3</w:t>
                  </w:r>
                </w:p>
              </w:tc>
              <w:tc>
                <w:tcPr>
                  <w:tcW w:w="2672" w:type="dxa"/>
                  <w:noWrap w:val="0"/>
                  <w:vAlign w:val="center"/>
                </w:tcPr>
                <w:p>
                  <w:pPr>
                    <w:rPr>
                      <w:rFonts w:hint="default" w:eastAsia="宋体"/>
                      <w:color w:val="auto"/>
                      <w:sz w:val="21"/>
                      <w:szCs w:val="21"/>
                      <w:lang w:val="en-US" w:eastAsia="zh-CN"/>
                    </w:rPr>
                  </w:pPr>
                  <w:r>
                    <w:rPr>
                      <w:rFonts w:hint="eastAsia" w:eastAsia="宋体"/>
                      <w:color w:val="auto"/>
                      <w:sz w:val="21"/>
                      <w:szCs w:val="21"/>
                      <w:lang w:val="en-US" w:eastAsia="zh-CN"/>
                    </w:rPr>
                    <w:t>其他</w:t>
                  </w:r>
                </w:p>
              </w:tc>
              <w:tc>
                <w:tcPr>
                  <w:tcW w:w="4624" w:type="dxa"/>
                  <w:noWrap w:val="0"/>
                  <w:vAlign w:val="center"/>
                </w:tcPr>
                <w:p>
                  <w:pPr>
                    <w:rPr>
                      <w:rFonts w:hint="default" w:eastAsia="宋体"/>
                      <w:color w:val="auto"/>
                      <w:sz w:val="21"/>
                      <w:szCs w:val="21"/>
                      <w:lang w:val="en-US" w:eastAsia="zh-CN"/>
                    </w:rPr>
                  </w:pPr>
                  <w:r>
                    <w:rPr>
                      <w:rFonts w:hint="eastAsia" w:eastAsia="宋体"/>
                      <w:color w:val="auto"/>
                      <w:sz w:val="21"/>
                      <w:szCs w:val="21"/>
                      <w:lang w:val="en-US" w:eastAsia="zh-CN"/>
                    </w:rPr>
                    <w:t>本项目原料及产品易燃，存在一定的环境风险，环评要求完善风险防范措施</w:t>
                  </w:r>
                </w:p>
              </w:tc>
            </w:tr>
          </w:tbl>
          <w:p>
            <w:pPr>
              <w:pStyle w:val="28"/>
              <w:snapToGrid w:val="0"/>
              <w:spacing w:line="360" w:lineRule="auto"/>
              <w:ind w:firstLine="480" w:firstLineChars="200"/>
              <w:rPr>
                <w:rFonts w:hint="default" w:eastAsia="宋体"/>
                <w:color w:val="auto"/>
                <w:szCs w:val="24"/>
                <w:lang w:val="en-US" w:eastAsia="zh-CN"/>
              </w:rPr>
            </w:pPr>
          </w:p>
          <w:p>
            <w:pPr>
              <w:pStyle w:val="28"/>
              <w:snapToGrid w:val="0"/>
              <w:spacing w:line="360" w:lineRule="auto"/>
              <w:ind w:firstLine="480" w:firstLineChars="200"/>
              <w:rPr>
                <w:color w:val="auto"/>
                <w:szCs w:val="24"/>
              </w:rPr>
            </w:pPr>
          </w:p>
          <w:p>
            <w:pPr>
              <w:pStyle w:val="28"/>
              <w:snapToGrid w:val="0"/>
              <w:spacing w:line="360" w:lineRule="auto"/>
              <w:ind w:firstLine="480" w:firstLineChars="200"/>
              <w:rPr>
                <w:color w:val="auto"/>
                <w:szCs w:val="24"/>
              </w:rPr>
            </w:pPr>
          </w:p>
          <w:p>
            <w:pPr>
              <w:adjustRightInd w:val="0"/>
              <w:snapToGrid w:val="0"/>
              <w:rPr>
                <w:bCs/>
                <w:color w:val="auto"/>
                <w:szCs w:val="21"/>
              </w:rPr>
            </w:pPr>
          </w:p>
        </w:tc>
      </w:tr>
    </w:tbl>
    <w:p>
      <w:pPr>
        <w:pStyle w:val="24"/>
        <w:jc w:val="center"/>
        <w:rPr>
          <w:rFonts w:ascii="Times New Roman" w:hAnsi="Times New Roman" w:eastAsia="黑体"/>
          <w:snapToGrid w:val="0"/>
          <w:color w:val="auto"/>
          <w:sz w:val="36"/>
          <w:szCs w:val="36"/>
        </w:rPr>
        <w:sectPr>
          <w:pgSz w:w="11906" w:h="16838"/>
          <w:pgMar w:top="1701" w:right="1531" w:bottom="1701" w:left="1531" w:header="851" w:footer="851" w:gutter="0"/>
          <w:cols w:space="720" w:num="1"/>
          <w:docGrid w:linePitch="312" w:charSpace="0"/>
        </w:sectPr>
      </w:pPr>
    </w:p>
    <w:p>
      <w:pPr>
        <w:pStyle w:val="24"/>
        <w:adjustRightInd w:val="0"/>
        <w:snapToGrid w:val="0"/>
        <w:spacing w:before="0" w:beforeAutospacing="0" w:after="0" w:afterAutospacing="0" w:line="14" w:lineRule="auto"/>
        <w:jc w:val="center"/>
        <w:outlineLvl w:val="0"/>
        <w:rPr>
          <w:rFonts w:ascii="Times New Roman" w:hAnsi="Times New Roman" w:eastAsia="黑体"/>
          <w:snapToGrid w:val="0"/>
          <w:color w:val="auto"/>
          <w:sz w:val="30"/>
          <w:szCs w:val="30"/>
        </w:rPr>
      </w:pPr>
    </w:p>
    <w:p>
      <w:pPr>
        <w:pStyle w:val="3"/>
        <w:rPr>
          <w:color w:val="auto"/>
        </w:rPr>
      </w:pPr>
      <w:bookmarkStart w:id="9" w:name="_Toc73483522"/>
      <w:r>
        <w:rPr>
          <w:color w:val="auto"/>
        </w:rPr>
        <w:t>三、区域环境质量现状、环境保护目标及评价标准</w:t>
      </w:r>
      <w:bookmarkEnd w:id="9"/>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vAlign w:val="center"/>
          </w:tcPr>
          <w:p>
            <w:pPr>
              <w:adjustRightInd w:val="0"/>
              <w:snapToGrid w:val="0"/>
              <w:jc w:val="center"/>
              <w:rPr>
                <w:color w:val="auto"/>
                <w:kern w:val="0"/>
                <w:szCs w:val="21"/>
              </w:rPr>
            </w:pPr>
            <w:r>
              <w:rPr>
                <w:color w:val="auto"/>
                <w:kern w:val="0"/>
                <w:szCs w:val="21"/>
              </w:rPr>
              <w:t>区域</w:t>
            </w:r>
          </w:p>
          <w:p>
            <w:pPr>
              <w:adjustRightInd w:val="0"/>
              <w:snapToGrid w:val="0"/>
              <w:jc w:val="center"/>
              <w:rPr>
                <w:color w:val="auto"/>
                <w:kern w:val="0"/>
                <w:szCs w:val="21"/>
              </w:rPr>
            </w:pPr>
            <w:r>
              <w:rPr>
                <w:color w:val="auto"/>
                <w:kern w:val="0"/>
                <w:szCs w:val="21"/>
              </w:rPr>
              <w:t>环境</w:t>
            </w:r>
          </w:p>
          <w:p>
            <w:pPr>
              <w:adjustRightInd w:val="0"/>
              <w:snapToGrid w:val="0"/>
              <w:jc w:val="center"/>
              <w:rPr>
                <w:color w:val="auto"/>
                <w:kern w:val="0"/>
                <w:szCs w:val="21"/>
              </w:rPr>
            </w:pPr>
            <w:r>
              <w:rPr>
                <w:color w:val="auto"/>
                <w:kern w:val="0"/>
                <w:szCs w:val="21"/>
              </w:rPr>
              <w:t>质量</w:t>
            </w:r>
          </w:p>
          <w:p>
            <w:pPr>
              <w:adjustRightInd w:val="0"/>
              <w:snapToGrid w:val="0"/>
              <w:jc w:val="center"/>
              <w:rPr>
                <w:color w:val="auto"/>
                <w:kern w:val="0"/>
                <w:szCs w:val="21"/>
              </w:rPr>
            </w:pPr>
            <w:r>
              <w:rPr>
                <w:color w:val="auto"/>
                <w:kern w:val="0"/>
                <w:szCs w:val="21"/>
              </w:rPr>
              <w:t>现状</w:t>
            </w:r>
          </w:p>
        </w:tc>
        <w:tc>
          <w:tcPr>
            <w:tcW w:w="8190" w:type="dxa"/>
            <w:vAlign w:val="center"/>
          </w:tcPr>
          <w:p>
            <w:pPr>
              <w:spacing w:line="480" w:lineRule="exact"/>
              <w:ind w:firstLine="482" w:firstLineChars="200"/>
              <w:rPr>
                <w:b/>
                <w:color w:val="auto"/>
                <w:sz w:val="24"/>
              </w:rPr>
            </w:pPr>
            <w:r>
              <w:rPr>
                <w:b/>
                <w:color w:val="auto"/>
                <w:sz w:val="24"/>
              </w:rPr>
              <w:t>1、大气环境质量现状</w:t>
            </w:r>
          </w:p>
          <w:p>
            <w:pPr>
              <w:spacing w:line="360" w:lineRule="auto"/>
              <w:ind w:firstLine="492" w:firstLineChars="200"/>
              <w:rPr>
                <w:color w:val="auto"/>
                <w:spacing w:val="3"/>
                <w:sz w:val="24"/>
              </w:rPr>
            </w:pPr>
            <w:r>
              <w:rPr>
                <w:color w:val="auto"/>
                <w:spacing w:val="3"/>
                <w:sz w:val="24"/>
              </w:rPr>
              <w:t>本项目厂址位于</w:t>
            </w:r>
            <w:r>
              <w:rPr>
                <w:color w:val="auto"/>
                <w:sz w:val="24"/>
              </w:rPr>
              <w:t>邵阳市</w:t>
            </w:r>
            <w:r>
              <w:rPr>
                <w:rFonts w:hint="eastAsia"/>
                <w:color w:val="auto"/>
                <w:sz w:val="24"/>
                <w:lang w:eastAsia="zh-CN"/>
              </w:rPr>
              <w:t>邵东市牛马司镇湾泥乡工农村01栋</w:t>
            </w:r>
            <w:r>
              <w:rPr>
                <w:rFonts w:hint="eastAsia"/>
                <w:color w:val="auto"/>
                <w:spacing w:val="3"/>
                <w:sz w:val="24"/>
              </w:rPr>
              <w:t>。</w:t>
            </w:r>
          </w:p>
          <w:p>
            <w:pPr>
              <w:spacing w:line="360" w:lineRule="auto"/>
              <w:ind w:firstLine="480" w:firstLineChars="200"/>
              <w:rPr>
                <w:color w:val="auto"/>
                <w:sz w:val="24"/>
              </w:rPr>
            </w:pPr>
            <w:r>
              <w:rPr>
                <w:color w:val="auto"/>
                <w:sz w:val="24"/>
              </w:rPr>
              <w:t>根据《环境影响评价技术导则 大气环境》（HJ2.2-2018）第6.2.1.1条规定：项目所在区域达标判定，优先采用国家或地方生态环境主管部门公开发布的评价基准年环境质量公告或环境质量报告中的数据或结论，并能满足项目评价要求的，可不再进行现状监测。因此，本项目大气环境质量现状数据引用了位于邵东市的常规监测点2020年1月~2020年12月的监测数据，监测点位于邵东市兴和大道的空气质量自动监测点（北纬27.173565°、东经111.718413°）。检测因子为SO</w:t>
            </w:r>
            <w:r>
              <w:rPr>
                <w:color w:val="auto"/>
                <w:sz w:val="24"/>
                <w:vertAlign w:val="subscript"/>
              </w:rPr>
              <w:t>2</w:t>
            </w:r>
            <w:r>
              <w:rPr>
                <w:color w:val="auto"/>
                <w:sz w:val="24"/>
              </w:rPr>
              <w:t>、NO</w:t>
            </w:r>
            <w:r>
              <w:rPr>
                <w:color w:val="auto"/>
                <w:sz w:val="24"/>
                <w:vertAlign w:val="subscript"/>
              </w:rPr>
              <w:t>2</w:t>
            </w:r>
            <w:r>
              <w:rPr>
                <w:color w:val="auto"/>
                <w:sz w:val="24"/>
              </w:rPr>
              <w:t>、PM</w:t>
            </w:r>
            <w:r>
              <w:rPr>
                <w:color w:val="auto"/>
                <w:sz w:val="24"/>
                <w:vertAlign w:val="subscript"/>
              </w:rPr>
              <w:t>10</w:t>
            </w:r>
            <w:r>
              <w:rPr>
                <w:color w:val="auto"/>
                <w:sz w:val="24"/>
              </w:rPr>
              <w:t>、PM</w:t>
            </w:r>
            <w:r>
              <w:rPr>
                <w:color w:val="auto"/>
                <w:sz w:val="24"/>
                <w:vertAlign w:val="subscript"/>
              </w:rPr>
              <w:t>2.5</w:t>
            </w:r>
            <w:r>
              <w:rPr>
                <w:color w:val="auto"/>
                <w:sz w:val="24"/>
              </w:rPr>
              <w:t>、CO、O</w:t>
            </w:r>
            <w:r>
              <w:rPr>
                <w:color w:val="auto"/>
                <w:sz w:val="24"/>
                <w:vertAlign w:val="subscript"/>
              </w:rPr>
              <w:t>3</w:t>
            </w:r>
            <w:r>
              <w:rPr>
                <w:color w:val="auto"/>
                <w:sz w:val="24"/>
              </w:rPr>
              <w:t>（日最大8小时平均值）。环境空气质量监测结果详见表3-1。</w:t>
            </w:r>
          </w:p>
          <w:p>
            <w:pPr>
              <w:snapToGrid w:val="0"/>
              <w:spacing w:before="120" w:beforeLines="50"/>
              <w:ind w:firstLine="422" w:firstLineChars="200"/>
              <w:jc w:val="center"/>
              <w:rPr>
                <w:b/>
                <w:color w:val="auto"/>
                <w:szCs w:val="21"/>
              </w:rPr>
            </w:pPr>
            <w:r>
              <w:rPr>
                <w:b/>
                <w:color w:val="auto"/>
                <w:szCs w:val="21"/>
              </w:rPr>
              <w:t xml:space="preserve">表3-1 环境空气质量现状和评价结果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1373"/>
              <w:gridCol w:w="1374"/>
              <w:gridCol w:w="1374"/>
              <w:gridCol w:w="1374"/>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73"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污染物</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年评价指标</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现状浓度</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标准值</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b w:val="0"/>
                      <w:color w:val="auto"/>
                    </w:rPr>
                  </w:pPr>
                  <w:r>
                    <w:rPr>
                      <w:rStyle w:val="52"/>
                      <w:rFonts w:cs="Times New Roman"/>
                      <w:b w:val="0"/>
                      <w:color w:val="auto"/>
                    </w:rPr>
                    <w:t>占标率（%）</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73"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Fonts w:cs="Times New Roman"/>
                      <w:b w:val="0"/>
                      <w:bCs/>
                      <w:color w:val="auto"/>
                      <w:kern w:val="2"/>
                    </w:rPr>
                    <w:t>PM</w:t>
                  </w:r>
                  <w:r>
                    <w:rPr>
                      <w:rFonts w:cs="Times New Roman"/>
                      <w:b w:val="0"/>
                      <w:bCs/>
                      <w:color w:val="auto"/>
                      <w:kern w:val="2"/>
                      <w:vertAlign w:val="subscript"/>
                    </w:rPr>
                    <w:t>2.5</w:t>
                  </w:r>
                </w:p>
              </w:tc>
              <w:tc>
                <w:tcPr>
                  <w:tcW w:w="1373" w:type="dxa"/>
                  <w:vMerge w:val="restart"/>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年平均质量浓度</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Fonts w:cs="Times New Roman"/>
                      <w:b w:val="0"/>
                      <w:color w:val="auto"/>
                      <w:kern w:val="2"/>
                    </w:rPr>
                    <w:t>34.0µg/m</w:t>
                  </w:r>
                  <w:r>
                    <w:rPr>
                      <w:rFonts w:cs="Times New Roman"/>
                      <w:b w:val="0"/>
                      <w:color w:val="auto"/>
                      <w:kern w:val="2"/>
                      <w:vertAlign w:val="superscript"/>
                    </w:rPr>
                    <w:t>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35</w:t>
                  </w:r>
                  <w:r>
                    <w:rPr>
                      <w:rFonts w:cs="Times New Roman"/>
                      <w:b w:val="0"/>
                      <w:color w:val="auto"/>
                      <w:kern w:val="2"/>
                    </w:rPr>
                    <w:t>µg/m</w:t>
                  </w:r>
                  <w:r>
                    <w:rPr>
                      <w:rFonts w:cs="Times New Roman"/>
                      <w:b w:val="0"/>
                      <w:color w:val="auto"/>
                      <w:kern w:val="2"/>
                      <w:vertAlign w:val="superscript"/>
                    </w:rPr>
                    <w:t>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b w:val="0"/>
                      <w:color w:val="auto"/>
                    </w:rPr>
                  </w:pPr>
                  <w:r>
                    <w:rPr>
                      <w:rStyle w:val="52"/>
                      <w:rFonts w:cs="Times New Roman"/>
                      <w:b w:val="0"/>
                      <w:color w:val="auto"/>
                    </w:rPr>
                    <w:t xml:space="preserve">97.1 </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Fonts w:cs="Times New Roman"/>
                      <w:b w:val="0"/>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73"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Fonts w:cs="Times New Roman"/>
                      <w:b w:val="0"/>
                      <w:bCs/>
                      <w:color w:val="auto"/>
                      <w:kern w:val="2"/>
                    </w:rPr>
                    <w:t>PM</w:t>
                  </w:r>
                  <w:r>
                    <w:rPr>
                      <w:rFonts w:cs="Times New Roman"/>
                      <w:b w:val="0"/>
                      <w:bCs/>
                      <w:color w:val="auto"/>
                      <w:kern w:val="2"/>
                      <w:vertAlign w:val="subscript"/>
                    </w:rPr>
                    <w:t>10</w:t>
                  </w:r>
                </w:p>
              </w:tc>
              <w:tc>
                <w:tcPr>
                  <w:tcW w:w="13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47.7</w:t>
                  </w:r>
                  <w:r>
                    <w:rPr>
                      <w:rFonts w:cs="Times New Roman"/>
                      <w:b w:val="0"/>
                      <w:color w:val="auto"/>
                      <w:kern w:val="2"/>
                    </w:rPr>
                    <w:t>µg/m</w:t>
                  </w:r>
                  <w:r>
                    <w:rPr>
                      <w:rFonts w:cs="Times New Roman"/>
                      <w:b w:val="0"/>
                      <w:color w:val="auto"/>
                      <w:kern w:val="2"/>
                      <w:vertAlign w:val="superscript"/>
                    </w:rPr>
                    <w:t>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70</w:t>
                  </w:r>
                  <w:r>
                    <w:rPr>
                      <w:rFonts w:cs="Times New Roman"/>
                      <w:b w:val="0"/>
                      <w:color w:val="auto"/>
                      <w:kern w:val="2"/>
                    </w:rPr>
                    <w:t>µg/m</w:t>
                  </w:r>
                  <w:r>
                    <w:rPr>
                      <w:rFonts w:cs="Times New Roman"/>
                      <w:b w:val="0"/>
                      <w:color w:val="auto"/>
                      <w:kern w:val="2"/>
                      <w:vertAlign w:val="superscript"/>
                    </w:rPr>
                    <w:t>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b w:val="0"/>
                      <w:color w:val="auto"/>
                    </w:rPr>
                  </w:pPr>
                  <w:r>
                    <w:rPr>
                      <w:rStyle w:val="52"/>
                      <w:rFonts w:cs="Times New Roman"/>
                      <w:b w:val="0"/>
                      <w:color w:val="auto"/>
                    </w:rPr>
                    <w:t xml:space="preserve">68.1 </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73"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Fonts w:cs="Times New Roman"/>
                      <w:b w:val="0"/>
                      <w:bCs/>
                      <w:color w:val="auto"/>
                      <w:kern w:val="2"/>
                    </w:rPr>
                    <w:t>SO</w:t>
                  </w:r>
                  <w:r>
                    <w:rPr>
                      <w:rFonts w:cs="Times New Roman"/>
                      <w:b w:val="0"/>
                      <w:bCs/>
                      <w:color w:val="auto"/>
                      <w:kern w:val="2"/>
                      <w:vertAlign w:val="subscript"/>
                    </w:rPr>
                    <w:t>2</w:t>
                  </w:r>
                </w:p>
              </w:tc>
              <w:tc>
                <w:tcPr>
                  <w:tcW w:w="13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12.8</w:t>
                  </w:r>
                  <w:r>
                    <w:rPr>
                      <w:rFonts w:cs="Times New Roman"/>
                      <w:b w:val="0"/>
                      <w:color w:val="auto"/>
                      <w:kern w:val="2"/>
                    </w:rPr>
                    <w:t>µg/m</w:t>
                  </w:r>
                  <w:r>
                    <w:rPr>
                      <w:rFonts w:cs="Times New Roman"/>
                      <w:b w:val="0"/>
                      <w:color w:val="auto"/>
                      <w:kern w:val="2"/>
                      <w:vertAlign w:val="superscript"/>
                    </w:rPr>
                    <w:t>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60</w:t>
                  </w:r>
                  <w:r>
                    <w:rPr>
                      <w:rFonts w:cs="Times New Roman"/>
                      <w:b w:val="0"/>
                      <w:color w:val="auto"/>
                      <w:kern w:val="2"/>
                    </w:rPr>
                    <w:t>µg/m</w:t>
                  </w:r>
                  <w:r>
                    <w:rPr>
                      <w:rFonts w:cs="Times New Roman"/>
                      <w:b w:val="0"/>
                      <w:color w:val="auto"/>
                      <w:kern w:val="2"/>
                      <w:vertAlign w:val="superscript"/>
                    </w:rPr>
                    <w:t>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b w:val="0"/>
                      <w:color w:val="auto"/>
                    </w:rPr>
                  </w:pPr>
                  <w:r>
                    <w:rPr>
                      <w:rStyle w:val="52"/>
                      <w:rFonts w:cs="Times New Roman"/>
                      <w:b w:val="0"/>
                      <w:color w:val="auto"/>
                    </w:rPr>
                    <w:t xml:space="preserve">21.3 </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73"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Fonts w:cs="Times New Roman"/>
                      <w:b w:val="0"/>
                      <w:bCs/>
                      <w:color w:val="auto"/>
                      <w:kern w:val="2"/>
                    </w:rPr>
                    <w:t>NO</w:t>
                  </w:r>
                  <w:r>
                    <w:rPr>
                      <w:rFonts w:cs="Times New Roman"/>
                      <w:b w:val="0"/>
                      <w:bCs/>
                      <w:color w:val="auto"/>
                      <w:kern w:val="2"/>
                      <w:vertAlign w:val="subscript"/>
                    </w:rPr>
                    <w:t>2</w:t>
                  </w:r>
                </w:p>
              </w:tc>
              <w:tc>
                <w:tcPr>
                  <w:tcW w:w="13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18.3</w:t>
                  </w:r>
                  <w:r>
                    <w:rPr>
                      <w:rFonts w:cs="Times New Roman"/>
                      <w:b w:val="0"/>
                      <w:color w:val="auto"/>
                      <w:kern w:val="2"/>
                    </w:rPr>
                    <w:t>µg/m</w:t>
                  </w:r>
                  <w:r>
                    <w:rPr>
                      <w:rFonts w:cs="Times New Roman"/>
                      <w:b w:val="0"/>
                      <w:color w:val="auto"/>
                      <w:kern w:val="2"/>
                      <w:vertAlign w:val="superscript"/>
                    </w:rPr>
                    <w:t>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40</w:t>
                  </w:r>
                  <w:r>
                    <w:rPr>
                      <w:rFonts w:cs="Times New Roman"/>
                      <w:b w:val="0"/>
                      <w:color w:val="auto"/>
                      <w:kern w:val="2"/>
                    </w:rPr>
                    <w:t>µg/m</w:t>
                  </w:r>
                  <w:r>
                    <w:rPr>
                      <w:rFonts w:cs="Times New Roman"/>
                      <w:b w:val="0"/>
                      <w:color w:val="auto"/>
                      <w:kern w:val="2"/>
                      <w:vertAlign w:val="superscript"/>
                    </w:rPr>
                    <w:t>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b w:val="0"/>
                      <w:color w:val="auto"/>
                    </w:rPr>
                  </w:pPr>
                  <w:r>
                    <w:rPr>
                      <w:rStyle w:val="52"/>
                      <w:rFonts w:cs="Times New Roman"/>
                      <w:b w:val="0"/>
                      <w:color w:val="auto"/>
                    </w:rPr>
                    <w:t xml:space="preserve">45.8 </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73"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Fonts w:cs="Times New Roman"/>
                      <w:b w:val="0"/>
                      <w:bCs/>
                      <w:color w:val="auto"/>
                      <w:kern w:val="2"/>
                    </w:rPr>
                    <w:t>CO</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日均值</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0.8</w:t>
                  </w:r>
                  <w:r>
                    <w:rPr>
                      <w:rFonts w:cs="Times New Roman"/>
                      <w:b w:val="0"/>
                      <w:color w:val="auto"/>
                      <w:kern w:val="2"/>
                    </w:rPr>
                    <w:t>mg/m</w:t>
                  </w:r>
                  <w:r>
                    <w:rPr>
                      <w:rFonts w:cs="Times New Roman"/>
                      <w:b w:val="0"/>
                      <w:color w:val="auto"/>
                      <w:kern w:val="2"/>
                      <w:vertAlign w:val="superscript"/>
                    </w:rPr>
                    <w:t>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4</w:t>
                  </w:r>
                  <w:r>
                    <w:rPr>
                      <w:rFonts w:cs="Times New Roman"/>
                      <w:b w:val="0"/>
                      <w:color w:val="auto"/>
                      <w:kern w:val="2"/>
                    </w:rPr>
                    <w:t>mg/m</w:t>
                  </w:r>
                  <w:r>
                    <w:rPr>
                      <w:rFonts w:cs="Times New Roman"/>
                      <w:b w:val="0"/>
                      <w:color w:val="auto"/>
                      <w:kern w:val="2"/>
                      <w:vertAlign w:val="superscript"/>
                    </w:rPr>
                    <w:t>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b w:val="0"/>
                      <w:color w:val="auto"/>
                    </w:rPr>
                  </w:pPr>
                  <w:r>
                    <w:rPr>
                      <w:rStyle w:val="52"/>
                      <w:rFonts w:cs="Times New Roman"/>
                      <w:b w:val="0"/>
                      <w:color w:val="auto"/>
                    </w:rPr>
                    <w:t xml:space="preserve">20.0 </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73"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Fonts w:cs="Times New Roman"/>
                      <w:b w:val="0"/>
                      <w:bCs/>
                      <w:color w:val="auto"/>
                      <w:kern w:val="2"/>
                    </w:rPr>
                    <w:t>O</w:t>
                  </w:r>
                  <w:r>
                    <w:rPr>
                      <w:rFonts w:cs="Times New Roman"/>
                      <w:b w:val="0"/>
                      <w:bCs/>
                      <w:color w:val="auto"/>
                      <w:kern w:val="2"/>
                      <w:sz w:val="14"/>
                    </w:rPr>
                    <w:t>3</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0"/>
                    </w:rPr>
                  </w:pPr>
                  <w:r>
                    <w:rPr>
                      <w:color w:val="auto"/>
                      <w:sz w:val="20"/>
                    </w:rPr>
                    <w:t>日最大8小时平均值</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71.8</w:t>
                  </w:r>
                  <w:r>
                    <w:rPr>
                      <w:rFonts w:cs="Times New Roman"/>
                      <w:b w:val="0"/>
                      <w:color w:val="auto"/>
                      <w:kern w:val="2"/>
                    </w:rPr>
                    <w:t>mg/m</w:t>
                  </w:r>
                  <w:r>
                    <w:rPr>
                      <w:rFonts w:cs="Times New Roman"/>
                      <w:b w:val="0"/>
                      <w:color w:val="auto"/>
                      <w:kern w:val="2"/>
                      <w:vertAlign w:val="superscript"/>
                    </w:rPr>
                    <w:t>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160</w:t>
                  </w:r>
                  <w:r>
                    <w:rPr>
                      <w:rFonts w:cs="Times New Roman"/>
                      <w:b w:val="0"/>
                      <w:color w:val="auto"/>
                      <w:kern w:val="2"/>
                    </w:rPr>
                    <w:t>mg/m</w:t>
                  </w:r>
                  <w:r>
                    <w:rPr>
                      <w:rFonts w:cs="Times New Roman"/>
                      <w:b w:val="0"/>
                      <w:color w:val="auto"/>
                      <w:kern w:val="2"/>
                      <w:vertAlign w:val="superscript"/>
                    </w:rPr>
                    <w:t>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b w:val="0"/>
                      <w:color w:val="auto"/>
                    </w:rPr>
                  </w:pPr>
                  <w:r>
                    <w:rPr>
                      <w:rStyle w:val="52"/>
                      <w:rFonts w:cs="Times New Roman"/>
                      <w:b w:val="0"/>
                      <w:color w:val="auto"/>
                    </w:rPr>
                    <w:t xml:space="preserve">44.9 </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color w:val="auto"/>
                      <w:szCs w:val="21"/>
                    </w:rPr>
                    <w:t>达标</w:t>
                  </w:r>
                </w:p>
              </w:tc>
            </w:tr>
          </w:tbl>
          <w:p>
            <w:pPr>
              <w:widowControl/>
              <w:spacing w:line="360" w:lineRule="auto"/>
              <w:ind w:firstLine="480" w:firstLineChars="200"/>
              <w:rPr>
                <w:color w:val="auto"/>
                <w:sz w:val="24"/>
              </w:rPr>
            </w:pPr>
            <w:r>
              <w:rPr>
                <w:color w:val="auto"/>
                <w:sz w:val="24"/>
              </w:rPr>
              <w:t>根据统计数据结果可知，邵东市2020年1月~2020年12月二氧化硫、二氧化氮和PM</w:t>
            </w:r>
            <w:r>
              <w:rPr>
                <w:color w:val="auto"/>
                <w:sz w:val="24"/>
                <w:vertAlign w:val="subscript"/>
              </w:rPr>
              <w:t>10</w:t>
            </w:r>
            <w:r>
              <w:rPr>
                <w:color w:val="auto"/>
                <w:sz w:val="24"/>
              </w:rPr>
              <w:t>、PM</w:t>
            </w:r>
            <w:r>
              <w:rPr>
                <w:color w:val="auto"/>
                <w:sz w:val="24"/>
                <w:vertAlign w:val="subscript"/>
              </w:rPr>
              <w:t>2.5</w:t>
            </w:r>
            <w:r>
              <w:rPr>
                <w:color w:val="auto"/>
                <w:sz w:val="24"/>
              </w:rPr>
              <w:t>均达到《环境空气质量标准》（GB3095-2012）二级标准年平均浓度限值，一氧化碳达到《环境空气质量标准》（GB3095-2012）二级标准日平均浓度限值，臭氧达到《环境空气质量标准》（GB3095-2012）二级标准日最大8小时</w:t>
            </w:r>
            <w:r>
              <w:rPr>
                <w:rFonts w:hint="eastAsia"/>
                <w:color w:val="auto"/>
                <w:sz w:val="24"/>
              </w:rPr>
              <w:t>浓度</w:t>
            </w:r>
            <w:r>
              <w:rPr>
                <w:color w:val="auto"/>
                <w:sz w:val="24"/>
              </w:rPr>
              <w:t>平均值限值。</w:t>
            </w:r>
          </w:p>
          <w:p>
            <w:pPr>
              <w:spacing w:line="360" w:lineRule="auto"/>
              <w:ind w:firstLine="480" w:firstLineChars="200"/>
              <w:rPr>
                <w:rFonts w:cs="宋体"/>
                <w:color w:val="auto"/>
                <w:sz w:val="24"/>
              </w:rPr>
            </w:pPr>
            <w:r>
              <w:rPr>
                <w:rFonts w:hint="eastAsia" w:cs="宋体"/>
                <w:color w:val="auto"/>
                <w:sz w:val="24"/>
              </w:rPr>
              <w:t>为了解项目所在的</w:t>
            </w:r>
            <w:r>
              <w:rPr>
                <w:rFonts w:hint="eastAsia" w:cs="宋体"/>
                <w:color w:val="auto"/>
                <w:sz w:val="24"/>
                <w:lang w:eastAsia="zh-CN"/>
              </w:rPr>
              <w:t>特征污染物</w:t>
            </w:r>
            <w:r>
              <w:rPr>
                <w:rFonts w:hint="eastAsia" w:cs="宋体"/>
                <w:color w:val="auto"/>
                <w:sz w:val="24"/>
              </w:rPr>
              <w:t>大气环境质量现状，建设单位特委托湖南中额环保科技有限公司对项目所在地进行一次监测。</w:t>
            </w:r>
          </w:p>
          <w:p>
            <w:pPr>
              <w:spacing w:line="360" w:lineRule="auto"/>
              <w:ind w:firstLine="480" w:firstLineChars="200"/>
              <w:rPr>
                <w:rFonts w:cs="宋体"/>
                <w:color w:val="auto"/>
                <w:sz w:val="24"/>
              </w:rPr>
            </w:pPr>
            <w:r>
              <w:rPr>
                <w:rFonts w:hint="eastAsia" w:cs="宋体"/>
                <w:color w:val="auto"/>
                <w:sz w:val="24"/>
              </w:rPr>
              <w:t>（1）大气环境监测布点：在项目所在地下风向设置一个监测点；</w:t>
            </w:r>
          </w:p>
          <w:p>
            <w:pPr>
              <w:spacing w:line="360" w:lineRule="auto"/>
              <w:ind w:firstLine="480" w:firstLineChars="200"/>
              <w:rPr>
                <w:rFonts w:cs="宋体"/>
                <w:color w:val="auto"/>
                <w:sz w:val="24"/>
              </w:rPr>
            </w:pPr>
            <w:r>
              <w:rPr>
                <w:rFonts w:hint="eastAsia" w:cs="宋体"/>
                <w:color w:val="auto"/>
                <w:sz w:val="24"/>
              </w:rPr>
              <w:t>（2）监测项目：</w:t>
            </w:r>
            <w:r>
              <w:rPr>
                <w:rFonts w:hint="eastAsia"/>
                <w:color w:val="auto"/>
                <w:sz w:val="24"/>
                <w:lang w:val="en-US" w:eastAsia="zh-CN"/>
              </w:rPr>
              <w:t>NMHC</w:t>
            </w:r>
            <w:r>
              <w:rPr>
                <w:rFonts w:hint="eastAsia" w:cs="宋体"/>
                <w:color w:val="auto"/>
                <w:sz w:val="24"/>
              </w:rPr>
              <w:t>；</w:t>
            </w:r>
          </w:p>
          <w:p>
            <w:pPr>
              <w:spacing w:line="360" w:lineRule="auto"/>
              <w:ind w:firstLine="480" w:firstLineChars="200"/>
              <w:rPr>
                <w:rFonts w:cs="宋体"/>
                <w:color w:val="auto"/>
                <w:sz w:val="24"/>
              </w:rPr>
            </w:pPr>
            <w:r>
              <w:rPr>
                <w:rFonts w:hint="eastAsia" w:cs="宋体"/>
                <w:color w:val="auto"/>
                <w:sz w:val="24"/>
              </w:rPr>
              <w:t>（3）监测时间及频次：2021年</w:t>
            </w:r>
            <w:r>
              <w:rPr>
                <w:rFonts w:hint="eastAsia" w:cs="宋体"/>
                <w:color w:val="auto"/>
                <w:sz w:val="24"/>
                <w:lang w:val="en-US" w:eastAsia="zh-CN"/>
              </w:rPr>
              <w:t>6月21日</w:t>
            </w:r>
            <w:r>
              <w:rPr>
                <w:rFonts w:hint="eastAsia" w:cs="宋体"/>
                <w:color w:val="auto"/>
                <w:sz w:val="24"/>
              </w:rPr>
              <w:t>至2021年</w:t>
            </w:r>
            <w:r>
              <w:rPr>
                <w:rFonts w:hint="eastAsia" w:cs="宋体"/>
                <w:color w:val="auto"/>
                <w:sz w:val="24"/>
                <w:lang w:val="en-US" w:eastAsia="zh-CN"/>
              </w:rPr>
              <w:t>6月23日</w:t>
            </w:r>
            <w:r>
              <w:rPr>
                <w:rFonts w:hint="eastAsia" w:cs="宋体"/>
                <w:color w:val="auto"/>
                <w:sz w:val="24"/>
              </w:rPr>
              <w:t>，每天对下风向监测点进行4次监测。</w:t>
            </w:r>
          </w:p>
          <w:p>
            <w:pPr>
              <w:spacing w:line="360" w:lineRule="auto"/>
              <w:ind w:firstLine="480" w:firstLineChars="200"/>
              <w:rPr>
                <w:color w:val="auto"/>
                <w:sz w:val="24"/>
              </w:rPr>
            </w:pPr>
            <w:r>
              <w:rPr>
                <w:rFonts w:hint="eastAsia" w:cs="宋体"/>
                <w:color w:val="auto"/>
                <w:sz w:val="24"/>
              </w:rPr>
              <w:t>（4）监测结果：大气环境现状监测统计与评价结果详见下表，监测点位选取详见附图</w:t>
            </w:r>
            <w:r>
              <w:rPr>
                <w:rFonts w:cs="宋体"/>
                <w:color w:val="auto"/>
                <w:sz w:val="24"/>
              </w:rPr>
              <w:t>3。环境空气质量监测结果详见表</w:t>
            </w:r>
            <w:r>
              <w:rPr>
                <w:color w:val="auto"/>
                <w:sz w:val="24"/>
              </w:rPr>
              <w:t>3-</w:t>
            </w:r>
            <w:r>
              <w:rPr>
                <w:rFonts w:hint="eastAsia"/>
                <w:color w:val="auto"/>
                <w:sz w:val="24"/>
                <w:lang w:val="en-US" w:eastAsia="zh-CN"/>
              </w:rPr>
              <w:t>2</w:t>
            </w:r>
            <w:r>
              <w:rPr>
                <w:rFonts w:cs="宋体"/>
                <w:color w:val="auto"/>
                <w:sz w:val="24"/>
              </w:rPr>
              <w:t>。</w:t>
            </w:r>
          </w:p>
          <w:p>
            <w:pPr>
              <w:spacing w:line="360" w:lineRule="auto"/>
              <w:ind w:firstLine="422" w:firstLineChars="200"/>
              <w:jc w:val="center"/>
              <w:rPr>
                <w:b/>
                <w:color w:val="auto"/>
                <w:szCs w:val="21"/>
              </w:rPr>
            </w:pPr>
            <w:r>
              <w:rPr>
                <w:rFonts w:cs="宋体"/>
                <w:b/>
                <w:color w:val="auto"/>
                <w:szCs w:val="21"/>
              </w:rPr>
              <w:t>表</w:t>
            </w:r>
            <w:r>
              <w:rPr>
                <w:rFonts w:cs="Calibri"/>
                <w:b/>
                <w:color w:val="auto"/>
                <w:szCs w:val="21"/>
              </w:rPr>
              <w:t>3-</w:t>
            </w:r>
            <w:r>
              <w:rPr>
                <w:rFonts w:hint="eastAsia" w:cs="Calibri"/>
                <w:b/>
                <w:color w:val="auto"/>
                <w:szCs w:val="21"/>
                <w:lang w:val="en-US" w:eastAsia="zh-CN"/>
              </w:rPr>
              <w:t>2</w:t>
            </w:r>
            <w:r>
              <w:rPr>
                <w:rFonts w:cs="宋体"/>
                <w:b/>
                <w:color w:val="auto"/>
                <w:szCs w:val="21"/>
              </w:rPr>
              <w:t>项目建设地</w:t>
            </w:r>
            <w:r>
              <w:rPr>
                <w:rFonts w:hint="eastAsia" w:cs="宋体"/>
                <w:b/>
                <w:color w:val="auto"/>
                <w:szCs w:val="21"/>
              </w:rPr>
              <w:t>大气</w:t>
            </w:r>
            <w:r>
              <w:rPr>
                <w:rFonts w:cs="宋体"/>
                <w:b/>
                <w:color w:val="auto"/>
                <w:szCs w:val="21"/>
              </w:rPr>
              <w:t>环境监测结果表</w:t>
            </w:r>
            <w:r>
              <w:rPr>
                <w:rFonts w:hint="eastAsia" w:cs="宋体"/>
                <w:b/>
                <w:color w:val="auto"/>
                <w:szCs w:val="21"/>
              </w:rPr>
              <w:t xml:space="preserve">  </w:t>
            </w:r>
            <w:r>
              <w:rPr>
                <w:color w:val="auto"/>
              </w:rPr>
              <w:t>单位：</w:t>
            </w:r>
            <w:r>
              <w:rPr>
                <w:rFonts w:hint="eastAsia"/>
                <w:color w:val="auto"/>
              </w:rPr>
              <w:t>m</w:t>
            </w:r>
            <w:r>
              <w:rPr>
                <w:color w:val="auto"/>
              </w:rPr>
              <w:t>g/Nm</w:t>
            </w:r>
            <w:r>
              <w:rPr>
                <w:color w:val="auto"/>
                <w:vertAlign w:val="superscript"/>
              </w:rPr>
              <w:t>3</w:t>
            </w:r>
          </w:p>
          <w:tbl>
            <w:tblPr>
              <w:tblStyle w:val="29"/>
              <w:tblW w:w="7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8"/>
              <w:gridCol w:w="3664"/>
              <w:gridCol w:w="3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4833" w:type="dxa"/>
                  <w:gridSpan w:val="3"/>
                  <w:vAlign w:val="center"/>
                  <mc:AlternateContent>
                    <mc:Choice Requires="wpsCustomData">
                      <wpsCustomData:diagonals>
                        <wpsCustomData:diagonal from="10000" to="30000">
                          <wpsCustomData:border w:val="single" w:color="auto" w:sz="4" w:space="0"/>
                        </wpsCustomData:diagonal>
                      </wpsCustomData:diagonals>
                    </mc:Choice>
                  </mc:AlternateContent>
                </w:tcPr>
                <w:p>
                  <w:pPr>
                    <w:pStyle w:val="7"/>
                    <w:rPr>
                      <w:color w:val="auto"/>
                    </w:rPr>
                  </w:pPr>
                  <w:r>
                    <w:rPr>
                      <w:color w:val="auto"/>
                    </w:rPr>
                    <w:t xml:space="preserve">  </w:t>
                  </w:r>
                  <w:r>
                    <w:rPr>
                      <w:rFonts w:hint="eastAsia"/>
                      <w:color w:val="auto"/>
                    </w:rPr>
                    <w:t xml:space="preserve">     </w:t>
                  </w:r>
                </w:p>
                <w:p>
                  <w:pPr>
                    <w:pStyle w:val="7"/>
                    <w:snapToGrid w:val="0"/>
                    <w:spacing w:line="240" w:lineRule="auto"/>
                    <w:jc w:val="both"/>
                    <mc:AlternateContent>
                      <mc:Choice Requires="wpsCustomData">
                        <wpsCustomData:diagonalParaType/>
                      </mc:Choice>
                    </mc:AlternateContent>
                    <w:rPr>
                      <w:color w:val="auto"/>
                    </w:rPr>
                  </w:pPr>
                  <w:r>
                    <w:rPr>
                      <w:rFonts w:hint="eastAsia"/>
                      <w:color w:val="auto"/>
                    </w:rPr>
                    <w:t>监测点</w:t>
                  </w:r>
                </w:p>
                <w:p>
                  <w:pPr>
                    <w:pStyle w:val="7"/>
                    <w:ind w:firstLine="420" w:firstLineChars="200"/>
                    <w:jc w:val="both"/>
                    <w:rPr>
                      <w:color w:val="auto"/>
                    </w:rPr>
                  </w:pPr>
                  <w:r>
                    <w:rPr>
                      <w:rFonts w:hint="eastAsia"/>
                      <w:color w:val="auto"/>
                    </w:rPr>
                    <w:t>监测因子</w:t>
                  </w:r>
                </w:p>
              </w:tc>
              <w:tc>
                <w:tcPr>
                  <w:tcW w:w="3026" w:type="dxa"/>
                  <w:vAlign w:val="center"/>
                </w:tcPr>
                <w:p>
                  <w:pPr>
                    <w:pStyle w:val="7"/>
                    <w:jc w:val="center"/>
                    <w:rPr>
                      <w:color w:val="auto"/>
                    </w:rPr>
                  </w:pPr>
                  <w:r>
                    <w:rPr>
                      <w:rFonts w:hint="eastAsia"/>
                      <w:color w:val="auto"/>
                    </w:rPr>
                    <w:t>NMHC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169" w:type="dxa"/>
                  <w:gridSpan w:val="2"/>
                  <w:vAlign w:val="center"/>
                </w:tcPr>
                <w:p>
                  <w:pPr>
                    <w:pStyle w:val="7"/>
                    <w:rPr>
                      <w:color w:val="auto"/>
                    </w:rPr>
                  </w:pPr>
                </w:p>
              </w:tc>
              <w:tc>
                <w:tcPr>
                  <w:tcW w:w="3664" w:type="dxa"/>
                  <w:vAlign w:val="center"/>
                </w:tcPr>
                <w:p>
                  <w:pPr>
                    <w:pStyle w:val="7"/>
                    <w:rPr>
                      <w:rFonts w:hint="eastAsia"/>
                      <w:color w:val="auto"/>
                    </w:rPr>
                  </w:pPr>
                  <w:r>
                    <w:rPr>
                      <w:rFonts w:hint="eastAsia"/>
                      <w:color w:val="auto"/>
                    </w:rPr>
                    <w:t>标准值</w:t>
                  </w:r>
                </w:p>
              </w:tc>
              <w:tc>
                <w:tcPr>
                  <w:tcW w:w="3026" w:type="dxa"/>
                  <w:vAlign w:val="center"/>
                </w:tcPr>
                <w:p>
                  <w:pPr>
                    <w:pStyle w:val="7"/>
                    <w:rPr>
                      <w:rFonts w:hint="default" w:eastAsia="宋体"/>
                      <w:color w:val="auto"/>
                      <w:highlight w:val="none"/>
                      <w:lang w:val="en-US" w:eastAsia="zh-CN"/>
                    </w:rPr>
                  </w:pPr>
                  <w:r>
                    <w:rPr>
                      <w:rFonts w:hint="eastAsia"/>
                      <w:color w:val="auto"/>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1161" w:type="dxa"/>
                  <w:vMerge w:val="restart"/>
                  <w:vAlign w:val="center"/>
                </w:tcPr>
                <w:p>
                  <w:pPr>
                    <w:pStyle w:val="7"/>
                    <w:rPr>
                      <w:rFonts w:hint="eastAsia" w:eastAsia="宋体"/>
                      <w:color w:val="auto"/>
                      <w:lang w:eastAsia="zh-CN"/>
                    </w:rPr>
                  </w:pPr>
                  <w:r>
                    <w:rPr>
                      <w:rFonts w:hint="eastAsia"/>
                      <w:color w:val="auto"/>
                      <w:lang w:eastAsia="zh-CN"/>
                    </w:rPr>
                    <w:t>下风向</w:t>
                  </w:r>
                </w:p>
              </w:tc>
              <w:tc>
                <w:tcPr>
                  <w:tcW w:w="3672" w:type="dxa"/>
                  <w:gridSpan w:val="2"/>
                  <w:vAlign w:val="center"/>
                </w:tcPr>
                <w:p>
                  <w:pPr>
                    <w:pStyle w:val="7"/>
                    <w:rPr>
                      <w:color w:val="auto"/>
                    </w:rPr>
                  </w:pPr>
                  <w:r>
                    <w:rPr>
                      <w:rFonts w:hint="eastAsia"/>
                      <w:color w:val="auto"/>
                    </w:rPr>
                    <w:t>浓度范围</w:t>
                  </w:r>
                </w:p>
              </w:tc>
              <w:tc>
                <w:tcPr>
                  <w:tcW w:w="3026" w:type="dxa"/>
                  <w:vAlign w:val="center"/>
                </w:tcPr>
                <w:p>
                  <w:pPr>
                    <w:pStyle w:val="7"/>
                    <w:rPr>
                      <w:rFonts w:hint="default" w:eastAsia="宋体"/>
                      <w:color w:val="auto"/>
                      <w:highlight w:val="none"/>
                      <w:lang w:val="en-US" w:eastAsia="zh-CN"/>
                    </w:rPr>
                  </w:pPr>
                  <w:r>
                    <w:rPr>
                      <w:color w:val="auto"/>
                      <w:highlight w:val="none"/>
                    </w:rPr>
                    <w:t>0.</w:t>
                  </w:r>
                  <w:r>
                    <w:rPr>
                      <w:rFonts w:hint="eastAsia"/>
                      <w:color w:val="auto"/>
                      <w:highlight w:val="none"/>
                      <w:lang w:val="en-US" w:eastAsia="zh-CN"/>
                    </w:rPr>
                    <w:t>82</w:t>
                  </w:r>
                  <w:r>
                    <w:rPr>
                      <w:rFonts w:hint="eastAsia"/>
                      <w:color w:val="auto"/>
                      <w:highlight w:val="none"/>
                    </w:rPr>
                    <w:t>~</w:t>
                  </w:r>
                  <w:r>
                    <w:rPr>
                      <w:rFonts w:hint="eastAsia"/>
                      <w:color w:val="auto"/>
                      <w:highlight w:val="none"/>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1161" w:type="dxa"/>
                  <w:vMerge w:val="continue"/>
                  <w:vAlign w:val="center"/>
                </w:tcPr>
                <w:p>
                  <w:pPr>
                    <w:pStyle w:val="7"/>
                    <w:rPr>
                      <w:color w:val="auto"/>
                    </w:rPr>
                  </w:pPr>
                </w:p>
              </w:tc>
              <w:tc>
                <w:tcPr>
                  <w:tcW w:w="3672" w:type="dxa"/>
                  <w:gridSpan w:val="2"/>
                  <w:vAlign w:val="center"/>
                </w:tcPr>
                <w:p>
                  <w:pPr>
                    <w:pStyle w:val="7"/>
                    <w:rPr>
                      <w:rFonts w:hint="eastAsia" w:ascii="宋体" w:hAnsi="宋体" w:eastAsia="宋体"/>
                      <w:color w:val="auto"/>
                      <w:lang w:eastAsia="zh-CN"/>
                    </w:rPr>
                  </w:pPr>
                  <w:r>
                    <w:rPr>
                      <w:rFonts w:hint="eastAsia" w:ascii="宋体" w:hAnsi="宋体"/>
                      <w:color w:val="auto"/>
                      <w:lang w:eastAsia="zh-CN"/>
                    </w:rPr>
                    <w:t>平均值</w:t>
                  </w:r>
                </w:p>
              </w:tc>
              <w:tc>
                <w:tcPr>
                  <w:tcW w:w="3026" w:type="dxa"/>
                  <w:vAlign w:val="center"/>
                </w:tcPr>
                <w:p>
                  <w:pPr>
                    <w:pStyle w:val="7"/>
                    <w:rPr>
                      <w:rFonts w:hint="default"/>
                      <w:color w:val="auto"/>
                      <w:highlight w:val="none"/>
                      <w:lang w:val="en-US" w:eastAsia="zh-CN"/>
                    </w:rPr>
                  </w:pPr>
                  <w:r>
                    <w:rPr>
                      <w:rFonts w:hint="eastAsia"/>
                      <w:color w:val="auto"/>
                      <w:highlight w:val="none"/>
                      <w:lang w:val="en-US" w:eastAsia="zh-CN"/>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1161" w:type="dxa"/>
                  <w:vMerge w:val="continue"/>
                  <w:vAlign w:val="center"/>
                </w:tcPr>
                <w:p>
                  <w:pPr>
                    <w:pStyle w:val="7"/>
                    <w:rPr>
                      <w:color w:val="auto"/>
                    </w:rPr>
                  </w:pPr>
                </w:p>
              </w:tc>
              <w:tc>
                <w:tcPr>
                  <w:tcW w:w="3672" w:type="dxa"/>
                  <w:gridSpan w:val="2"/>
                  <w:vAlign w:val="center"/>
                </w:tcPr>
                <w:p>
                  <w:pPr>
                    <w:pStyle w:val="7"/>
                    <w:rPr>
                      <w:color w:val="auto"/>
                    </w:rPr>
                  </w:pPr>
                  <w:r>
                    <w:rPr>
                      <w:rFonts w:hint="eastAsia" w:ascii="宋体" w:hAnsi="宋体"/>
                      <w:color w:val="auto"/>
                    </w:rPr>
                    <w:t>最大</w:t>
                  </w:r>
                  <w:r>
                    <w:rPr>
                      <w:rFonts w:hint="eastAsia"/>
                      <w:color w:val="auto"/>
                    </w:rPr>
                    <w:t>值</w:t>
                  </w:r>
                </w:p>
              </w:tc>
              <w:tc>
                <w:tcPr>
                  <w:tcW w:w="3026" w:type="dxa"/>
                  <w:vAlign w:val="center"/>
                </w:tcPr>
                <w:p>
                  <w:pPr>
                    <w:pStyle w:val="7"/>
                    <w:rPr>
                      <w:rFonts w:hint="default" w:eastAsia="宋体"/>
                      <w:color w:val="auto"/>
                      <w:highlight w:val="none"/>
                      <w:lang w:val="en-US" w:eastAsia="zh-CN"/>
                    </w:rPr>
                  </w:pPr>
                  <w:r>
                    <w:rPr>
                      <w:rFonts w:hint="eastAsia"/>
                      <w:color w:val="auto"/>
                      <w:highlight w:val="none"/>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1161" w:type="dxa"/>
                  <w:vMerge w:val="continue"/>
                  <w:vAlign w:val="center"/>
                </w:tcPr>
                <w:p>
                  <w:pPr>
                    <w:pStyle w:val="7"/>
                    <w:rPr>
                      <w:color w:val="auto"/>
                    </w:rPr>
                  </w:pPr>
                </w:p>
              </w:tc>
              <w:tc>
                <w:tcPr>
                  <w:tcW w:w="3672" w:type="dxa"/>
                  <w:gridSpan w:val="2"/>
                  <w:vAlign w:val="center"/>
                </w:tcPr>
                <w:p>
                  <w:pPr>
                    <w:pStyle w:val="7"/>
                    <w:rPr>
                      <w:color w:val="auto"/>
                    </w:rPr>
                  </w:pPr>
                  <w:r>
                    <w:rPr>
                      <w:rFonts w:hint="eastAsia"/>
                      <w:color w:val="auto"/>
                    </w:rPr>
                    <w:t>超标率%</w:t>
                  </w:r>
                </w:p>
              </w:tc>
              <w:tc>
                <w:tcPr>
                  <w:tcW w:w="3026" w:type="dxa"/>
                  <w:vAlign w:val="center"/>
                </w:tcPr>
                <w:p>
                  <w:pPr>
                    <w:pStyle w:val="7"/>
                    <w:rPr>
                      <w:color w:val="auto"/>
                      <w:highlight w:val="none"/>
                    </w:rPr>
                  </w:pPr>
                  <w:r>
                    <w:rPr>
                      <w:rFonts w:hint="eastAsia"/>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1161" w:type="dxa"/>
                  <w:vMerge w:val="continue"/>
                  <w:vAlign w:val="center"/>
                </w:tcPr>
                <w:p>
                  <w:pPr>
                    <w:pStyle w:val="7"/>
                    <w:rPr>
                      <w:color w:val="auto"/>
                    </w:rPr>
                  </w:pPr>
                </w:p>
              </w:tc>
              <w:tc>
                <w:tcPr>
                  <w:tcW w:w="3672" w:type="dxa"/>
                  <w:gridSpan w:val="2"/>
                  <w:vAlign w:val="center"/>
                </w:tcPr>
                <w:p>
                  <w:pPr>
                    <w:pStyle w:val="7"/>
                    <w:rPr>
                      <w:color w:val="auto"/>
                    </w:rPr>
                  </w:pPr>
                  <w:r>
                    <w:rPr>
                      <w:rFonts w:hint="eastAsia"/>
                      <w:color w:val="auto"/>
                    </w:rPr>
                    <w:t>最大超标倍数</w:t>
                  </w:r>
                </w:p>
              </w:tc>
              <w:tc>
                <w:tcPr>
                  <w:tcW w:w="3026" w:type="dxa"/>
                  <w:vAlign w:val="center"/>
                </w:tcPr>
                <w:p>
                  <w:pPr>
                    <w:pStyle w:val="7"/>
                    <w:rPr>
                      <w:color w:val="auto"/>
                      <w:highlight w:val="none"/>
                    </w:rPr>
                  </w:pPr>
                  <w:r>
                    <w:rPr>
                      <w:color w:val="auto"/>
                      <w:highlight w:val="none"/>
                    </w:rPr>
                    <w:t>0</w:t>
                  </w:r>
                </w:p>
              </w:tc>
            </w:tr>
          </w:tbl>
          <w:p>
            <w:pPr>
              <w:spacing w:line="360" w:lineRule="auto"/>
              <w:ind w:firstLine="480" w:firstLineChars="200"/>
              <w:rPr>
                <w:color w:val="auto"/>
                <w:spacing w:val="3"/>
                <w:sz w:val="24"/>
              </w:rPr>
            </w:pPr>
            <w:r>
              <w:rPr>
                <w:rFonts w:hint="eastAsia"/>
                <w:color w:val="auto"/>
                <w:sz w:val="24"/>
              </w:rPr>
              <w:t>由表3-</w:t>
            </w:r>
            <w:r>
              <w:rPr>
                <w:rFonts w:hint="eastAsia"/>
                <w:color w:val="auto"/>
                <w:sz w:val="24"/>
                <w:lang w:val="en-US" w:eastAsia="zh-CN"/>
              </w:rPr>
              <w:t>2</w:t>
            </w:r>
            <w:r>
              <w:rPr>
                <w:rFonts w:hint="eastAsia"/>
                <w:color w:val="auto"/>
                <w:sz w:val="24"/>
              </w:rPr>
              <w:t>监测结果可看出，下风向监测点监测因子</w:t>
            </w:r>
            <w:r>
              <w:rPr>
                <w:rFonts w:hint="eastAsia"/>
                <w:color w:val="auto"/>
                <w:sz w:val="24"/>
                <w:lang w:val="en-US" w:eastAsia="zh-CN"/>
              </w:rPr>
              <w:t>NMHC</w:t>
            </w:r>
            <w:r>
              <w:rPr>
                <w:rFonts w:hint="eastAsia"/>
                <w:color w:val="auto"/>
                <w:sz w:val="24"/>
              </w:rPr>
              <w:t>的小时浓度</w:t>
            </w:r>
            <w:r>
              <w:rPr>
                <w:rFonts w:hint="eastAsia"/>
                <w:color w:val="auto"/>
                <w:sz w:val="24"/>
                <w:lang w:eastAsia="zh-CN"/>
              </w:rPr>
              <w:t>符合</w:t>
            </w:r>
            <w:r>
              <w:rPr>
                <w:rFonts w:hint="eastAsia" w:cs="宋体"/>
                <w:color w:val="auto"/>
                <w:sz w:val="24"/>
                <w:lang w:eastAsia="zh-CN"/>
              </w:rPr>
              <w:t>《大气污染物综合排放标准详解》限值的要求</w:t>
            </w:r>
            <w:r>
              <w:rPr>
                <w:rFonts w:hint="eastAsia" w:ascii="Calibri" w:hAnsi="Calibri"/>
                <w:color w:val="auto"/>
                <w:sz w:val="24"/>
                <w:highlight w:val="none"/>
                <w:lang w:eastAsia="zh-CN"/>
              </w:rPr>
              <w:t>。</w:t>
            </w:r>
            <w:r>
              <w:rPr>
                <w:rFonts w:hint="eastAsia"/>
                <w:color w:val="auto"/>
                <w:sz w:val="24"/>
              </w:rPr>
              <w:t>项目区域环境空气现状质量良好，能符合功能区划要求。</w:t>
            </w:r>
          </w:p>
          <w:p>
            <w:pPr>
              <w:snapToGrid w:val="0"/>
              <w:spacing w:line="480" w:lineRule="exact"/>
              <w:ind w:firstLine="482" w:firstLineChars="200"/>
              <w:rPr>
                <w:b/>
                <w:bCs/>
                <w:color w:val="auto"/>
                <w:sz w:val="24"/>
              </w:rPr>
            </w:pPr>
            <w:r>
              <w:rPr>
                <w:b/>
                <w:bCs/>
                <w:color w:val="auto"/>
                <w:sz w:val="24"/>
              </w:rPr>
              <w:t>2、地表水环境质量现状</w:t>
            </w:r>
          </w:p>
          <w:p>
            <w:pPr>
              <w:spacing w:line="360" w:lineRule="auto"/>
              <w:ind w:firstLine="480" w:firstLineChars="200"/>
              <w:rPr>
                <w:color w:val="auto"/>
                <w:sz w:val="24"/>
              </w:rPr>
            </w:pPr>
            <w:r>
              <w:rPr>
                <w:color w:val="auto"/>
                <w:sz w:val="24"/>
              </w:rPr>
              <w:t>本项目位于邵水河流域，下游为渡头桥镇光辉村断面，</w:t>
            </w:r>
            <w:r>
              <w:rPr>
                <w:rFonts w:hint="eastAsia"/>
                <w:color w:val="auto"/>
                <w:sz w:val="24"/>
              </w:rPr>
              <w:t>上游有邵水梅子坝断面及</w:t>
            </w:r>
            <w:r>
              <w:rPr>
                <w:color w:val="auto"/>
                <w:sz w:val="24"/>
              </w:rPr>
              <w:t>桐江兴隆</w:t>
            </w:r>
            <w:r>
              <w:rPr>
                <w:rFonts w:hint="eastAsia"/>
                <w:color w:val="auto"/>
                <w:sz w:val="24"/>
              </w:rPr>
              <w:t>断面。</w:t>
            </w:r>
            <w:r>
              <w:rPr>
                <w:color w:val="auto"/>
                <w:sz w:val="24"/>
              </w:rPr>
              <w:t>根据邵东市环境监测站2020年</w:t>
            </w:r>
            <w:r>
              <w:rPr>
                <w:rFonts w:hint="eastAsia"/>
                <w:color w:val="auto"/>
                <w:sz w:val="24"/>
              </w:rPr>
              <w:t>的监测数据</w:t>
            </w:r>
            <w:r>
              <w:rPr>
                <w:color w:val="auto"/>
                <w:sz w:val="24"/>
              </w:rPr>
              <w:t>，邵东市地表水总体情况数据见下表3-</w:t>
            </w:r>
            <w:r>
              <w:rPr>
                <w:rFonts w:hint="eastAsia"/>
                <w:color w:val="auto"/>
                <w:sz w:val="24"/>
                <w:lang w:val="en-US" w:eastAsia="zh-CN"/>
              </w:rPr>
              <w:t>3</w:t>
            </w:r>
            <w:r>
              <w:rPr>
                <w:color w:val="auto"/>
                <w:sz w:val="24"/>
              </w:rPr>
              <w:t>：</w:t>
            </w:r>
          </w:p>
          <w:p>
            <w:pPr>
              <w:spacing w:line="360" w:lineRule="auto"/>
              <w:ind w:firstLine="422" w:firstLineChars="200"/>
              <w:jc w:val="center"/>
              <w:rPr>
                <w:color w:val="auto"/>
              </w:rPr>
            </w:pPr>
            <w:r>
              <w:rPr>
                <w:rStyle w:val="32"/>
                <w:snapToGrid w:val="0"/>
                <w:color w:val="auto"/>
                <w:szCs w:val="21"/>
                <w:shd w:val="clear" w:color="auto" w:fill="FFFFFF"/>
              </w:rPr>
              <w:t>表3-</w:t>
            </w:r>
            <w:r>
              <w:rPr>
                <w:rStyle w:val="32"/>
                <w:rFonts w:hint="eastAsia"/>
                <w:snapToGrid w:val="0"/>
                <w:color w:val="auto"/>
                <w:szCs w:val="21"/>
                <w:shd w:val="clear" w:color="auto" w:fill="FFFFFF"/>
                <w:lang w:val="en-US" w:eastAsia="zh-CN"/>
              </w:rPr>
              <w:t>3</w:t>
            </w:r>
            <w:r>
              <w:rPr>
                <w:rStyle w:val="32"/>
                <w:rFonts w:hint="eastAsia"/>
                <w:snapToGrid w:val="0"/>
                <w:color w:val="auto"/>
                <w:szCs w:val="21"/>
                <w:shd w:val="clear" w:color="auto" w:fill="FFFFFF"/>
              </w:rPr>
              <w:t xml:space="preserve">  </w:t>
            </w:r>
            <w:r>
              <w:rPr>
                <w:rStyle w:val="32"/>
                <w:snapToGrid w:val="0"/>
                <w:color w:val="auto"/>
                <w:szCs w:val="21"/>
                <w:shd w:val="clear" w:color="auto" w:fill="FFFFFF"/>
              </w:rPr>
              <w:t xml:space="preserve"> 2020年邵东市地表水水质状况</w:t>
            </w:r>
            <w:r>
              <w:rPr>
                <w:rStyle w:val="32"/>
                <w:rFonts w:hint="eastAsia"/>
                <w:snapToGrid w:val="0"/>
                <w:color w:val="auto"/>
                <w:szCs w:val="21"/>
                <w:shd w:val="clear" w:color="auto" w:fill="FFFFFF"/>
              </w:rPr>
              <w:t xml:space="preserve"> </w:t>
            </w:r>
            <w:r>
              <w:rPr>
                <w:rStyle w:val="32"/>
                <w:snapToGrid w:val="0"/>
                <w:color w:val="auto"/>
                <w:szCs w:val="21"/>
                <w:shd w:val="clear" w:color="auto" w:fill="FFFFFF"/>
              </w:rPr>
              <w:t xml:space="preserve">   </w:t>
            </w:r>
            <w:r>
              <w:rPr>
                <w:color w:val="auto"/>
              </w:rPr>
              <w:t>单位：</w:t>
            </w:r>
            <w:r>
              <w:rPr>
                <w:rFonts w:hint="eastAsia"/>
                <w:color w:val="auto"/>
              </w:rPr>
              <w:t>m</w:t>
            </w:r>
            <w:r>
              <w:rPr>
                <w:color w:val="auto"/>
              </w:rPr>
              <w:t>g/</w:t>
            </w:r>
            <w:r>
              <w:rPr>
                <w:rFonts w:hint="eastAsia"/>
                <w:color w:val="auto"/>
              </w:rPr>
              <w:t>L</w:t>
            </w:r>
          </w:p>
          <w:tbl>
            <w:tblPr>
              <w:tblStyle w:val="29"/>
              <w:tblW w:w="7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6"/>
              <w:gridCol w:w="1075"/>
              <w:gridCol w:w="627"/>
              <w:gridCol w:w="709"/>
              <w:gridCol w:w="708"/>
              <w:gridCol w:w="820"/>
              <w:gridCol w:w="740"/>
              <w:gridCol w:w="992"/>
              <w:gridCol w:w="923"/>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651" w:type="dxa"/>
                  <w:gridSpan w:val="2"/>
                  <w:tcMar>
                    <w:top w:w="15" w:type="dxa"/>
                    <w:left w:w="15" w:type="dxa"/>
                    <w:right w:w="15" w:type="dxa"/>
                  </w:tcMar>
                  <w:vAlign w:val="center"/>
                </w:tcPr>
                <w:p>
                  <w:pPr>
                    <w:jc w:val="center"/>
                    <w:rPr>
                      <w:color w:val="auto"/>
                      <w:kern w:val="0"/>
                      <w:szCs w:val="21"/>
                      <w:lang w:bidi="ar"/>
                    </w:rPr>
                  </w:pPr>
                  <w:r>
                    <w:rPr>
                      <w:color w:val="auto"/>
                      <w:szCs w:val="21"/>
                    </w:rPr>
                    <w:t>断面</w:t>
                  </w:r>
                </w:p>
              </w:tc>
              <w:tc>
                <w:tcPr>
                  <w:tcW w:w="627"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pH</w:t>
                  </w:r>
                  <w:r>
                    <w:rPr>
                      <w:rStyle w:val="56"/>
                      <w:rFonts w:hint="default"/>
                      <w:color w:val="auto"/>
                      <w:szCs w:val="21"/>
                      <w:lang w:bidi="ar"/>
                    </w:rPr>
                    <w:t>值（无量纲）</w:t>
                  </w:r>
                </w:p>
              </w:tc>
              <w:tc>
                <w:tcPr>
                  <w:tcW w:w="709"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溶解氧</w:t>
                  </w:r>
                </w:p>
              </w:tc>
              <w:tc>
                <w:tcPr>
                  <w:tcW w:w="708" w:type="dxa"/>
                  <w:tcMar>
                    <w:top w:w="15" w:type="dxa"/>
                    <w:left w:w="15" w:type="dxa"/>
                    <w:right w:w="15" w:type="dxa"/>
                  </w:tcMar>
                  <w:vAlign w:val="center"/>
                </w:tcPr>
                <w:p>
                  <w:pPr>
                    <w:widowControl/>
                    <w:jc w:val="center"/>
                    <w:textAlignment w:val="center"/>
                    <w:rPr>
                      <w:color w:val="auto"/>
                      <w:szCs w:val="21"/>
                    </w:rPr>
                  </w:pPr>
                  <w:r>
                    <w:rPr>
                      <w:color w:val="auto"/>
                      <w:kern w:val="0"/>
                      <w:szCs w:val="21"/>
                      <w:lang w:bidi="ar"/>
                    </w:rPr>
                    <w:t>高锰酸盐指数</w:t>
                  </w:r>
                </w:p>
              </w:tc>
              <w:tc>
                <w:tcPr>
                  <w:tcW w:w="82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化学需氧量</w:t>
                  </w:r>
                </w:p>
              </w:tc>
              <w:tc>
                <w:tcPr>
                  <w:tcW w:w="74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五日生化需氧量</w:t>
                  </w:r>
                </w:p>
              </w:tc>
              <w:tc>
                <w:tcPr>
                  <w:tcW w:w="99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氨氮</w:t>
                  </w:r>
                </w:p>
              </w:tc>
              <w:tc>
                <w:tcPr>
                  <w:tcW w:w="923"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总磷</w:t>
                  </w:r>
                </w:p>
              </w:tc>
              <w:tc>
                <w:tcPr>
                  <w:tcW w:w="77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76" w:type="dxa"/>
                  <w:vMerge w:val="restart"/>
                  <w:tcMar>
                    <w:top w:w="15" w:type="dxa"/>
                    <w:left w:w="15" w:type="dxa"/>
                    <w:right w:w="15" w:type="dxa"/>
                  </w:tcMar>
                  <w:vAlign w:val="center"/>
                </w:tcPr>
                <w:p>
                  <w:pPr>
                    <w:widowControl/>
                    <w:jc w:val="center"/>
                    <w:textAlignment w:val="center"/>
                    <w:rPr>
                      <w:color w:val="auto"/>
                      <w:kern w:val="0"/>
                      <w:szCs w:val="21"/>
                      <w:lang w:bidi="ar"/>
                    </w:rPr>
                  </w:pPr>
                  <w:r>
                    <w:rPr>
                      <w:color w:val="auto"/>
                      <w:szCs w:val="21"/>
                    </w:rPr>
                    <w:t>邵水梅子坝断面</w:t>
                  </w:r>
                </w:p>
              </w:tc>
              <w:tc>
                <w:tcPr>
                  <w:tcW w:w="1075"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浓度范围</w:t>
                  </w:r>
                </w:p>
              </w:tc>
              <w:tc>
                <w:tcPr>
                  <w:tcW w:w="627"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7-</w:t>
                  </w:r>
                  <w:r>
                    <w:rPr>
                      <w:color w:val="auto"/>
                      <w:kern w:val="0"/>
                      <w:szCs w:val="21"/>
                      <w:lang w:bidi="ar"/>
                    </w:rPr>
                    <w:t>8</w:t>
                  </w:r>
                </w:p>
              </w:tc>
              <w:tc>
                <w:tcPr>
                  <w:tcW w:w="709"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5.5</w:t>
                  </w:r>
                  <w:r>
                    <w:rPr>
                      <w:rFonts w:hint="eastAsia"/>
                      <w:color w:val="auto"/>
                      <w:kern w:val="0"/>
                      <w:szCs w:val="21"/>
                      <w:lang w:bidi="ar"/>
                    </w:rPr>
                    <w:t>-</w:t>
                  </w:r>
                  <w:r>
                    <w:rPr>
                      <w:color w:val="auto"/>
                      <w:kern w:val="0"/>
                      <w:szCs w:val="21"/>
                      <w:lang w:bidi="ar"/>
                    </w:rPr>
                    <w:t>9.2</w:t>
                  </w:r>
                </w:p>
              </w:tc>
              <w:tc>
                <w:tcPr>
                  <w:tcW w:w="708"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1.7</w:t>
                  </w:r>
                  <w:r>
                    <w:rPr>
                      <w:rFonts w:hint="eastAsia"/>
                      <w:color w:val="auto"/>
                      <w:kern w:val="0"/>
                      <w:szCs w:val="21"/>
                      <w:lang w:bidi="ar"/>
                    </w:rPr>
                    <w:t>-</w:t>
                  </w:r>
                  <w:r>
                    <w:rPr>
                      <w:color w:val="auto"/>
                      <w:kern w:val="0"/>
                      <w:szCs w:val="21"/>
                      <w:lang w:bidi="ar"/>
                    </w:rPr>
                    <w:t>3.8</w:t>
                  </w:r>
                </w:p>
              </w:tc>
              <w:tc>
                <w:tcPr>
                  <w:tcW w:w="82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10</w:t>
                  </w:r>
                  <w:r>
                    <w:rPr>
                      <w:rFonts w:hint="eastAsia"/>
                      <w:color w:val="auto"/>
                      <w:kern w:val="0"/>
                      <w:szCs w:val="21"/>
                      <w:lang w:bidi="ar"/>
                    </w:rPr>
                    <w:t>-</w:t>
                  </w:r>
                  <w:r>
                    <w:rPr>
                      <w:color w:val="auto"/>
                      <w:kern w:val="0"/>
                      <w:szCs w:val="21"/>
                      <w:lang w:bidi="ar"/>
                    </w:rPr>
                    <w:t>15</w:t>
                  </w:r>
                </w:p>
              </w:tc>
              <w:tc>
                <w:tcPr>
                  <w:tcW w:w="74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0.8</w:t>
                  </w:r>
                  <w:r>
                    <w:rPr>
                      <w:rFonts w:hint="eastAsia"/>
                      <w:color w:val="auto"/>
                      <w:kern w:val="0"/>
                      <w:szCs w:val="21"/>
                      <w:lang w:bidi="ar"/>
                    </w:rPr>
                    <w:t>-</w:t>
                  </w:r>
                  <w:r>
                    <w:rPr>
                      <w:color w:val="auto"/>
                      <w:kern w:val="0"/>
                      <w:szCs w:val="21"/>
                      <w:lang w:bidi="ar"/>
                    </w:rPr>
                    <w:t>2.5</w:t>
                  </w:r>
                </w:p>
              </w:tc>
              <w:tc>
                <w:tcPr>
                  <w:tcW w:w="99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0.12</w:t>
                  </w:r>
                  <w:r>
                    <w:rPr>
                      <w:rFonts w:hint="eastAsia"/>
                      <w:color w:val="auto"/>
                      <w:kern w:val="0"/>
                      <w:szCs w:val="21"/>
                      <w:lang w:bidi="ar"/>
                    </w:rPr>
                    <w:t>-</w:t>
                  </w:r>
                  <w:r>
                    <w:rPr>
                      <w:color w:val="auto"/>
                      <w:kern w:val="0"/>
                      <w:szCs w:val="21"/>
                      <w:lang w:bidi="ar"/>
                    </w:rPr>
                    <w:t>0.29</w:t>
                  </w:r>
                </w:p>
              </w:tc>
              <w:tc>
                <w:tcPr>
                  <w:tcW w:w="923"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0.03</w:t>
                  </w:r>
                  <w:r>
                    <w:rPr>
                      <w:rFonts w:hint="eastAsia"/>
                      <w:color w:val="auto"/>
                      <w:kern w:val="0"/>
                      <w:szCs w:val="21"/>
                      <w:lang w:bidi="ar"/>
                    </w:rPr>
                    <w:t>-</w:t>
                  </w:r>
                  <w:r>
                    <w:rPr>
                      <w:color w:val="auto"/>
                      <w:kern w:val="0"/>
                      <w:szCs w:val="21"/>
                      <w:lang w:bidi="ar"/>
                    </w:rPr>
                    <w:t>0.08</w:t>
                  </w:r>
                </w:p>
              </w:tc>
              <w:tc>
                <w:tcPr>
                  <w:tcW w:w="77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76" w:type="dxa"/>
                  <w:vMerge w:val="continue"/>
                  <w:tcMar>
                    <w:top w:w="15" w:type="dxa"/>
                    <w:left w:w="15" w:type="dxa"/>
                    <w:right w:w="15" w:type="dxa"/>
                  </w:tcMar>
                  <w:vAlign w:val="center"/>
                </w:tcPr>
                <w:p>
                  <w:pPr>
                    <w:widowControl/>
                    <w:jc w:val="center"/>
                    <w:textAlignment w:val="center"/>
                    <w:rPr>
                      <w:color w:val="auto"/>
                      <w:kern w:val="0"/>
                      <w:szCs w:val="21"/>
                      <w:lang w:bidi="ar"/>
                    </w:rPr>
                  </w:pPr>
                </w:p>
              </w:tc>
              <w:tc>
                <w:tcPr>
                  <w:tcW w:w="1075"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平均值</w:t>
                  </w:r>
                </w:p>
              </w:tc>
              <w:tc>
                <w:tcPr>
                  <w:tcW w:w="627"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7.9</w:t>
                  </w:r>
                </w:p>
              </w:tc>
              <w:tc>
                <w:tcPr>
                  <w:tcW w:w="709"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6.65</w:t>
                  </w:r>
                </w:p>
              </w:tc>
              <w:tc>
                <w:tcPr>
                  <w:tcW w:w="708"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2.79</w:t>
                  </w:r>
                </w:p>
              </w:tc>
              <w:tc>
                <w:tcPr>
                  <w:tcW w:w="82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11.3</w:t>
                  </w:r>
                </w:p>
              </w:tc>
              <w:tc>
                <w:tcPr>
                  <w:tcW w:w="74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1.02</w:t>
                  </w:r>
                </w:p>
              </w:tc>
              <w:tc>
                <w:tcPr>
                  <w:tcW w:w="99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0.22</w:t>
                  </w:r>
                </w:p>
              </w:tc>
              <w:tc>
                <w:tcPr>
                  <w:tcW w:w="923"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0.066</w:t>
                  </w:r>
                </w:p>
              </w:tc>
              <w:tc>
                <w:tcPr>
                  <w:tcW w:w="77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76" w:type="dxa"/>
                  <w:vMerge w:val="continue"/>
                  <w:tcMar>
                    <w:top w:w="15" w:type="dxa"/>
                    <w:left w:w="15" w:type="dxa"/>
                    <w:right w:w="15" w:type="dxa"/>
                  </w:tcMar>
                  <w:vAlign w:val="center"/>
                </w:tcPr>
                <w:p>
                  <w:pPr>
                    <w:widowControl/>
                    <w:jc w:val="center"/>
                    <w:textAlignment w:val="center"/>
                    <w:rPr>
                      <w:color w:val="auto"/>
                      <w:kern w:val="0"/>
                      <w:szCs w:val="21"/>
                      <w:lang w:bidi="ar"/>
                    </w:rPr>
                  </w:pPr>
                </w:p>
              </w:tc>
              <w:tc>
                <w:tcPr>
                  <w:tcW w:w="1075" w:type="dxa"/>
                  <w:tcMar>
                    <w:top w:w="15" w:type="dxa"/>
                    <w:left w:w="15" w:type="dxa"/>
                    <w:right w:w="15" w:type="dxa"/>
                  </w:tcMar>
                  <w:vAlign w:val="center"/>
                </w:tcPr>
                <w:p>
                  <w:pPr>
                    <w:widowControl/>
                    <w:jc w:val="center"/>
                    <w:textAlignment w:val="center"/>
                    <w:rPr>
                      <w:color w:val="auto"/>
                      <w:szCs w:val="21"/>
                    </w:rPr>
                  </w:pPr>
                  <w:r>
                    <w:rPr>
                      <w:color w:val="auto"/>
                      <w:kern w:val="0"/>
                      <w:szCs w:val="21"/>
                      <w:lang w:bidi="ar"/>
                    </w:rPr>
                    <w:t>水质指数</w:t>
                  </w:r>
                </w:p>
              </w:tc>
              <w:tc>
                <w:tcPr>
                  <w:tcW w:w="627"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0.45</w:t>
                  </w:r>
                </w:p>
              </w:tc>
              <w:tc>
                <w:tcPr>
                  <w:tcW w:w="709"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0.58</w:t>
                  </w:r>
                </w:p>
              </w:tc>
              <w:tc>
                <w:tcPr>
                  <w:tcW w:w="708"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0.45</w:t>
                  </w:r>
                </w:p>
              </w:tc>
              <w:tc>
                <w:tcPr>
                  <w:tcW w:w="82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0.5</w:t>
                  </w:r>
                  <w:r>
                    <w:rPr>
                      <w:rFonts w:hint="eastAsia"/>
                      <w:color w:val="auto"/>
                      <w:kern w:val="0"/>
                      <w:szCs w:val="21"/>
                      <w:lang w:bidi="ar"/>
                    </w:rPr>
                    <w:t>6</w:t>
                  </w:r>
                </w:p>
              </w:tc>
              <w:tc>
                <w:tcPr>
                  <w:tcW w:w="74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0.30</w:t>
                  </w:r>
                </w:p>
              </w:tc>
              <w:tc>
                <w:tcPr>
                  <w:tcW w:w="99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0.2</w:t>
                  </w:r>
                  <w:r>
                    <w:rPr>
                      <w:rFonts w:hint="eastAsia"/>
                      <w:color w:val="auto"/>
                      <w:kern w:val="0"/>
                      <w:szCs w:val="21"/>
                      <w:lang w:bidi="ar"/>
                    </w:rPr>
                    <w:t>2</w:t>
                  </w:r>
                </w:p>
              </w:tc>
              <w:tc>
                <w:tcPr>
                  <w:tcW w:w="923"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0.31</w:t>
                  </w:r>
                </w:p>
              </w:tc>
              <w:tc>
                <w:tcPr>
                  <w:tcW w:w="77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76" w:type="dxa"/>
                  <w:vMerge w:val="restart"/>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桐江兴隆断面</w:t>
                  </w:r>
                </w:p>
              </w:tc>
              <w:tc>
                <w:tcPr>
                  <w:tcW w:w="1075"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浓度范围</w:t>
                  </w:r>
                </w:p>
              </w:tc>
              <w:tc>
                <w:tcPr>
                  <w:tcW w:w="627"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7-8</w:t>
                  </w:r>
                </w:p>
              </w:tc>
              <w:tc>
                <w:tcPr>
                  <w:tcW w:w="709"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5.1-8.9</w:t>
                  </w:r>
                </w:p>
              </w:tc>
              <w:tc>
                <w:tcPr>
                  <w:tcW w:w="708"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1.7-4.5</w:t>
                  </w:r>
                </w:p>
              </w:tc>
              <w:tc>
                <w:tcPr>
                  <w:tcW w:w="82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8</w:t>
                  </w:r>
                  <w:r>
                    <w:rPr>
                      <w:rFonts w:hint="eastAsia"/>
                      <w:color w:val="auto"/>
                      <w:kern w:val="0"/>
                      <w:szCs w:val="21"/>
                      <w:lang w:bidi="ar"/>
                    </w:rPr>
                    <w:t>-18</w:t>
                  </w:r>
                </w:p>
              </w:tc>
              <w:tc>
                <w:tcPr>
                  <w:tcW w:w="74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0.8-2.4</w:t>
                  </w:r>
                </w:p>
              </w:tc>
              <w:tc>
                <w:tcPr>
                  <w:tcW w:w="99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0.18-0.46</w:t>
                  </w:r>
                </w:p>
              </w:tc>
              <w:tc>
                <w:tcPr>
                  <w:tcW w:w="923"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0.04-0.05</w:t>
                  </w:r>
                </w:p>
              </w:tc>
              <w:tc>
                <w:tcPr>
                  <w:tcW w:w="77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76" w:type="dxa"/>
                  <w:vMerge w:val="continue"/>
                  <w:tcMar>
                    <w:top w:w="15" w:type="dxa"/>
                    <w:left w:w="15" w:type="dxa"/>
                    <w:right w:w="15" w:type="dxa"/>
                  </w:tcMar>
                  <w:vAlign w:val="center"/>
                </w:tcPr>
                <w:p>
                  <w:pPr>
                    <w:widowControl/>
                    <w:jc w:val="center"/>
                    <w:textAlignment w:val="center"/>
                    <w:rPr>
                      <w:color w:val="auto"/>
                      <w:kern w:val="0"/>
                      <w:szCs w:val="21"/>
                      <w:lang w:bidi="ar"/>
                    </w:rPr>
                  </w:pPr>
                </w:p>
              </w:tc>
              <w:tc>
                <w:tcPr>
                  <w:tcW w:w="1075"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平均值</w:t>
                  </w:r>
                </w:p>
              </w:tc>
              <w:tc>
                <w:tcPr>
                  <w:tcW w:w="627"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7.8</w:t>
                  </w:r>
                </w:p>
              </w:tc>
              <w:tc>
                <w:tcPr>
                  <w:tcW w:w="709"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6.06</w:t>
                  </w:r>
                </w:p>
              </w:tc>
              <w:tc>
                <w:tcPr>
                  <w:tcW w:w="708"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3.26</w:t>
                  </w:r>
                </w:p>
              </w:tc>
              <w:tc>
                <w:tcPr>
                  <w:tcW w:w="820"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12.5</w:t>
                  </w:r>
                </w:p>
              </w:tc>
              <w:tc>
                <w:tcPr>
                  <w:tcW w:w="74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1.1</w:t>
                  </w:r>
                  <w:r>
                    <w:rPr>
                      <w:rFonts w:hint="eastAsia"/>
                      <w:color w:val="auto"/>
                      <w:kern w:val="0"/>
                      <w:szCs w:val="21"/>
                      <w:lang w:bidi="ar"/>
                    </w:rPr>
                    <w:t>4</w:t>
                  </w:r>
                </w:p>
              </w:tc>
              <w:tc>
                <w:tcPr>
                  <w:tcW w:w="99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0.32</w:t>
                  </w:r>
                  <w:r>
                    <w:rPr>
                      <w:rFonts w:hint="eastAsia"/>
                      <w:color w:val="auto"/>
                      <w:kern w:val="0"/>
                      <w:szCs w:val="21"/>
                      <w:lang w:bidi="ar"/>
                    </w:rPr>
                    <w:t>9</w:t>
                  </w:r>
                </w:p>
              </w:tc>
              <w:tc>
                <w:tcPr>
                  <w:tcW w:w="923"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0.044</w:t>
                  </w:r>
                </w:p>
              </w:tc>
              <w:tc>
                <w:tcPr>
                  <w:tcW w:w="77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76" w:type="dxa"/>
                  <w:vMerge w:val="continue"/>
                  <w:tcMar>
                    <w:top w:w="15" w:type="dxa"/>
                    <w:left w:w="15" w:type="dxa"/>
                    <w:right w:w="15" w:type="dxa"/>
                  </w:tcMar>
                  <w:vAlign w:val="center"/>
                </w:tcPr>
                <w:p>
                  <w:pPr>
                    <w:widowControl/>
                    <w:jc w:val="center"/>
                    <w:textAlignment w:val="center"/>
                    <w:rPr>
                      <w:color w:val="auto"/>
                      <w:kern w:val="0"/>
                      <w:szCs w:val="21"/>
                      <w:lang w:bidi="ar"/>
                    </w:rPr>
                  </w:pPr>
                </w:p>
              </w:tc>
              <w:tc>
                <w:tcPr>
                  <w:tcW w:w="1075"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水质指数</w:t>
                  </w:r>
                </w:p>
              </w:tc>
              <w:tc>
                <w:tcPr>
                  <w:tcW w:w="627"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0.40</w:t>
                  </w:r>
                </w:p>
              </w:tc>
              <w:tc>
                <w:tcPr>
                  <w:tcW w:w="709"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0.73</w:t>
                  </w:r>
                </w:p>
              </w:tc>
              <w:tc>
                <w:tcPr>
                  <w:tcW w:w="708"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0.52</w:t>
                  </w:r>
                </w:p>
              </w:tc>
              <w:tc>
                <w:tcPr>
                  <w:tcW w:w="820"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0.63</w:t>
                  </w:r>
                </w:p>
              </w:tc>
              <w:tc>
                <w:tcPr>
                  <w:tcW w:w="740"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0.32</w:t>
                  </w:r>
                </w:p>
              </w:tc>
              <w:tc>
                <w:tcPr>
                  <w:tcW w:w="992"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0.31</w:t>
                  </w:r>
                </w:p>
              </w:tc>
              <w:tc>
                <w:tcPr>
                  <w:tcW w:w="923"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0.22</w:t>
                  </w:r>
                </w:p>
              </w:tc>
              <w:tc>
                <w:tcPr>
                  <w:tcW w:w="772"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76" w:type="dxa"/>
                  <w:vMerge w:val="restart"/>
                  <w:tcMar>
                    <w:top w:w="15" w:type="dxa"/>
                    <w:left w:w="15" w:type="dxa"/>
                    <w:right w:w="15" w:type="dxa"/>
                  </w:tcMar>
                  <w:vAlign w:val="center"/>
                </w:tcPr>
                <w:p>
                  <w:pPr>
                    <w:widowControl/>
                    <w:jc w:val="center"/>
                    <w:textAlignment w:val="center"/>
                    <w:rPr>
                      <w:color w:val="auto"/>
                      <w:kern w:val="0"/>
                      <w:szCs w:val="21"/>
                      <w:lang w:bidi="ar"/>
                    </w:rPr>
                  </w:pPr>
                  <w:r>
                    <w:rPr>
                      <w:color w:val="auto"/>
                      <w:szCs w:val="21"/>
                    </w:rPr>
                    <w:t>渡头桥镇光辉村断面</w:t>
                  </w:r>
                </w:p>
              </w:tc>
              <w:tc>
                <w:tcPr>
                  <w:tcW w:w="1075"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浓度范围</w:t>
                  </w:r>
                </w:p>
              </w:tc>
              <w:tc>
                <w:tcPr>
                  <w:tcW w:w="627"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7-8</w:t>
                  </w:r>
                </w:p>
              </w:tc>
              <w:tc>
                <w:tcPr>
                  <w:tcW w:w="709"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5.5-9.2</w:t>
                  </w:r>
                </w:p>
              </w:tc>
              <w:tc>
                <w:tcPr>
                  <w:tcW w:w="708"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2.0-4.4</w:t>
                  </w:r>
                </w:p>
              </w:tc>
              <w:tc>
                <w:tcPr>
                  <w:tcW w:w="82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9</w:t>
                  </w:r>
                  <w:r>
                    <w:rPr>
                      <w:rFonts w:hint="eastAsia"/>
                      <w:color w:val="auto"/>
                      <w:kern w:val="0"/>
                      <w:szCs w:val="21"/>
                      <w:lang w:bidi="ar"/>
                    </w:rPr>
                    <w:t>-18</w:t>
                  </w:r>
                </w:p>
              </w:tc>
              <w:tc>
                <w:tcPr>
                  <w:tcW w:w="74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1.0-1.5</w:t>
                  </w:r>
                </w:p>
              </w:tc>
              <w:tc>
                <w:tcPr>
                  <w:tcW w:w="99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0.19-0.51</w:t>
                  </w:r>
                </w:p>
              </w:tc>
              <w:tc>
                <w:tcPr>
                  <w:tcW w:w="923"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0.06-0.10</w:t>
                  </w:r>
                </w:p>
              </w:tc>
              <w:tc>
                <w:tcPr>
                  <w:tcW w:w="77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76" w:type="dxa"/>
                  <w:vMerge w:val="continue"/>
                  <w:tcMar>
                    <w:top w:w="15" w:type="dxa"/>
                    <w:left w:w="15" w:type="dxa"/>
                    <w:right w:w="15" w:type="dxa"/>
                  </w:tcMar>
                  <w:vAlign w:val="center"/>
                </w:tcPr>
                <w:p>
                  <w:pPr>
                    <w:widowControl/>
                    <w:jc w:val="center"/>
                    <w:textAlignment w:val="center"/>
                    <w:rPr>
                      <w:color w:val="auto"/>
                      <w:kern w:val="0"/>
                      <w:szCs w:val="21"/>
                      <w:lang w:bidi="ar"/>
                    </w:rPr>
                  </w:pPr>
                </w:p>
              </w:tc>
              <w:tc>
                <w:tcPr>
                  <w:tcW w:w="1075"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平均值</w:t>
                  </w:r>
                </w:p>
              </w:tc>
              <w:tc>
                <w:tcPr>
                  <w:tcW w:w="627"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7.9</w:t>
                  </w:r>
                </w:p>
              </w:tc>
              <w:tc>
                <w:tcPr>
                  <w:tcW w:w="709"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6.78</w:t>
                  </w:r>
                </w:p>
              </w:tc>
              <w:tc>
                <w:tcPr>
                  <w:tcW w:w="708"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3.78</w:t>
                  </w:r>
                </w:p>
              </w:tc>
              <w:tc>
                <w:tcPr>
                  <w:tcW w:w="820"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11.6</w:t>
                  </w:r>
                </w:p>
              </w:tc>
              <w:tc>
                <w:tcPr>
                  <w:tcW w:w="74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1.2</w:t>
                  </w:r>
                  <w:r>
                    <w:rPr>
                      <w:rFonts w:hint="eastAsia"/>
                      <w:color w:val="auto"/>
                      <w:kern w:val="0"/>
                      <w:szCs w:val="21"/>
                      <w:lang w:bidi="ar"/>
                    </w:rPr>
                    <w:t>9</w:t>
                  </w:r>
                </w:p>
              </w:tc>
              <w:tc>
                <w:tcPr>
                  <w:tcW w:w="99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0.31</w:t>
                  </w:r>
                </w:p>
              </w:tc>
              <w:tc>
                <w:tcPr>
                  <w:tcW w:w="923"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0.08</w:t>
                  </w:r>
                  <w:r>
                    <w:rPr>
                      <w:rFonts w:hint="eastAsia"/>
                      <w:color w:val="auto"/>
                      <w:kern w:val="0"/>
                      <w:szCs w:val="21"/>
                      <w:lang w:bidi="ar"/>
                    </w:rPr>
                    <w:t>5</w:t>
                  </w:r>
                </w:p>
              </w:tc>
              <w:tc>
                <w:tcPr>
                  <w:tcW w:w="77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76" w:type="dxa"/>
                  <w:vMerge w:val="continue"/>
                  <w:tcMar>
                    <w:top w:w="15" w:type="dxa"/>
                    <w:left w:w="15" w:type="dxa"/>
                    <w:right w:w="15" w:type="dxa"/>
                  </w:tcMar>
                  <w:vAlign w:val="center"/>
                </w:tcPr>
                <w:p>
                  <w:pPr>
                    <w:widowControl/>
                    <w:jc w:val="center"/>
                    <w:textAlignment w:val="center"/>
                    <w:rPr>
                      <w:color w:val="auto"/>
                      <w:kern w:val="0"/>
                      <w:szCs w:val="21"/>
                      <w:lang w:bidi="ar"/>
                    </w:rPr>
                  </w:pPr>
                </w:p>
              </w:tc>
              <w:tc>
                <w:tcPr>
                  <w:tcW w:w="1075"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水质指数</w:t>
                  </w:r>
                </w:p>
              </w:tc>
              <w:tc>
                <w:tcPr>
                  <w:tcW w:w="627"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0.45</w:t>
                  </w:r>
                </w:p>
              </w:tc>
              <w:tc>
                <w:tcPr>
                  <w:tcW w:w="709"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0.54</w:t>
                  </w:r>
                </w:p>
              </w:tc>
              <w:tc>
                <w:tcPr>
                  <w:tcW w:w="708"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0.61</w:t>
                  </w:r>
                </w:p>
              </w:tc>
              <w:tc>
                <w:tcPr>
                  <w:tcW w:w="820"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0.58</w:t>
                  </w:r>
                </w:p>
              </w:tc>
              <w:tc>
                <w:tcPr>
                  <w:tcW w:w="740"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0.32</w:t>
                  </w:r>
                </w:p>
              </w:tc>
              <w:tc>
                <w:tcPr>
                  <w:tcW w:w="992"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0.33</w:t>
                  </w:r>
                </w:p>
              </w:tc>
              <w:tc>
                <w:tcPr>
                  <w:tcW w:w="923"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0.41</w:t>
                  </w:r>
                </w:p>
              </w:tc>
              <w:tc>
                <w:tcPr>
                  <w:tcW w:w="772"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76"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地表水质量标准</w:t>
                  </w:r>
                </w:p>
              </w:tc>
              <w:tc>
                <w:tcPr>
                  <w:tcW w:w="1075" w:type="dxa"/>
                  <w:tcMar>
                    <w:top w:w="15" w:type="dxa"/>
                    <w:left w:w="15" w:type="dxa"/>
                    <w:right w:w="15" w:type="dxa"/>
                  </w:tcMar>
                  <w:vAlign w:val="center"/>
                </w:tcPr>
                <w:p>
                  <w:pPr>
                    <w:widowControl/>
                    <w:jc w:val="center"/>
                    <w:textAlignment w:val="center"/>
                    <w:rPr>
                      <w:color w:val="auto"/>
                      <w:szCs w:val="21"/>
                    </w:rPr>
                  </w:pPr>
                  <w:r>
                    <w:rPr>
                      <w:color w:val="auto"/>
                      <w:kern w:val="0"/>
                      <w:szCs w:val="21"/>
                      <w:lang w:bidi="ar"/>
                    </w:rPr>
                    <w:t>标准值</w:t>
                  </w:r>
                </w:p>
              </w:tc>
              <w:tc>
                <w:tcPr>
                  <w:tcW w:w="627"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0.45</w:t>
                  </w:r>
                </w:p>
              </w:tc>
              <w:tc>
                <w:tcPr>
                  <w:tcW w:w="709"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5</w:t>
                  </w:r>
                </w:p>
              </w:tc>
              <w:tc>
                <w:tcPr>
                  <w:tcW w:w="708"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6</w:t>
                  </w:r>
                </w:p>
              </w:tc>
              <w:tc>
                <w:tcPr>
                  <w:tcW w:w="82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20</w:t>
                  </w:r>
                </w:p>
              </w:tc>
              <w:tc>
                <w:tcPr>
                  <w:tcW w:w="74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4</w:t>
                  </w:r>
                </w:p>
              </w:tc>
              <w:tc>
                <w:tcPr>
                  <w:tcW w:w="99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1</w:t>
                  </w:r>
                </w:p>
              </w:tc>
              <w:tc>
                <w:tcPr>
                  <w:tcW w:w="923"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0.2</w:t>
                  </w:r>
                </w:p>
              </w:tc>
              <w:tc>
                <w:tcPr>
                  <w:tcW w:w="77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0.05</w:t>
                  </w:r>
                </w:p>
              </w:tc>
            </w:tr>
          </w:tbl>
          <w:p>
            <w:pPr>
              <w:pStyle w:val="60"/>
              <w:spacing w:line="480" w:lineRule="exact"/>
              <w:ind w:firstLine="480"/>
              <w:rPr>
                <w:rFonts w:hint="eastAsia" w:cs="宋体"/>
                <w:color w:val="auto"/>
                <w:sz w:val="24"/>
              </w:rPr>
            </w:pPr>
            <w:r>
              <w:rPr>
                <w:color w:val="auto"/>
                <w:sz w:val="24"/>
              </w:rPr>
              <w:t>2020年，邵东市监测地表水断面渡头桥镇光辉村、桐江兴隆和邵水梅子坝断面</w:t>
            </w:r>
            <w:r>
              <w:rPr>
                <w:rFonts w:hint="eastAsia"/>
                <w:color w:val="auto"/>
                <w:sz w:val="24"/>
              </w:rPr>
              <w:t>中</w:t>
            </w:r>
            <w:r>
              <w:rPr>
                <w:color w:val="auto"/>
                <w:sz w:val="24"/>
              </w:rPr>
              <w:t>水质符合地表水环境质量</w:t>
            </w:r>
            <w:r>
              <w:rPr>
                <w:rFonts w:hint="eastAsia" w:ascii="宋体" w:hAnsi="宋体" w:cs="宋体"/>
                <w:color w:val="auto"/>
                <w:sz w:val="24"/>
              </w:rPr>
              <w:t>Ⅲ</w:t>
            </w:r>
            <w:r>
              <w:rPr>
                <w:color w:val="auto"/>
                <w:sz w:val="24"/>
              </w:rPr>
              <w:t>类水质标准，水质状况为良好</w:t>
            </w:r>
            <w:r>
              <w:rPr>
                <w:rFonts w:hint="eastAsia" w:cs="宋体"/>
                <w:color w:val="auto"/>
                <w:sz w:val="24"/>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b/>
                <w:bCs/>
                <w:color w:val="auto"/>
                <w:sz w:val="24"/>
              </w:rPr>
            </w:pPr>
            <w:r>
              <w:rPr>
                <w:rFonts w:hint="eastAsia" w:eastAsia="黑体"/>
                <w:bCs/>
                <w:color w:val="auto"/>
                <w:sz w:val="24"/>
              </w:rPr>
              <w:t>3、</w:t>
            </w:r>
            <w:r>
              <w:rPr>
                <w:b/>
                <w:bCs/>
                <w:color w:val="auto"/>
                <w:sz w:val="24"/>
              </w:rPr>
              <w:t>声环境质量现状</w:t>
            </w:r>
          </w:p>
          <w:p>
            <w:pPr>
              <w:keepNext w:val="0"/>
              <w:keepLines w:val="0"/>
              <w:pageBreakBefore w:val="0"/>
              <w:widowControl/>
              <w:tabs>
                <w:tab w:val="left" w:pos="6505"/>
              </w:tabs>
              <w:kinsoku/>
              <w:wordWrap/>
              <w:overflowPunct/>
              <w:topLinePunct w:val="0"/>
              <w:autoSpaceDE/>
              <w:autoSpaceDN/>
              <w:bidi w:val="0"/>
              <w:adjustRightInd/>
              <w:spacing w:line="360" w:lineRule="auto"/>
              <w:ind w:firstLine="480" w:firstLineChars="200"/>
              <w:textAlignment w:val="auto"/>
              <w:rPr>
                <w:bCs/>
                <w:color w:val="auto"/>
                <w:kern w:val="0"/>
                <w:sz w:val="24"/>
                <w:highlight w:val="none"/>
              </w:rPr>
            </w:pPr>
            <w:r>
              <w:rPr>
                <w:color w:val="auto"/>
                <w:kern w:val="0"/>
                <w:sz w:val="24"/>
              </w:rPr>
              <w:t>本评价委托</w:t>
            </w:r>
            <w:r>
              <w:rPr>
                <w:rFonts w:hint="eastAsia"/>
                <w:color w:val="auto"/>
                <w:kern w:val="0"/>
                <w:sz w:val="24"/>
              </w:rPr>
              <w:t>湖南中额环保科技有限公</w:t>
            </w:r>
            <w:r>
              <w:rPr>
                <w:rFonts w:hint="eastAsia"/>
                <w:color w:val="auto"/>
                <w:kern w:val="0"/>
                <w:sz w:val="24"/>
                <w:highlight w:val="none"/>
              </w:rPr>
              <w:t>司</w:t>
            </w:r>
            <w:r>
              <w:rPr>
                <w:color w:val="auto"/>
                <w:kern w:val="0"/>
                <w:sz w:val="24"/>
                <w:highlight w:val="none"/>
              </w:rPr>
              <w:t>于202</w:t>
            </w:r>
            <w:r>
              <w:rPr>
                <w:rFonts w:hint="eastAsia"/>
                <w:color w:val="auto"/>
                <w:kern w:val="0"/>
                <w:sz w:val="24"/>
                <w:highlight w:val="none"/>
              </w:rPr>
              <w:t>1</w:t>
            </w:r>
            <w:r>
              <w:rPr>
                <w:color w:val="auto"/>
                <w:kern w:val="0"/>
                <w:sz w:val="24"/>
                <w:highlight w:val="none"/>
              </w:rPr>
              <w:t>年</w:t>
            </w:r>
            <w:r>
              <w:rPr>
                <w:rFonts w:hint="eastAsia"/>
                <w:color w:val="auto"/>
                <w:kern w:val="0"/>
                <w:sz w:val="24"/>
                <w:highlight w:val="none"/>
                <w:lang w:val="en-US" w:eastAsia="zh-CN"/>
              </w:rPr>
              <w:t>6月21日</w:t>
            </w:r>
            <w:r>
              <w:rPr>
                <w:color w:val="auto"/>
                <w:kern w:val="0"/>
                <w:sz w:val="24"/>
                <w:highlight w:val="none"/>
              </w:rPr>
              <w:t>~</w:t>
            </w:r>
            <w:r>
              <w:rPr>
                <w:rFonts w:hint="eastAsia"/>
                <w:color w:val="auto"/>
                <w:kern w:val="0"/>
                <w:sz w:val="24"/>
                <w:highlight w:val="none"/>
                <w:lang w:val="en-US" w:eastAsia="zh-CN"/>
              </w:rPr>
              <w:t>6月22日</w:t>
            </w:r>
            <w:r>
              <w:rPr>
                <w:color w:val="auto"/>
                <w:kern w:val="0"/>
                <w:sz w:val="24"/>
                <w:highlight w:val="none"/>
              </w:rPr>
              <w:t>现场监测。</w:t>
            </w:r>
          </w:p>
          <w:p>
            <w:pPr>
              <w:widowControl/>
              <w:adjustRightInd w:val="0"/>
              <w:snapToGrid w:val="0"/>
              <w:spacing w:line="360" w:lineRule="auto"/>
              <w:ind w:firstLine="480" w:firstLineChars="200"/>
              <w:jc w:val="left"/>
              <w:rPr>
                <w:color w:val="auto"/>
                <w:sz w:val="24"/>
                <w:szCs w:val="21"/>
              </w:rPr>
            </w:pPr>
            <w:r>
              <w:rPr>
                <w:color w:val="auto"/>
                <w:sz w:val="24"/>
                <w:szCs w:val="21"/>
              </w:rPr>
              <w:t>（1）监测点位</w:t>
            </w:r>
          </w:p>
          <w:p>
            <w:pPr>
              <w:widowControl/>
              <w:adjustRightInd w:val="0"/>
              <w:snapToGrid w:val="0"/>
              <w:spacing w:line="360" w:lineRule="auto"/>
              <w:ind w:firstLine="480" w:firstLineChars="200"/>
              <w:jc w:val="left"/>
              <w:rPr>
                <w:color w:val="auto"/>
                <w:sz w:val="24"/>
                <w:szCs w:val="21"/>
              </w:rPr>
            </w:pPr>
            <w:r>
              <w:rPr>
                <w:rFonts w:hint="eastAsia"/>
                <w:color w:val="auto"/>
                <w:sz w:val="24"/>
                <w:szCs w:val="21"/>
                <w:lang w:val="en-US" w:eastAsia="zh-CN"/>
              </w:rPr>
              <w:t>在厂界四周各</w:t>
            </w:r>
            <w:r>
              <w:rPr>
                <w:rFonts w:hint="eastAsia"/>
                <w:color w:val="auto"/>
                <w:sz w:val="24"/>
                <w:szCs w:val="21"/>
                <w:lang w:eastAsia="zh-CN"/>
              </w:rPr>
              <w:t>设置一个监测点，</w:t>
            </w:r>
            <w:r>
              <w:rPr>
                <w:rFonts w:hint="eastAsia"/>
                <w:color w:val="auto"/>
                <w:sz w:val="24"/>
                <w:szCs w:val="21"/>
                <w:lang w:val="en-US" w:eastAsia="zh-CN"/>
              </w:rPr>
              <w:t>在</w:t>
            </w:r>
            <w:r>
              <w:rPr>
                <w:color w:val="auto"/>
                <w:sz w:val="24"/>
                <w:szCs w:val="21"/>
              </w:rPr>
              <w:t>具体如下：</w:t>
            </w:r>
          </w:p>
          <w:p>
            <w:pPr>
              <w:widowControl/>
              <w:adjustRightInd w:val="0"/>
              <w:snapToGrid w:val="0"/>
              <w:spacing w:line="360" w:lineRule="auto"/>
              <w:ind w:firstLine="480" w:firstLineChars="200"/>
              <w:jc w:val="left"/>
              <w:rPr>
                <w:color w:val="auto"/>
                <w:sz w:val="24"/>
                <w:szCs w:val="21"/>
              </w:rPr>
            </w:pPr>
            <w:r>
              <w:rPr>
                <w:color w:val="auto"/>
                <w:sz w:val="24"/>
                <w:szCs w:val="21"/>
              </w:rPr>
              <w:t>N</w:t>
            </w:r>
            <w:r>
              <w:rPr>
                <w:rFonts w:hint="eastAsia"/>
                <w:color w:val="auto"/>
                <w:sz w:val="24"/>
                <w:szCs w:val="21"/>
              </w:rPr>
              <w:t>1</w:t>
            </w:r>
            <w:r>
              <w:rPr>
                <w:color w:val="auto"/>
                <w:sz w:val="24"/>
                <w:szCs w:val="21"/>
              </w:rPr>
              <w:t>：项目所在地</w:t>
            </w:r>
            <w:r>
              <w:rPr>
                <w:rFonts w:hint="eastAsia"/>
                <w:color w:val="auto"/>
                <w:sz w:val="24"/>
                <w:szCs w:val="21"/>
                <w:lang w:val="en-US" w:eastAsia="zh-CN"/>
              </w:rPr>
              <w:t>东面30</w:t>
            </w:r>
            <w:r>
              <w:rPr>
                <w:color w:val="auto"/>
                <w:sz w:val="24"/>
                <w:szCs w:val="21"/>
              </w:rPr>
              <w:t>m处；</w:t>
            </w:r>
          </w:p>
          <w:p>
            <w:pPr>
              <w:widowControl/>
              <w:adjustRightInd w:val="0"/>
              <w:snapToGrid w:val="0"/>
              <w:spacing w:line="360" w:lineRule="auto"/>
              <w:ind w:firstLine="480" w:firstLineChars="200"/>
              <w:jc w:val="left"/>
              <w:rPr>
                <w:color w:val="auto"/>
                <w:sz w:val="24"/>
                <w:szCs w:val="21"/>
              </w:rPr>
            </w:pPr>
            <w:r>
              <w:rPr>
                <w:color w:val="auto"/>
                <w:sz w:val="24"/>
                <w:szCs w:val="21"/>
              </w:rPr>
              <w:t>N</w:t>
            </w:r>
            <w:r>
              <w:rPr>
                <w:rFonts w:hint="eastAsia"/>
                <w:color w:val="auto"/>
                <w:sz w:val="24"/>
                <w:szCs w:val="21"/>
                <w:lang w:val="en-US" w:eastAsia="zh-CN"/>
              </w:rPr>
              <w:t>2</w:t>
            </w:r>
            <w:r>
              <w:rPr>
                <w:color w:val="auto"/>
                <w:sz w:val="24"/>
                <w:szCs w:val="21"/>
              </w:rPr>
              <w:t>：项目所在地</w:t>
            </w:r>
            <w:r>
              <w:rPr>
                <w:rFonts w:hint="eastAsia"/>
                <w:color w:val="auto"/>
                <w:sz w:val="24"/>
                <w:szCs w:val="21"/>
                <w:lang w:val="en-US" w:eastAsia="zh-CN"/>
              </w:rPr>
              <w:t>南面50</w:t>
            </w:r>
            <w:r>
              <w:rPr>
                <w:color w:val="auto"/>
                <w:sz w:val="24"/>
                <w:szCs w:val="21"/>
              </w:rPr>
              <w:t>m处；</w:t>
            </w:r>
          </w:p>
          <w:p>
            <w:pPr>
              <w:widowControl/>
              <w:adjustRightInd w:val="0"/>
              <w:snapToGrid w:val="0"/>
              <w:spacing w:line="360" w:lineRule="auto"/>
              <w:ind w:firstLine="480" w:firstLineChars="200"/>
              <w:jc w:val="left"/>
              <w:rPr>
                <w:color w:val="auto"/>
                <w:sz w:val="24"/>
                <w:szCs w:val="21"/>
              </w:rPr>
            </w:pPr>
            <w:r>
              <w:rPr>
                <w:color w:val="auto"/>
                <w:sz w:val="24"/>
                <w:szCs w:val="21"/>
              </w:rPr>
              <w:t>N</w:t>
            </w:r>
            <w:r>
              <w:rPr>
                <w:rFonts w:hint="eastAsia"/>
                <w:color w:val="auto"/>
                <w:sz w:val="24"/>
                <w:szCs w:val="21"/>
                <w:lang w:val="en-US" w:eastAsia="zh-CN"/>
              </w:rPr>
              <w:t>3</w:t>
            </w:r>
            <w:r>
              <w:rPr>
                <w:color w:val="auto"/>
                <w:sz w:val="24"/>
                <w:szCs w:val="21"/>
              </w:rPr>
              <w:t>：项目所在地</w:t>
            </w:r>
            <w:r>
              <w:rPr>
                <w:rFonts w:hint="eastAsia"/>
                <w:color w:val="auto"/>
                <w:sz w:val="24"/>
                <w:szCs w:val="21"/>
                <w:lang w:val="en-US" w:eastAsia="zh-CN"/>
              </w:rPr>
              <w:t>西面30</w:t>
            </w:r>
            <w:r>
              <w:rPr>
                <w:color w:val="auto"/>
                <w:sz w:val="24"/>
                <w:szCs w:val="21"/>
              </w:rPr>
              <w:t>m处；</w:t>
            </w:r>
          </w:p>
          <w:p>
            <w:pPr>
              <w:widowControl/>
              <w:adjustRightInd w:val="0"/>
              <w:snapToGrid w:val="0"/>
              <w:spacing w:line="360" w:lineRule="auto"/>
              <w:ind w:firstLine="480" w:firstLineChars="200"/>
              <w:jc w:val="left"/>
              <w:rPr>
                <w:color w:val="auto"/>
                <w:sz w:val="24"/>
                <w:szCs w:val="21"/>
              </w:rPr>
            </w:pPr>
            <w:r>
              <w:rPr>
                <w:color w:val="auto"/>
                <w:sz w:val="24"/>
                <w:szCs w:val="21"/>
              </w:rPr>
              <w:t>N</w:t>
            </w:r>
            <w:r>
              <w:rPr>
                <w:rFonts w:hint="eastAsia"/>
                <w:color w:val="auto"/>
                <w:sz w:val="24"/>
                <w:szCs w:val="21"/>
                <w:lang w:val="en-US" w:eastAsia="zh-CN"/>
              </w:rPr>
              <w:t>4</w:t>
            </w:r>
            <w:r>
              <w:rPr>
                <w:color w:val="auto"/>
                <w:sz w:val="24"/>
                <w:szCs w:val="21"/>
              </w:rPr>
              <w:t>：项目所在地北</w:t>
            </w:r>
            <w:r>
              <w:rPr>
                <w:rFonts w:hint="eastAsia"/>
                <w:color w:val="auto"/>
                <w:sz w:val="24"/>
                <w:szCs w:val="21"/>
                <w:lang w:val="en-US" w:eastAsia="zh-CN"/>
              </w:rPr>
              <w:t>面20</w:t>
            </w:r>
            <w:r>
              <w:rPr>
                <w:color w:val="auto"/>
                <w:sz w:val="24"/>
                <w:szCs w:val="21"/>
              </w:rPr>
              <w:t>m处；</w:t>
            </w:r>
          </w:p>
          <w:p>
            <w:pPr>
              <w:widowControl/>
              <w:adjustRightInd w:val="0"/>
              <w:snapToGrid w:val="0"/>
              <w:spacing w:line="360" w:lineRule="auto"/>
              <w:ind w:firstLine="480" w:firstLineChars="200"/>
              <w:jc w:val="left"/>
              <w:rPr>
                <w:color w:val="auto"/>
                <w:sz w:val="24"/>
                <w:szCs w:val="21"/>
              </w:rPr>
            </w:pPr>
            <w:r>
              <w:rPr>
                <w:color w:val="auto"/>
                <w:sz w:val="24"/>
                <w:szCs w:val="21"/>
              </w:rPr>
              <w:t>（2）监测因子</w:t>
            </w:r>
          </w:p>
          <w:p>
            <w:pPr>
              <w:widowControl/>
              <w:adjustRightInd w:val="0"/>
              <w:snapToGrid w:val="0"/>
              <w:spacing w:line="360" w:lineRule="auto"/>
              <w:ind w:firstLine="480" w:firstLineChars="200"/>
              <w:jc w:val="left"/>
              <w:rPr>
                <w:color w:val="auto"/>
                <w:sz w:val="24"/>
                <w:szCs w:val="21"/>
              </w:rPr>
            </w:pPr>
            <w:r>
              <w:rPr>
                <w:color w:val="auto"/>
                <w:sz w:val="24"/>
                <w:szCs w:val="21"/>
              </w:rPr>
              <w:t>等效连续A声级Leq（A）。</w:t>
            </w:r>
          </w:p>
          <w:p>
            <w:pPr>
              <w:widowControl/>
              <w:adjustRightInd w:val="0"/>
              <w:snapToGrid w:val="0"/>
              <w:spacing w:line="360" w:lineRule="auto"/>
              <w:ind w:firstLine="480" w:firstLineChars="200"/>
              <w:jc w:val="left"/>
              <w:rPr>
                <w:color w:val="auto"/>
                <w:sz w:val="24"/>
                <w:szCs w:val="21"/>
              </w:rPr>
            </w:pPr>
            <w:r>
              <w:rPr>
                <w:color w:val="auto"/>
                <w:sz w:val="24"/>
                <w:szCs w:val="21"/>
              </w:rPr>
              <w:t>（3）监测频率</w:t>
            </w:r>
          </w:p>
          <w:p>
            <w:pPr>
              <w:widowControl/>
              <w:adjustRightInd w:val="0"/>
              <w:snapToGrid w:val="0"/>
              <w:spacing w:line="360" w:lineRule="auto"/>
              <w:ind w:firstLine="480" w:firstLineChars="200"/>
              <w:jc w:val="left"/>
              <w:rPr>
                <w:color w:val="auto"/>
                <w:sz w:val="24"/>
                <w:szCs w:val="21"/>
              </w:rPr>
            </w:pPr>
            <w:r>
              <w:rPr>
                <w:color w:val="auto"/>
                <w:sz w:val="24"/>
                <w:szCs w:val="21"/>
              </w:rPr>
              <w:t>连续监测2天，每天昼间（6:00~22:00）、夜间（22:00~次日6:00）各监测1次。其它方面参照相关环境监测技术规范进行。</w:t>
            </w:r>
          </w:p>
          <w:p>
            <w:pPr>
              <w:widowControl/>
              <w:tabs>
                <w:tab w:val="left" w:pos="8918"/>
              </w:tabs>
              <w:adjustRightInd w:val="0"/>
              <w:snapToGrid w:val="0"/>
              <w:spacing w:line="360" w:lineRule="auto"/>
              <w:ind w:firstLine="480" w:firstLineChars="200"/>
              <w:rPr>
                <w:color w:val="auto"/>
                <w:sz w:val="24"/>
                <w:szCs w:val="21"/>
              </w:rPr>
            </w:pPr>
            <w:r>
              <w:rPr>
                <w:color w:val="auto"/>
                <w:sz w:val="24"/>
                <w:szCs w:val="21"/>
              </w:rPr>
              <w:t>（4）测量方法与仪器噪声测量按照《声环境质量标准》GB3096-2008进行测量。测量前后均经校正，前后两次校正灵敏度之差小于0.5dB。</w:t>
            </w:r>
          </w:p>
          <w:p>
            <w:pPr>
              <w:widowControl/>
              <w:tabs>
                <w:tab w:val="left" w:pos="8918"/>
              </w:tabs>
              <w:adjustRightInd w:val="0"/>
              <w:snapToGrid w:val="0"/>
              <w:spacing w:line="360" w:lineRule="auto"/>
              <w:ind w:firstLine="480" w:firstLineChars="200"/>
              <w:rPr>
                <w:color w:val="auto"/>
                <w:sz w:val="24"/>
                <w:szCs w:val="21"/>
              </w:rPr>
            </w:pPr>
            <w:r>
              <w:rPr>
                <w:color w:val="auto"/>
                <w:sz w:val="24"/>
                <w:szCs w:val="21"/>
              </w:rPr>
              <w:t>（5）监测结果</w:t>
            </w:r>
          </w:p>
          <w:p>
            <w:pPr>
              <w:widowControl/>
              <w:tabs>
                <w:tab w:val="left" w:pos="8918"/>
              </w:tabs>
              <w:adjustRightInd w:val="0"/>
              <w:snapToGrid w:val="0"/>
              <w:spacing w:line="360" w:lineRule="auto"/>
              <w:ind w:firstLine="480" w:firstLineChars="200"/>
              <w:rPr>
                <w:color w:val="auto"/>
                <w:sz w:val="24"/>
                <w:szCs w:val="21"/>
              </w:rPr>
            </w:pPr>
            <w:r>
              <w:rPr>
                <w:color w:val="auto"/>
                <w:sz w:val="24"/>
                <w:szCs w:val="21"/>
              </w:rPr>
              <w:t>监测结果见下表。</w:t>
            </w:r>
          </w:p>
          <w:p>
            <w:pPr>
              <w:widowControl/>
              <w:spacing w:line="360" w:lineRule="auto"/>
              <w:ind w:firstLine="422" w:firstLineChars="200"/>
              <w:jc w:val="center"/>
              <w:rPr>
                <w:rFonts w:hint="eastAsia"/>
                <w:b/>
                <w:bCs/>
                <w:color w:val="auto"/>
                <w:kern w:val="0"/>
                <w:szCs w:val="21"/>
              </w:rPr>
            </w:pPr>
          </w:p>
          <w:p>
            <w:pPr>
              <w:widowControl/>
              <w:spacing w:line="360" w:lineRule="auto"/>
              <w:ind w:firstLine="422" w:firstLineChars="200"/>
              <w:jc w:val="center"/>
              <w:rPr>
                <w:rFonts w:hint="eastAsia"/>
                <w:b/>
                <w:bCs/>
                <w:color w:val="auto"/>
                <w:kern w:val="0"/>
                <w:szCs w:val="21"/>
              </w:rPr>
            </w:pPr>
          </w:p>
          <w:p>
            <w:pPr>
              <w:widowControl/>
              <w:spacing w:line="360" w:lineRule="auto"/>
              <w:ind w:firstLine="422" w:firstLineChars="200"/>
              <w:jc w:val="center"/>
              <w:rPr>
                <w:rFonts w:hint="eastAsia"/>
                <w:b/>
                <w:bCs/>
                <w:color w:val="auto"/>
                <w:kern w:val="0"/>
                <w:szCs w:val="21"/>
              </w:rPr>
            </w:pPr>
          </w:p>
          <w:p>
            <w:pPr>
              <w:widowControl/>
              <w:spacing w:line="360" w:lineRule="auto"/>
              <w:ind w:firstLine="422" w:firstLineChars="200"/>
              <w:jc w:val="center"/>
              <w:rPr>
                <w:rFonts w:hint="eastAsia"/>
                <w:b/>
                <w:bCs/>
                <w:color w:val="auto"/>
                <w:kern w:val="0"/>
                <w:szCs w:val="21"/>
              </w:rPr>
            </w:pPr>
          </w:p>
          <w:p>
            <w:pPr>
              <w:widowControl/>
              <w:spacing w:line="360" w:lineRule="auto"/>
              <w:ind w:firstLine="422" w:firstLineChars="200"/>
              <w:jc w:val="center"/>
              <w:rPr>
                <w:b/>
                <w:bCs/>
                <w:color w:val="auto"/>
                <w:kern w:val="0"/>
                <w:szCs w:val="21"/>
              </w:rPr>
            </w:pPr>
            <w:r>
              <w:rPr>
                <w:rFonts w:hint="eastAsia"/>
                <w:b/>
                <w:bCs/>
                <w:color w:val="auto"/>
                <w:kern w:val="0"/>
                <w:szCs w:val="21"/>
              </w:rPr>
              <w:t>表3-</w:t>
            </w:r>
            <w:r>
              <w:rPr>
                <w:rFonts w:hint="eastAsia"/>
                <w:b/>
                <w:bCs/>
                <w:color w:val="auto"/>
                <w:kern w:val="0"/>
                <w:szCs w:val="21"/>
                <w:lang w:val="en-US" w:eastAsia="zh-CN"/>
              </w:rPr>
              <w:t>4</w:t>
            </w:r>
            <w:r>
              <w:rPr>
                <w:rFonts w:hint="eastAsia"/>
                <w:b/>
                <w:bCs/>
                <w:color w:val="auto"/>
                <w:kern w:val="0"/>
                <w:szCs w:val="21"/>
              </w:rPr>
              <w:t xml:space="preserve"> </w:t>
            </w:r>
            <w:r>
              <w:rPr>
                <w:b/>
                <w:bCs/>
                <w:color w:val="auto"/>
                <w:kern w:val="0"/>
                <w:szCs w:val="21"/>
              </w:rPr>
              <w:t>噪声现状监测结果一览表   单位：dB(A)</w:t>
            </w:r>
          </w:p>
          <w:tbl>
            <w:tblPr>
              <w:tblStyle w:val="29"/>
              <w:tblW w:w="802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53"/>
              <w:gridCol w:w="1351"/>
              <w:gridCol w:w="1006"/>
              <w:gridCol w:w="1007"/>
              <w:gridCol w:w="1344"/>
              <w:gridCol w:w="156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753" w:type="dxa"/>
                  <w:vMerge w:val="restart"/>
                  <w:tcBorders>
                    <w:tl2br w:val="nil"/>
                    <w:tr2bl w:val="nil"/>
                  </w:tcBorders>
                  <w:vAlign w:val="center"/>
                </w:tcPr>
                <w:p>
                  <w:pPr>
                    <w:pStyle w:val="83"/>
                    <w:widowControl w:val="0"/>
                    <w:rPr>
                      <w:rFonts w:cs="Times New Roman"/>
                      <w:b w:val="0"/>
                      <w:bCs/>
                      <w:color w:val="auto"/>
                    </w:rPr>
                  </w:pPr>
                  <w:r>
                    <w:rPr>
                      <w:rFonts w:cs="Times New Roman"/>
                      <w:b w:val="0"/>
                      <w:bCs/>
                      <w:color w:val="auto"/>
                    </w:rPr>
                    <w:t>监测点位</w:t>
                  </w:r>
                </w:p>
              </w:tc>
              <w:tc>
                <w:tcPr>
                  <w:tcW w:w="1351" w:type="dxa"/>
                  <w:vMerge w:val="restart"/>
                  <w:tcBorders>
                    <w:tl2br w:val="nil"/>
                    <w:tr2bl w:val="nil"/>
                  </w:tcBorders>
                  <w:vAlign w:val="center"/>
                </w:tcPr>
                <w:p>
                  <w:pPr>
                    <w:pStyle w:val="83"/>
                    <w:widowControl w:val="0"/>
                    <w:rPr>
                      <w:rFonts w:cs="Times New Roman"/>
                      <w:b w:val="0"/>
                      <w:bCs/>
                      <w:color w:val="auto"/>
                    </w:rPr>
                  </w:pPr>
                  <w:r>
                    <w:rPr>
                      <w:rFonts w:cs="Times New Roman"/>
                      <w:b w:val="0"/>
                      <w:bCs/>
                      <w:color w:val="auto"/>
                    </w:rPr>
                    <w:t>监测日期</w:t>
                  </w:r>
                </w:p>
              </w:tc>
              <w:tc>
                <w:tcPr>
                  <w:tcW w:w="2013" w:type="dxa"/>
                  <w:gridSpan w:val="2"/>
                  <w:tcBorders>
                    <w:tl2br w:val="nil"/>
                    <w:tr2bl w:val="nil"/>
                  </w:tcBorders>
                  <w:vAlign w:val="center"/>
                </w:tcPr>
                <w:p>
                  <w:pPr>
                    <w:pStyle w:val="83"/>
                    <w:widowControl w:val="0"/>
                    <w:rPr>
                      <w:rFonts w:cs="Times New Roman"/>
                      <w:b w:val="0"/>
                      <w:bCs/>
                      <w:color w:val="auto"/>
                    </w:rPr>
                  </w:pPr>
                  <w:r>
                    <w:rPr>
                      <w:rFonts w:cs="Times New Roman"/>
                      <w:b w:val="0"/>
                      <w:bCs/>
                      <w:color w:val="auto"/>
                    </w:rPr>
                    <w:t>监测值</w:t>
                  </w:r>
                </w:p>
              </w:tc>
              <w:tc>
                <w:tcPr>
                  <w:tcW w:w="2907" w:type="dxa"/>
                  <w:gridSpan w:val="2"/>
                  <w:vMerge w:val="restart"/>
                  <w:tcBorders>
                    <w:tl2br w:val="nil"/>
                    <w:tr2bl w:val="nil"/>
                  </w:tcBorders>
                  <w:vAlign w:val="center"/>
                </w:tcPr>
                <w:p>
                  <w:pPr>
                    <w:pStyle w:val="83"/>
                    <w:widowControl w:val="0"/>
                    <w:rPr>
                      <w:rFonts w:hint="eastAsia" w:eastAsia="宋体" w:cs="Times New Roman"/>
                      <w:b w:val="0"/>
                      <w:bCs/>
                      <w:color w:val="auto"/>
                      <w:lang w:eastAsia="zh-CN"/>
                    </w:rPr>
                  </w:pPr>
                  <w:r>
                    <w:rPr>
                      <w:rFonts w:cs="Times New Roman"/>
                      <w:b w:val="0"/>
                      <w:bCs/>
                      <w:color w:val="auto"/>
                    </w:rPr>
                    <w:t>《声环境质量标准》（GB3096--2008）</w:t>
                  </w:r>
                  <w:r>
                    <w:rPr>
                      <w:rFonts w:hint="eastAsia" w:cs="Times New Roman"/>
                      <w:b w:val="0"/>
                      <w:bCs/>
                      <w:color w:val="auto"/>
                      <w:lang w:eastAsia="zh-CN"/>
                    </w:rPr>
                    <w:t>2类标准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753" w:type="dxa"/>
                  <w:vMerge w:val="continue"/>
                  <w:tcBorders>
                    <w:tl2br w:val="nil"/>
                    <w:tr2bl w:val="nil"/>
                  </w:tcBorders>
                  <w:vAlign w:val="center"/>
                </w:tcPr>
                <w:p>
                  <w:pPr>
                    <w:pStyle w:val="83"/>
                    <w:widowControl w:val="0"/>
                    <w:rPr>
                      <w:rFonts w:cs="Times New Roman"/>
                      <w:b w:val="0"/>
                      <w:bCs/>
                      <w:color w:val="auto"/>
                    </w:rPr>
                  </w:pPr>
                </w:p>
              </w:tc>
              <w:tc>
                <w:tcPr>
                  <w:tcW w:w="1351" w:type="dxa"/>
                  <w:vMerge w:val="continue"/>
                  <w:tcBorders>
                    <w:tl2br w:val="nil"/>
                    <w:tr2bl w:val="nil"/>
                  </w:tcBorders>
                  <w:vAlign w:val="center"/>
                </w:tcPr>
                <w:p>
                  <w:pPr>
                    <w:pStyle w:val="83"/>
                    <w:widowControl w:val="0"/>
                    <w:rPr>
                      <w:rFonts w:cs="Times New Roman"/>
                      <w:b w:val="0"/>
                      <w:bCs/>
                      <w:color w:val="auto"/>
                    </w:rPr>
                  </w:pPr>
                </w:p>
              </w:tc>
              <w:tc>
                <w:tcPr>
                  <w:tcW w:w="1006" w:type="dxa"/>
                  <w:tcBorders>
                    <w:tl2br w:val="nil"/>
                    <w:tr2bl w:val="nil"/>
                  </w:tcBorders>
                  <w:vAlign w:val="center"/>
                </w:tcPr>
                <w:p>
                  <w:pPr>
                    <w:pStyle w:val="83"/>
                    <w:widowControl w:val="0"/>
                    <w:rPr>
                      <w:rFonts w:cs="Times New Roman"/>
                      <w:b w:val="0"/>
                      <w:bCs/>
                      <w:color w:val="auto"/>
                    </w:rPr>
                  </w:pPr>
                  <w:r>
                    <w:rPr>
                      <w:rFonts w:hint="eastAsia" w:cs="Times New Roman"/>
                      <w:b w:val="0"/>
                      <w:bCs/>
                      <w:color w:val="auto"/>
                    </w:rPr>
                    <w:t xml:space="preserve"> 昼间</w:t>
                  </w:r>
                </w:p>
              </w:tc>
              <w:tc>
                <w:tcPr>
                  <w:tcW w:w="1007" w:type="dxa"/>
                  <w:tcBorders>
                    <w:tl2br w:val="nil"/>
                    <w:tr2bl w:val="nil"/>
                  </w:tcBorders>
                  <w:vAlign w:val="center"/>
                </w:tcPr>
                <w:p>
                  <w:pPr>
                    <w:pStyle w:val="83"/>
                    <w:widowControl w:val="0"/>
                    <w:rPr>
                      <w:rFonts w:cs="Times New Roman"/>
                      <w:b w:val="0"/>
                      <w:bCs/>
                      <w:color w:val="auto"/>
                    </w:rPr>
                  </w:pPr>
                  <w:r>
                    <w:rPr>
                      <w:rFonts w:cs="Times New Roman"/>
                      <w:b w:val="0"/>
                      <w:bCs/>
                      <w:color w:val="auto"/>
                    </w:rPr>
                    <w:t xml:space="preserve"> 夜间</w:t>
                  </w:r>
                </w:p>
              </w:tc>
              <w:tc>
                <w:tcPr>
                  <w:tcW w:w="2907" w:type="dxa"/>
                  <w:gridSpan w:val="2"/>
                  <w:vMerge w:val="continue"/>
                  <w:tcBorders>
                    <w:tl2br w:val="nil"/>
                    <w:tr2bl w:val="nil"/>
                  </w:tcBorders>
                  <w:vAlign w:val="center"/>
                </w:tcPr>
                <w:p>
                  <w:pPr>
                    <w:pStyle w:val="83"/>
                    <w:widowControl w:val="0"/>
                    <w:rPr>
                      <w:rFonts w:cs="Times New Roman"/>
                      <w:b w:val="0"/>
                      <w:bCs/>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753" w:type="dxa"/>
                  <w:vMerge w:val="restart"/>
                  <w:tcBorders>
                    <w:tl2br w:val="nil"/>
                    <w:tr2bl w:val="nil"/>
                  </w:tcBorders>
                  <w:vAlign w:val="center"/>
                </w:tcPr>
                <w:p>
                  <w:pPr>
                    <w:pStyle w:val="83"/>
                    <w:widowControl w:val="0"/>
                    <w:rPr>
                      <w:rFonts w:cs="Times New Roman"/>
                      <w:b w:val="0"/>
                      <w:bCs/>
                      <w:color w:val="auto"/>
                    </w:rPr>
                  </w:pPr>
                  <w:r>
                    <w:rPr>
                      <w:rFonts w:cs="Times New Roman"/>
                      <w:b w:val="0"/>
                      <w:bCs/>
                      <w:color w:val="auto"/>
                    </w:rPr>
                    <w:t>项目所在地</w:t>
                  </w:r>
                </w:p>
                <w:p>
                  <w:pPr>
                    <w:pStyle w:val="83"/>
                    <w:widowControl w:val="0"/>
                    <w:rPr>
                      <w:rFonts w:cs="Times New Roman"/>
                      <w:b w:val="0"/>
                      <w:bCs/>
                      <w:color w:val="auto"/>
                    </w:rPr>
                  </w:pPr>
                  <w:r>
                    <w:rPr>
                      <w:rFonts w:hint="eastAsia" w:cs="Times New Roman"/>
                      <w:b w:val="0"/>
                      <w:bCs/>
                      <w:color w:val="auto"/>
                      <w:lang w:val="en-US" w:eastAsia="zh-CN"/>
                    </w:rPr>
                    <w:t>东面30m</w:t>
                  </w:r>
                  <w:r>
                    <w:rPr>
                      <w:rFonts w:cs="Times New Roman"/>
                      <w:b w:val="0"/>
                      <w:bCs/>
                      <w:color w:val="auto"/>
                    </w:rPr>
                    <w:t>处</w:t>
                  </w:r>
                </w:p>
              </w:tc>
              <w:tc>
                <w:tcPr>
                  <w:tcW w:w="1351" w:type="dxa"/>
                  <w:tcBorders>
                    <w:tl2br w:val="nil"/>
                    <w:tr2bl w:val="nil"/>
                  </w:tcBorders>
                  <w:vAlign w:val="center"/>
                </w:tcPr>
                <w:p>
                  <w:pPr>
                    <w:spacing w:line="320" w:lineRule="exact"/>
                    <w:ind w:left="0" w:leftChars="0" w:firstLine="0" w:firstLineChars="0"/>
                    <w:jc w:val="center"/>
                    <w:rPr>
                      <w:rFonts w:hint="eastAsia" w:cs="Times New Roman"/>
                      <w:b w:val="0"/>
                      <w:bCs/>
                      <w:color w:val="auto"/>
                      <w:highlight w:val="none"/>
                    </w:rPr>
                  </w:pPr>
                  <w:r>
                    <w:rPr>
                      <w:rFonts w:hint="eastAsia" w:ascii="Times New Roman" w:hAnsi="Times New Roman"/>
                      <w:color w:val="auto"/>
                      <w:sz w:val="21"/>
                      <w:szCs w:val="21"/>
                      <w:lang w:val="en-US" w:eastAsia="zh-CN"/>
                    </w:rPr>
                    <w:t>2021.6.21</w:t>
                  </w:r>
                </w:p>
              </w:tc>
              <w:tc>
                <w:tcPr>
                  <w:tcW w:w="1006" w:type="dxa"/>
                  <w:tcBorders>
                    <w:tl2br w:val="nil"/>
                    <w:tr2bl w:val="nil"/>
                  </w:tcBorders>
                  <w:vAlign w:val="center"/>
                </w:tcPr>
                <w:p>
                  <w:pPr>
                    <w:spacing w:line="320" w:lineRule="exact"/>
                    <w:ind w:left="0" w:leftChars="0" w:firstLine="0" w:firstLineChars="0"/>
                    <w:jc w:val="center"/>
                    <w:rPr>
                      <w:rFonts w:hint="eastAsia" w:cs="Times New Roman"/>
                      <w:b w:val="0"/>
                      <w:bCs/>
                      <w:color w:val="auto"/>
                      <w:highlight w:val="none"/>
                      <w:lang w:val="en-US" w:eastAsia="zh-CN"/>
                    </w:rPr>
                  </w:pPr>
                  <w:r>
                    <w:rPr>
                      <w:rFonts w:hint="eastAsia" w:ascii="Times New Roman" w:hAnsi="Times New Roman" w:eastAsia="宋体" w:cs="Times New Roman"/>
                      <w:color w:val="auto"/>
                      <w:sz w:val="21"/>
                      <w:szCs w:val="21"/>
                      <w:lang w:val="en-US" w:eastAsia="zh-CN"/>
                    </w:rPr>
                    <w:t>55.7</w:t>
                  </w:r>
                </w:p>
              </w:tc>
              <w:tc>
                <w:tcPr>
                  <w:tcW w:w="1007" w:type="dxa"/>
                  <w:tcBorders>
                    <w:tl2br w:val="nil"/>
                    <w:tr2bl w:val="nil"/>
                  </w:tcBorders>
                  <w:vAlign w:val="center"/>
                </w:tcPr>
                <w:p>
                  <w:pPr>
                    <w:spacing w:line="320" w:lineRule="exact"/>
                    <w:ind w:left="0" w:leftChars="0" w:firstLine="0" w:firstLineChars="0"/>
                    <w:jc w:val="center"/>
                    <w:rPr>
                      <w:rFonts w:hint="eastAsia"/>
                      <w:bCs/>
                      <w:color w:val="auto"/>
                      <w:szCs w:val="21"/>
                      <w:highlight w:val="none"/>
                    </w:rPr>
                  </w:pPr>
                  <w:r>
                    <w:rPr>
                      <w:rFonts w:hint="eastAsia" w:ascii="Times New Roman" w:hAnsi="Times New Roman"/>
                      <w:color w:val="auto"/>
                      <w:sz w:val="21"/>
                      <w:szCs w:val="21"/>
                      <w:lang w:val="en-US" w:eastAsia="zh-CN"/>
                    </w:rPr>
                    <w:t>43.3</w:t>
                  </w:r>
                </w:p>
              </w:tc>
              <w:tc>
                <w:tcPr>
                  <w:tcW w:w="1344" w:type="dxa"/>
                  <w:vMerge w:val="restart"/>
                  <w:tcBorders>
                    <w:tl2br w:val="nil"/>
                    <w:tr2bl w:val="nil"/>
                  </w:tcBorders>
                  <w:vAlign w:val="center"/>
                </w:tcPr>
                <w:p>
                  <w:pPr>
                    <w:adjustRightInd w:val="0"/>
                    <w:snapToGrid w:val="0"/>
                    <w:spacing w:line="320" w:lineRule="exact"/>
                    <w:jc w:val="center"/>
                    <w:rPr>
                      <w:rFonts w:hint="eastAsia" w:eastAsia="宋体"/>
                      <w:bCs/>
                      <w:color w:val="auto"/>
                      <w:szCs w:val="21"/>
                      <w:lang w:eastAsia="zh-CN"/>
                    </w:rPr>
                  </w:pPr>
                  <w:r>
                    <w:rPr>
                      <w:rFonts w:hint="eastAsia"/>
                      <w:bCs/>
                      <w:color w:val="auto"/>
                      <w:szCs w:val="21"/>
                    </w:rPr>
                    <w:t>6</w:t>
                  </w:r>
                  <w:r>
                    <w:rPr>
                      <w:rFonts w:hint="eastAsia"/>
                      <w:bCs/>
                      <w:color w:val="auto"/>
                      <w:szCs w:val="21"/>
                      <w:lang w:val="en-US" w:eastAsia="zh-CN"/>
                    </w:rPr>
                    <w:t>0</w:t>
                  </w:r>
                </w:p>
              </w:tc>
              <w:tc>
                <w:tcPr>
                  <w:tcW w:w="1563" w:type="dxa"/>
                  <w:vMerge w:val="restart"/>
                  <w:tcBorders>
                    <w:tl2br w:val="nil"/>
                    <w:tr2bl w:val="nil"/>
                  </w:tcBorders>
                  <w:vAlign w:val="center"/>
                </w:tcPr>
                <w:p>
                  <w:pPr>
                    <w:adjustRightInd w:val="0"/>
                    <w:snapToGrid w:val="0"/>
                    <w:spacing w:line="320" w:lineRule="exact"/>
                    <w:jc w:val="center"/>
                    <w:rPr>
                      <w:rFonts w:hint="eastAsia" w:eastAsia="宋体"/>
                      <w:bCs/>
                      <w:color w:val="auto"/>
                      <w:szCs w:val="21"/>
                      <w:lang w:eastAsia="zh-CN"/>
                    </w:rPr>
                  </w:pPr>
                  <w:r>
                    <w:rPr>
                      <w:rFonts w:hint="eastAsia"/>
                      <w:bCs/>
                      <w:color w:val="auto"/>
                      <w:szCs w:val="21"/>
                    </w:rPr>
                    <w:t>5</w:t>
                  </w:r>
                  <w:r>
                    <w:rPr>
                      <w:rFonts w:hint="eastAsia"/>
                      <w:bCs/>
                      <w:color w:val="auto"/>
                      <w:szCs w:val="21"/>
                      <w:lang w:val="en-US" w:eastAsia="zh-CN"/>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753" w:type="dxa"/>
                  <w:vMerge w:val="continue"/>
                  <w:tcBorders>
                    <w:tl2br w:val="nil"/>
                    <w:tr2bl w:val="nil"/>
                  </w:tcBorders>
                  <w:vAlign w:val="center"/>
                </w:tcPr>
                <w:p>
                  <w:pPr>
                    <w:pStyle w:val="83"/>
                    <w:widowControl w:val="0"/>
                    <w:rPr>
                      <w:rFonts w:cs="Times New Roman"/>
                      <w:b w:val="0"/>
                      <w:bCs/>
                      <w:color w:val="auto"/>
                    </w:rPr>
                  </w:pPr>
                </w:p>
              </w:tc>
              <w:tc>
                <w:tcPr>
                  <w:tcW w:w="1351" w:type="dxa"/>
                  <w:tcBorders>
                    <w:tl2br w:val="nil"/>
                    <w:tr2bl w:val="nil"/>
                  </w:tcBorders>
                  <w:vAlign w:val="center"/>
                </w:tcPr>
                <w:p>
                  <w:pPr>
                    <w:spacing w:line="320" w:lineRule="exact"/>
                    <w:ind w:left="0" w:leftChars="0" w:firstLine="0" w:firstLineChars="0"/>
                    <w:jc w:val="center"/>
                    <w:rPr>
                      <w:rFonts w:hint="eastAsia" w:cs="Times New Roman"/>
                      <w:b w:val="0"/>
                      <w:bCs/>
                      <w:color w:val="auto"/>
                      <w:highlight w:val="none"/>
                    </w:rPr>
                  </w:pPr>
                  <w:r>
                    <w:rPr>
                      <w:rFonts w:hint="eastAsia" w:ascii="Times New Roman" w:hAnsi="Times New Roman"/>
                      <w:color w:val="auto"/>
                      <w:sz w:val="21"/>
                      <w:szCs w:val="21"/>
                      <w:lang w:val="en-US" w:eastAsia="zh-CN"/>
                    </w:rPr>
                    <w:t>2021.6.22</w:t>
                  </w:r>
                </w:p>
              </w:tc>
              <w:tc>
                <w:tcPr>
                  <w:tcW w:w="1006" w:type="dxa"/>
                  <w:tcBorders>
                    <w:tl2br w:val="nil"/>
                    <w:tr2bl w:val="nil"/>
                  </w:tcBorders>
                  <w:vAlign w:val="center"/>
                </w:tcPr>
                <w:p>
                  <w:pPr>
                    <w:spacing w:line="320" w:lineRule="exact"/>
                    <w:ind w:left="0" w:leftChars="0" w:firstLine="0" w:firstLineChars="0"/>
                    <w:jc w:val="center"/>
                    <w:rPr>
                      <w:rFonts w:hint="eastAsia" w:cs="Times New Roman"/>
                      <w:b w:val="0"/>
                      <w:bCs/>
                      <w:color w:val="auto"/>
                      <w:highlight w:val="none"/>
                      <w:lang w:val="en-US" w:eastAsia="zh-CN"/>
                    </w:rPr>
                  </w:pPr>
                  <w:r>
                    <w:rPr>
                      <w:rFonts w:hint="eastAsia" w:ascii="Times New Roman" w:hAnsi="Times New Roman" w:eastAsia="宋体" w:cs="Times New Roman"/>
                      <w:color w:val="auto"/>
                      <w:sz w:val="21"/>
                      <w:szCs w:val="21"/>
                      <w:lang w:val="en-US" w:eastAsia="zh-CN"/>
                    </w:rPr>
                    <w:t>55.3</w:t>
                  </w:r>
                </w:p>
              </w:tc>
              <w:tc>
                <w:tcPr>
                  <w:tcW w:w="1007" w:type="dxa"/>
                  <w:tcBorders>
                    <w:tl2br w:val="nil"/>
                    <w:tr2bl w:val="nil"/>
                  </w:tcBorders>
                  <w:vAlign w:val="center"/>
                </w:tcPr>
                <w:p>
                  <w:pPr>
                    <w:spacing w:line="320" w:lineRule="exact"/>
                    <w:ind w:left="0" w:leftChars="0" w:firstLine="0" w:firstLineChars="0"/>
                    <w:jc w:val="center"/>
                    <w:rPr>
                      <w:rFonts w:hint="eastAsia"/>
                      <w:bCs/>
                      <w:color w:val="auto"/>
                      <w:szCs w:val="21"/>
                      <w:highlight w:val="none"/>
                    </w:rPr>
                  </w:pPr>
                  <w:r>
                    <w:rPr>
                      <w:rFonts w:hint="eastAsia" w:ascii="Times New Roman" w:hAnsi="Times New Roman"/>
                      <w:color w:val="auto"/>
                      <w:sz w:val="21"/>
                      <w:szCs w:val="21"/>
                      <w:lang w:val="en-US" w:eastAsia="zh-CN"/>
                    </w:rPr>
                    <w:t>43.0</w:t>
                  </w:r>
                </w:p>
              </w:tc>
              <w:tc>
                <w:tcPr>
                  <w:tcW w:w="1344" w:type="dxa"/>
                  <w:vMerge w:val="continue"/>
                  <w:tcBorders>
                    <w:tl2br w:val="nil"/>
                    <w:tr2bl w:val="nil"/>
                  </w:tcBorders>
                  <w:vAlign w:val="center"/>
                </w:tcPr>
                <w:p>
                  <w:pPr>
                    <w:adjustRightInd w:val="0"/>
                    <w:snapToGrid w:val="0"/>
                    <w:spacing w:line="320" w:lineRule="exact"/>
                    <w:jc w:val="center"/>
                    <w:rPr>
                      <w:rFonts w:hint="eastAsia"/>
                      <w:bCs/>
                      <w:color w:val="auto"/>
                      <w:szCs w:val="21"/>
                    </w:rPr>
                  </w:pPr>
                </w:p>
              </w:tc>
              <w:tc>
                <w:tcPr>
                  <w:tcW w:w="1563" w:type="dxa"/>
                  <w:vMerge w:val="continue"/>
                  <w:tcBorders>
                    <w:tl2br w:val="nil"/>
                    <w:tr2bl w:val="nil"/>
                  </w:tcBorders>
                  <w:vAlign w:val="center"/>
                </w:tcPr>
                <w:p>
                  <w:pPr>
                    <w:adjustRightInd w:val="0"/>
                    <w:snapToGrid w:val="0"/>
                    <w:spacing w:line="320" w:lineRule="exact"/>
                    <w:jc w:val="center"/>
                    <w:rPr>
                      <w:rFonts w:hint="eastAsia"/>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753" w:type="dxa"/>
                  <w:vMerge w:val="restart"/>
                  <w:tcBorders>
                    <w:tl2br w:val="nil"/>
                    <w:tr2bl w:val="nil"/>
                  </w:tcBorders>
                  <w:vAlign w:val="center"/>
                </w:tcPr>
                <w:p>
                  <w:pPr>
                    <w:pStyle w:val="83"/>
                    <w:widowControl w:val="0"/>
                    <w:rPr>
                      <w:rFonts w:cs="Times New Roman"/>
                      <w:b w:val="0"/>
                      <w:bCs/>
                      <w:color w:val="auto"/>
                    </w:rPr>
                  </w:pPr>
                  <w:r>
                    <w:rPr>
                      <w:rFonts w:cs="Times New Roman"/>
                      <w:b w:val="0"/>
                      <w:bCs/>
                      <w:color w:val="auto"/>
                    </w:rPr>
                    <w:t>项目所在地</w:t>
                  </w:r>
                </w:p>
                <w:p>
                  <w:pPr>
                    <w:pStyle w:val="83"/>
                    <w:widowControl w:val="0"/>
                    <w:rPr>
                      <w:rFonts w:cs="Times New Roman"/>
                      <w:b w:val="0"/>
                      <w:bCs/>
                      <w:color w:val="auto"/>
                    </w:rPr>
                  </w:pPr>
                  <w:r>
                    <w:rPr>
                      <w:rFonts w:hint="eastAsia" w:cs="Times New Roman"/>
                      <w:b w:val="0"/>
                      <w:bCs/>
                      <w:color w:val="auto"/>
                      <w:lang w:val="en-US" w:eastAsia="zh-CN"/>
                    </w:rPr>
                    <w:t>南面50m</w:t>
                  </w:r>
                  <w:r>
                    <w:rPr>
                      <w:rFonts w:cs="Times New Roman"/>
                      <w:b w:val="0"/>
                      <w:bCs/>
                      <w:color w:val="auto"/>
                    </w:rPr>
                    <w:t>处</w:t>
                  </w:r>
                </w:p>
              </w:tc>
              <w:tc>
                <w:tcPr>
                  <w:tcW w:w="1351" w:type="dxa"/>
                  <w:tcBorders>
                    <w:tl2br w:val="nil"/>
                    <w:tr2bl w:val="nil"/>
                  </w:tcBorders>
                  <w:vAlign w:val="center"/>
                </w:tcPr>
                <w:p>
                  <w:pPr>
                    <w:spacing w:line="320" w:lineRule="exact"/>
                    <w:ind w:left="0" w:leftChars="0" w:firstLine="0" w:firstLineChars="0"/>
                    <w:jc w:val="center"/>
                    <w:rPr>
                      <w:rFonts w:hint="default" w:eastAsia="宋体" w:cs="Times New Roman"/>
                      <w:b w:val="0"/>
                      <w:bCs/>
                      <w:color w:val="auto"/>
                      <w:highlight w:val="none"/>
                      <w:lang w:val="en-US" w:eastAsia="zh-CN"/>
                    </w:rPr>
                  </w:pPr>
                  <w:r>
                    <w:rPr>
                      <w:rFonts w:hint="eastAsia" w:ascii="Times New Roman" w:hAnsi="Times New Roman"/>
                      <w:color w:val="auto"/>
                      <w:sz w:val="21"/>
                      <w:szCs w:val="21"/>
                      <w:lang w:val="en-US" w:eastAsia="zh-CN"/>
                    </w:rPr>
                    <w:t>2021.6.21</w:t>
                  </w:r>
                </w:p>
              </w:tc>
              <w:tc>
                <w:tcPr>
                  <w:tcW w:w="1006" w:type="dxa"/>
                  <w:tcBorders>
                    <w:tl2br w:val="nil"/>
                    <w:tr2bl w:val="nil"/>
                  </w:tcBorders>
                  <w:vAlign w:val="center"/>
                </w:tcPr>
                <w:p>
                  <w:pPr>
                    <w:spacing w:line="320" w:lineRule="exact"/>
                    <w:ind w:left="0" w:leftChars="0" w:firstLine="0" w:firstLineChars="0"/>
                    <w:jc w:val="center"/>
                    <w:rPr>
                      <w:rFonts w:hint="default" w:eastAsia="宋体" w:cs="Times New Roman"/>
                      <w:b w:val="0"/>
                      <w:bCs/>
                      <w:color w:val="auto"/>
                      <w:highlight w:val="none"/>
                      <w:lang w:val="en-US" w:eastAsia="zh-CN"/>
                    </w:rPr>
                  </w:pPr>
                  <w:r>
                    <w:rPr>
                      <w:rFonts w:hint="eastAsia" w:ascii="Times New Roman" w:hAnsi="Times New Roman" w:eastAsia="宋体" w:cs="Times New Roman"/>
                      <w:color w:val="auto"/>
                      <w:sz w:val="21"/>
                      <w:szCs w:val="21"/>
                      <w:lang w:val="en-US" w:eastAsia="zh-CN"/>
                    </w:rPr>
                    <w:t>54.9</w:t>
                  </w:r>
                </w:p>
              </w:tc>
              <w:tc>
                <w:tcPr>
                  <w:tcW w:w="1007" w:type="dxa"/>
                  <w:tcBorders>
                    <w:tl2br w:val="nil"/>
                    <w:tr2bl w:val="nil"/>
                  </w:tcBorders>
                  <w:vAlign w:val="center"/>
                </w:tcPr>
                <w:p>
                  <w:pPr>
                    <w:spacing w:line="320" w:lineRule="exact"/>
                    <w:ind w:left="0" w:leftChars="0" w:firstLine="0" w:firstLineChars="0"/>
                    <w:jc w:val="center"/>
                    <w:rPr>
                      <w:rFonts w:hint="default" w:eastAsia="宋体"/>
                      <w:bCs/>
                      <w:color w:val="auto"/>
                      <w:szCs w:val="21"/>
                      <w:highlight w:val="none"/>
                      <w:lang w:val="en-US" w:eastAsia="zh-CN"/>
                    </w:rPr>
                  </w:pPr>
                  <w:r>
                    <w:rPr>
                      <w:rFonts w:hint="eastAsia" w:ascii="Times New Roman" w:hAnsi="Times New Roman"/>
                      <w:color w:val="auto"/>
                      <w:sz w:val="21"/>
                      <w:szCs w:val="21"/>
                      <w:lang w:val="en-US" w:eastAsia="zh-CN"/>
                    </w:rPr>
                    <w:t>42.5</w:t>
                  </w:r>
                </w:p>
              </w:tc>
              <w:tc>
                <w:tcPr>
                  <w:tcW w:w="1344" w:type="dxa"/>
                  <w:vMerge w:val="continue"/>
                  <w:tcBorders>
                    <w:tl2br w:val="nil"/>
                    <w:tr2bl w:val="nil"/>
                  </w:tcBorders>
                  <w:vAlign w:val="center"/>
                </w:tcPr>
                <w:p>
                  <w:pPr>
                    <w:adjustRightInd w:val="0"/>
                    <w:snapToGrid w:val="0"/>
                    <w:spacing w:line="320" w:lineRule="exact"/>
                    <w:jc w:val="center"/>
                    <w:rPr>
                      <w:bCs/>
                      <w:color w:val="auto"/>
                      <w:szCs w:val="21"/>
                    </w:rPr>
                  </w:pPr>
                </w:p>
              </w:tc>
              <w:tc>
                <w:tcPr>
                  <w:tcW w:w="1563" w:type="dxa"/>
                  <w:vMerge w:val="continue"/>
                  <w:tcBorders>
                    <w:tl2br w:val="nil"/>
                    <w:tr2bl w:val="nil"/>
                  </w:tcBorders>
                  <w:vAlign w:val="center"/>
                </w:tcPr>
                <w:p>
                  <w:pPr>
                    <w:adjustRightInd w:val="0"/>
                    <w:snapToGrid w:val="0"/>
                    <w:spacing w:line="320" w:lineRule="exact"/>
                    <w:jc w:val="center"/>
                    <w:rPr>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753" w:type="dxa"/>
                  <w:vMerge w:val="continue"/>
                  <w:tcBorders>
                    <w:tl2br w:val="nil"/>
                    <w:tr2bl w:val="nil"/>
                  </w:tcBorders>
                  <w:vAlign w:val="center"/>
                </w:tcPr>
                <w:p>
                  <w:pPr>
                    <w:pStyle w:val="83"/>
                    <w:widowControl w:val="0"/>
                    <w:rPr>
                      <w:rFonts w:cs="Times New Roman"/>
                      <w:b w:val="0"/>
                      <w:bCs/>
                      <w:color w:val="auto"/>
                    </w:rPr>
                  </w:pPr>
                </w:p>
              </w:tc>
              <w:tc>
                <w:tcPr>
                  <w:tcW w:w="1351" w:type="dxa"/>
                  <w:tcBorders>
                    <w:tl2br w:val="nil"/>
                    <w:tr2bl w:val="nil"/>
                  </w:tcBorders>
                  <w:vAlign w:val="center"/>
                </w:tcPr>
                <w:p>
                  <w:pPr>
                    <w:spacing w:line="320" w:lineRule="exact"/>
                    <w:ind w:left="0" w:leftChars="0" w:firstLine="0" w:firstLineChars="0"/>
                    <w:jc w:val="center"/>
                    <w:rPr>
                      <w:rFonts w:hint="default" w:eastAsia="宋体" w:cs="Times New Roman"/>
                      <w:b w:val="0"/>
                      <w:bCs/>
                      <w:color w:val="auto"/>
                      <w:highlight w:val="none"/>
                      <w:lang w:val="en-US" w:eastAsia="zh-CN"/>
                    </w:rPr>
                  </w:pPr>
                  <w:r>
                    <w:rPr>
                      <w:rFonts w:hint="eastAsia" w:ascii="Times New Roman" w:hAnsi="Times New Roman"/>
                      <w:color w:val="auto"/>
                      <w:sz w:val="21"/>
                      <w:szCs w:val="21"/>
                      <w:lang w:val="en-US" w:eastAsia="zh-CN"/>
                    </w:rPr>
                    <w:t>2021.6.22</w:t>
                  </w:r>
                </w:p>
              </w:tc>
              <w:tc>
                <w:tcPr>
                  <w:tcW w:w="1006" w:type="dxa"/>
                  <w:tcBorders>
                    <w:tl2br w:val="nil"/>
                    <w:tr2bl w:val="nil"/>
                  </w:tcBorders>
                  <w:vAlign w:val="center"/>
                </w:tcPr>
                <w:p>
                  <w:pPr>
                    <w:spacing w:line="320" w:lineRule="exact"/>
                    <w:ind w:left="0" w:leftChars="0" w:firstLine="0" w:firstLineChars="0"/>
                    <w:jc w:val="center"/>
                    <w:rPr>
                      <w:rFonts w:hint="default" w:eastAsia="宋体" w:cs="Times New Roman"/>
                      <w:b w:val="0"/>
                      <w:bCs/>
                      <w:color w:val="auto"/>
                      <w:highlight w:val="none"/>
                      <w:lang w:val="en-US" w:eastAsia="zh-CN"/>
                    </w:rPr>
                  </w:pPr>
                  <w:r>
                    <w:rPr>
                      <w:rFonts w:hint="eastAsia" w:ascii="Times New Roman" w:hAnsi="Times New Roman" w:eastAsia="宋体" w:cs="Times New Roman"/>
                      <w:color w:val="auto"/>
                      <w:sz w:val="21"/>
                      <w:szCs w:val="21"/>
                      <w:lang w:val="en-US" w:eastAsia="zh-CN"/>
                    </w:rPr>
                    <w:t>55.0</w:t>
                  </w:r>
                </w:p>
              </w:tc>
              <w:tc>
                <w:tcPr>
                  <w:tcW w:w="1007" w:type="dxa"/>
                  <w:tcBorders>
                    <w:tl2br w:val="nil"/>
                    <w:tr2bl w:val="nil"/>
                  </w:tcBorders>
                  <w:vAlign w:val="center"/>
                </w:tcPr>
                <w:p>
                  <w:pPr>
                    <w:spacing w:line="320" w:lineRule="exact"/>
                    <w:ind w:left="0" w:leftChars="0" w:firstLine="0" w:firstLineChars="0"/>
                    <w:jc w:val="center"/>
                    <w:rPr>
                      <w:rFonts w:hint="default" w:eastAsia="宋体"/>
                      <w:bCs/>
                      <w:color w:val="auto"/>
                      <w:szCs w:val="21"/>
                      <w:highlight w:val="none"/>
                      <w:lang w:val="en-US" w:eastAsia="zh-CN"/>
                    </w:rPr>
                  </w:pPr>
                  <w:r>
                    <w:rPr>
                      <w:rFonts w:hint="eastAsia" w:ascii="Times New Roman" w:hAnsi="Times New Roman"/>
                      <w:color w:val="auto"/>
                      <w:sz w:val="21"/>
                      <w:szCs w:val="21"/>
                      <w:lang w:val="en-US" w:eastAsia="zh-CN"/>
                    </w:rPr>
                    <w:t>42.7</w:t>
                  </w:r>
                </w:p>
              </w:tc>
              <w:tc>
                <w:tcPr>
                  <w:tcW w:w="1344" w:type="dxa"/>
                  <w:vMerge w:val="continue"/>
                  <w:tcBorders>
                    <w:tl2br w:val="nil"/>
                    <w:tr2bl w:val="nil"/>
                  </w:tcBorders>
                  <w:vAlign w:val="center"/>
                </w:tcPr>
                <w:p>
                  <w:pPr>
                    <w:adjustRightInd w:val="0"/>
                    <w:snapToGrid w:val="0"/>
                    <w:spacing w:line="320" w:lineRule="exact"/>
                    <w:ind w:firstLine="315" w:firstLineChars="150"/>
                    <w:jc w:val="center"/>
                    <w:rPr>
                      <w:bCs/>
                      <w:color w:val="auto"/>
                      <w:szCs w:val="21"/>
                    </w:rPr>
                  </w:pPr>
                </w:p>
              </w:tc>
              <w:tc>
                <w:tcPr>
                  <w:tcW w:w="1563" w:type="dxa"/>
                  <w:vMerge w:val="continue"/>
                  <w:tcBorders>
                    <w:tl2br w:val="nil"/>
                    <w:tr2bl w:val="nil"/>
                  </w:tcBorders>
                  <w:vAlign w:val="center"/>
                </w:tcPr>
                <w:p>
                  <w:pPr>
                    <w:adjustRightInd w:val="0"/>
                    <w:snapToGrid w:val="0"/>
                    <w:spacing w:line="320" w:lineRule="exact"/>
                    <w:ind w:firstLine="315" w:firstLineChars="150"/>
                    <w:jc w:val="center"/>
                    <w:rPr>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753" w:type="dxa"/>
                  <w:vMerge w:val="restart"/>
                  <w:tcBorders>
                    <w:tl2br w:val="nil"/>
                    <w:tr2bl w:val="nil"/>
                  </w:tcBorders>
                  <w:vAlign w:val="center"/>
                </w:tcPr>
                <w:p>
                  <w:pPr>
                    <w:pStyle w:val="83"/>
                    <w:widowControl w:val="0"/>
                    <w:rPr>
                      <w:rFonts w:cs="Times New Roman"/>
                      <w:b w:val="0"/>
                      <w:bCs/>
                      <w:color w:val="auto"/>
                    </w:rPr>
                  </w:pPr>
                  <w:r>
                    <w:rPr>
                      <w:rFonts w:cs="Times New Roman"/>
                      <w:b w:val="0"/>
                      <w:bCs/>
                      <w:color w:val="auto"/>
                    </w:rPr>
                    <w:t>项目所在地</w:t>
                  </w:r>
                </w:p>
                <w:p>
                  <w:pPr>
                    <w:pStyle w:val="83"/>
                    <w:widowControl w:val="0"/>
                    <w:rPr>
                      <w:rFonts w:cs="Times New Roman"/>
                      <w:b w:val="0"/>
                      <w:bCs/>
                      <w:color w:val="auto"/>
                    </w:rPr>
                  </w:pPr>
                  <w:r>
                    <w:rPr>
                      <w:rFonts w:hint="eastAsia" w:cs="Times New Roman"/>
                      <w:b w:val="0"/>
                      <w:bCs/>
                      <w:color w:val="auto"/>
                      <w:lang w:val="en-US" w:eastAsia="zh-CN"/>
                    </w:rPr>
                    <w:t>西</w:t>
                  </w:r>
                  <w:r>
                    <w:rPr>
                      <w:rFonts w:cs="Times New Roman"/>
                      <w:b w:val="0"/>
                      <w:bCs/>
                      <w:color w:val="auto"/>
                    </w:rPr>
                    <w:t>面</w:t>
                  </w:r>
                  <w:r>
                    <w:rPr>
                      <w:rFonts w:hint="eastAsia" w:cs="Times New Roman"/>
                      <w:b w:val="0"/>
                      <w:bCs/>
                      <w:color w:val="auto"/>
                      <w:lang w:val="en-US" w:eastAsia="zh-CN"/>
                    </w:rPr>
                    <w:t>30m</w:t>
                  </w:r>
                  <w:r>
                    <w:rPr>
                      <w:rFonts w:cs="Times New Roman"/>
                      <w:b w:val="0"/>
                      <w:bCs/>
                      <w:color w:val="auto"/>
                    </w:rPr>
                    <w:t>处</w:t>
                  </w:r>
                </w:p>
              </w:tc>
              <w:tc>
                <w:tcPr>
                  <w:tcW w:w="1351" w:type="dxa"/>
                  <w:tcBorders>
                    <w:tl2br w:val="nil"/>
                    <w:tr2bl w:val="nil"/>
                  </w:tcBorders>
                  <w:vAlign w:val="center"/>
                </w:tcPr>
                <w:p>
                  <w:pPr>
                    <w:spacing w:line="320" w:lineRule="exact"/>
                    <w:ind w:left="0" w:leftChars="0" w:firstLine="0" w:firstLineChars="0"/>
                    <w:jc w:val="center"/>
                    <w:rPr>
                      <w:rFonts w:hint="eastAsia" w:cs="Times New Roman"/>
                      <w:b w:val="0"/>
                      <w:bCs/>
                      <w:color w:val="auto"/>
                      <w:highlight w:val="none"/>
                    </w:rPr>
                  </w:pPr>
                  <w:r>
                    <w:rPr>
                      <w:rFonts w:hint="eastAsia" w:ascii="Times New Roman" w:hAnsi="Times New Roman"/>
                      <w:color w:val="auto"/>
                      <w:sz w:val="21"/>
                      <w:szCs w:val="21"/>
                      <w:lang w:val="en-US" w:eastAsia="zh-CN"/>
                    </w:rPr>
                    <w:t>2021.6.21</w:t>
                  </w:r>
                </w:p>
              </w:tc>
              <w:tc>
                <w:tcPr>
                  <w:tcW w:w="1006" w:type="dxa"/>
                  <w:tcBorders>
                    <w:tl2br w:val="nil"/>
                    <w:tr2bl w:val="nil"/>
                  </w:tcBorders>
                  <w:vAlign w:val="center"/>
                </w:tcPr>
                <w:p>
                  <w:pPr>
                    <w:spacing w:line="320" w:lineRule="exact"/>
                    <w:ind w:left="0" w:leftChars="0" w:firstLine="0" w:firstLineChars="0"/>
                    <w:jc w:val="center"/>
                    <w:rPr>
                      <w:rFonts w:hint="eastAsia" w:cs="Times New Roman"/>
                      <w:b w:val="0"/>
                      <w:bCs/>
                      <w:color w:val="auto"/>
                      <w:highlight w:val="none"/>
                    </w:rPr>
                  </w:pPr>
                  <w:r>
                    <w:rPr>
                      <w:rFonts w:hint="eastAsia" w:ascii="Times New Roman" w:hAnsi="Times New Roman" w:eastAsia="宋体" w:cs="Times New Roman"/>
                      <w:color w:val="auto"/>
                      <w:sz w:val="21"/>
                      <w:szCs w:val="21"/>
                      <w:lang w:val="en-US" w:eastAsia="zh-CN"/>
                    </w:rPr>
                    <w:t>55.4</w:t>
                  </w:r>
                </w:p>
              </w:tc>
              <w:tc>
                <w:tcPr>
                  <w:tcW w:w="1007" w:type="dxa"/>
                  <w:tcBorders>
                    <w:tl2br w:val="nil"/>
                    <w:tr2bl w:val="nil"/>
                  </w:tcBorders>
                  <w:vAlign w:val="center"/>
                </w:tcPr>
                <w:p>
                  <w:pPr>
                    <w:spacing w:line="320" w:lineRule="exact"/>
                    <w:ind w:left="0" w:leftChars="0" w:firstLine="0" w:firstLineChars="0"/>
                    <w:jc w:val="center"/>
                    <w:rPr>
                      <w:rFonts w:hint="eastAsia"/>
                      <w:bCs/>
                      <w:color w:val="auto"/>
                      <w:szCs w:val="21"/>
                      <w:highlight w:val="none"/>
                    </w:rPr>
                  </w:pPr>
                  <w:r>
                    <w:rPr>
                      <w:rFonts w:hint="eastAsia" w:ascii="Times New Roman" w:hAnsi="Times New Roman"/>
                      <w:color w:val="auto"/>
                      <w:sz w:val="21"/>
                      <w:szCs w:val="21"/>
                      <w:lang w:val="en-US" w:eastAsia="zh-CN"/>
                    </w:rPr>
                    <w:t>43.2</w:t>
                  </w:r>
                </w:p>
              </w:tc>
              <w:tc>
                <w:tcPr>
                  <w:tcW w:w="1344" w:type="dxa"/>
                  <w:vMerge w:val="continue"/>
                  <w:tcBorders>
                    <w:tl2br w:val="nil"/>
                    <w:tr2bl w:val="nil"/>
                  </w:tcBorders>
                  <w:vAlign w:val="center"/>
                </w:tcPr>
                <w:p>
                  <w:pPr>
                    <w:adjustRightInd w:val="0"/>
                    <w:snapToGrid w:val="0"/>
                    <w:spacing w:line="320" w:lineRule="exact"/>
                    <w:ind w:firstLine="315" w:firstLineChars="150"/>
                    <w:jc w:val="center"/>
                    <w:rPr>
                      <w:bCs/>
                      <w:color w:val="auto"/>
                      <w:szCs w:val="21"/>
                    </w:rPr>
                  </w:pPr>
                </w:p>
              </w:tc>
              <w:tc>
                <w:tcPr>
                  <w:tcW w:w="1563" w:type="dxa"/>
                  <w:vMerge w:val="continue"/>
                  <w:tcBorders>
                    <w:tl2br w:val="nil"/>
                    <w:tr2bl w:val="nil"/>
                  </w:tcBorders>
                  <w:vAlign w:val="center"/>
                </w:tcPr>
                <w:p>
                  <w:pPr>
                    <w:adjustRightInd w:val="0"/>
                    <w:snapToGrid w:val="0"/>
                    <w:spacing w:line="320" w:lineRule="exact"/>
                    <w:ind w:firstLine="315" w:firstLineChars="150"/>
                    <w:jc w:val="center"/>
                    <w:rPr>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753" w:type="dxa"/>
                  <w:vMerge w:val="continue"/>
                  <w:tcBorders>
                    <w:tl2br w:val="nil"/>
                    <w:tr2bl w:val="nil"/>
                  </w:tcBorders>
                  <w:vAlign w:val="center"/>
                </w:tcPr>
                <w:p>
                  <w:pPr>
                    <w:pStyle w:val="83"/>
                    <w:widowControl w:val="0"/>
                    <w:rPr>
                      <w:rFonts w:cs="Times New Roman"/>
                      <w:b w:val="0"/>
                      <w:bCs/>
                      <w:color w:val="auto"/>
                    </w:rPr>
                  </w:pPr>
                </w:p>
              </w:tc>
              <w:tc>
                <w:tcPr>
                  <w:tcW w:w="1351" w:type="dxa"/>
                  <w:tcBorders>
                    <w:tl2br w:val="nil"/>
                    <w:tr2bl w:val="nil"/>
                  </w:tcBorders>
                  <w:vAlign w:val="center"/>
                </w:tcPr>
                <w:p>
                  <w:pPr>
                    <w:spacing w:line="320" w:lineRule="exact"/>
                    <w:ind w:left="0" w:leftChars="0" w:firstLine="0" w:firstLineChars="0"/>
                    <w:jc w:val="center"/>
                    <w:rPr>
                      <w:rFonts w:hint="eastAsia" w:cs="Times New Roman"/>
                      <w:b w:val="0"/>
                      <w:bCs/>
                      <w:color w:val="auto"/>
                      <w:highlight w:val="none"/>
                    </w:rPr>
                  </w:pPr>
                  <w:r>
                    <w:rPr>
                      <w:rFonts w:hint="eastAsia" w:ascii="Times New Roman" w:hAnsi="Times New Roman"/>
                      <w:color w:val="auto"/>
                      <w:sz w:val="21"/>
                      <w:szCs w:val="21"/>
                      <w:lang w:val="en-US" w:eastAsia="zh-CN"/>
                    </w:rPr>
                    <w:t>2021.6.22</w:t>
                  </w:r>
                </w:p>
              </w:tc>
              <w:tc>
                <w:tcPr>
                  <w:tcW w:w="1006" w:type="dxa"/>
                  <w:tcBorders>
                    <w:tl2br w:val="nil"/>
                    <w:tr2bl w:val="nil"/>
                  </w:tcBorders>
                  <w:vAlign w:val="center"/>
                </w:tcPr>
                <w:p>
                  <w:pPr>
                    <w:spacing w:line="320" w:lineRule="exact"/>
                    <w:ind w:left="0" w:leftChars="0" w:firstLine="0" w:firstLineChars="0"/>
                    <w:jc w:val="center"/>
                    <w:rPr>
                      <w:rFonts w:hint="eastAsia" w:cs="Times New Roman"/>
                      <w:b w:val="0"/>
                      <w:bCs/>
                      <w:color w:val="auto"/>
                      <w:highlight w:val="none"/>
                    </w:rPr>
                  </w:pPr>
                  <w:r>
                    <w:rPr>
                      <w:rFonts w:hint="eastAsia" w:ascii="Times New Roman" w:hAnsi="Times New Roman" w:eastAsia="宋体" w:cs="Times New Roman"/>
                      <w:color w:val="auto"/>
                      <w:sz w:val="21"/>
                      <w:szCs w:val="21"/>
                      <w:lang w:val="en-US" w:eastAsia="zh-CN"/>
                    </w:rPr>
                    <w:t>55.7</w:t>
                  </w:r>
                </w:p>
              </w:tc>
              <w:tc>
                <w:tcPr>
                  <w:tcW w:w="1007" w:type="dxa"/>
                  <w:tcBorders>
                    <w:tl2br w:val="nil"/>
                    <w:tr2bl w:val="nil"/>
                  </w:tcBorders>
                  <w:vAlign w:val="center"/>
                </w:tcPr>
                <w:p>
                  <w:pPr>
                    <w:spacing w:line="320" w:lineRule="exact"/>
                    <w:ind w:left="0" w:leftChars="0" w:firstLine="0" w:firstLineChars="0"/>
                    <w:jc w:val="center"/>
                    <w:rPr>
                      <w:rFonts w:hint="eastAsia"/>
                      <w:bCs/>
                      <w:color w:val="auto"/>
                      <w:szCs w:val="21"/>
                      <w:highlight w:val="none"/>
                    </w:rPr>
                  </w:pPr>
                  <w:r>
                    <w:rPr>
                      <w:rFonts w:hint="eastAsia" w:ascii="Times New Roman" w:hAnsi="Times New Roman"/>
                      <w:color w:val="auto"/>
                      <w:sz w:val="21"/>
                      <w:szCs w:val="21"/>
                      <w:lang w:val="en-US" w:eastAsia="zh-CN"/>
                    </w:rPr>
                    <w:t>43.3</w:t>
                  </w:r>
                </w:p>
              </w:tc>
              <w:tc>
                <w:tcPr>
                  <w:tcW w:w="1344" w:type="dxa"/>
                  <w:vMerge w:val="continue"/>
                  <w:tcBorders>
                    <w:tl2br w:val="nil"/>
                    <w:tr2bl w:val="nil"/>
                  </w:tcBorders>
                  <w:vAlign w:val="center"/>
                </w:tcPr>
                <w:p>
                  <w:pPr>
                    <w:adjustRightInd w:val="0"/>
                    <w:snapToGrid w:val="0"/>
                    <w:spacing w:line="320" w:lineRule="exact"/>
                    <w:ind w:firstLine="315" w:firstLineChars="150"/>
                    <w:jc w:val="center"/>
                    <w:rPr>
                      <w:bCs/>
                      <w:color w:val="auto"/>
                      <w:szCs w:val="21"/>
                    </w:rPr>
                  </w:pPr>
                </w:p>
              </w:tc>
              <w:tc>
                <w:tcPr>
                  <w:tcW w:w="1563" w:type="dxa"/>
                  <w:vMerge w:val="continue"/>
                  <w:tcBorders>
                    <w:tl2br w:val="nil"/>
                    <w:tr2bl w:val="nil"/>
                  </w:tcBorders>
                  <w:vAlign w:val="center"/>
                </w:tcPr>
                <w:p>
                  <w:pPr>
                    <w:adjustRightInd w:val="0"/>
                    <w:snapToGrid w:val="0"/>
                    <w:spacing w:line="320" w:lineRule="exact"/>
                    <w:ind w:firstLine="315" w:firstLineChars="150"/>
                    <w:jc w:val="center"/>
                    <w:rPr>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753" w:type="dxa"/>
                  <w:vMerge w:val="restart"/>
                  <w:tcBorders>
                    <w:tl2br w:val="nil"/>
                    <w:tr2bl w:val="nil"/>
                  </w:tcBorders>
                  <w:vAlign w:val="center"/>
                </w:tcPr>
                <w:p>
                  <w:pPr>
                    <w:pStyle w:val="83"/>
                    <w:widowControl w:val="0"/>
                    <w:rPr>
                      <w:rFonts w:cs="Times New Roman"/>
                      <w:b w:val="0"/>
                      <w:bCs/>
                      <w:color w:val="auto"/>
                    </w:rPr>
                  </w:pPr>
                  <w:r>
                    <w:rPr>
                      <w:rFonts w:cs="Times New Roman"/>
                      <w:b w:val="0"/>
                      <w:bCs/>
                      <w:color w:val="auto"/>
                    </w:rPr>
                    <w:t>项目所在地</w:t>
                  </w:r>
                </w:p>
                <w:p>
                  <w:pPr>
                    <w:pStyle w:val="83"/>
                    <w:widowControl w:val="0"/>
                    <w:rPr>
                      <w:rFonts w:cs="Times New Roman"/>
                      <w:b w:val="0"/>
                      <w:bCs/>
                      <w:color w:val="auto"/>
                    </w:rPr>
                  </w:pPr>
                  <w:r>
                    <w:rPr>
                      <w:rFonts w:cs="Times New Roman"/>
                      <w:b w:val="0"/>
                      <w:bCs/>
                      <w:color w:val="auto"/>
                    </w:rPr>
                    <w:t>北面</w:t>
                  </w:r>
                  <w:r>
                    <w:rPr>
                      <w:rFonts w:hint="eastAsia" w:cs="Times New Roman"/>
                      <w:b w:val="0"/>
                      <w:bCs/>
                      <w:color w:val="auto"/>
                      <w:lang w:val="en-US" w:eastAsia="zh-CN"/>
                    </w:rPr>
                    <w:t>20m</w:t>
                  </w:r>
                  <w:r>
                    <w:rPr>
                      <w:rFonts w:cs="Times New Roman"/>
                      <w:b w:val="0"/>
                      <w:bCs/>
                      <w:color w:val="auto"/>
                    </w:rPr>
                    <w:t>处</w:t>
                  </w:r>
                </w:p>
              </w:tc>
              <w:tc>
                <w:tcPr>
                  <w:tcW w:w="1351" w:type="dxa"/>
                  <w:tcBorders>
                    <w:tl2br w:val="nil"/>
                    <w:tr2bl w:val="nil"/>
                  </w:tcBorders>
                  <w:vAlign w:val="center"/>
                </w:tcPr>
                <w:p>
                  <w:pPr>
                    <w:spacing w:line="320" w:lineRule="exact"/>
                    <w:ind w:left="0" w:leftChars="0" w:firstLine="0" w:firstLineChars="0"/>
                    <w:jc w:val="center"/>
                    <w:rPr>
                      <w:rFonts w:hint="eastAsia" w:cs="Times New Roman"/>
                      <w:b w:val="0"/>
                      <w:bCs/>
                      <w:color w:val="auto"/>
                      <w:highlight w:val="none"/>
                    </w:rPr>
                  </w:pPr>
                  <w:r>
                    <w:rPr>
                      <w:rFonts w:hint="eastAsia" w:ascii="Times New Roman" w:hAnsi="Times New Roman"/>
                      <w:color w:val="auto"/>
                      <w:sz w:val="21"/>
                      <w:szCs w:val="21"/>
                      <w:lang w:val="en-US" w:eastAsia="zh-CN"/>
                    </w:rPr>
                    <w:t>2021.6.21</w:t>
                  </w:r>
                </w:p>
              </w:tc>
              <w:tc>
                <w:tcPr>
                  <w:tcW w:w="1006" w:type="dxa"/>
                  <w:tcBorders>
                    <w:tl2br w:val="nil"/>
                    <w:tr2bl w:val="nil"/>
                  </w:tcBorders>
                  <w:vAlign w:val="center"/>
                </w:tcPr>
                <w:p>
                  <w:pPr>
                    <w:spacing w:line="320" w:lineRule="exact"/>
                    <w:ind w:left="0" w:leftChars="0" w:firstLine="0" w:firstLineChars="0"/>
                    <w:jc w:val="center"/>
                    <w:rPr>
                      <w:rFonts w:hint="eastAsia" w:cs="Times New Roman"/>
                      <w:b w:val="0"/>
                      <w:bCs/>
                      <w:color w:val="auto"/>
                      <w:highlight w:val="none"/>
                    </w:rPr>
                  </w:pPr>
                  <w:r>
                    <w:rPr>
                      <w:rFonts w:hint="eastAsia" w:ascii="Times New Roman" w:hAnsi="Times New Roman" w:eastAsia="宋体" w:cs="Times New Roman"/>
                      <w:color w:val="auto"/>
                      <w:sz w:val="21"/>
                      <w:szCs w:val="21"/>
                      <w:lang w:val="en-US" w:eastAsia="zh-CN"/>
                    </w:rPr>
                    <w:t>56.5</w:t>
                  </w:r>
                </w:p>
              </w:tc>
              <w:tc>
                <w:tcPr>
                  <w:tcW w:w="1007" w:type="dxa"/>
                  <w:tcBorders>
                    <w:tl2br w:val="nil"/>
                    <w:tr2bl w:val="nil"/>
                  </w:tcBorders>
                  <w:vAlign w:val="center"/>
                </w:tcPr>
                <w:p>
                  <w:pPr>
                    <w:spacing w:line="320" w:lineRule="exact"/>
                    <w:ind w:left="0" w:leftChars="0" w:firstLine="0" w:firstLineChars="0"/>
                    <w:jc w:val="center"/>
                    <w:rPr>
                      <w:rFonts w:hint="eastAsia"/>
                      <w:bCs/>
                      <w:color w:val="auto"/>
                      <w:szCs w:val="21"/>
                      <w:highlight w:val="none"/>
                    </w:rPr>
                  </w:pPr>
                  <w:r>
                    <w:rPr>
                      <w:rFonts w:hint="eastAsia" w:ascii="Times New Roman" w:hAnsi="Times New Roman"/>
                      <w:color w:val="auto"/>
                      <w:sz w:val="21"/>
                      <w:szCs w:val="21"/>
                      <w:lang w:val="en-US" w:eastAsia="zh-CN"/>
                    </w:rPr>
                    <w:t>43.8</w:t>
                  </w:r>
                </w:p>
              </w:tc>
              <w:tc>
                <w:tcPr>
                  <w:tcW w:w="1344" w:type="dxa"/>
                  <w:vMerge w:val="continue"/>
                  <w:tcBorders>
                    <w:tl2br w:val="nil"/>
                    <w:tr2bl w:val="nil"/>
                  </w:tcBorders>
                  <w:vAlign w:val="center"/>
                </w:tcPr>
                <w:p>
                  <w:pPr>
                    <w:adjustRightInd w:val="0"/>
                    <w:snapToGrid w:val="0"/>
                    <w:spacing w:line="320" w:lineRule="exact"/>
                    <w:ind w:firstLine="315" w:firstLineChars="150"/>
                    <w:jc w:val="center"/>
                    <w:rPr>
                      <w:bCs/>
                      <w:color w:val="auto"/>
                      <w:szCs w:val="21"/>
                    </w:rPr>
                  </w:pPr>
                </w:p>
              </w:tc>
              <w:tc>
                <w:tcPr>
                  <w:tcW w:w="1563" w:type="dxa"/>
                  <w:vMerge w:val="continue"/>
                  <w:tcBorders>
                    <w:tl2br w:val="nil"/>
                    <w:tr2bl w:val="nil"/>
                  </w:tcBorders>
                  <w:vAlign w:val="center"/>
                </w:tcPr>
                <w:p>
                  <w:pPr>
                    <w:adjustRightInd w:val="0"/>
                    <w:snapToGrid w:val="0"/>
                    <w:spacing w:line="320" w:lineRule="exact"/>
                    <w:ind w:firstLine="315" w:firstLineChars="150"/>
                    <w:jc w:val="center"/>
                    <w:rPr>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753" w:type="dxa"/>
                  <w:vMerge w:val="continue"/>
                  <w:tcBorders>
                    <w:tl2br w:val="nil"/>
                    <w:tr2bl w:val="nil"/>
                  </w:tcBorders>
                  <w:vAlign w:val="center"/>
                </w:tcPr>
                <w:p>
                  <w:pPr>
                    <w:pStyle w:val="83"/>
                    <w:widowControl w:val="0"/>
                    <w:rPr>
                      <w:rFonts w:cs="Times New Roman"/>
                      <w:b w:val="0"/>
                      <w:bCs/>
                      <w:color w:val="auto"/>
                    </w:rPr>
                  </w:pPr>
                </w:p>
              </w:tc>
              <w:tc>
                <w:tcPr>
                  <w:tcW w:w="1351" w:type="dxa"/>
                  <w:tcBorders>
                    <w:tl2br w:val="nil"/>
                    <w:tr2bl w:val="nil"/>
                  </w:tcBorders>
                  <w:vAlign w:val="center"/>
                </w:tcPr>
                <w:p>
                  <w:pPr>
                    <w:spacing w:line="320" w:lineRule="exact"/>
                    <w:ind w:left="0" w:leftChars="0" w:firstLine="0" w:firstLineChars="0"/>
                    <w:jc w:val="center"/>
                    <w:rPr>
                      <w:rFonts w:hint="eastAsia" w:cs="Times New Roman"/>
                      <w:b w:val="0"/>
                      <w:bCs/>
                      <w:color w:val="auto"/>
                      <w:highlight w:val="none"/>
                    </w:rPr>
                  </w:pPr>
                  <w:r>
                    <w:rPr>
                      <w:rFonts w:hint="eastAsia" w:ascii="Times New Roman" w:hAnsi="Times New Roman"/>
                      <w:color w:val="auto"/>
                      <w:sz w:val="21"/>
                      <w:szCs w:val="21"/>
                      <w:lang w:val="en-US" w:eastAsia="zh-CN"/>
                    </w:rPr>
                    <w:t>2021.6.22</w:t>
                  </w:r>
                </w:p>
              </w:tc>
              <w:tc>
                <w:tcPr>
                  <w:tcW w:w="1006" w:type="dxa"/>
                  <w:tcBorders>
                    <w:tl2br w:val="nil"/>
                    <w:tr2bl w:val="nil"/>
                  </w:tcBorders>
                  <w:vAlign w:val="center"/>
                </w:tcPr>
                <w:p>
                  <w:pPr>
                    <w:spacing w:line="320" w:lineRule="exact"/>
                    <w:ind w:left="0" w:leftChars="0" w:firstLine="0" w:firstLineChars="0"/>
                    <w:jc w:val="center"/>
                    <w:rPr>
                      <w:rFonts w:hint="eastAsia" w:cs="Times New Roman"/>
                      <w:b w:val="0"/>
                      <w:bCs/>
                      <w:color w:val="auto"/>
                      <w:highlight w:val="none"/>
                    </w:rPr>
                  </w:pPr>
                  <w:r>
                    <w:rPr>
                      <w:rFonts w:hint="eastAsia" w:ascii="Times New Roman" w:hAnsi="Times New Roman" w:eastAsia="宋体" w:cs="Times New Roman"/>
                      <w:color w:val="auto"/>
                      <w:sz w:val="21"/>
                      <w:szCs w:val="21"/>
                      <w:lang w:val="en-US" w:eastAsia="zh-CN"/>
                    </w:rPr>
                    <w:t>56.6</w:t>
                  </w:r>
                </w:p>
              </w:tc>
              <w:tc>
                <w:tcPr>
                  <w:tcW w:w="1007" w:type="dxa"/>
                  <w:tcBorders>
                    <w:tl2br w:val="nil"/>
                    <w:tr2bl w:val="nil"/>
                  </w:tcBorders>
                  <w:vAlign w:val="center"/>
                </w:tcPr>
                <w:p>
                  <w:pPr>
                    <w:spacing w:line="320" w:lineRule="exact"/>
                    <w:ind w:left="0" w:leftChars="0" w:firstLine="0" w:firstLineChars="0"/>
                    <w:jc w:val="center"/>
                    <w:rPr>
                      <w:rFonts w:hint="eastAsia"/>
                      <w:bCs/>
                      <w:color w:val="auto"/>
                      <w:szCs w:val="21"/>
                      <w:highlight w:val="none"/>
                    </w:rPr>
                  </w:pPr>
                  <w:r>
                    <w:rPr>
                      <w:rFonts w:hint="eastAsia" w:ascii="Times New Roman" w:hAnsi="Times New Roman"/>
                      <w:color w:val="auto"/>
                      <w:sz w:val="21"/>
                      <w:szCs w:val="21"/>
                      <w:lang w:val="en-US" w:eastAsia="zh-CN"/>
                    </w:rPr>
                    <w:t>44.1</w:t>
                  </w:r>
                </w:p>
              </w:tc>
              <w:tc>
                <w:tcPr>
                  <w:tcW w:w="1344" w:type="dxa"/>
                  <w:vMerge w:val="continue"/>
                  <w:tcBorders>
                    <w:tl2br w:val="nil"/>
                    <w:tr2bl w:val="nil"/>
                  </w:tcBorders>
                  <w:vAlign w:val="center"/>
                </w:tcPr>
                <w:p>
                  <w:pPr>
                    <w:adjustRightInd w:val="0"/>
                    <w:snapToGrid w:val="0"/>
                    <w:spacing w:line="320" w:lineRule="exact"/>
                    <w:ind w:firstLine="315" w:firstLineChars="150"/>
                    <w:jc w:val="center"/>
                    <w:rPr>
                      <w:bCs/>
                      <w:color w:val="auto"/>
                      <w:szCs w:val="21"/>
                    </w:rPr>
                  </w:pPr>
                </w:p>
              </w:tc>
              <w:tc>
                <w:tcPr>
                  <w:tcW w:w="1563" w:type="dxa"/>
                  <w:vMerge w:val="continue"/>
                  <w:tcBorders>
                    <w:tl2br w:val="nil"/>
                    <w:tr2bl w:val="nil"/>
                  </w:tcBorders>
                  <w:vAlign w:val="center"/>
                </w:tcPr>
                <w:p>
                  <w:pPr>
                    <w:adjustRightInd w:val="0"/>
                    <w:snapToGrid w:val="0"/>
                    <w:spacing w:line="320" w:lineRule="exact"/>
                    <w:ind w:firstLine="315" w:firstLineChars="150"/>
                    <w:jc w:val="center"/>
                    <w:rPr>
                      <w:bCs/>
                      <w:color w:val="auto"/>
                      <w:szCs w:val="21"/>
                    </w:rPr>
                  </w:pPr>
                </w:p>
              </w:tc>
            </w:tr>
          </w:tbl>
          <w:p>
            <w:pPr>
              <w:spacing w:line="480" w:lineRule="exact"/>
              <w:ind w:firstLine="480" w:firstLineChars="200"/>
              <w:rPr>
                <w:color w:val="auto"/>
                <w:sz w:val="24"/>
              </w:rPr>
            </w:pPr>
            <w:r>
              <w:rPr>
                <w:color w:val="auto"/>
                <w:sz w:val="24"/>
                <w:szCs w:val="20"/>
              </w:rPr>
              <w:t>由上表可知，项目拟建地噪声监测值符合《声环境质量标准》（GB3096-2008）中</w:t>
            </w:r>
            <w:r>
              <w:rPr>
                <w:rFonts w:hint="eastAsia"/>
                <w:color w:val="auto"/>
                <w:sz w:val="24"/>
                <w:szCs w:val="20"/>
                <w:lang w:eastAsia="zh-CN"/>
              </w:rPr>
              <w:t>2类标准</w:t>
            </w:r>
            <w:r>
              <w:rPr>
                <w:color w:val="auto"/>
                <w:sz w:val="24"/>
                <w:szCs w:val="20"/>
              </w:rPr>
              <w:t>限值，声环境质量现状良好。</w:t>
            </w:r>
          </w:p>
          <w:p>
            <w:pPr>
              <w:pStyle w:val="26"/>
              <w:spacing w:line="480" w:lineRule="exact"/>
              <w:ind w:firstLine="241"/>
              <w:rPr>
                <w:b/>
                <w:color w:val="auto"/>
                <w:sz w:val="24"/>
                <w:szCs w:val="24"/>
              </w:rPr>
            </w:pPr>
            <w:r>
              <w:rPr>
                <w:b/>
                <w:color w:val="auto"/>
                <w:sz w:val="24"/>
                <w:szCs w:val="24"/>
              </w:rPr>
              <w:t>4、生态环境质量</w:t>
            </w:r>
          </w:p>
          <w:p>
            <w:pPr>
              <w:widowControl/>
              <w:spacing w:line="480" w:lineRule="exact"/>
              <w:ind w:firstLine="480" w:firstLineChars="200"/>
              <w:rPr>
                <w:rFonts w:hint="eastAsia"/>
                <w:color w:val="auto"/>
                <w:sz w:val="24"/>
                <w:lang w:eastAsia="zh-CN"/>
              </w:rPr>
            </w:pPr>
            <w:r>
              <w:rPr>
                <w:color w:val="auto"/>
                <w:sz w:val="24"/>
              </w:rPr>
              <w:t>根据现场踏勘，项目所在地区域内无野生动物，有山鸡、田鼠、青蛙、山雀等常见物种，家畜以牛、羊、猪为主，家禽以鸡、鸭、鹅为主；该区域野生植物以马尾松、地肤子、杉树、樟树、泡桐、竹子等一般植物居多，无自然保护区和重点文物保护单位，区内未见国家法定珍稀物种</w:t>
            </w:r>
            <w:r>
              <w:rPr>
                <w:rFonts w:hint="eastAsia"/>
                <w:color w:val="auto"/>
                <w:sz w:val="24"/>
                <w:lang w:eastAsia="zh-CN"/>
              </w:rPr>
              <w:t>。</w:t>
            </w:r>
          </w:p>
          <w:p>
            <w:pPr>
              <w:widowControl/>
              <w:spacing w:line="480" w:lineRule="exact"/>
              <w:ind w:firstLine="480" w:firstLineChars="200"/>
              <w:rPr>
                <w:rFonts w:hint="eastAsia"/>
                <w:color w:val="auto"/>
                <w:sz w:val="24"/>
                <w:lang w:eastAsia="zh-CN"/>
              </w:rPr>
            </w:pPr>
          </w:p>
          <w:p>
            <w:pPr>
              <w:widowControl/>
              <w:spacing w:line="480" w:lineRule="exact"/>
              <w:ind w:firstLine="480" w:firstLineChars="200"/>
              <w:rPr>
                <w:rFonts w:hint="eastAsia"/>
                <w:color w:val="auto"/>
                <w:sz w:val="24"/>
                <w:lang w:eastAsia="zh-CN"/>
              </w:rPr>
            </w:pPr>
          </w:p>
          <w:p>
            <w:pPr>
              <w:widowControl/>
              <w:spacing w:line="480" w:lineRule="exact"/>
              <w:ind w:firstLine="480" w:firstLineChars="200"/>
              <w:rPr>
                <w:rFonts w:hint="eastAsia"/>
                <w:color w:val="auto"/>
                <w:sz w:val="24"/>
                <w:lang w:eastAsia="zh-CN"/>
              </w:rPr>
            </w:pPr>
          </w:p>
          <w:p>
            <w:pPr>
              <w:widowControl/>
              <w:spacing w:line="480" w:lineRule="exact"/>
              <w:ind w:firstLine="480" w:firstLineChars="200"/>
              <w:rPr>
                <w:rFonts w:hint="eastAsia"/>
                <w:color w:val="auto"/>
                <w:sz w:val="24"/>
                <w:lang w:eastAsia="zh-CN"/>
              </w:rPr>
            </w:pPr>
          </w:p>
          <w:p>
            <w:pPr>
              <w:widowControl/>
              <w:spacing w:line="480" w:lineRule="exact"/>
              <w:ind w:firstLine="480" w:firstLineChars="200"/>
              <w:rPr>
                <w:rFonts w:hint="eastAsia"/>
                <w:color w:val="auto"/>
                <w:sz w:val="24"/>
                <w:lang w:eastAsia="zh-CN"/>
              </w:rPr>
            </w:pPr>
          </w:p>
          <w:p>
            <w:pPr>
              <w:widowControl/>
              <w:spacing w:line="480" w:lineRule="exact"/>
              <w:ind w:firstLine="480" w:firstLineChars="200"/>
              <w:rPr>
                <w:rFonts w:hint="eastAsia"/>
                <w:color w:val="auto"/>
                <w:sz w:val="24"/>
                <w:lang w:eastAsia="zh-CN"/>
              </w:rPr>
            </w:pPr>
          </w:p>
          <w:p>
            <w:pPr>
              <w:widowControl/>
              <w:spacing w:line="480" w:lineRule="exact"/>
              <w:ind w:firstLine="420" w:firstLineChars="200"/>
              <w:rPr>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97" w:hRule="atLeast"/>
          <w:jc w:val="center"/>
        </w:trPr>
        <w:tc>
          <w:tcPr>
            <w:tcW w:w="800" w:type="dxa"/>
            <w:vAlign w:val="center"/>
          </w:tcPr>
          <w:p>
            <w:pPr>
              <w:adjustRightInd w:val="0"/>
              <w:snapToGrid w:val="0"/>
              <w:jc w:val="center"/>
              <w:rPr>
                <w:color w:val="auto"/>
                <w:kern w:val="0"/>
                <w:szCs w:val="21"/>
              </w:rPr>
            </w:pPr>
            <w:r>
              <w:rPr>
                <w:color w:val="auto"/>
                <w:kern w:val="0"/>
                <w:szCs w:val="21"/>
              </w:rPr>
              <w:t>环境</w:t>
            </w:r>
          </w:p>
          <w:p>
            <w:pPr>
              <w:adjustRightInd w:val="0"/>
              <w:snapToGrid w:val="0"/>
              <w:jc w:val="center"/>
              <w:rPr>
                <w:color w:val="auto"/>
                <w:kern w:val="0"/>
                <w:szCs w:val="21"/>
              </w:rPr>
            </w:pPr>
            <w:r>
              <w:rPr>
                <w:color w:val="auto"/>
                <w:kern w:val="0"/>
                <w:szCs w:val="21"/>
              </w:rPr>
              <w:t>保护</w:t>
            </w:r>
          </w:p>
          <w:p>
            <w:pPr>
              <w:adjustRightInd w:val="0"/>
              <w:snapToGrid w:val="0"/>
              <w:jc w:val="center"/>
              <w:rPr>
                <w:color w:val="auto"/>
                <w:kern w:val="0"/>
                <w:szCs w:val="21"/>
              </w:rPr>
            </w:pPr>
            <w:r>
              <w:rPr>
                <w:color w:val="auto"/>
                <w:kern w:val="0"/>
                <w:szCs w:val="21"/>
              </w:rPr>
              <w:t>目标</w:t>
            </w:r>
          </w:p>
        </w:tc>
        <w:tc>
          <w:tcPr>
            <w:tcW w:w="8190" w:type="dxa"/>
            <w:vAlign w:val="center"/>
          </w:tcPr>
          <w:p>
            <w:pPr>
              <w:spacing w:line="360" w:lineRule="auto"/>
              <w:ind w:firstLine="480" w:firstLineChars="200"/>
              <w:rPr>
                <w:color w:val="auto"/>
                <w:sz w:val="24"/>
              </w:rPr>
            </w:pPr>
            <w:r>
              <w:rPr>
                <w:color w:val="auto"/>
                <w:sz w:val="24"/>
              </w:rPr>
              <w:t>根据现场调查，项目评价区域内没有风景名胜区和珍稀野生动植物资源，根据工程性质和周围环境特征，确定评价范围内周围居民点为主要大气环境</w:t>
            </w:r>
            <w:r>
              <w:rPr>
                <w:rFonts w:hint="eastAsia"/>
                <w:color w:val="auto"/>
                <w:sz w:val="24"/>
                <w:lang w:eastAsia="zh-CN"/>
              </w:rPr>
              <w:t>、</w:t>
            </w:r>
            <w:r>
              <w:rPr>
                <w:rFonts w:hint="eastAsia"/>
                <w:color w:val="auto"/>
                <w:sz w:val="24"/>
                <w:lang w:val="en-US" w:eastAsia="zh-CN"/>
              </w:rPr>
              <w:t>声环境</w:t>
            </w:r>
            <w:r>
              <w:rPr>
                <w:color w:val="auto"/>
                <w:sz w:val="24"/>
              </w:rPr>
              <w:t>保护目标；</w:t>
            </w:r>
            <w:r>
              <w:rPr>
                <w:rFonts w:hint="eastAsia"/>
                <w:color w:val="auto"/>
                <w:sz w:val="24"/>
                <w:lang w:val="en-US" w:eastAsia="zh-CN"/>
              </w:rPr>
              <w:t>邵水</w:t>
            </w:r>
            <w:r>
              <w:rPr>
                <w:color w:val="auto"/>
                <w:sz w:val="24"/>
              </w:rPr>
              <w:t>为地表水环境保护目标</w:t>
            </w:r>
            <w:r>
              <w:rPr>
                <w:rFonts w:hint="eastAsia"/>
                <w:color w:val="auto"/>
                <w:sz w:val="24"/>
              </w:rPr>
              <w:t>，</w:t>
            </w:r>
            <w:r>
              <w:rPr>
                <w:color w:val="auto"/>
                <w:sz w:val="24"/>
              </w:rPr>
              <w:t>本项目的主要环境保护目标见表3-</w:t>
            </w:r>
            <w:r>
              <w:rPr>
                <w:rFonts w:hint="eastAsia"/>
                <w:color w:val="auto"/>
                <w:sz w:val="24"/>
                <w:lang w:val="en-US" w:eastAsia="zh-CN"/>
              </w:rPr>
              <w:t>5</w:t>
            </w:r>
            <w:r>
              <w:rPr>
                <w:color w:val="auto"/>
                <w:sz w:val="24"/>
              </w:rPr>
              <w:t>、3-</w:t>
            </w:r>
            <w:r>
              <w:rPr>
                <w:rFonts w:hint="eastAsia"/>
                <w:color w:val="auto"/>
                <w:sz w:val="24"/>
                <w:lang w:val="en-US" w:eastAsia="zh-CN"/>
              </w:rPr>
              <w:t>6</w:t>
            </w:r>
            <w:r>
              <w:rPr>
                <w:color w:val="auto"/>
                <w:sz w:val="24"/>
              </w:rPr>
              <w:t>。</w:t>
            </w:r>
          </w:p>
          <w:p>
            <w:pPr>
              <w:jc w:val="center"/>
              <w:rPr>
                <w:b/>
                <w:color w:val="auto"/>
                <w:szCs w:val="21"/>
              </w:rPr>
            </w:pPr>
            <w:r>
              <w:rPr>
                <w:b/>
                <w:color w:val="auto"/>
                <w:szCs w:val="21"/>
              </w:rPr>
              <w:t>表3-</w:t>
            </w:r>
            <w:r>
              <w:rPr>
                <w:rFonts w:hint="eastAsia"/>
                <w:b/>
                <w:color w:val="auto"/>
                <w:szCs w:val="21"/>
                <w:lang w:val="en-US" w:eastAsia="zh-CN"/>
              </w:rPr>
              <w:t>6</w:t>
            </w:r>
            <w:r>
              <w:rPr>
                <w:b/>
                <w:color w:val="auto"/>
                <w:szCs w:val="21"/>
              </w:rPr>
              <w:t>水环境保护目标一览表</w:t>
            </w:r>
          </w:p>
          <w:tbl>
            <w:tblPr>
              <w:tblStyle w:val="29"/>
              <w:tblW w:w="7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5"/>
              <w:gridCol w:w="1365"/>
              <w:gridCol w:w="1116"/>
              <w:gridCol w:w="1488"/>
              <w:gridCol w:w="1124"/>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855" w:type="dxa"/>
                  <w:vAlign w:val="center"/>
                </w:tcPr>
                <w:p>
                  <w:pPr>
                    <w:autoSpaceDE w:val="0"/>
                    <w:autoSpaceDN w:val="0"/>
                    <w:jc w:val="center"/>
                    <w:rPr>
                      <w:color w:val="auto"/>
                      <w:szCs w:val="21"/>
                    </w:rPr>
                  </w:pPr>
                  <w:r>
                    <w:rPr>
                      <w:color w:val="auto"/>
                      <w:szCs w:val="21"/>
                    </w:rPr>
                    <w:t>环境要素</w:t>
                  </w:r>
                </w:p>
              </w:tc>
              <w:tc>
                <w:tcPr>
                  <w:tcW w:w="1365" w:type="dxa"/>
                  <w:vAlign w:val="center"/>
                </w:tcPr>
                <w:p>
                  <w:pPr>
                    <w:autoSpaceDE w:val="0"/>
                    <w:autoSpaceDN w:val="0"/>
                    <w:jc w:val="center"/>
                    <w:rPr>
                      <w:color w:val="auto"/>
                      <w:szCs w:val="21"/>
                    </w:rPr>
                  </w:pPr>
                  <w:r>
                    <w:rPr>
                      <w:color w:val="auto"/>
                      <w:szCs w:val="21"/>
                    </w:rPr>
                    <w:t>保护目标</w:t>
                  </w:r>
                </w:p>
              </w:tc>
              <w:tc>
                <w:tcPr>
                  <w:tcW w:w="1116" w:type="dxa"/>
                  <w:vAlign w:val="center"/>
                </w:tcPr>
                <w:p>
                  <w:pPr>
                    <w:autoSpaceDE w:val="0"/>
                    <w:autoSpaceDN w:val="0"/>
                    <w:jc w:val="center"/>
                    <w:rPr>
                      <w:color w:val="auto"/>
                      <w:szCs w:val="21"/>
                    </w:rPr>
                  </w:pPr>
                  <w:r>
                    <w:rPr>
                      <w:color w:val="auto"/>
                      <w:szCs w:val="21"/>
                    </w:rPr>
                    <w:t>厂界距离</w:t>
                  </w:r>
                </w:p>
              </w:tc>
              <w:tc>
                <w:tcPr>
                  <w:tcW w:w="1488" w:type="dxa"/>
                  <w:vAlign w:val="center"/>
                </w:tcPr>
                <w:p>
                  <w:pPr>
                    <w:autoSpaceDE w:val="0"/>
                    <w:autoSpaceDN w:val="0"/>
                    <w:jc w:val="center"/>
                    <w:rPr>
                      <w:color w:val="auto"/>
                      <w:szCs w:val="21"/>
                    </w:rPr>
                  </w:pPr>
                  <w:r>
                    <w:rPr>
                      <w:color w:val="auto"/>
                      <w:szCs w:val="21"/>
                    </w:rPr>
                    <w:t>水力联系</w:t>
                  </w:r>
                </w:p>
              </w:tc>
              <w:tc>
                <w:tcPr>
                  <w:tcW w:w="1124" w:type="dxa"/>
                  <w:vAlign w:val="center"/>
                </w:tcPr>
                <w:p>
                  <w:pPr>
                    <w:autoSpaceDE w:val="0"/>
                    <w:autoSpaceDN w:val="0"/>
                    <w:jc w:val="center"/>
                    <w:rPr>
                      <w:color w:val="auto"/>
                      <w:szCs w:val="21"/>
                    </w:rPr>
                  </w:pPr>
                  <w:r>
                    <w:rPr>
                      <w:color w:val="auto"/>
                      <w:szCs w:val="21"/>
                    </w:rPr>
                    <w:t>功能与规模</w:t>
                  </w:r>
                </w:p>
              </w:tc>
              <w:tc>
                <w:tcPr>
                  <w:tcW w:w="1982" w:type="dxa"/>
                  <w:vAlign w:val="center"/>
                </w:tcPr>
                <w:p>
                  <w:pPr>
                    <w:autoSpaceDE w:val="0"/>
                    <w:autoSpaceDN w:val="0"/>
                    <w:jc w:val="center"/>
                    <w:rPr>
                      <w:color w:val="auto"/>
                      <w:szCs w:val="21"/>
                    </w:rPr>
                  </w:pPr>
                  <w:r>
                    <w:rPr>
                      <w:color w:val="auto"/>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855" w:type="dxa"/>
                  <w:vAlign w:val="center"/>
                </w:tcPr>
                <w:p>
                  <w:pPr>
                    <w:autoSpaceDE w:val="0"/>
                    <w:autoSpaceDN w:val="0"/>
                    <w:jc w:val="center"/>
                    <w:rPr>
                      <w:color w:val="auto"/>
                      <w:szCs w:val="21"/>
                    </w:rPr>
                  </w:pPr>
                  <w:r>
                    <w:rPr>
                      <w:color w:val="auto"/>
                      <w:szCs w:val="21"/>
                    </w:rPr>
                    <w:t>地表水环境</w:t>
                  </w:r>
                </w:p>
              </w:tc>
              <w:tc>
                <w:tcPr>
                  <w:tcW w:w="1365" w:type="dxa"/>
                  <w:vAlign w:val="center"/>
                </w:tcPr>
                <w:p>
                  <w:pPr>
                    <w:autoSpaceDE w:val="0"/>
                    <w:autoSpaceDN w:val="0"/>
                    <w:jc w:val="center"/>
                    <w:rPr>
                      <w:rFonts w:hint="eastAsia" w:eastAsia="宋体"/>
                      <w:color w:val="auto"/>
                      <w:szCs w:val="21"/>
                      <w:lang w:eastAsia="zh-CN"/>
                    </w:rPr>
                  </w:pPr>
                  <w:r>
                    <w:rPr>
                      <w:rFonts w:hint="eastAsia"/>
                      <w:color w:val="auto"/>
                      <w:szCs w:val="21"/>
                      <w:lang w:val="en-US" w:eastAsia="zh-CN"/>
                    </w:rPr>
                    <w:t>邵水</w:t>
                  </w:r>
                </w:p>
              </w:tc>
              <w:tc>
                <w:tcPr>
                  <w:tcW w:w="1116" w:type="dxa"/>
                  <w:vAlign w:val="center"/>
                </w:tcPr>
                <w:p>
                  <w:pPr>
                    <w:autoSpaceDE w:val="0"/>
                    <w:autoSpaceDN w:val="0"/>
                    <w:jc w:val="center"/>
                    <w:rPr>
                      <w:rFonts w:hint="eastAsia" w:eastAsia="宋体"/>
                      <w:color w:val="auto"/>
                      <w:szCs w:val="21"/>
                      <w:lang w:eastAsia="zh-CN"/>
                    </w:rPr>
                  </w:pPr>
                  <w:r>
                    <w:rPr>
                      <w:rFonts w:hint="eastAsia"/>
                      <w:color w:val="auto"/>
                      <w:szCs w:val="21"/>
                      <w:lang w:val="en-US" w:eastAsia="zh-CN"/>
                    </w:rPr>
                    <w:t>南面26</w:t>
                  </w:r>
                  <w:r>
                    <w:rPr>
                      <w:rFonts w:hint="eastAsia"/>
                      <w:color w:val="auto"/>
                      <w:szCs w:val="21"/>
                      <w:lang w:eastAsia="zh-CN"/>
                    </w:rPr>
                    <w:t>0m</w:t>
                  </w:r>
                </w:p>
              </w:tc>
              <w:tc>
                <w:tcPr>
                  <w:tcW w:w="1488" w:type="dxa"/>
                  <w:vAlign w:val="center"/>
                </w:tcPr>
                <w:p>
                  <w:pPr>
                    <w:autoSpaceDE w:val="0"/>
                    <w:autoSpaceDN w:val="0"/>
                    <w:jc w:val="center"/>
                    <w:rPr>
                      <w:rFonts w:hint="eastAsia" w:eastAsia="宋体"/>
                      <w:color w:val="auto"/>
                      <w:szCs w:val="21"/>
                      <w:lang w:eastAsia="zh-CN"/>
                    </w:rPr>
                  </w:pPr>
                  <w:r>
                    <w:rPr>
                      <w:color w:val="auto"/>
                      <w:szCs w:val="21"/>
                    </w:rPr>
                    <w:t>生活污水经化粪池处理后</w:t>
                  </w:r>
                  <w:r>
                    <w:rPr>
                      <w:rFonts w:hint="eastAsia"/>
                      <w:color w:val="auto"/>
                      <w:szCs w:val="21"/>
                      <w:lang w:eastAsia="zh-CN"/>
                    </w:rPr>
                    <w:t>由附件农户清运，用作农肥</w:t>
                  </w:r>
                </w:p>
              </w:tc>
              <w:tc>
                <w:tcPr>
                  <w:tcW w:w="1124" w:type="dxa"/>
                  <w:vAlign w:val="center"/>
                </w:tcPr>
                <w:p>
                  <w:pPr>
                    <w:autoSpaceDE w:val="0"/>
                    <w:autoSpaceDN w:val="0"/>
                    <w:jc w:val="center"/>
                    <w:rPr>
                      <w:color w:val="auto"/>
                      <w:szCs w:val="21"/>
                    </w:rPr>
                  </w:pPr>
                  <w:r>
                    <w:rPr>
                      <w:color w:val="auto"/>
                      <w:szCs w:val="21"/>
                    </w:rPr>
                    <w:t>渔业用水，</w:t>
                  </w:r>
                  <w:r>
                    <w:rPr>
                      <w:rFonts w:hint="eastAsia"/>
                      <w:color w:val="auto"/>
                      <w:szCs w:val="21"/>
                      <w:lang w:eastAsia="zh-CN"/>
                    </w:rPr>
                    <w:t>小</w:t>
                  </w:r>
                  <w:r>
                    <w:rPr>
                      <w:color w:val="auto"/>
                      <w:szCs w:val="21"/>
                    </w:rPr>
                    <w:t>河</w:t>
                  </w:r>
                </w:p>
              </w:tc>
              <w:tc>
                <w:tcPr>
                  <w:tcW w:w="1982" w:type="dxa"/>
                  <w:vAlign w:val="center"/>
                </w:tcPr>
                <w:p>
                  <w:pPr>
                    <w:autoSpaceDE w:val="0"/>
                    <w:autoSpaceDN w:val="0"/>
                    <w:jc w:val="center"/>
                    <w:rPr>
                      <w:color w:val="auto"/>
                      <w:szCs w:val="21"/>
                    </w:rPr>
                  </w:pPr>
                  <w:r>
                    <w:rPr>
                      <w:color w:val="auto"/>
                      <w:szCs w:val="21"/>
                    </w:rPr>
                    <w:t>《地表水环境质量标准》（GB3838-2002）</w:t>
                  </w:r>
                  <w:r>
                    <w:rPr>
                      <w:rFonts w:hint="eastAsia" w:ascii="宋体" w:hAnsi="宋体" w:cs="宋体"/>
                      <w:color w:val="auto"/>
                      <w:szCs w:val="21"/>
                    </w:rPr>
                    <w:t>Ⅲ</w:t>
                  </w:r>
                  <w:r>
                    <w:rPr>
                      <w:color w:val="auto"/>
                      <w:szCs w:val="21"/>
                    </w:rPr>
                    <w:t>类水域标准</w:t>
                  </w:r>
                </w:p>
              </w:tc>
            </w:tr>
          </w:tbl>
          <w:p>
            <w:pPr>
              <w:jc w:val="center"/>
              <w:rPr>
                <w:b/>
                <w:color w:val="auto"/>
                <w:szCs w:val="21"/>
              </w:rPr>
            </w:pPr>
            <w:r>
              <w:rPr>
                <w:b/>
                <w:color w:val="auto"/>
                <w:szCs w:val="21"/>
              </w:rPr>
              <w:t>表3-</w:t>
            </w:r>
            <w:r>
              <w:rPr>
                <w:rFonts w:hint="eastAsia"/>
                <w:b/>
                <w:color w:val="auto"/>
                <w:szCs w:val="21"/>
                <w:lang w:val="en-US" w:eastAsia="zh-CN"/>
              </w:rPr>
              <w:t>7</w:t>
            </w:r>
            <w:r>
              <w:rPr>
                <w:b/>
                <w:color w:val="auto"/>
                <w:szCs w:val="21"/>
              </w:rPr>
              <w:t>环境空气</w:t>
            </w:r>
            <w:r>
              <w:rPr>
                <w:rFonts w:hint="eastAsia"/>
                <w:b/>
                <w:color w:val="auto"/>
                <w:szCs w:val="21"/>
                <w:lang w:eastAsia="zh-CN"/>
              </w:rPr>
              <w:t>、</w:t>
            </w:r>
            <w:r>
              <w:rPr>
                <w:rFonts w:hint="eastAsia"/>
                <w:b/>
                <w:color w:val="auto"/>
                <w:szCs w:val="21"/>
                <w:lang w:val="en-US" w:eastAsia="zh-CN"/>
              </w:rPr>
              <w:t>声环境</w:t>
            </w:r>
            <w:r>
              <w:rPr>
                <w:b/>
                <w:color w:val="auto"/>
                <w:szCs w:val="21"/>
              </w:rPr>
              <w:t>保护目标一览表</w:t>
            </w:r>
          </w:p>
          <w:tbl>
            <w:tblPr>
              <w:tblStyle w:val="29"/>
              <w:tblW w:w="7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797"/>
              <w:gridCol w:w="706"/>
              <w:gridCol w:w="664"/>
              <w:gridCol w:w="862"/>
              <w:gridCol w:w="1015"/>
              <w:gridCol w:w="1190"/>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22" w:type="dxa"/>
                  <w:vMerge w:val="restart"/>
                  <w:vAlign w:val="center"/>
                </w:tcPr>
                <w:p>
                  <w:pPr>
                    <w:autoSpaceDE w:val="0"/>
                    <w:autoSpaceDN w:val="0"/>
                    <w:adjustRightInd w:val="0"/>
                    <w:jc w:val="center"/>
                    <w:rPr>
                      <w:bCs/>
                      <w:color w:val="auto"/>
                      <w:szCs w:val="21"/>
                      <w:lang w:val="zh-CN"/>
                    </w:rPr>
                  </w:pPr>
                  <w:r>
                    <w:rPr>
                      <w:bCs/>
                      <w:color w:val="auto"/>
                      <w:szCs w:val="21"/>
                      <w:lang w:val="zh-CN"/>
                    </w:rPr>
                    <w:t>名称</w:t>
                  </w:r>
                </w:p>
              </w:tc>
              <w:tc>
                <w:tcPr>
                  <w:tcW w:w="1503" w:type="dxa"/>
                  <w:gridSpan w:val="2"/>
                  <w:vAlign w:val="center"/>
                </w:tcPr>
                <w:p>
                  <w:pPr>
                    <w:autoSpaceDE w:val="0"/>
                    <w:autoSpaceDN w:val="0"/>
                    <w:adjustRightInd w:val="0"/>
                    <w:jc w:val="center"/>
                    <w:rPr>
                      <w:bCs/>
                      <w:color w:val="auto"/>
                      <w:szCs w:val="21"/>
                      <w:lang w:val="zh-CN"/>
                    </w:rPr>
                  </w:pPr>
                  <w:r>
                    <w:rPr>
                      <w:bCs/>
                      <w:color w:val="auto"/>
                      <w:szCs w:val="21"/>
                      <w:lang w:val="zh-CN"/>
                    </w:rPr>
                    <w:t>坐标/m</w:t>
                  </w:r>
                </w:p>
              </w:tc>
              <w:tc>
                <w:tcPr>
                  <w:tcW w:w="664" w:type="dxa"/>
                  <w:vMerge w:val="restart"/>
                  <w:vAlign w:val="center"/>
                </w:tcPr>
                <w:p>
                  <w:pPr>
                    <w:autoSpaceDE w:val="0"/>
                    <w:autoSpaceDN w:val="0"/>
                    <w:adjustRightInd w:val="0"/>
                    <w:jc w:val="center"/>
                    <w:rPr>
                      <w:bCs/>
                      <w:color w:val="auto"/>
                      <w:szCs w:val="21"/>
                      <w:lang w:val="zh-CN"/>
                    </w:rPr>
                  </w:pPr>
                  <w:r>
                    <w:rPr>
                      <w:bCs/>
                      <w:color w:val="auto"/>
                      <w:szCs w:val="21"/>
                      <w:lang w:val="zh-CN"/>
                    </w:rPr>
                    <w:t>保护对象</w:t>
                  </w:r>
                </w:p>
              </w:tc>
              <w:tc>
                <w:tcPr>
                  <w:tcW w:w="862" w:type="dxa"/>
                  <w:vMerge w:val="restart"/>
                  <w:vAlign w:val="center"/>
                </w:tcPr>
                <w:p>
                  <w:pPr>
                    <w:autoSpaceDE w:val="0"/>
                    <w:autoSpaceDN w:val="0"/>
                    <w:adjustRightInd w:val="0"/>
                    <w:jc w:val="center"/>
                    <w:rPr>
                      <w:bCs/>
                      <w:color w:val="auto"/>
                      <w:szCs w:val="21"/>
                      <w:lang w:val="zh-CN"/>
                    </w:rPr>
                  </w:pPr>
                  <w:r>
                    <w:rPr>
                      <w:bCs/>
                      <w:color w:val="auto"/>
                      <w:szCs w:val="21"/>
                      <w:lang w:val="zh-CN"/>
                    </w:rPr>
                    <w:t>保护内容</w:t>
                  </w:r>
                </w:p>
              </w:tc>
              <w:tc>
                <w:tcPr>
                  <w:tcW w:w="1015" w:type="dxa"/>
                  <w:vMerge w:val="restart"/>
                  <w:vAlign w:val="center"/>
                </w:tcPr>
                <w:p>
                  <w:pPr>
                    <w:autoSpaceDE w:val="0"/>
                    <w:autoSpaceDN w:val="0"/>
                    <w:adjustRightInd w:val="0"/>
                    <w:jc w:val="center"/>
                    <w:rPr>
                      <w:bCs/>
                      <w:color w:val="auto"/>
                      <w:szCs w:val="21"/>
                      <w:lang w:val="zh-CN"/>
                    </w:rPr>
                  </w:pPr>
                  <w:r>
                    <w:rPr>
                      <w:bCs/>
                      <w:color w:val="auto"/>
                      <w:szCs w:val="21"/>
                      <w:lang w:val="zh-CN"/>
                    </w:rPr>
                    <w:t>环境功能区</w:t>
                  </w:r>
                </w:p>
              </w:tc>
              <w:tc>
                <w:tcPr>
                  <w:tcW w:w="1190" w:type="dxa"/>
                  <w:vMerge w:val="restart"/>
                  <w:vAlign w:val="center"/>
                </w:tcPr>
                <w:p>
                  <w:pPr>
                    <w:autoSpaceDE w:val="0"/>
                    <w:autoSpaceDN w:val="0"/>
                    <w:adjustRightInd w:val="0"/>
                    <w:jc w:val="center"/>
                    <w:rPr>
                      <w:bCs/>
                      <w:color w:val="auto"/>
                      <w:szCs w:val="21"/>
                      <w:lang w:val="zh-CN"/>
                    </w:rPr>
                  </w:pPr>
                  <w:r>
                    <w:rPr>
                      <w:bCs/>
                      <w:color w:val="auto"/>
                      <w:szCs w:val="21"/>
                      <w:lang w:val="zh-CN"/>
                    </w:rPr>
                    <w:t>相对厂界方位</w:t>
                  </w:r>
                </w:p>
              </w:tc>
              <w:tc>
                <w:tcPr>
                  <w:tcW w:w="1358" w:type="dxa"/>
                  <w:vMerge w:val="restart"/>
                  <w:vAlign w:val="center"/>
                </w:tcPr>
                <w:p>
                  <w:pPr>
                    <w:autoSpaceDE w:val="0"/>
                    <w:autoSpaceDN w:val="0"/>
                    <w:adjustRightInd w:val="0"/>
                    <w:jc w:val="center"/>
                    <w:rPr>
                      <w:bCs/>
                      <w:color w:val="auto"/>
                      <w:szCs w:val="21"/>
                      <w:lang w:val="zh-CN"/>
                    </w:rPr>
                  </w:pPr>
                  <w:r>
                    <w:rPr>
                      <w:bCs/>
                      <w:color w:val="auto"/>
                      <w:szCs w:val="21"/>
                      <w:lang w:val="zh-CN"/>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22" w:type="dxa"/>
                  <w:vMerge w:val="continue"/>
                  <w:vAlign w:val="center"/>
                </w:tcPr>
                <w:p>
                  <w:pPr>
                    <w:autoSpaceDE w:val="0"/>
                    <w:autoSpaceDN w:val="0"/>
                    <w:adjustRightInd w:val="0"/>
                    <w:jc w:val="center"/>
                    <w:rPr>
                      <w:bCs/>
                      <w:color w:val="auto"/>
                      <w:szCs w:val="21"/>
                      <w:lang w:val="zh-CN"/>
                    </w:rPr>
                  </w:pPr>
                </w:p>
              </w:tc>
              <w:tc>
                <w:tcPr>
                  <w:tcW w:w="797" w:type="dxa"/>
                  <w:vAlign w:val="center"/>
                </w:tcPr>
                <w:p>
                  <w:pPr>
                    <w:autoSpaceDE w:val="0"/>
                    <w:autoSpaceDN w:val="0"/>
                    <w:adjustRightInd w:val="0"/>
                    <w:jc w:val="center"/>
                    <w:rPr>
                      <w:bCs/>
                      <w:color w:val="auto"/>
                      <w:szCs w:val="21"/>
                      <w:lang w:val="zh-CN"/>
                    </w:rPr>
                  </w:pPr>
                  <w:r>
                    <w:rPr>
                      <w:bCs/>
                      <w:color w:val="auto"/>
                      <w:szCs w:val="21"/>
                      <w:lang w:val="zh-CN"/>
                    </w:rPr>
                    <w:t>X</w:t>
                  </w:r>
                </w:p>
              </w:tc>
              <w:tc>
                <w:tcPr>
                  <w:tcW w:w="706" w:type="dxa"/>
                  <w:vAlign w:val="center"/>
                </w:tcPr>
                <w:p>
                  <w:pPr>
                    <w:autoSpaceDE w:val="0"/>
                    <w:autoSpaceDN w:val="0"/>
                    <w:adjustRightInd w:val="0"/>
                    <w:jc w:val="center"/>
                    <w:rPr>
                      <w:bCs/>
                      <w:color w:val="auto"/>
                      <w:szCs w:val="21"/>
                      <w:lang w:val="zh-CN"/>
                    </w:rPr>
                  </w:pPr>
                  <w:r>
                    <w:rPr>
                      <w:bCs/>
                      <w:color w:val="auto"/>
                      <w:szCs w:val="21"/>
                      <w:lang w:val="zh-CN"/>
                    </w:rPr>
                    <w:t>Y</w:t>
                  </w:r>
                </w:p>
              </w:tc>
              <w:tc>
                <w:tcPr>
                  <w:tcW w:w="664" w:type="dxa"/>
                  <w:vMerge w:val="continue"/>
                  <w:vAlign w:val="center"/>
                </w:tcPr>
                <w:p>
                  <w:pPr>
                    <w:autoSpaceDE w:val="0"/>
                    <w:autoSpaceDN w:val="0"/>
                    <w:adjustRightInd w:val="0"/>
                    <w:jc w:val="center"/>
                    <w:rPr>
                      <w:bCs/>
                      <w:color w:val="auto"/>
                      <w:szCs w:val="21"/>
                      <w:lang w:val="zh-CN"/>
                    </w:rPr>
                  </w:pPr>
                </w:p>
              </w:tc>
              <w:tc>
                <w:tcPr>
                  <w:tcW w:w="862" w:type="dxa"/>
                  <w:vMerge w:val="continue"/>
                  <w:vAlign w:val="center"/>
                </w:tcPr>
                <w:p>
                  <w:pPr>
                    <w:autoSpaceDE w:val="0"/>
                    <w:autoSpaceDN w:val="0"/>
                    <w:adjustRightInd w:val="0"/>
                    <w:jc w:val="center"/>
                    <w:rPr>
                      <w:bCs/>
                      <w:color w:val="auto"/>
                      <w:szCs w:val="21"/>
                      <w:lang w:val="zh-CN"/>
                    </w:rPr>
                  </w:pPr>
                </w:p>
              </w:tc>
              <w:tc>
                <w:tcPr>
                  <w:tcW w:w="1015" w:type="dxa"/>
                  <w:vMerge w:val="continue"/>
                  <w:vAlign w:val="center"/>
                </w:tcPr>
                <w:p>
                  <w:pPr>
                    <w:autoSpaceDE w:val="0"/>
                    <w:autoSpaceDN w:val="0"/>
                    <w:adjustRightInd w:val="0"/>
                    <w:jc w:val="center"/>
                    <w:rPr>
                      <w:bCs/>
                      <w:color w:val="auto"/>
                      <w:szCs w:val="21"/>
                      <w:lang w:val="zh-CN"/>
                    </w:rPr>
                  </w:pPr>
                </w:p>
              </w:tc>
              <w:tc>
                <w:tcPr>
                  <w:tcW w:w="1190" w:type="dxa"/>
                  <w:vMerge w:val="continue"/>
                  <w:vAlign w:val="center"/>
                </w:tcPr>
                <w:p>
                  <w:pPr>
                    <w:autoSpaceDE w:val="0"/>
                    <w:autoSpaceDN w:val="0"/>
                    <w:adjustRightInd w:val="0"/>
                    <w:jc w:val="center"/>
                    <w:rPr>
                      <w:bCs/>
                      <w:color w:val="auto"/>
                      <w:szCs w:val="21"/>
                      <w:lang w:val="zh-CN"/>
                    </w:rPr>
                  </w:pPr>
                </w:p>
              </w:tc>
              <w:tc>
                <w:tcPr>
                  <w:tcW w:w="1358" w:type="dxa"/>
                  <w:vMerge w:val="continue"/>
                  <w:vAlign w:val="center"/>
                </w:tcPr>
                <w:p>
                  <w:pPr>
                    <w:autoSpaceDE w:val="0"/>
                    <w:autoSpaceDN w:val="0"/>
                    <w:adjustRightInd w:val="0"/>
                    <w:jc w:val="center"/>
                    <w:rPr>
                      <w:bCs/>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22" w:type="dxa"/>
                  <w:vAlign w:val="center"/>
                </w:tcPr>
                <w:p>
                  <w:pPr>
                    <w:autoSpaceDE w:val="0"/>
                    <w:autoSpaceDN w:val="0"/>
                    <w:adjustRightInd w:val="0"/>
                    <w:jc w:val="center"/>
                    <w:rPr>
                      <w:bCs/>
                      <w:color w:val="auto"/>
                      <w:szCs w:val="21"/>
                      <w:lang w:val="zh-CN"/>
                    </w:rPr>
                  </w:pPr>
                  <w:r>
                    <w:rPr>
                      <w:rFonts w:hint="eastAsia"/>
                      <w:bCs/>
                      <w:color w:val="auto"/>
                      <w:szCs w:val="21"/>
                      <w:lang w:val="zh-CN"/>
                    </w:rPr>
                    <w:t>牛马司镇</w:t>
                  </w:r>
                  <w:r>
                    <w:rPr>
                      <w:rFonts w:hint="eastAsia"/>
                      <w:bCs/>
                      <w:color w:val="auto"/>
                      <w:szCs w:val="21"/>
                      <w:lang w:val="en-US" w:eastAsia="zh-CN"/>
                    </w:rPr>
                    <w:t>工农村</w:t>
                  </w:r>
                </w:p>
              </w:tc>
              <w:tc>
                <w:tcPr>
                  <w:tcW w:w="797" w:type="dxa"/>
                  <w:vAlign w:val="center"/>
                </w:tcPr>
                <w:p>
                  <w:pPr>
                    <w:autoSpaceDE w:val="0"/>
                    <w:autoSpaceDN w:val="0"/>
                    <w:adjustRightInd w:val="0"/>
                    <w:jc w:val="center"/>
                    <w:rPr>
                      <w:rFonts w:hint="default" w:eastAsia="宋体"/>
                      <w:bCs/>
                      <w:color w:val="auto"/>
                      <w:szCs w:val="21"/>
                      <w:lang w:val="en-US" w:eastAsia="zh-CN"/>
                    </w:rPr>
                  </w:pPr>
                  <w:r>
                    <w:rPr>
                      <w:rFonts w:hint="eastAsia"/>
                      <w:bCs/>
                      <w:color w:val="auto"/>
                      <w:szCs w:val="21"/>
                      <w:lang w:val="en-US" w:eastAsia="zh-CN"/>
                    </w:rPr>
                    <w:t>65</w:t>
                  </w:r>
                </w:p>
              </w:tc>
              <w:tc>
                <w:tcPr>
                  <w:tcW w:w="706" w:type="dxa"/>
                  <w:vAlign w:val="center"/>
                </w:tcPr>
                <w:p>
                  <w:pPr>
                    <w:autoSpaceDE w:val="0"/>
                    <w:autoSpaceDN w:val="0"/>
                    <w:adjustRightInd w:val="0"/>
                    <w:jc w:val="center"/>
                    <w:rPr>
                      <w:rFonts w:hint="default" w:eastAsia="宋体"/>
                      <w:bCs/>
                      <w:color w:val="auto"/>
                      <w:szCs w:val="21"/>
                      <w:lang w:val="en-US" w:eastAsia="zh-CN"/>
                    </w:rPr>
                  </w:pPr>
                  <w:r>
                    <w:rPr>
                      <w:rFonts w:hint="eastAsia"/>
                      <w:bCs/>
                      <w:color w:val="auto"/>
                      <w:szCs w:val="21"/>
                      <w:lang w:val="en-US" w:eastAsia="zh-CN"/>
                    </w:rPr>
                    <w:t>0</w:t>
                  </w:r>
                </w:p>
              </w:tc>
              <w:tc>
                <w:tcPr>
                  <w:tcW w:w="664" w:type="dxa"/>
                  <w:vAlign w:val="center"/>
                </w:tcPr>
                <w:p>
                  <w:pPr>
                    <w:autoSpaceDE w:val="0"/>
                    <w:autoSpaceDN w:val="0"/>
                    <w:adjustRightInd w:val="0"/>
                    <w:jc w:val="center"/>
                    <w:rPr>
                      <w:bCs/>
                      <w:color w:val="auto"/>
                      <w:szCs w:val="21"/>
                      <w:lang w:val="zh-CN"/>
                    </w:rPr>
                  </w:pPr>
                  <w:r>
                    <w:rPr>
                      <w:rFonts w:hint="eastAsia"/>
                      <w:bCs/>
                      <w:color w:val="auto"/>
                      <w:szCs w:val="21"/>
                      <w:lang w:val="zh-CN"/>
                    </w:rPr>
                    <w:t>人群</w:t>
                  </w:r>
                </w:p>
              </w:tc>
              <w:tc>
                <w:tcPr>
                  <w:tcW w:w="862" w:type="dxa"/>
                  <w:vAlign w:val="center"/>
                </w:tcPr>
                <w:p>
                  <w:pPr>
                    <w:autoSpaceDE w:val="0"/>
                    <w:autoSpaceDN w:val="0"/>
                    <w:adjustRightInd w:val="0"/>
                    <w:jc w:val="center"/>
                    <w:rPr>
                      <w:bCs/>
                      <w:color w:val="auto"/>
                      <w:szCs w:val="21"/>
                      <w:lang w:val="zh-CN"/>
                    </w:rPr>
                  </w:pPr>
                  <w:r>
                    <w:rPr>
                      <w:rFonts w:hint="eastAsia"/>
                      <w:bCs/>
                      <w:color w:val="auto"/>
                      <w:szCs w:val="21"/>
                      <w:lang w:val="zh-CN"/>
                    </w:rPr>
                    <w:t>住宅</w:t>
                  </w:r>
                </w:p>
              </w:tc>
              <w:tc>
                <w:tcPr>
                  <w:tcW w:w="1015" w:type="dxa"/>
                  <w:vMerge w:val="restart"/>
                  <w:vAlign w:val="center"/>
                </w:tcPr>
                <w:p>
                  <w:pPr>
                    <w:autoSpaceDE w:val="0"/>
                    <w:autoSpaceDN w:val="0"/>
                    <w:adjustRightInd w:val="0"/>
                    <w:jc w:val="center"/>
                    <w:rPr>
                      <w:bCs/>
                      <w:color w:val="auto"/>
                      <w:szCs w:val="21"/>
                      <w:lang w:val="zh-CN"/>
                    </w:rPr>
                  </w:pPr>
                  <w:r>
                    <w:rPr>
                      <w:rFonts w:hint="eastAsia"/>
                      <w:bCs/>
                      <w:color w:val="auto"/>
                      <w:szCs w:val="21"/>
                      <w:lang w:val="zh-CN"/>
                    </w:rPr>
                    <w:t>二类区</w:t>
                  </w:r>
                </w:p>
              </w:tc>
              <w:tc>
                <w:tcPr>
                  <w:tcW w:w="1190" w:type="dxa"/>
                  <w:vAlign w:val="center"/>
                </w:tcPr>
                <w:p>
                  <w:pPr>
                    <w:autoSpaceDE w:val="0"/>
                    <w:autoSpaceDN w:val="0"/>
                    <w:adjustRightInd w:val="0"/>
                    <w:jc w:val="center"/>
                    <w:rPr>
                      <w:bCs/>
                      <w:color w:val="auto"/>
                      <w:szCs w:val="21"/>
                      <w:lang w:val="zh-CN"/>
                    </w:rPr>
                  </w:pPr>
                  <w:r>
                    <w:rPr>
                      <w:rFonts w:hint="eastAsia"/>
                      <w:bCs/>
                      <w:color w:val="auto"/>
                      <w:szCs w:val="21"/>
                    </w:rPr>
                    <w:t>E</w:t>
                  </w:r>
                </w:p>
              </w:tc>
              <w:tc>
                <w:tcPr>
                  <w:tcW w:w="1358" w:type="dxa"/>
                  <w:vAlign w:val="center"/>
                </w:tcPr>
                <w:p>
                  <w:pPr>
                    <w:autoSpaceDE w:val="0"/>
                    <w:autoSpaceDN w:val="0"/>
                    <w:adjustRightInd w:val="0"/>
                    <w:jc w:val="center"/>
                    <w:rPr>
                      <w:rFonts w:hint="default" w:eastAsia="宋体"/>
                      <w:bCs/>
                      <w:color w:val="auto"/>
                      <w:szCs w:val="21"/>
                      <w:lang w:val="en-US" w:eastAsia="zh-CN"/>
                    </w:rPr>
                  </w:pPr>
                  <w:r>
                    <w:rPr>
                      <w:rFonts w:hint="eastAsia"/>
                      <w:bCs/>
                      <w:color w:val="auto"/>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22" w:type="dxa"/>
                  <w:vAlign w:val="center"/>
                </w:tcPr>
                <w:p>
                  <w:pPr>
                    <w:autoSpaceDE w:val="0"/>
                    <w:autoSpaceDN w:val="0"/>
                    <w:adjustRightInd w:val="0"/>
                    <w:jc w:val="center"/>
                    <w:rPr>
                      <w:bCs/>
                      <w:color w:val="auto"/>
                      <w:szCs w:val="21"/>
                      <w:lang w:val="zh-CN"/>
                    </w:rPr>
                  </w:pPr>
                  <w:r>
                    <w:rPr>
                      <w:rFonts w:hint="eastAsia"/>
                      <w:bCs/>
                      <w:color w:val="auto"/>
                      <w:szCs w:val="21"/>
                      <w:lang w:val="zh-CN"/>
                    </w:rPr>
                    <w:t>牛马司镇</w:t>
                  </w:r>
                  <w:r>
                    <w:rPr>
                      <w:rFonts w:hint="eastAsia"/>
                      <w:bCs/>
                      <w:color w:val="auto"/>
                      <w:szCs w:val="21"/>
                      <w:lang w:val="en-US" w:eastAsia="zh-CN"/>
                    </w:rPr>
                    <w:t>工农村</w:t>
                  </w:r>
                </w:p>
              </w:tc>
              <w:tc>
                <w:tcPr>
                  <w:tcW w:w="797" w:type="dxa"/>
                  <w:vAlign w:val="center"/>
                </w:tcPr>
                <w:p>
                  <w:pPr>
                    <w:autoSpaceDE w:val="0"/>
                    <w:autoSpaceDN w:val="0"/>
                    <w:adjustRightInd w:val="0"/>
                    <w:jc w:val="center"/>
                    <w:rPr>
                      <w:rFonts w:hint="default" w:eastAsia="宋体"/>
                      <w:bCs/>
                      <w:color w:val="auto"/>
                      <w:szCs w:val="21"/>
                      <w:lang w:val="en-US" w:eastAsia="zh-CN"/>
                    </w:rPr>
                  </w:pPr>
                  <w:r>
                    <w:rPr>
                      <w:rFonts w:hint="eastAsia"/>
                      <w:bCs/>
                      <w:color w:val="auto"/>
                      <w:szCs w:val="21"/>
                      <w:lang w:val="en-US" w:eastAsia="zh-CN"/>
                    </w:rPr>
                    <w:t>0</w:t>
                  </w:r>
                </w:p>
              </w:tc>
              <w:tc>
                <w:tcPr>
                  <w:tcW w:w="706" w:type="dxa"/>
                  <w:vAlign w:val="center"/>
                </w:tcPr>
                <w:p>
                  <w:pPr>
                    <w:autoSpaceDE w:val="0"/>
                    <w:autoSpaceDN w:val="0"/>
                    <w:adjustRightInd w:val="0"/>
                    <w:jc w:val="center"/>
                    <w:rPr>
                      <w:rFonts w:hint="default" w:eastAsia="宋体"/>
                      <w:bCs/>
                      <w:color w:val="auto"/>
                      <w:szCs w:val="21"/>
                      <w:lang w:val="en-US" w:eastAsia="zh-CN"/>
                    </w:rPr>
                  </w:pPr>
                  <w:r>
                    <w:rPr>
                      <w:rFonts w:hint="eastAsia"/>
                      <w:bCs/>
                      <w:color w:val="auto"/>
                      <w:szCs w:val="21"/>
                      <w:lang w:val="en-US" w:eastAsia="zh-CN"/>
                    </w:rPr>
                    <w:t>-87</w:t>
                  </w:r>
                </w:p>
              </w:tc>
              <w:tc>
                <w:tcPr>
                  <w:tcW w:w="664" w:type="dxa"/>
                  <w:vAlign w:val="center"/>
                </w:tcPr>
                <w:p>
                  <w:pPr>
                    <w:autoSpaceDE w:val="0"/>
                    <w:autoSpaceDN w:val="0"/>
                    <w:adjustRightInd w:val="0"/>
                    <w:jc w:val="center"/>
                    <w:rPr>
                      <w:bCs/>
                      <w:color w:val="auto"/>
                      <w:szCs w:val="21"/>
                      <w:lang w:val="zh-CN"/>
                    </w:rPr>
                  </w:pPr>
                  <w:r>
                    <w:rPr>
                      <w:rFonts w:hint="eastAsia"/>
                      <w:bCs/>
                      <w:color w:val="auto"/>
                      <w:szCs w:val="21"/>
                      <w:lang w:val="zh-CN"/>
                    </w:rPr>
                    <w:t>人群</w:t>
                  </w:r>
                </w:p>
              </w:tc>
              <w:tc>
                <w:tcPr>
                  <w:tcW w:w="862" w:type="dxa"/>
                  <w:vAlign w:val="center"/>
                </w:tcPr>
                <w:p>
                  <w:pPr>
                    <w:autoSpaceDE w:val="0"/>
                    <w:autoSpaceDN w:val="0"/>
                    <w:adjustRightInd w:val="0"/>
                    <w:jc w:val="center"/>
                    <w:rPr>
                      <w:bCs/>
                      <w:color w:val="auto"/>
                      <w:szCs w:val="21"/>
                      <w:lang w:val="zh-CN"/>
                    </w:rPr>
                  </w:pPr>
                  <w:r>
                    <w:rPr>
                      <w:rFonts w:hint="eastAsia"/>
                      <w:bCs/>
                      <w:color w:val="auto"/>
                      <w:szCs w:val="21"/>
                      <w:lang w:val="zh-CN"/>
                    </w:rPr>
                    <w:t>住宅</w:t>
                  </w:r>
                </w:p>
              </w:tc>
              <w:tc>
                <w:tcPr>
                  <w:tcW w:w="1015" w:type="dxa"/>
                  <w:vMerge w:val="continue"/>
                  <w:vAlign w:val="center"/>
                </w:tcPr>
                <w:p>
                  <w:pPr>
                    <w:autoSpaceDE w:val="0"/>
                    <w:autoSpaceDN w:val="0"/>
                    <w:adjustRightInd w:val="0"/>
                    <w:jc w:val="center"/>
                    <w:rPr>
                      <w:bCs/>
                      <w:color w:val="auto"/>
                      <w:szCs w:val="21"/>
                      <w:lang w:val="zh-CN"/>
                    </w:rPr>
                  </w:pPr>
                </w:p>
              </w:tc>
              <w:tc>
                <w:tcPr>
                  <w:tcW w:w="1190" w:type="dxa"/>
                  <w:vAlign w:val="center"/>
                </w:tcPr>
                <w:p>
                  <w:pPr>
                    <w:autoSpaceDE w:val="0"/>
                    <w:autoSpaceDN w:val="0"/>
                    <w:adjustRightInd w:val="0"/>
                    <w:jc w:val="center"/>
                    <w:rPr>
                      <w:bCs/>
                      <w:color w:val="auto"/>
                      <w:szCs w:val="21"/>
                      <w:lang w:val="zh-CN"/>
                    </w:rPr>
                  </w:pPr>
                  <w:r>
                    <w:rPr>
                      <w:rFonts w:hint="eastAsia"/>
                      <w:bCs/>
                      <w:color w:val="auto"/>
                      <w:szCs w:val="21"/>
                    </w:rPr>
                    <w:t>S</w:t>
                  </w:r>
                </w:p>
              </w:tc>
              <w:tc>
                <w:tcPr>
                  <w:tcW w:w="1358" w:type="dxa"/>
                  <w:vAlign w:val="center"/>
                </w:tcPr>
                <w:p>
                  <w:pPr>
                    <w:autoSpaceDE w:val="0"/>
                    <w:autoSpaceDN w:val="0"/>
                    <w:adjustRightInd w:val="0"/>
                    <w:jc w:val="center"/>
                    <w:rPr>
                      <w:rFonts w:hint="default" w:eastAsia="宋体"/>
                      <w:bCs/>
                      <w:color w:val="auto"/>
                      <w:szCs w:val="21"/>
                      <w:lang w:val="en-US" w:eastAsia="zh-CN"/>
                    </w:rPr>
                  </w:pPr>
                  <w:r>
                    <w:rPr>
                      <w:rFonts w:hint="eastAsia"/>
                      <w:bCs/>
                      <w:color w:val="auto"/>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22" w:type="dxa"/>
                  <w:vAlign w:val="center"/>
                </w:tcPr>
                <w:p>
                  <w:pPr>
                    <w:autoSpaceDE w:val="0"/>
                    <w:autoSpaceDN w:val="0"/>
                    <w:adjustRightInd w:val="0"/>
                    <w:jc w:val="center"/>
                    <w:rPr>
                      <w:rFonts w:hint="eastAsia" w:eastAsia="宋体"/>
                      <w:bCs/>
                      <w:color w:val="auto"/>
                      <w:szCs w:val="21"/>
                      <w:lang w:val="zh-CN" w:eastAsia="zh-CN"/>
                    </w:rPr>
                  </w:pPr>
                  <w:r>
                    <w:rPr>
                      <w:rFonts w:hint="eastAsia"/>
                      <w:bCs/>
                      <w:color w:val="auto"/>
                      <w:szCs w:val="21"/>
                      <w:lang w:val="zh-CN"/>
                    </w:rPr>
                    <w:t>牛马司镇</w:t>
                  </w:r>
                  <w:r>
                    <w:rPr>
                      <w:rFonts w:hint="eastAsia"/>
                      <w:bCs/>
                      <w:color w:val="auto"/>
                      <w:szCs w:val="21"/>
                      <w:lang w:val="en-US" w:eastAsia="zh-CN"/>
                    </w:rPr>
                    <w:t>工农村</w:t>
                  </w:r>
                </w:p>
              </w:tc>
              <w:tc>
                <w:tcPr>
                  <w:tcW w:w="797" w:type="dxa"/>
                  <w:vAlign w:val="center"/>
                </w:tcPr>
                <w:p>
                  <w:pPr>
                    <w:autoSpaceDE w:val="0"/>
                    <w:autoSpaceDN w:val="0"/>
                    <w:adjustRightInd w:val="0"/>
                    <w:jc w:val="center"/>
                    <w:rPr>
                      <w:rFonts w:hint="default" w:eastAsia="宋体"/>
                      <w:bCs/>
                      <w:color w:val="auto"/>
                      <w:szCs w:val="21"/>
                      <w:lang w:val="en-US" w:eastAsia="zh-CN"/>
                    </w:rPr>
                  </w:pPr>
                  <w:r>
                    <w:rPr>
                      <w:rFonts w:hint="eastAsia"/>
                      <w:bCs/>
                      <w:color w:val="auto"/>
                      <w:szCs w:val="21"/>
                      <w:lang w:val="en-US" w:eastAsia="zh-CN"/>
                    </w:rPr>
                    <w:t>-65</w:t>
                  </w:r>
                </w:p>
              </w:tc>
              <w:tc>
                <w:tcPr>
                  <w:tcW w:w="706" w:type="dxa"/>
                  <w:vAlign w:val="center"/>
                </w:tcPr>
                <w:p>
                  <w:pPr>
                    <w:autoSpaceDE w:val="0"/>
                    <w:autoSpaceDN w:val="0"/>
                    <w:adjustRightInd w:val="0"/>
                    <w:jc w:val="center"/>
                    <w:rPr>
                      <w:rFonts w:hint="default" w:eastAsia="宋体"/>
                      <w:bCs/>
                      <w:color w:val="auto"/>
                      <w:szCs w:val="21"/>
                      <w:lang w:val="en-US" w:eastAsia="zh-CN"/>
                    </w:rPr>
                  </w:pPr>
                  <w:r>
                    <w:rPr>
                      <w:rFonts w:hint="eastAsia"/>
                      <w:bCs/>
                      <w:color w:val="auto"/>
                      <w:szCs w:val="21"/>
                      <w:lang w:val="en-US" w:eastAsia="zh-CN"/>
                    </w:rPr>
                    <w:t>0</w:t>
                  </w:r>
                </w:p>
              </w:tc>
              <w:tc>
                <w:tcPr>
                  <w:tcW w:w="664" w:type="dxa"/>
                  <w:vAlign w:val="center"/>
                </w:tcPr>
                <w:p>
                  <w:pPr>
                    <w:autoSpaceDE w:val="0"/>
                    <w:autoSpaceDN w:val="0"/>
                    <w:adjustRightInd w:val="0"/>
                    <w:jc w:val="center"/>
                    <w:rPr>
                      <w:bCs/>
                      <w:color w:val="auto"/>
                      <w:szCs w:val="21"/>
                      <w:lang w:val="zh-CN"/>
                    </w:rPr>
                  </w:pPr>
                  <w:r>
                    <w:rPr>
                      <w:rFonts w:hint="eastAsia"/>
                      <w:bCs/>
                      <w:color w:val="auto"/>
                      <w:szCs w:val="21"/>
                      <w:lang w:val="zh-CN"/>
                    </w:rPr>
                    <w:t>人群</w:t>
                  </w:r>
                </w:p>
              </w:tc>
              <w:tc>
                <w:tcPr>
                  <w:tcW w:w="862" w:type="dxa"/>
                  <w:vAlign w:val="center"/>
                </w:tcPr>
                <w:p>
                  <w:pPr>
                    <w:autoSpaceDE w:val="0"/>
                    <w:autoSpaceDN w:val="0"/>
                    <w:adjustRightInd w:val="0"/>
                    <w:jc w:val="center"/>
                    <w:rPr>
                      <w:bCs/>
                      <w:color w:val="auto"/>
                      <w:szCs w:val="21"/>
                      <w:lang w:val="zh-CN"/>
                    </w:rPr>
                  </w:pPr>
                  <w:r>
                    <w:rPr>
                      <w:rFonts w:hint="eastAsia"/>
                      <w:bCs/>
                      <w:color w:val="auto"/>
                      <w:szCs w:val="21"/>
                      <w:lang w:val="zh-CN"/>
                    </w:rPr>
                    <w:t>住宅</w:t>
                  </w:r>
                </w:p>
              </w:tc>
              <w:tc>
                <w:tcPr>
                  <w:tcW w:w="1015" w:type="dxa"/>
                  <w:vMerge w:val="continue"/>
                  <w:vAlign w:val="center"/>
                </w:tcPr>
                <w:p>
                  <w:pPr>
                    <w:autoSpaceDE w:val="0"/>
                    <w:autoSpaceDN w:val="0"/>
                    <w:adjustRightInd w:val="0"/>
                    <w:jc w:val="center"/>
                    <w:rPr>
                      <w:bCs/>
                      <w:color w:val="auto"/>
                      <w:szCs w:val="21"/>
                      <w:lang w:val="zh-CN"/>
                    </w:rPr>
                  </w:pPr>
                </w:p>
              </w:tc>
              <w:tc>
                <w:tcPr>
                  <w:tcW w:w="1190" w:type="dxa"/>
                  <w:vAlign w:val="center"/>
                </w:tcPr>
                <w:p>
                  <w:pPr>
                    <w:autoSpaceDE w:val="0"/>
                    <w:autoSpaceDN w:val="0"/>
                    <w:adjustRightInd w:val="0"/>
                    <w:jc w:val="center"/>
                    <w:rPr>
                      <w:bCs/>
                      <w:color w:val="auto"/>
                      <w:szCs w:val="21"/>
                      <w:lang w:val="zh-CN"/>
                    </w:rPr>
                  </w:pPr>
                  <w:r>
                    <w:rPr>
                      <w:rFonts w:hint="eastAsia"/>
                      <w:bCs/>
                      <w:color w:val="auto"/>
                      <w:szCs w:val="21"/>
                      <w:lang w:val="zh-CN"/>
                    </w:rPr>
                    <w:t>W</w:t>
                  </w:r>
                </w:p>
              </w:tc>
              <w:tc>
                <w:tcPr>
                  <w:tcW w:w="1358" w:type="dxa"/>
                  <w:vAlign w:val="center"/>
                </w:tcPr>
                <w:p>
                  <w:pPr>
                    <w:autoSpaceDE w:val="0"/>
                    <w:autoSpaceDN w:val="0"/>
                    <w:adjustRightInd w:val="0"/>
                    <w:jc w:val="center"/>
                    <w:rPr>
                      <w:rFonts w:hint="default" w:eastAsia="宋体"/>
                      <w:bCs/>
                      <w:color w:val="auto"/>
                      <w:szCs w:val="21"/>
                      <w:lang w:val="en-US" w:eastAsia="zh-CN"/>
                    </w:rPr>
                  </w:pPr>
                  <w:r>
                    <w:rPr>
                      <w:rFonts w:hint="eastAsia"/>
                      <w:bCs/>
                      <w:color w:val="auto"/>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22" w:type="dxa"/>
                  <w:vAlign w:val="center"/>
                </w:tcPr>
                <w:p>
                  <w:pPr>
                    <w:autoSpaceDE w:val="0"/>
                    <w:autoSpaceDN w:val="0"/>
                    <w:adjustRightInd w:val="0"/>
                    <w:jc w:val="center"/>
                    <w:rPr>
                      <w:bCs/>
                      <w:color w:val="auto"/>
                      <w:szCs w:val="21"/>
                      <w:lang w:val="zh-CN"/>
                    </w:rPr>
                  </w:pPr>
                  <w:r>
                    <w:rPr>
                      <w:rFonts w:hint="eastAsia"/>
                      <w:bCs/>
                      <w:color w:val="auto"/>
                      <w:szCs w:val="21"/>
                      <w:lang w:val="zh-CN"/>
                    </w:rPr>
                    <w:t>牛马司镇</w:t>
                  </w:r>
                  <w:r>
                    <w:rPr>
                      <w:rFonts w:hint="eastAsia"/>
                      <w:bCs/>
                      <w:color w:val="auto"/>
                      <w:szCs w:val="21"/>
                      <w:lang w:val="en-US" w:eastAsia="zh-CN"/>
                    </w:rPr>
                    <w:t>工农村</w:t>
                  </w:r>
                </w:p>
              </w:tc>
              <w:tc>
                <w:tcPr>
                  <w:tcW w:w="797" w:type="dxa"/>
                  <w:vAlign w:val="center"/>
                </w:tcPr>
                <w:p>
                  <w:pPr>
                    <w:autoSpaceDE w:val="0"/>
                    <w:autoSpaceDN w:val="0"/>
                    <w:adjustRightInd w:val="0"/>
                    <w:jc w:val="center"/>
                    <w:rPr>
                      <w:rFonts w:hint="default" w:eastAsia="宋体"/>
                      <w:bCs/>
                      <w:color w:val="auto"/>
                      <w:szCs w:val="21"/>
                      <w:lang w:val="en-US" w:eastAsia="zh-CN"/>
                    </w:rPr>
                  </w:pPr>
                  <w:r>
                    <w:rPr>
                      <w:rFonts w:hint="eastAsia"/>
                      <w:bCs/>
                      <w:color w:val="auto"/>
                      <w:szCs w:val="21"/>
                      <w:lang w:val="en-US" w:eastAsia="zh-CN"/>
                    </w:rPr>
                    <w:t>-5</w:t>
                  </w:r>
                </w:p>
              </w:tc>
              <w:tc>
                <w:tcPr>
                  <w:tcW w:w="706" w:type="dxa"/>
                  <w:vAlign w:val="center"/>
                </w:tcPr>
                <w:p>
                  <w:pPr>
                    <w:autoSpaceDE w:val="0"/>
                    <w:autoSpaceDN w:val="0"/>
                    <w:adjustRightInd w:val="0"/>
                    <w:jc w:val="center"/>
                    <w:rPr>
                      <w:rFonts w:hint="default" w:eastAsia="宋体"/>
                      <w:bCs/>
                      <w:color w:val="auto"/>
                      <w:szCs w:val="21"/>
                      <w:lang w:val="en-US" w:eastAsia="zh-CN"/>
                    </w:rPr>
                  </w:pPr>
                  <w:r>
                    <w:rPr>
                      <w:rFonts w:hint="eastAsia"/>
                      <w:bCs/>
                      <w:color w:val="auto"/>
                      <w:szCs w:val="21"/>
                      <w:lang w:val="en-US" w:eastAsia="zh-CN"/>
                    </w:rPr>
                    <w:t>56</w:t>
                  </w:r>
                </w:p>
              </w:tc>
              <w:tc>
                <w:tcPr>
                  <w:tcW w:w="664" w:type="dxa"/>
                  <w:vAlign w:val="center"/>
                </w:tcPr>
                <w:p>
                  <w:pPr>
                    <w:autoSpaceDE w:val="0"/>
                    <w:autoSpaceDN w:val="0"/>
                    <w:adjustRightInd w:val="0"/>
                    <w:jc w:val="center"/>
                    <w:rPr>
                      <w:bCs/>
                      <w:color w:val="auto"/>
                      <w:szCs w:val="21"/>
                      <w:lang w:val="zh-CN"/>
                    </w:rPr>
                  </w:pPr>
                  <w:r>
                    <w:rPr>
                      <w:rFonts w:hint="eastAsia"/>
                      <w:bCs/>
                      <w:color w:val="auto"/>
                      <w:szCs w:val="21"/>
                      <w:lang w:val="zh-CN"/>
                    </w:rPr>
                    <w:t>人群</w:t>
                  </w:r>
                </w:p>
              </w:tc>
              <w:tc>
                <w:tcPr>
                  <w:tcW w:w="862" w:type="dxa"/>
                  <w:vAlign w:val="center"/>
                </w:tcPr>
                <w:p>
                  <w:pPr>
                    <w:autoSpaceDE w:val="0"/>
                    <w:autoSpaceDN w:val="0"/>
                    <w:adjustRightInd w:val="0"/>
                    <w:jc w:val="center"/>
                    <w:rPr>
                      <w:bCs/>
                      <w:color w:val="auto"/>
                      <w:szCs w:val="21"/>
                      <w:lang w:val="zh-CN"/>
                    </w:rPr>
                  </w:pPr>
                  <w:r>
                    <w:rPr>
                      <w:rFonts w:hint="eastAsia"/>
                      <w:bCs/>
                      <w:color w:val="auto"/>
                      <w:szCs w:val="21"/>
                      <w:lang w:val="zh-CN"/>
                    </w:rPr>
                    <w:t>住宅</w:t>
                  </w:r>
                </w:p>
              </w:tc>
              <w:tc>
                <w:tcPr>
                  <w:tcW w:w="1015" w:type="dxa"/>
                  <w:vMerge w:val="continue"/>
                  <w:vAlign w:val="center"/>
                </w:tcPr>
                <w:p>
                  <w:pPr>
                    <w:autoSpaceDE w:val="0"/>
                    <w:autoSpaceDN w:val="0"/>
                    <w:adjustRightInd w:val="0"/>
                    <w:jc w:val="center"/>
                    <w:rPr>
                      <w:bCs/>
                      <w:color w:val="auto"/>
                      <w:szCs w:val="21"/>
                      <w:lang w:val="zh-CN"/>
                    </w:rPr>
                  </w:pPr>
                </w:p>
              </w:tc>
              <w:tc>
                <w:tcPr>
                  <w:tcW w:w="1190" w:type="dxa"/>
                  <w:vAlign w:val="center"/>
                </w:tcPr>
                <w:p>
                  <w:pPr>
                    <w:autoSpaceDE w:val="0"/>
                    <w:autoSpaceDN w:val="0"/>
                    <w:adjustRightInd w:val="0"/>
                    <w:jc w:val="center"/>
                    <w:rPr>
                      <w:bCs/>
                      <w:color w:val="auto"/>
                      <w:szCs w:val="21"/>
                      <w:lang w:val="zh-CN"/>
                    </w:rPr>
                  </w:pPr>
                  <w:r>
                    <w:rPr>
                      <w:rFonts w:hint="eastAsia"/>
                      <w:bCs/>
                      <w:color w:val="auto"/>
                      <w:szCs w:val="21"/>
                    </w:rPr>
                    <w:t>N</w:t>
                  </w:r>
                </w:p>
              </w:tc>
              <w:tc>
                <w:tcPr>
                  <w:tcW w:w="1358" w:type="dxa"/>
                  <w:vAlign w:val="center"/>
                </w:tcPr>
                <w:p>
                  <w:pPr>
                    <w:autoSpaceDE w:val="0"/>
                    <w:autoSpaceDN w:val="0"/>
                    <w:adjustRightInd w:val="0"/>
                    <w:jc w:val="center"/>
                    <w:rPr>
                      <w:rFonts w:hint="default" w:eastAsia="宋体"/>
                      <w:bCs/>
                      <w:color w:val="auto"/>
                      <w:szCs w:val="21"/>
                      <w:lang w:val="en-US" w:eastAsia="zh-CN"/>
                    </w:rPr>
                  </w:pPr>
                  <w:r>
                    <w:rPr>
                      <w:rFonts w:hint="eastAsia"/>
                      <w:bCs/>
                      <w:color w:val="auto"/>
                      <w:szCs w:val="21"/>
                      <w:lang w:val="en-US" w:eastAsia="zh-CN"/>
                    </w:rPr>
                    <w:t>20</w:t>
                  </w:r>
                </w:p>
              </w:tc>
            </w:tr>
          </w:tbl>
          <w:p>
            <w:pP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tcMar>
              <w:left w:w="28" w:type="dxa"/>
              <w:right w:w="28" w:type="dxa"/>
            </w:tcMar>
            <w:vAlign w:val="center"/>
          </w:tcPr>
          <w:p>
            <w:pPr>
              <w:adjustRightInd w:val="0"/>
              <w:snapToGrid w:val="0"/>
              <w:jc w:val="center"/>
              <w:rPr>
                <w:color w:val="auto"/>
                <w:kern w:val="0"/>
                <w:szCs w:val="21"/>
              </w:rPr>
            </w:pPr>
            <w:r>
              <w:rPr>
                <w:color w:val="auto"/>
                <w:kern w:val="0"/>
                <w:szCs w:val="21"/>
              </w:rPr>
              <w:t>污染</w:t>
            </w:r>
          </w:p>
          <w:p>
            <w:pPr>
              <w:adjustRightInd w:val="0"/>
              <w:snapToGrid w:val="0"/>
              <w:jc w:val="center"/>
              <w:rPr>
                <w:color w:val="auto"/>
                <w:kern w:val="0"/>
                <w:szCs w:val="21"/>
              </w:rPr>
            </w:pPr>
            <w:r>
              <w:rPr>
                <w:color w:val="auto"/>
                <w:kern w:val="0"/>
                <w:szCs w:val="21"/>
              </w:rPr>
              <w:t>物排</w:t>
            </w:r>
          </w:p>
          <w:p>
            <w:pPr>
              <w:adjustRightInd w:val="0"/>
              <w:snapToGrid w:val="0"/>
              <w:jc w:val="center"/>
              <w:rPr>
                <w:color w:val="auto"/>
                <w:kern w:val="0"/>
                <w:szCs w:val="21"/>
              </w:rPr>
            </w:pPr>
            <w:r>
              <w:rPr>
                <w:color w:val="auto"/>
                <w:kern w:val="0"/>
                <w:szCs w:val="21"/>
              </w:rPr>
              <w:t>放控</w:t>
            </w:r>
          </w:p>
          <w:p>
            <w:pPr>
              <w:adjustRightInd w:val="0"/>
              <w:snapToGrid w:val="0"/>
              <w:jc w:val="center"/>
              <w:rPr>
                <w:color w:val="auto"/>
                <w:kern w:val="0"/>
                <w:szCs w:val="21"/>
              </w:rPr>
            </w:pPr>
            <w:r>
              <w:rPr>
                <w:color w:val="auto"/>
                <w:kern w:val="0"/>
                <w:szCs w:val="21"/>
              </w:rPr>
              <w:t>制标</w:t>
            </w:r>
          </w:p>
          <w:p>
            <w:pPr>
              <w:adjustRightInd w:val="0"/>
              <w:snapToGrid w:val="0"/>
              <w:jc w:val="center"/>
              <w:rPr>
                <w:color w:val="auto"/>
                <w:kern w:val="0"/>
                <w:szCs w:val="21"/>
              </w:rPr>
            </w:pPr>
            <w:r>
              <w:rPr>
                <w:color w:val="auto"/>
                <w:kern w:val="0"/>
                <w:szCs w:val="21"/>
              </w:rPr>
              <w:t>准</w:t>
            </w:r>
          </w:p>
        </w:tc>
        <w:tc>
          <w:tcPr>
            <w:tcW w:w="8190" w:type="dxa"/>
            <w:vAlign w:val="center"/>
          </w:tcPr>
          <w:p>
            <w:pPr>
              <w:pStyle w:val="26"/>
              <w:spacing w:line="480" w:lineRule="atLeast"/>
              <w:ind w:firstLine="241"/>
              <w:rPr>
                <w:b/>
                <w:color w:val="auto"/>
                <w:sz w:val="24"/>
                <w:szCs w:val="24"/>
              </w:rPr>
            </w:pPr>
            <w:r>
              <w:rPr>
                <w:b/>
                <w:color w:val="auto"/>
                <w:sz w:val="24"/>
                <w:szCs w:val="24"/>
              </w:rPr>
              <w:t>1、废气</w:t>
            </w:r>
          </w:p>
          <w:p>
            <w:pPr>
              <w:spacing w:line="360" w:lineRule="auto"/>
              <w:ind w:firstLine="480" w:firstLineChars="200"/>
              <w:rPr>
                <w:color w:val="auto"/>
                <w:sz w:val="24"/>
              </w:rPr>
            </w:pPr>
            <w:r>
              <w:rPr>
                <w:rFonts w:hint="eastAsia"/>
                <w:color w:val="auto"/>
                <w:sz w:val="24"/>
                <w:lang w:val="en-US" w:eastAsia="zh-CN"/>
              </w:rPr>
              <w:t>有组织</w:t>
            </w:r>
            <w:r>
              <w:rPr>
                <w:rFonts w:hint="eastAsia"/>
                <w:color w:val="auto"/>
                <w:sz w:val="24"/>
              </w:rPr>
              <w:t>非甲烷总烃和颗粒物排放执行《</w:t>
            </w:r>
            <w:r>
              <w:rPr>
                <w:rFonts w:hint="eastAsia"/>
                <w:color w:val="auto"/>
                <w:sz w:val="24"/>
                <w:lang w:eastAsia="zh-CN"/>
              </w:rPr>
              <w:t>合成树脂工业污染物排放标准</w:t>
            </w:r>
            <w:r>
              <w:rPr>
                <w:rFonts w:hint="eastAsia"/>
                <w:color w:val="auto"/>
                <w:sz w:val="24"/>
              </w:rPr>
              <w:t>》（</w:t>
            </w:r>
            <w:r>
              <w:rPr>
                <w:rFonts w:hint="eastAsia"/>
                <w:color w:val="auto"/>
                <w:sz w:val="24"/>
                <w:lang w:eastAsia="zh-CN"/>
              </w:rPr>
              <w:t>GB31572-2015</w:t>
            </w:r>
            <w:r>
              <w:rPr>
                <w:rFonts w:hint="eastAsia"/>
                <w:color w:val="auto"/>
                <w:sz w:val="24"/>
              </w:rPr>
              <w:t>）表</w:t>
            </w:r>
            <w:r>
              <w:rPr>
                <w:rFonts w:hint="eastAsia"/>
                <w:color w:val="auto"/>
                <w:sz w:val="24"/>
                <w:lang w:val="en-US" w:eastAsia="zh-CN"/>
              </w:rPr>
              <w:t>4</w:t>
            </w:r>
            <w:r>
              <w:rPr>
                <w:rFonts w:hint="eastAsia"/>
                <w:color w:val="auto"/>
                <w:sz w:val="24"/>
              </w:rPr>
              <w:t>大气污染物浓度限值要求，</w:t>
            </w:r>
            <w:r>
              <w:rPr>
                <w:rFonts w:hint="eastAsia"/>
                <w:color w:val="auto"/>
                <w:sz w:val="24"/>
                <w:lang w:val="en-US" w:eastAsia="zh-CN"/>
              </w:rPr>
              <w:t>无组织</w:t>
            </w:r>
            <w:r>
              <w:rPr>
                <w:rFonts w:hint="eastAsia"/>
                <w:color w:val="auto"/>
                <w:sz w:val="24"/>
              </w:rPr>
              <w:t>非甲烷总烃和颗粒物排放执行《</w:t>
            </w:r>
            <w:r>
              <w:rPr>
                <w:rFonts w:hint="eastAsia"/>
                <w:color w:val="auto"/>
                <w:sz w:val="24"/>
                <w:lang w:eastAsia="zh-CN"/>
              </w:rPr>
              <w:t>合成树脂工业污染物排放标准</w:t>
            </w:r>
            <w:r>
              <w:rPr>
                <w:rFonts w:hint="eastAsia"/>
                <w:color w:val="auto"/>
                <w:sz w:val="24"/>
              </w:rPr>
              <w:t>》（</w:t>
            </w:r>
            <w:r>
              <w:rPr>
                <w:rFonts w:hint="eastAsia"/>
                <w:color w:val="auto"/>
                <w:sz w:val="24"/>
                <w:lang w:eastAsia="zh-CN"/>
              </w:rPr>
              <w:t>GB31572-2015</w:t>
            </w:r>
            <w:r>
              <w:rPr>
                <w:rFonts w:hint="eastAsia"/>
                <w:color w:val="auto"/>
                <w:sz w:val="24"/>
              </w:rPr>
              <w:t>）表9企业边界大气污染物浓度限值要求，具体标准限值详见下表：</w:t>
            </w:r>
          </w:p>
          <w:p>
            <w:pPr>
              <w:spacing w:line="276" w:lineRule="auto"/>
              <w:jc w:val="center"/>
              <w:rPr>
                <w:rFonts w:hint="eastAsia" w:eastAsia="宋体"/>
                <w:b/>
                <w:bCs/>
                <w:color w:val="auto"/>
                <w:sz w:val="21"/>
                <w:szCs w:val="21"/>
                <w:lang w:eastAsia="zh-CN"/>
              </w:rPr>
            </w:pPr>
            <w:r>
              <w:rPr>
                <w:rFonts w:hint="eastAsia"/>
                <w:b/>
                <w:bCs/>
                <w:color w:val="auto"/>
                <w:sz w:val="21"/>
                <w:szCs w:val="21"/>
              </w:rPr>
              <w:t>表</w:t>
            </w:r>
            <w:r>
              <w:rPr>
                <w:rFonts w:hint="eastAsia"/>
                <w:b/>
                <w:bCs/>
                <w:color w:val="auto"/>
                <w:sz w:val="21"/>
                <w:szCs w:val="21"/>
                <w:lang w:val="en-US" w:eastAsia="zh-CN"/>
              </w:rPr>
              <w:t>3-8</w:t>
            </w:r>
            <w:r>
              <w:rPr>
                <w:b/>
                <w:bCs/>
                <w:color w:val="auto"/>
                <w:sz w:val="21"/>
                <w:szCs w:val="21"/>
              </w:rPr>
              <w:t xml:space="preserve">  </w:t>
            </w:r>
            <w:r>
              <w:rPr>
                <w:rFonts w:hint="eastAsia"/>
                <w:b/>
                <w:bCs/>
                <w:color w:val="auto"/>
                <w:sz w:val="21"/>
                <w:szCs w:val="21"/>
                <w:lang w:eastAsia="zh-CN"/>
              </w:rPr>
              <w:t>合成树脂工业污染物排放标准</w:t>
            </w:r>
          </w:p>
          <w:tbl>
            <w:tblPr>
              <w:tblStyle w:val="29"/>
              <w:tblW w:w="78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23"/>
              <w:gridCol w:w="1599"/>
              <w:gridCol w:w="2481"/>
              <w:gridCol w:w="2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152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21"/>
                      <w:szCs w:val="21"/>
                    </w:rPr>
                  </w:pPr>
                  <w:r>
                    <w:rPr>
                      <w:rFonts w:hint="eastAsia"/>
                      <w:color w:val="auto"/>
                      <w:sz w:val="21"/>
                      <w:szCs w:val="21"/>
                    </w:rPr>
                    <w:t>污染物</w:t>
                  </w:r>
                </w:p>
              </w:tc>
              <w:tc>
                <w:tcPr>
                  <w:tcW w:w="1599" w:type="dxa"/>
                  <w:vMerge w:val="restart"/>
                  <w:tcBorders>
                    <w:top w:val="single" w:color="000000" w:sz="4" w:space="0"/>
                    <w:left w:val="nil"/>
                    <w:bottom w:val="single" w:color="000000" w:sz="4" w:space="0"/>
                    <w:right w:val="single" w:color="000000" w:sz="4" w:space="0"/>
                  </w:tcBorders>
                  <w:noWrap w:val="0"/>
                  <w:vAlign w:val="center"/>
                </w:tcPr>
                <w:p>
                  <w:pPr>
                    <w:jc w:val="center"/>
                    <w:rPr>
                      <w:color w:val="auto"/>
                      <w:sz w:val="21"/>
                      <w:szCs w:val="21"/>
                    </w:rPr>
                  </w:pPr>
                  <w:r>
                    <w:rPr>
                      <w:rFonts w:hint="eastAsia"/>
                      <w:color w:val="auto"/>
                      <w:sz w:val="21"/>
                      <w:szCs w:val="21"/>
                    </w:rPr>
                    <w:t>最高允许排放浓度（</w:t>
                  </w:r>
                  <w:r>
                    <w:rPr>
                      <w:color w:val="auto"/>
                      <w:sz w:val="21"/>
                      <w:szCs w:val="21"/>
                    </w:rPr>
                    <w:t>mg/m</w:t>
                  </w:r>
                  <w:r>
                    <w:rPr>
                      <w:color w:val="auto"/>
                      <w:sz w:val="21"/>
                      <w:szCs w:val="21"/>
                      <w:vertAlign w:val="superscript"/>
                    </w:rPr>
                    <w:t>3</w:t>
                  </w:r>
                  <w:r>
                    <w:rPr>
                      <w:rFonts w:hint="eastAsia"/>
                      <w:color w:val="auto"/>
                      <w:sz w:val="21"/>
                      <w:szCs w:val="21"/>
                    </w:rPr>
                    <w:t>）</w:t>
                  </w:r>
                </w:p>
              </w:tc>
              <w:tc>
                <w:tcPr>
                  <w:tcW w:w="4696" w:type="dxa"/>
                  <w:gridSpan w:val="2"/>
                  <w:tcBorders>
                    <w:top w:val="single" w:color="000000" w:sz="4" w:space="0"/>
                    <w:left w:val="nil"/>
                    <w:bottom w:val="single" w:color="000000" w:sz="4" w:space="0"/>
                    <w:right w:val="single" w:color="000000" w:sz="4" w:space="0"/>
                  </w:tcBorders>
                  <w:noWrap w:val="0"/>
                  <w:vAlign w:val="center"/>
                </w:tcPr>
                <w:p>
                  <w:pPr>
                    <w:jc w:val="center"/>
                    <w:rPr>
                      <w:color w:val="auto"/>
                      <w:sz w:val="21"/>
                      <w:szCs w:val="21"/>
                    </w:rPr>
                  </w:pPr>
                  <w:r>
                    <w:rPr>
                      <w:rFonts w:hint="eastAsia"/>
                      <w:color w:val="auto"/>
                      <w:sz w:val="21"/>
                      <w:szCs w:val="21"/>
                    </w:rPr>
                    <w:t>无组织排放监控浓度限值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1523"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jc w:val="center"/>
                    <w:rPr>
                      <w:color w:val="auto"/>
                      <w:sz w:val="21"/>
                      <w:szCs w:val="21"/>
                    </w:rPr>
                  </w:pPr>
                </w:p>
              </w:tc>
              <w:tc>
                <w:tcPr>
                  <w:tcW w:w="1599" w:type="dxa"/>
                  <w:vMerge w:val="continue"/>
                  <w:tcBorders>
                    <w:top w:val="single" w:color="000000" w:sz="4" w:space="0"/>
                    <w:left w:val="nil"/>
                    <w:bottom w:val="single" w:color="000000" w:sz="4" w:space="0"/>
                    <w:right w:val="single" w:color="000000" w:sz="4" w:space="0"/>
                  </w:tcBorders>
                  <w:noWrap w:val="0"/>
                  <w:vAlign w:val="center"/>
                </w:tcPr>
                <w:p>
                  <w:pPr>
                    <w:ind w:firstLine="420" w:firstLineChars="200"/>
                    <w:jc w:val="center"/>
                    <w:rPr>
                      <w:color w:val="auto"/>
                      <w:sz w:val="21"/>
                      <w:szCs w:val="21"/>
                    </w:rPr>
                  </w:pPr>
                </w:p>
              </w:tc>
              <w:tc>
                <w:tcPr>
                  <w:tcW w:w="2481" w:type="dxa"/>
                  <w:tcBorders>
                    <w:top w:val="single" w:color="000000" w:sz="4" w:space="0"/>
                    <w:left w:val="nil"/>
                    <w:bottom w:val="single" w:color="000000" w:sz="4" w:space="0"/>
                    <w:right w:val="single" w:color="000000" w:sz="4" w:space="0"/>
                  </w:tcBorders>
                  <w:noWrap w:val="0"/>
                  <w:vAlign w:val="center"/>
                </w:tcPr>
                <w:p>
                  <w:pPr>
                    <w:jc w:val="center"/>
                    <w:rPr>
                      <w:color w:val="auto"/>
                      <w:sz w:val="21"/>
                      <w:szCs w:val="21"/>
                    </w:rPr>
                  </w:pPr>
                  <w:r>
                    <w:rPr>
                      <w:rFonts w:hint="eastAsia"/>
                      <w:color w:val="auto"/>
                      <w:sz w:val="21"/>
                      <w:szCs w:val="21"/>
                    </w:rPr>
                    <w:t>监控点</w:t>
                  </w:r>
                </w:p>
              </w:tc>
              <w:tc>
                <w:tcPr>
                  <w:tcW w:w="2215" w:type="dxa"/>
                  <w:tcBorders>
                    <w:top w:val="single" w:color="000000" w:sz="4" w:space="0"/>
                    <w:left w:val="nil"/>
                    <w:bottom w:val="single" w:color="000000" w:sz="4" w:space="0"/>
                    <w:right w:val="single" w:color="000000" w:sz="4" w:space="0"/>
                  </w:tcBorders>
                  <w:noWrap w:val="0"/>
                  <w:vAlign w:val="center"/>
                </w:tcPr>
                <w:p>
                  <w:pPr>
                    <w:jc w:val="center"/>
                    <w:rPr>
                      <w:color w:val="auto"/>
                      <w:sz w:val="21"/>
                      <w:szCs w:val="21"/>
                    </w:rPr>
                  </w:pPr>
                  <w:r>
                    <w:rPr>
                      <w:rFonts w:hint="eastAsia"/>
                      <w:color w:val="auto"/>
                      <w:sz w:val="21"/>
                      <w:szCs w:val="21"/>
                    </w:rPr>
                    <w:t>浓度</w:t>
                  </w:r>
                  <w:r>
                    <w:rPr>
                      <w:color w:val="auto"/>
                      <w:sz w:val="21"/>
                      <w:szCs w:val="21"/>
                    </w:rPr>
                    <w:t>(mg/m</w:t>
                  </w:r>
                  <w:r>
                    <w:rPr>
                      <w:color w:val="auto"/>
                      <w:sz w:val="21"/>
                      <w:szCs w:val="21"/>
                      <w:vertAlign w:val="superscript"/>
                    </w:rPr>
                    <w:t>3</w:t>
                  </w:r>
                  <w:r>
                    <w:rPr>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pacing w:val="6"/>
                      <w:sz w:val="21"/>
                      <w:szCs w:val="21"/>
                    </w:rPr>
                  </w:pPr>
                  <w:r>
                    <w:rPr>
                      <w:rFonts w:hint="eastAsia"/>
                      <w:color w:val="auto"/>
                      <w:spacing w:val="6"/>
                      <w:sz w:val="21"/>
                      <w:szCs w:val="21"/>
                    </w:rPr>
                    <w:t>非甲烷总烃</w:t>
                  </w:r>
                </w:p>
              </w:tc>
              <w:tc>
                <w:tcPr>
                  <w:tcW w:w="1599" w:type="dxa"/>
                  <w:tcBorders>
                    <w:top w:val="single" w:color="000000" w:sz="4" w:space="0"/>
                    <w:left w:val="nil"/>
                    <w:bottom w:val="single" w:color="000000" w:sz="4" w:space="0"/>
                    <w:right w:val="single" w:color="auto" w:sz="4" w:space="0"/>
                  </w:tcBorders>
                  <w:noWrap w:val="0"/>
                  <w:vAlign w:val="center"/>
                </w:tcPr>
                <w:p>
                  <w:pPr>
                    <w:jc w:val="center"/>
                    <w:rPr>
                      <w:rFonts w:hint="default" w:eastAsia="宋体"/>
                      <w:color w:val="auto"/>
                      <w:spacing w:val="6"/>
                      <w:sz w:val="21"/>
                      <w:szCs w:val="21"/>
                      <w:lang w:val="en-US" w:eastAsia="zh-CN"/>
                    </w:rPr>
                  </w:pPr>
                  <w:r>
                    <w:rPr>
                      <w:rFonts w:hint="eastAsia"/>
                      <w:color w:val="auto"/>
                      <w:spacing w:val="6"/>
                      <w:sz w:val="21"/>
                      <w:szCs w:val="21"/>
                      <w:lang w:val="en-US" w:eastAsia="zh-CN"/>
                    </w:rPr>
                    <w:t>100</w:t>
                  </w:r>
                </w:p>
              </w:tc>
              <w:tc>
                <w:tcPr>
                  <w:tcW w:w="2481" w:type="dxa"/>
                  <w:vMerge w:val="restart"/>
                  <w:tcBorders>
                    <w:left w:val="single" w:color="auto" w:sz="4" w:space="0"/>
                    <w:right w:val="single" w:color="000000" w:sz="4" w:space="0"/>
                  </w:tcBorders>
                  <w:noWrap w:val="0"/>
                  <w:vAlign w:val="center"/>
                </w:tcPr>
                <w:p>
                  <w:pPr>
                    <w:jc w:val="center"/>
                    <w:rPr>
                      <w:rFonts w:hint="default" w:eastAsia="宋体"/>
                      <w:color w:val="auto"/>
                      <w:spacing w:val="6"/>
                      <w:sz w:val="21"/>
                      <w:szCs w:val="21"/>
                      <w:lang w:val="en-US" w:eastAsia="zh-CN"/>
                    </w:rPr>
                  </w:pPr>
                  <w:r>
                    <w:rPr>
                      <w:rFonts w:hint="eastAsia"/>
                      <w:color w:val="auto"/>
                      <w:spacing w:val="6"/>
                      <w:sz w:val="21"/>
                      <w:szCs w:val="21"/>
                      <w:lang w:val="en-US" w:eastAsia="zh-CN"/>
                    </w:rPr>
                    <w:t>企业边界</w:t>
                  </w:r>
                </w:p>
              </w:tc>
              <w:tc>
                <w:tcPr>
                  <w:tcW w:w="2215" w:type="dxa"/>
                  <w:tcBorders>
                    <w:top w:val="single" w:color="000000" w:sz="4" w:space="0"/>
                    <w:left w:val="nil"/>
                    <w:bottom w:val="single" w:color="000000" w:sz="4" w:space="0"/>
                    <w:right w:val="single" w:color="000000" w:sz="4" w:space="0"/>
                  </w:tcBorders>
                  <w:noWrap w:val="0"/>
                  <w:vAlign w:val="center"/>
                </w:tcPr>
                <w:p>
                  <w:pPr>
                    <w:jc w:val="center"/>
                    <w:rPr>
                      <w:rFonts w:hint="default" w:eastAsia="宋体"/>
                      <w:color w:val="auto"/>
                      <w:spacing w:val="6"/>
                      <w:sz w:val="21"/>
                      <w:szCs w:val="21"/>
                      <w:lang w:val="en-US" w:eastAsia="zh-CN"/>
                    </w:rPr>
                  </w:pPr>
                  <w:r>
                    <w:rPr>
                      <w:rFonts w:hint="eastAsia"/>
                      <w:color w:val="auto"/>
                      <w:spacing w:val="6"/>
                      <w:sz w:val="21"/>
                      <w:szCs w:val="21"/>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pacing w:val="6"/>
                      <w:sz w:val="21"/>
                      <w:szCs w:val="21"/>
                    </w:rPr>
                  </w:pPr>
                  <w:r>
                    <w:rPr>
                      <w:rFonts w:hint="eastAsia"/>
                      <w:color w:val="auto"/>
                      <w:spacing w:val="6"/>
                      <w:sz w:val="21"/>
                      <w:szCs w:val="21"/>
                    </w:rPr>
                    <w:t>颗粒物</w:t>
                  </w:r>
                </w:p>
              </w:tc>
              <w:tc>
                <w:tcPr>
                  <w:tcW w:w="1599" w:type="dxa"/>
                  <w:tcBorders>
                    <w:top w:val="single" w:color="000000" w:sz="4" w:space="0"/>
                    <w:left w:val="nil"/>
                    <w:bottom w:val="single" w:color="000000" w:sz="4" w:space="0"/>
                    <w:right w:val="single" w:color="auto" w:sz="4" w:space="0"/>
                  </w:tcBorders>
                  <w:noWrap w:val="0"/>
                  <w:vAlign w:val="center"/>
                </w:tcPr>
                <w:p>
                  <w:pPr>
                    <w:jc w:val="center"/>
                    <w:rPr>
                      <w:rFonts w:hint="default" w:eastAsia="宋体"/>
                      <w:color w:val="auto"/>
                      <w:spacing w:val="6"/>
                      <w:sz w:val="21"/>
                      <w:szCs w:val="21"/>
                      <w:lang w:val="en-US" w:eastAsia="zh-CN"/>
                    </w:rPr>
                  </w:pPr>
                  <w:r>
                    <w:rPr>
                      <w:rFonts w:hint="eastAsia"/>
                      <w:color w:val="auto"/>
                      <w:spacing w:val="6"/>
                      <w:sz w:val="21"/>
                      <w:szCs w:val="21"/>
                      <w:lang w:val="en-US" w:eastAsia="zh-CN"/>
                    </w:rPr>
                    <w:t>30</w:t>
                  </w:r>
                </w:p>
              </w:tc>
              <w:tc>
                <w:tcPr>
                  <w:tcW w:w="2481" w:type="dxa"/>
                  <w:vMerge w:val="continue"/>
                  <w:tcBorders>
                    <w:left w:val="single" w:color="auto" w:sz="4" w:space="0"/>
                    <w:bottom w:val="single" w:color="000000" w:sz="4" w:space="0"/>
                    <w:right w:val="single" w:color="000000" w:sz="4" w:space="0"/>
                  </w:tcBorders>
                  <w:noWrap w:val="0"/>
                  <w:vAlign w:val="center"/>
                </w:tcPr>
                <w:p>
                  <w:pPr>
                    <w:rPr>
                      <w:color w:val="auto"/>
                      <w:spacing w:val="6"/>
                      <w:sz w:val="21"/>
                      <w:szCs w:val="21"/>
                    </w:rPr>
                  </w:pPr>
                </w:p>
              </w:tc>
              <w:tc>
                <w:tcPr>
                  <w:tcW w:w="2215" w:type="dxa"/>
                  <w:tcBorders>
                    <w:top w:val="single" w:color="000000" w:sz="4" w:space="0"/>
                    <w:left w:val="nil"/>
                    <w:bottom w:val="single" w:color="000000" w:sz="4" w:space="0"/>
                    <w:right w:val="single" w:color="000000" w:sz="4" w:space="0"/>
                  </w:tcBorders>
                  <w:noWrap w:val="0"/>
                  <w:vAlign w:val="center"/>
                </w:tcPr>
                <w:p>
                  <w:pPr>
                    <w:jc w:val="center"/>
                    <w:rPr>
                      <w:color w:val="auto"/>
                      <w:spacing w:val="6"/>
                      <w:sz w:val="21"/>
                      <w:szCs w:val="21"/>
                    </w:rPr>
                  </w:pPr>
                  <w:r>
                    <w:rPr>
                      <w:color w:val="auto"/>
                      <w:spacing w:val="6"/>
                      <w:sz w:val="21"/>
                      <w:szCs w:val="21"/>
                    </w:rPr>
                    <w:t>1.0</w:t>
                  </w:r>
                </w:p>
              </w:tc>
            </w:tr>
          </w:tbl>
          <w:p>
            <w:pPr>
              <w:pStyle w:val="26"/>
              <w:spacing w:line="480" w:lineRule="atLeast"/>
              <w:ind w:firstLine="0" w:firstLineChars="0"/>
              <w:rPr>
                <w:b/>
                <w:color w:val="auto"/>
                <w:sz w:val="24"/>
                <w:szCs w:val="24"/>
              </w:rPr>
            </w:pPr>
            <w:r>
              <w:rPr>
                <w:b/>
                <w:color w:val="auto"/>
                <w:sz w:val="24"/>
                <w:szCs w:val="24"/>
              </w:rPr>
              <w:t>2、</w:t>
            </w:r>
            <w:r>
              <w:rPr>
                <w:rFonts w:hint="eastAsia"/>
                <w:b/>
                <w:color w:val="auto"/>
                <w:sz w:val="24"/>
                <w:szCs w:val="24"/>
              </w:rPr>
              <w:t>废水</w:t>
            </w:r>
          </w:p>
          <w:p>
            <w:pPr>
              <w:pStyle w:val="13"/>
              <w:tabs>
                <w:tab w:val="left" w:pos="2098"/>
              </w:tabs>
              <w:adjustRightInd w:val="0"/>
              <w:snapToGrid w:val="0"/>
              <w:spacing w:after="0" w:line="360" w:lineRule="auto"/>
              <w:ind w:left="0" w:leftChars="0" w:firstLine="480" w:firstLineChars="200"/>
              <w:rPr>
                <w:color w:val="auto"/>
              </w:rPr>
            </w:pPr>
            <w:r>
              <w:rPr>
                <w:color w:val="auto"/>
              </w:rPr>
              <w:t>本项目无生产废水，</w:t>
            </w:r>
            <w:r>
              <w:rPr>
                <w:rFonts w:hint="eastAsia"/>
                <w:color w:val="auto"/>
                <w:lang w:eastAsia="zh-CN"/>
              </w:rPr>
              <w:t>生活污水由化粪池处理后由附件农户清运用作农肥</w:t>
            </w:r>
            <w:r>
              <w:rPr>
                <w:color w:val="auto"/>
              </w:rPr>
              <w:t>，</w:t>
            </w:r>
            <w:r>
              <w:rPr>
                <w:rFonts w:hint="eastAsia"/>
                <w:color w:val="auto"/>
                <w:lang w:val="en-US" w:eastAsia="zh-CN"/>
              </w:rPr>
              <w:t>综合利用</w:t>
            </w:r>
            <w:r>
              <w:rPr>
                <w:color w:val="auto"/>
              </w:rPr>
              <w:t>。</w:t>
            </w:r>
          </w:p>
          <w:p>
            <w:pPr>
              <w:pStyle w:val="26"/>
              <w:spacing w:line="480" w:lineRule="atLeast"/>
              <w:ind w:firstLine="0" w:firstLineChars="0"/>
              <w:rPr>
                <w:b/>
                <w:color w:val="auto"/>
                <w:sz w:val="24"/>
                <w:szCs w:val="24"/>
              </w:rPr>
            </w:pPr>
            <w:r>
              <w:rPr>
                <w:b/>
                <w:color w:val="auto"/>
                <w:sz w:val="24"/>
                <w:szCs w:val="24"/>
              </w:rPr>
              <w:t>3、噪声</w:t>
            </w:r>
          </w:p>
          <w:p>
            <w:pPr>
              <w:pStyle w:val="8"/>
              <w:spacing w:line="360" w:lineRule="auto"/>
              <w:ind w:firstLine="480" w:firstLineChars="200"/>
              <w:rPr>
                <w:color w:val="auto"/>
                <w:sz w:val="24"/>
                <w:szCs w:val="18"/>
              </w:rPr>
            </w:pPr>
            <w:r>
              <w:rPr>
                <w:color w:val="auto"/>
                <w:sz w:val="24"/>
                <w:szCs w:val="18"/>
              </w:rPr>
              <w:t>营运期厂界噪声执行《工业企业厂界环境噪声排放标准》(GB12348-2008)中</w:t>
            </w:r>
            <w:r>
              <w:rPr>
                <w:rFonts w:hint="eastAsia"/>
                <w:color w:val="auto"/>
                <w:sz w:val="24"/>
                <w:szCs w:val="18"/>
                <w:lang w:eastAsia="zh-CN"/>
              </w:rPr>
              <w:t>2类标准</w:t>
            </w:r>
            <w:r>
              <w:rPr>
                <w:color w:val="auto"/>
                <w:sz w:val="24"/>
                <w:szCs w:val="18"/>
              </w:rPr>
              <w:t>。具体取值见下表。</w:t>
            </w:r>
          </w:p>
          <w:p>
            <w:pPr>
              <w:pStyle w:val="8"/>
              <w:spacing w:before="60" w:beforeLines="25" w:after="60" w:afterLines="25" w:line="240" w:lineRule="auto"/>
              <w:ind w:firstLine="0"/>
              <w:jc w:val="center"/>
              <w:rPr>
                <w:b/>
                <w:bCs/>
                <w:color w:val="auto"/>
                <w:sz w:val="21"/>
                <w:szCs w:val="21"/>
              </w:rPr>
            </w:pPr>
            <w:r>
              <w:rPr>
                <w:b/>
                <w:bCs/>
                <w:color w:val="auto"/>
                <w:sz w:val="21"/>
                <w:szCs w:val="21"/>
              </w:rPr>
              <w:t>表3</w:t>
            </w:r>
            <w:r>
              <w:rPr>
                <w:rFonts w:hint="eastAsia"/>
                <w:b/>
                <w:bCs/>
                <w:color w:val="auto"/>
                <w:sz w:val="21"/>
                <w:szCs w:val="21"/>
                <w:lang w:val="en-US" w:eastAsia="zh-CN"/>
              </w:rPr>
              <w:t>9</w:t>
            </w:r>
            <w:r>
              <w:rPr>
                <w:b/>
                <w:bCs/>
                <w:color w:val="auto"/>
                <w:sz w:val="21"/>
                <w:szCs w:val="21"/>
              </w:rPr>
              <w:t xml:space="preserve"> 工业企业厂界环境噪声排放标准  dB(A)</w:t>
            </w:r>
          </w:p>
          <w:tbl>
            <w:tblPr>
              <w:tblStyle w:val="29"/>
              <w:tblW w:w="7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7"/>
              <w:gridCol w:w="2869"/>
              <w:gridCol w:w="2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2167" w:type="dxa"/>
                  <w:vAlign w:val="center"/>
                </w:tcPr>
                <w:p>
                  <w:pPr>
                    <w:jc w:val="center"/>
                    <w:rPr>
                      <w:color w:val="auto"/>
                      <w:szCs w:val="21"/>
                    </w:rPr>
                  </w:pPr>
                  <w:r>
                    <w:rPr>
                      <w:color w:val="auto"/>
                      <w:szCs w:val="21"/>
                    </w:rPr>
                    <w:t>时段</w:t>
                  </w:r>
                </w:p>
              </w:tc>
              <w:tc>
                <w:tcPr>
                  <w:tcW w:w="2869" w:type="dxa"/>
                  <w:vAlign w:val="center"/>
                </w:tcPr>
                <w:p>
                  <w:pPr>
                    <w:jc w:val="center"/>
                    <w:rPr>
                      <w:color w:val="auto"/>
                      <w:szCs w:val="21"/>
                    </w:rPr>
                  </w:pPr>
                  <w:r>
                    <w:rPr>
                      <w:color w:val="auto"/>
                      <w:szCs w:val="21"/>
                    </w:rPr>
                    <w:t>昼间</w:t>
                  </w:r>
                </w:p>
              </w:tc>
              <w:tc>
                <w:tcPr>
                  <w:tcW w:w="2922" w:type="dxa"/>
                  <w:vAlign w:val="center"/>
                </w:tcPr>
                <w:p>
                  <w:pPr>
                    <w:jc w:val="center"/>
                    <w:rPr>
                      <w:color w:val="auto"/>
                      <w:szCs w:val="21"/>
                    </w:rPr>
                  </w:pPr>
                  <w:r>
                    <w:rPr>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167" w:type="dxa"/>
                  <w:vAlign w:val="center"/>
                </w:tcPr>
                <w:p>
                  <w:pPr>
                    <w:jc w:val="center"/>
                    <w:rPr>
                      <w:color w:val="auto"/>
                      <w:szCs w:val="21"/>
                    </w:rPr>
                  </w:pPr>
                  <w:r>
                    <w:rPr>
                      <w:color w:val="auto"/>
                      <w:szCs w:val="21"/>
                    </w:rPr>
                    <w:t>标准</w:t>
                  </w:r>
                </w:p>
              </w:tc>
              <w:tc>
                <w:tcPr>
                  <w:tcW w:w="2869" w:type="dxa"/>
                  <w:vAlign w:val="center"/>
                </w:tcPr>
                <w:p>
                  <w:pPr>
                    <w:jc w:val="center"/>
                    <w:rPr>
                      <w:rFonts w:hint="default" w:eastAsia="宋体"/>
                      <w:color w:val="auto"/>
                      <w:szCs w:val="21"/>
                      <w:lang w:val="en-US" w:eastAsia="zh-CN"/>
                    </w:rPr>
                  </w:pPr>
                  <w:r>
                    <w:rPr>
                      <w:rFonts w:hint="eastAsia"/>
                      <w:color w:val="auto"/>
                      <w:szCs w:val="21"/>
                      <w:lang w:val="en-US" w:eastAsia="zh-CN"/>
                    </w:rPr>
                    <w:t>60</w:t>
                  </w:r>
                </w:p>
              </w:tc>
              <w:tc>
                <w:tcPr>
                  <w:tcW w:w="2922" w:type="dxa"/>
                  <w:vAlign w:val="center"/>
                </w:tcPr>
                <w:p>
                  <w:pPr>
                    <w:jc w:val="center"/>
                    <w:rPr>
                      <w:rFonts w:hint="default" w:eastAsia="宋体"/>
                      <w:color w:val="auto"/>
                      <w:szCs w:val="21"/>
                      <w:lang w:val="en-US" w:eastAsia="zh-CN"/>
                    </w:rPr>
                  </w:pPr>
                  <w:r>
                    <w:rPr>
                      <w:rFonts w:hint="eastAsia"/>
                      <w:color w:val="auto"/>
                      <w:szCs w:val="21"/>
                      <w:lang w:val="en-US" w:eastAsia="zh-CN"/>
                    </w:rPr>
                    <w:t>50</w:t>
                  </w:r>
                </w:p>
              </w:tc>
            </w:tr>
          </w:tbl>
          <w:p>
            <w:pPr>
              <w:pStyle w:val="26"/>
              <w:spacing w:line="480" w:lineRule="atLeast"/>
              <w:ind w:firstLine="0" w:firstLineChars="0"/>
              <w:rPr>
                <w:b/>
                <w:color w:val="auto"/>
                <w:sz w:val="24"/>
                <w:szCs w:val="24"/>
              </w:rPr>
            </w:pPr>
            <w:r>
              <w:rPr>
                <w:b/>
                <w:color w:val="auto"/>
                <w:sz w:val="24"/>
                <w:szCs w:val="24"/>
              </w:rPr>
              <w:t>4、固体废物</w:t>
            </w:r>
          </w:p>
          <w:p>
            <w:pPr>
              <w:spacing w:line="360" w:lineRule="auto"/>
              <w:ind w:firstLine="480" w:firstLineChars="200"/>
              <w:rPr>
                <w:color w:val="auto"/>
                <w:kern w:val="0"/>
                <w:szCs w:val="21"/>
              </w:rPr>
            </w:pPr>
            <w:r>
              <w:rPr>
                <w:color w:val="auto"/>
                <w:sz w:val="24"/>
                <w:szCs w:val="22"/>
              </w:rPr>
              <w:t>运营期产生的固体废物的一般工业固体废物，执行《</w:t>
            </w:r>
            <w:r>
              <w:rPr>
                <w:rFonts w:hint="eastAsia"/>
                <w:color w:val="auto"/>
                <w:sz w:val="24"/>
                <w:szCs w:val="22"/>
                <w:lang w:eastAsia="zh-CN"/>
              </w:rPr>
              <w:t>一般工业固体废物贮存和填埋污染控制标准</w:t>
            </w:r>
            <w:r>
              <w:rPr>
                <w:color w:val="auto"/>
                <w:sz w:val="24"/>
                <w:szCs w:val="22"/>
              </w:rPr>
              <w:t>》（GB18599-</w:t>
            </w:r>
            <w:r>
              <w:rPr>
                <w:rFonts w:hint="eastAsia"/>
                <w:color w:val="auto"/>
                <w:sz w:val="24"/>
                <w:szCs w:val="22"/>
                <w:lang w:val="en-US" w:eastAsia="zh-CN"/>
              </w:rPr>
              <w:t>2020</w:t>
            </w:r>
            <w:r>
              <w:rPr>
                <w:color w:val="auto"/>
                <w:sz w:val="24"/>
                <w:szCs w:val="22"/>
              </w:rPr>
              <w:t>），运营期产生的固体废物的</w:t>
            </w:r>
            <w:r>
              <w:rPr>
                <w:rFonts w:hint="eastAsia"/>
                <w:color w:val="auto"/>
                <w:sz w:val="24"/>
                <w:szCs w:val="22"/>
              </w:rPr>
              <w:t>危险</w:t>
            </w:r>
            <w:r>
              <w:rPr>
                <w:color w:val="auto"/>
                <w:sz w:val="24"/>
                <w:szCs w:val="22"/>
              </w:rPr>
              <w:t>废物</w:t>
            </w:r>
            <w:r>
              <w:rPr>
                <w:rFonts w:hint="eastAsia"/>
                <w:color w:val="auto"/>
                <w:sz w:val="24"/>
                <w:szCs w:val="22"/>
              </w:rPr>
              <w:t>执行</w:t>
            </w:r>
            <w:r>
              <w:rPr>
                <w:color w:val="auto"/>
                <w:sz w:val="24"/>
                <w:szCs w:val="22"/>
              </w:rPr>
              <w:t>《危险废物贮存污染控制标准》（GB18597-2001）及修改单（环保部公告2013年第36号）。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800" w:type="dxa"/>
            <w:vAlign w:val="center"/>
          </w:tcPr>
          <w:p>
            <w:pPr>
              <w:adjustRightInd w:val="0"/>
              <w:snapToGrid w:val="0"/>
              <w:jc w:val="center"/>
              <w:rPr>
                <w:color w:val="auto"/>
                <w:kern w:val="0"/>
                <w:szCs w:val="21"/>
              </w:rPr>
            </w:pPr>
            <w:r>
              <w:rPr>
                <w:color w:val="auto"/>
                <w:kern w:val="0"/>
                <w:szCs w:val="21"/>
              </w:rPr>
              <w:t>总量</w:t>
            </w:r>
          </w:p>
          <w:p>
            <w:pPr>
              <w:adjustRightInd w:val="0"/>
              <w:snapToGrid w:val="0"/>
              <w:jc w:val="center"/>
              <w:rPr>
                <w:color w:val="auto"/>
                <w:kern w:val="0"/>
                <w:szCs w:val="21"/>
              </w:rPr>
            </w:pPr>
            <w:r>
              <w:rPr>
                <w:color w:val="auto"/>
                <w:kern w:val="0"/>
                <w:szCs w:val="21"/>
              </w:rPr>
              <w:t>控制</w:t>
            </w:r>
          </w:p>
          <w:p>
            <w:pPr>
              <w:adjustRightInd w:val="0"/>
              <w:snapToGrid w:val="0"/>
              <w:jc w:val="center"/>
              <w:rPr>
                <w:color w:val="auto"/>
                <w:kern w:val="0"/>
                <w:szCs w:val="21"/>
              </w:rPr>
            </w:pPr>
            <w:r>
              <w:rPr>
                <w:color w:val="auto"/>
                <w:kern w:val="0"/>
                <w:szCs w:val="21"/>
              </w:rPr>
              <w:t>指标</w:t>
            </w:r>
          </w:p>
        </w:tc>
        <w:tc>
          <w:tcPr>
            <w:tcW w:w="8190" w:type="dxa"/>
            <w:vAlign w:val="center"/>
          </w:tcPr>
          <w:p>
            <w:pPr>
              <w:widowControl/>
              <w:spacing w:line="360" w:lineRule="auto"/>
              <w:ind w:firstLine="482"/>
              <w:jc w:val="left"/>
              <w:rPr>
                <w:b/>
                <w:color w:val="auto"/>
                <w:sz w:val="24"/>
              </w:rPr>
            </w:pPr>
            <w:r>
              <w:rPr>
                <w:rFonts w:hint="eastAsia"/>
                <w:b/>
                <w:color w:val="auto"/>
                <w:sz w:val="24"/>
              </w:rPr>
              <w:t>1、废水</w:t>
            </w:r>
          </w:p>
          <w:p>
            <w:pPr>
              <w:widowControl/>
              <w:spacing w:line="360" w:lineRule="auto"/>
              <w:ind w:firstLine="482"/>
              <w:jc w:val="left"/>
              <w:rPr>
                <w:bCs/>
                <w:color w:val="auto"/>
                <w:sz w:val="24"/>
                <w:highlight w:val="none"/>
              </w:rPr>
            </w:pPr>
            <w:r>
              <w:rPr>
                <w:rFonts w:hint="eastAsia"/>
                <w:bCs/>
                <w:color w:val="auto"/>
                <w:sz w:val="24"/>
              </w:rPr>
              <w:t>本项目无生产废水外排。</w:t>
            </w:r>
          </w:p>
          <w:p>
            <w:pPr>
              <w:widowControl/>
              <w:spacing w:line="360" w:lineRule="auto"/>
              <w:ind w:firstLine="482"/>
              <w:jc w:val="left"/>
              <w:rPr>
                <w:b/>
                <w:color w:val="auto"/>
                <w:sz w:val="24"/>
              </w:rPr>
            </w:pPr>
            <w:r>
              <w:rPr>
                <w:rFonts w:hint="eastAsia"/>
                <w:b/>
                <w:color w:val="auto"/>
                <w:sz w:val="24"/>
              </w:rPr>
              <w:t>2、废气</w:t>
            </w:r>
          </w:p>
          <w:p>
            <w:pPr>
              <w:adjustRightInd w:val="0"/>
              <w:snapToGrid w:val="0"/>
              <w:spacing w:line="360" w:lineRule="auto"/>
              <w:ind w:firstLine="480"/>
              <w:jc w:val="left"/>
              <w:rPr>
                <w:color w:val="auto"/>
                <w:sz w:val="24"/>
              </w:rPr>
            </w:pPr>
            <w:r>
              <w:rPr>
                <w:rFonts w:hint="eastAsia"/>
                <w:bCs/>
                <w:color w:val="auto"/>
                <w:sz w:val="24"/>
              </w:rPr>
              <w:t>根据国家环保部要求对建设项目排放污染物实施总量控制的要求，针对本项目的具体排污情况，结合本项目排污特征，本项目大气污染物</w:t>
            </w:r>
            <w:r>
              <w:rPr>
                <w:rFonts w:hint="eastAsia"/>
                <w:bCs/>
                <w:color w:val="auto"/>
                <w:sz w:val="24"/>
                <w:highlight w:val="none"/>
                <w:lang w:val="en-US" w:eastAsia="zh-CN"/>
              </w:rPr>
              <w:t>非甲烷总烃</w:t>
            </w:r>
            <w:r>
              <w:rPr>
                <w:rFonts w:hint="eastAsia"/>
                <w:bCs/>
                <w:color w:val="auto"/>
                <w:sz w:val="24"/>
                <w:highlight w:val="none"/>
              </w:rPr>
              <w:t>为</w:t>
            </w:r>
            <w:r>
              <w:rPr>
                <w:rFonts w:hint="eastAsia"/>
                <w:bCs/>
                <w:color w:val="auto"/>
                <w:sz w:val="24"/>
                <w:highlight w:val="none"/>
                <w:lang w:eastAsia="zh-CN"/>
              </w:rPr>
              <w:t>0.088t</w:t>
            </w:r>
            <w:r>
              <w:rPr>
                <w:rFonts w:hint="eastAsia"/>
                <w:bCs/>
                <w:color w:val="auto"/>
                <w:sz w:val="24"/>
                <w:highlight w:val="none"/>
              </w:rPr>
              <w:t>/a，</w:t>
            </w:r>
            <w:r>
              <w:rPr>
                <w:rFonts w:hint="eastAsia"/>
                <w:bCs/>
                <w:color w:val="auto"/>
                <w:sz w:val="24"/>
                <w:lang w:val="zh-CN"/>
              </w:rPr>
              <w:t>不属于区域总量控制因子，故项目废气不涉及总量控制指标</w:t>
            </w:r>
            <w:r>
              <w:rPr>
                <w:rFonts w:hint="eastAsia"/>
                <w:bCs/>
                <w:color w:val="auto"/>
                <w:sz w:val="24"/>
              </w:rPr>
              <w:t>。</w:t>
            </w:r>
          </w:p>
          <w:p>
            <w:pPr>
              <w:adjustRightInd w:val="0"/>
              <w:snapToGrid w:val="0"/>
              <w:spacing w:line="360" w:lineRule="auto"/>
              <w:ind w:firstLine="480"/>
              <w:jc w:val="left"/>
              <w:rPr>
                <w:color w:val="auto"/>
                <w:sz w:val="24"/>
                <w:szCs w:val="22"/>
              </w:rPr>
            </w:pPr>
          </w:p>
          <w:p>
            <w:pPr>
              <w:pStyle w:val="2"/>
              <w:rPr>
                <w:color w:val="auto"/>
              </w:rPr>
            </w:pPr>
          </w:p>
          <w:p>
            <w:pPr>
              <w:rPr>
                <w:color w:val="auto"/>
              </w:rPr>
            </w:pPr>
          </w:p>
          <w:p>
            <w:pPr>
              <w:adjustRightInd w:val="0"/>
              <w:snapToGrid w:val="0"/>
              <w:spacing w:line="360" w:lineRule="auto"/>
              <w:ind w:firstLine="480"/>
              <w:jc w:val="left"/>
              <w:rPr>
                <w:color w:val="auto"/>
                <w:sz w:val="24"/>
                <w:szCs w:val="22"/>
              </w:rPr>
            </w:pPr>
          </w:p>
          <w:p>
            <w:pPr>
              <w:adjustRightInd w:val="0"/>
              <w:snapToGrid w:val="0"/>
              <w:spacing w:line="360" w:lineRule="auto"/>
              <w:ind w:firstLine="480"/>
              <w:jc w:val="left"/>
              <w:rPr>
                <w:color w:val="auto"/>
                <w:sz w:val="24"/>
                <w:szCs w:val="22"/>
              </w:rPr>
            </w:pPr>
          </w:p>
          <w:p>
            <w:pPr>
              <w:adjustRightInd w:val="0"/>
              <w:snapToGrid w:val="0"/>
              <w:spacing w:line="360" w:lineRule="auto"/>
              <w:ind w:firstLine="480"/>
              <w:jc w:val="left"/>
              <w:rPr>
                <w:color w:val="auto"/>
                <w:sz w:val="24"/>
                <w:szCs w:val="22"/>
              </w:rPr>
            </w:pPr>
          </w:p>
          <w:p>
            <w:pPr>
              <w:adjustRightInd w:val="0"/>
              <w:snapToGrid w:val="0"/>
              <w:spacing w:line="360" w:lineRule="auto"/>
              <w:ind w:firstLine="480"/>
              <w:jc w:val="left"/>
              <w:rPr>
                <w:color w:val="auto"/>
                <w:kern w:val="0"/>
                <w:szCs w:val="21"/>
              </w:rPr>
            </w:pPr>
          </w:p>
        </w:tc>
      </w:tr>
    </w:tbl>
    <w:p>
      <w:pPr>
        <w:pStyle w:val="24"/>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6"/>
          <w:szCs w:val="36"/>
        </w:rPr>
        <w:br w:type="page"/>
      </w:r>
      <w:bookmarkStart w:id="10" w:name="_Toc73483523"/>
      <w:r>
        <w:rPr>
          <w:rStyle w:val="38"/>
          <w:rFonts w:ascii="Times New Roman" w:hAnsi="Times New Roman"/>
          <w:color w:val="auto"/>
        </w:rPr>
        <w:t>四、主要环境影响和保护措施</w:t>
      </w:r>
      <w:bookmarkEnd w:id="10"/>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6" w:type="dxa"/>
            <w:tcMar>
              <w:left w:w="28" w:type="dxa"/>
              <w:right w:w="28" w:type="dxa"/>
            </w:tcMar>
            <w:vAlign w:val="center"/>
          </w:tcPr>
          <w:p>
            <w:pPr>
              <w:pStyle w:val="24"/>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施工</w:t>
            </w:r>
          </w:p>
          <w:p>
            <w:pPr>
              <w:pStyle w:val="24"/>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期环</w:t>
            </w:r>
          </w:p>
          <w:p>
            <w:pPr>
              <w:pStyle w:val="24"/>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境保</w:t>
            </w:r>
          </w:p>
          <w:p>
            <w:pPr>
              <w:pStyle w:val="24"/>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护措</w:t>
            </w:r>
          </w:p>
          <w:p>
            <w:pPr>
              <w:pStyle w:val="24"/>
              <w:adjustRightInd w:val="0"/>
              <w:snapToGrid w:val="0"/>
              <w:spacing w:before="0" w:beforeAutospacing="0" w:after="0" w:afterAutospacing="0"/>
              <w:jc w:val="center"/>
              <w:rPr>
                <w:rFonts w:ascii="Times New Roman" w:hAnsi="Times New Roman"/>
                <w:bCs/>
                <w:color w:val="auto"/>
                <w:kern w:val="2"/>
                <w:sz w:val="21"/>
                <w:szCs w:val="21"/>
              </w:rPr>
            </w:pPr>
            <w:r>
              <w:rPr>
                <w:rFonts w:ascii="Times New Roman" w:hAnsi="Times New Roman"/>
                <w:color w:val="auto"/>
                <w:kern w:val="2"/>
                <w:sz w:val="21"/>
                <w:szCs w:val="21"/>
              </w:rPr>
              <w:t>施</w:t>
            </w:r>
          </w:p>
        </w:tc>
        <w:tc>
          <w:tcPr>
            <w:tcW w:w="8162" w:type="dxa"/>
            <w:vAlign w:val="center"/>
          </w:tcPr>
          <w:p>
            <w:pPr>
              <w:pStyle w:val="3"/>
              <w:spacing w:before="0" w:after="0" w:line="360" w:lineRule="auto"/>
              <w:rPr>
                <w:color w:val="auto"/>
              </w:rPr>
            </w:pPr>
            <w:bookmarkStart w:id="11" w:name="_Toc73483524"/>
            <w:r>
              <w:rPr>
                <w:color w:val="auto"/>
              </w:rPr>
              <w:t>4.1施工期环境影响分析：</w:t>
            </w:r>
            <w:bookmarkEnd w:id="11"/>
          </w:p>
          <w:p>
            <w:pPr>
              <w:adjustRightInd w:val="0"/>
              <w:snapToGrid w:val="0"/>
              <w:spacing w:line="360" w:lineRule="auto"/>
              <w:ind w:firstLine="480" w:firstLineChars="200"/>
              <w:jc w:val="left"/>
              <w:rPr>
                <w:rFonts w:hint="default" w:eastAsia="宋体"/>
                <w:color w:val="auto"/>
                <w:sz w:val="24"/>
                <w:lang w:val="en-US" w:eastAsia="zh-CN"/>
              </w:rPr>
            </w:pPr>
            <w:r>
              <w:rPr>
                <w:rFonts w:hint="eastAsia"/>
                <w:color w:val="auto"/>
                <w:sz w:val="24"/>
              </w:rPr>
              <w:t>本项目利用原有的工业厂房，只进行设备安装，施工量较小，施工期环境影响很小。</w:t>
            </w:r>
            <w:r>
              <w:rPr>
                <w:rFonts w:hint="eastAsia"/>
                <w:color w:val="auto"/>
                <w:sz w:val="24"/>
                <w:lang w:val="en-US" w:eastAsia="zh-CN"/>
              </w:rPr>
              <w:t>目前施工期已经结束，施工环境影响已经消除。</w:t>
            </w:r>
          </w:p>
          <w:p>
            <w:pPr>
              <w:pStyle w:val="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6" w:type="dxa"/>
            <w:tcMar>
              <w:left w:w="28" w:type="dxa"/>
              <w:right w:w="28" w:type="dxa"/>
            </w:tcMar>
            <w:vAlign w:val="center"/>
          </w:tcPr>
          <w:p>
            <w:pPr>
              <w:adjustRightInd w:val="0"/>
              <w:snapToGrid w:val="0"/>
              <w:jc w:val="center"/>
              <w:rPr>
                <w:bCs/>
                <w:color w:val="auto"/>
                <w:szCs w:val="21"/>
              </w:rPr>
            </w:pPr>
            <w:r>
              <w:rPr>
                <w:bCs/>
                <w:color w:val="auto"/>
                <w:szCs w:val="21"/>
              </w:rPr>
              <w:t>运营</w:t>
            </w:r>
          </w:p>
          <w:p>
            <w:pPr>
              <w:adjustRightInd w:val="0"/>
              <w:snapToGrid w:val="0"/>
              <w:jc w:val="center"/>
              <w:rPr>
                <w:bCs/>
                <w:color w:val="auto"/>
                <w:szCs w:val="21"/>
              </w:rPr>
            </w:pPr>
            <w:r>
              <w:rPr>
                <w:bCs/>
                <w:color w:val="auto"/>
                <w:szCs w:val="21"/>
              </w:rPr>
              <w:t>期环</w:t>
            </w:r>
          </w:p>
          <w:p>
            <w:pPr>
              <w:adjustRightInd w:val="0"/>
              <w:snapToGrid w:val="0"/>
              <w:jc w:val="center"/>
              <w:rPr>
                <w:bCs/>
                <w:color w:val="auto"/>
                <w:szCs w:val="21"/>
              </w:rPr>
            </w:pPr>
            <w:r>
              <w:rPr>
                <w:bCs/>
                <w:color w:val="auto"/>
                <w:szCs w:val="21"/>
              </w:rPr>
              <w:t>境影</w:t>
            </w:r>
          </w:p>
          <w:p>
            <w:pPr>
              <w:adjustRightInd w:val="0"/>
              <w:snapToGrid w:val="0"/>
              <w:jc w:val="center"/>
              <w:rPr>
                <w:bCs/>
                <w:color w:val="auto"/>
                <w:szCs w:val="21"/>
              </w:rPr>
            </w:pPr>
            <w:r>
              <w:rPr>
                <w:bCs/>
                <w:color w:val="auto"/>
                <w:szCs w:val="21"/>
              </w:rPr>
              <w:t>响和</w:t>
            </w:r>
          </w:p>
          <w:p>
            <w:pPr>
              <w:adjustRightInd w:val="0"/>
              <w:snapToGrid w:val="0"/>
              <w:jc w:val="center"/>
              <w:rPr>
                <w:bCs/>
                <w:color w:val="auto"/>
                <w:szCs w:val="21"/>
              </w:rPr>
            </w:pPr>
            <w:r>
              <w:rPr>
                <w:bCs/>
                <w:color w:val="auto"/>
                <w:szCs w:val="21"/>
              </w:rPr>
              <w:t>保护</w:t>
            </w:r>
          </w:p>
          <w:p>
            <w:pPr>
              <w:adjustRightInd w:val="0"/>
              <w:snapToGrid w:val="0"/>
              <w:jc w:val="center"/>
              <w:rPr>
                <w:bCs/>
                <w:color w:val="auto"/>
                <w:szCs w:val="21"/>
              </w:rPr>
            </w:pPr>
            <w:r>
              <w:rPr>
                <w:bCs/>
                <w:color w:val="auto"/>
                <w:szCs w:val="21"/>
              </w:rPr>
              <w:t>措施</w:t>
            </w:r>
          </w:p>
        </w:tc>
        <w:tc>
          <w:tcPr>
            <w:tcW w:w="8162" w:type="dxa"/>
            <w:vAlign w:val="center"/>
          </w:tcPr>
          <w:p>
            <w:pPr>
              <w:pStyle w:val="3"/>
              <w:rPr>
                <w:color w:val="auto"/>
              </w:rPr>
            </w:pPr>
            <w:bookmarkStart w:id="12" w:name="_Toc73483525"/>
            <w:r>
              <w:rPr>
                <w:color w:val="auto"/>
              </w:rPr>
              <w:t>4.2营运期环境影响分析：</w:t>
            </w:r>
            <w:bookmarkEnd w:id="12"/>
          </w:p>
          <w:p>
            <w:pPr>
              <w:pStyle w:val="5"/>
              <w:rPr>
                <w:color w:val="auto"/>
              </w:rPr>
            </w:pPr>
            <w:r>
              <w:rPr>
                <w:color w:val="auto"/>
              </w:rPr>
              <w:t>4.2.1环境空气影响分析</w:t>
            </w:r>
          </w:p>
          <w:p>
            <w:pPr>
              <w:adjustRightInd w:val="0"/>
              <w:snapToGrid w:val="0"/>
              <w:spacing w:line="360" w:lineRule="auto"/>
              <w:ind w:firstLine="480" w:firstLineChars="200"/>
              <w:jc w:val="left"/>
              <w:rPr>
                <w:rFonts w:hint="eastAsia"/>
                <w:color w:val="auto"/>
                <w:sz w:val="24"/>
                <w:szCs w:val="24"/>
                <w:lang w:eastAsia="zh-CN"/>
              </w:rPr>
            </w:pPr>
            <w:r>
              <w:rPr>
                <w:color w:val="auto"/>
                <w:sz w:val="24"/>
                <w:szCs w:val="24"/>
              </w:rPr>
              <w:t>项目营运期间废气主要为：</w:t>
            </w:r>
            <w:r>
              <w:rPr>
                <w:rFonts w:hint="eastAsia"/>
                <w:color w:val="auto"/>
                <w:sz w:val="24"/>
                <w:szCs w:val="24"/>
                <w:lang w:eastAsia="zh-CN"/>
              </w:rPr>
              <w:t>本项目营运期废气主要为塑化、发泡挤出、复合工序产生的非甲烷总烃、上料搅拌工序产生的颗粒物。</w:t>
            </w:r>
          </w:p>
          <w:p>
            <w:pPr>
              <w:adjustRightInd w:val="0"/>
              <w:snapToGrid w:val="0"/>
              <w:spacing w:line="360" w:lineRule="auto"/>
              <w:ind w:firstLine="480" w:firstLineChars="200"/>
              <w:jc w:val="left"/>
              <w:rPr>
                <w:rFonts w:hint="eastAsia"/>
                <w:color w:val="auto"/>
                <w:sz w:val="24"/>
                <w:szCs w:val="24"/>
                <w:lang w:eastAsia="zh-CN"/>
              </w:rPr>
            </w:pPr>
            <w:r>
              <w:rPr>
                <w:rFonts w:hint="eastAsia"/>
                <w:color w:val="auto"/>
                <w:sz w:val="24"/>
                <w:szCs w:val="24"/>
                <w:lang w:eastAsia="zh-CN"/>
              </w:rPr>
              <w:t>（1）非甲烷总烃</w:t>
            </w:r>
          </w:p>
          <w:p>
            <w:pPr>
              <w:adjustRightInd w:val="0"/>
              <w:snapToGrid w:val="0"/>
              <w:spacing w:line="360" w:lineRule="auto"/>
              <w:ind w:firstLine="480" w:firstLineChars="200"/>
              <w:jc w:val="left"/>
              <w:rPr>
                <w:rFonts w:hint="eastAsia"/>
                <w:color w:val="auto"/>
                <w:sz w:val="24"/>
                <w:szCs w:val="24"/>
                <w:lang w:eastAsia="zh-CN"/>
              </w:rPr>
            </w:pPr>
            <w:r>
              <w:rPr>
                <w:rFonts w:hint="eastAsia"/>
                <w:color w:val="auto"/>
                <w:sz w:val="24"/>
                <w:szCs w:val="24"/>
                <w:lang w:eastAsia="zh-CN"/>
              </w:rPr>
              <w:t xml:space="preserve">1）塑化、发泡挤出工序产生的非甲烷总烃 </w:t>
            </w:r>
          </w:p>
          <w:p>
            <w:pPr>
              <w:adjustRightInd w:val="0"/>
              <w:snapToGrid w:val="0"/>
              <w:spacing w:line="360" w:lineRule="auto"/>
              <w:ind w:firstLine="480" w:firstLineChars="200"/>
              <w:jc w:val="left"/>
              <w:rPr>
                <w:rFonts w:hint="eastAsia"/>
                <w:color w:val="auto"/>
                <w:sz w:val="24"/>
                <w:szCs w:val="24"/>
                <w:lang w:eastAsia="zh-CN"/>
              </w:rPr>
            </w:pPr>
            <w:r>
              <w:rPr>
                <w:rFonts w:hint="eastAsia"/>
                <w:color w:val="auto"/>
                <w:sz w:val="24"/>
                <w:szCs w:val="24"/>
                <w:lang w:eastAsia="zh-CN"/>
              </w:rPr>
              <w:t>非甲烷总烃产生分塑化、发泡挤出过程中产生、复合覆膜工序产生三个方面。</w:t>
            </w:r>
          </w:p>
          <w:p>
            <w:pPr>
              <w:adjustRightInd w:val="0"/>
              <w:snapToGrid w:val="0"/>
              <w:spacing w:line="360" w:lineRule="auto"/>
              <w:ind w:firstLine="480" w:firstLineChars="200"/>
              <w:jc w:val="left"/>
              <w:rPr>
                <w:rFonts w:hint="eastAsia"/>
                <w:color w:val="auto"/>
                <w:sz w:val="24"/>
                <w:szCs w:val="24"/>
                <w:lang w:eastAsia="zh-CN"/>
              </w:rPr>
            </w:pPr>
            <w:r>
              <w:rPr>
                <w:rFonts w:hint="eastAsia"/>
                <w:color w:val="auto"/>
                <w:sz w:val="24"/>
                <w:szCs w:val="24"/>
                <w:lang w:eastAsia="zh-CN"/>
              </w:rPr>
              <w:t>项目发泡挤出工序温度为 150℃~190℃之间，原料在发泡挤出机的作用下产生有机废气，以非甲烷总烃计。复合工序是生产设备将半成品粘合面进行加热并粘合，该 过程会使原料中未聚合的反应单体会在加热的过程中挥发，以非甲烷总烃计。本项目聚乙烯通过电加热，加热温度最高为190℃，聚乙烯分解温度为350~380℃，因此塑化、 发泡挤出过程聚乙烯不会产生裂解，会有少量废气产生，以非甲烷总烃计。</w:t>
            </w:r>
          </w:p>
          <w:p>
            <w:pPr>
              <w:adjustRightInd w:val="0"/>
              <w:snapToGrid w:val="0"/>
              <w:spacing w:line="360" w:lineRule="auto"/>
              <w:ind w:firstLine="480" w:firstLineChars="200"/>
              <w:jc w:val="left"/>
              <w:rPr>
                <w:rFonts w:hint="eastAsia"/>
                <w:color w:val="auto"/>
                <w:sz w:val="24"/>
                <w:szCs w:val="24"/>
                <w:lang w:eastAsia="zh-CN"/>
              </w:rPr>
            </w:pPr>
            <w:r>
              <w:rPr>
                <w:rFonts w:hint="eastAsia"/>
                <w:color w:val="auto"/>
                <w:sz w:val="24"/>
                <w:szCs w:val="24"/>
                <w:lang w:val="en-US" w:eastAsia="zh-CN"/>
              </w:rPr>
              <w:t>根据《第二次全国污染源普查 292 塑料制品业系数手册》，以树脂、助剂采用“混合配料-挤出-发泡”生产泡沫塑料（珍珠棉），挥发性有机物（以非甲烷总烃计）1.5千克/吨-产品</w:t>
            </w:r>
            <w:r>
              <w:rPr>
                <w:rFonts w:hint="eastAsia"/>
                <w:color w:val="auto"/>
                <w:sz w:val="24"/>
                <w:szCs w:val="24"/>
                <w:lang w:eastAsia="zh-CN"/>
              </w:rPr>
              <w:t>产品，</w:t>
            </w:r>
            <w:r>
              <w:rPr>
                <w:rFonts w:hint="eastAsia"/>
                <w:color w:val="auto"/>
                <w:sz w:val="24"/>
                <w:szCs w:val="24"/>
                <w:lang w:val="en-US" w:eastAsia="zh-CN"/>
              </w:rPr>
              <w:t>本项目产量</w:t>
            </w:r>
            <w:r>
              <w:rPr>
                <w:rFonts w:hint="eastAsia"/>
                <w:color w:val="auto"/>
                <w:sz w:val="24"/>
                <w:szCs w:val="24"/>
                <w:lang w:eastAsia="zh-CN"/>
              </w:rPr>
              <w:t>为100吨/年，则非甲烷总烃为0.</w:t>
            </w:r>
            <w:r>
              <w:rPr>
                <w:rFonts w:hint="eastAsia"/>
                <w:color w:val="auto"/>
                <w:sz w:val="24"/>
                <w:szCs w:val="24"/>
                <w:lang w:val="en-US" w:eastAsia="zh-CN"/>
              </w:rPr>
              <w:t>15</w:t>
            </w:r>
            <w:r>
              <w:rPr>
                <w:rFonts w:hint="eastAsia"/>
                <w:color w:val="auto"/>
                <w:sz w:val="24"/>
                <w:szCs w:val="24"/>
                <w:lang w:eastAsia="zh-CN"/>
              </w:rPr>
              <w:t>t/a。</w:t>
            </w:r>
          </w:p>
          <w:p>
            <w:pPr>
              <w:adjustRightInd w:val="0"/>
              <w:snapToGrid w:val="0"/>
              <w:spacing w:line="360" w:lineRule="auto"/>
              <w:ind w:firstLine="480" w:firstLineChars="200"/>
              <w:jc w:val="left"/>
              <w:rPr>
                <w:rFonts w:hint="eastAsia"/>
                <w:color w:val="auto"/>
                <w:sz w:val="24"/>
                <w:szCs w:val="24"/>
                <w:lang w:eastAsia="zh-CN"/>
              </w:rPr>
            </w:pPr>
            <w:r>
              <w:rPr>
                <w:rFonts w:hint="eastAsia"/>
                <w:color w:val="auto"/>
                <w:sz w:val="24"/>
                <w:szCs w:val="24"/>
                <w:lang w:val="en-US" w:eastAsia="zh-CN"/>
              </w:rPr>
              <w:t>2</w:t>
            </w:r>
            <w:r>
              <w:rPr>
                <w:rFonts w:hint="eastAsia"/>
                <w:color w:val="auto"/>
                <w:sz w:val="24"/>
                <w:szCs w:val="24"/>
                <w:lang w:eastAsia="zh-CN"/>
              </w:rPr>
              <w:t xml:space="preserve">）复合工序产生的非甲烷总烃 </w:t>
            </w:r>
          </w:p>
          <w:p>
            <w:pPr>
              <w:adjustRightInd w:val="0"/>
              <w:snapToGrid w:val="0"/>
              <w:spacing w:line="360" w:lineRule="auto"/>
              <w:ind w:firstLine="480" w:firstLineChars="200"/>
              <w:jc w:val="left"/>
              <w:rPr>
                <w:rFonts w:hint="default"/>
                <w:color w:val="auto"/>
                <w:sz w:val="24"/>
                <w:szCs w:val="24"/>
                <w:lang w:val="en-US" w:eastAsia="zh-CN"/>
              </w:rPr>
            </w:pPr>
            <w:r>
              <w:rPr>
                <w:rFonts w:hint="eastAsia"/>
                <w:color w:val="auto"/>
                <w:sz w:val="24"/>
                <w:szCs w:val="24"/>
                <w:lang w:eastAsia="zh-CN"/>
              </w:rPr>
              <w:t>根据客户要求，部分成型物料需用复合机进行复合。复合</w:t>
            </w:r>
            <w:r>
              <w:rPr>
                <w:rFonts w:hint="eastAsia"/>
                <w:color w:val="auto"/>
                <w:sz w:val="24"/>
                <w:szCs w:val="24"/>
                <w:lang w:val="en-US" w:eastAsia="zh-CN"/>
              </w:rPr>
              <w:t>通过</w:t>
            </w:r>
            <w:r>
              <w:rPr>
                <w:rFonts w:hint="eastAsia"/>
                <w:color w:val="auto"/>
                <w:sz w:val="24"/>
                <w:szCs w:val="24"/>
                <w:lang w:eastAsia="zh-CN"/>
              </w:rPr>
              <w:t>生产设备将半成品粘合面进行加热并粘合到一起。</w:t>
            </w:r>
            <w:r>
              <w:rPr>
                <w:rFonts w:hint="eastAsia"/>
                <w:color w:val="auto"/>
                <w:sz w:val="24"/>
                <w:szCs w:val="24"/>
                <w:lang w:val="en-US" w:eastAsia="zh-CN"/>
              </w:rPr>
              <w:t>在生产过程中会产生少量的非甲烷总烃。本项目大约有一半的产品需要复合，即50吨/年。</w:t>
            </w:r>
          </w:p>
          <w:p>
            <w:pPr>
              <w:adjustRightInd w:val="0"/>
              <w:snapToGrid w:val="0"/>
              <w:spacing w:line="360" w:lineRule="auto"/>
              <w:ind w:firstLine="480" w:firstLineChars="200"/>
              <w:jc w:val="left"/>
              <w:rPr>
                <w:rFonts w:hint="eastAsia"/>
                <w:color w:val="auto"/>
                <w:sz w:val="24"/>
                <w:szCs w:val="24"/>
                <w:lang w:eastAsia="zh-CN"/>
              </w:rPr>
            </w:pPr>
            <w:r>
              <w:rPr>
                <w:rFonts w:hint="eastAsia"/>
                <w:color w:val="auto"/>
                <w:sz w:val="24"/>
                <w:szCs w:val="24"/>
                <w:lang w:eastAsia="zh-CN"/>
              </w:rPr>
              <w:t>参照《空气污染物排放和控制手册工业污染源调查与研究第二辑》（美国国家环保局）中推荐排放系数（生产过程中单体排放因子非甲烷总烃产生量为0.35千克/吨原料），则非甲烷总烃为0.0</w:t>
            </w:r>
            <w:r>
              <w:rPr>
                <w:rFonts w:hint="eastAsia"/>
                <w:color w:val="auto"/>
                <w:sz w:val="24"/>
                <w:szCs w:val="24"/>
                <w:lang w:val="en-US" w:eastAsia="zh-CN"/>
              </w:rPr>
              <w:t>18</w:t>
            </w:r>
            <w:r>
              <w:rPr>
                <w:rFonts w:hint="eastAsia"/>
                <w:color w:val="auto"/>
                <w:sz w:val="24"/>
                <w:szCs w:val="24"/>
                <w:lang w:eastAsia="zh-CN"/>
              </w:rPr>
              <w:t>t/a。</w:t>
            </w:r>
          </w:p>
          <w:p>
            <w:pPr>
              <w:adjustRightInd w:val="0"/>
              <w:snapToGrid w:val="0"/>
              <w:spacing w:line="360" w:lineRule="auto"/>
              <w:ind w:firstLine="480" w:firstLineChars="200"/>
              <w:jc w:val="left"/>
              <w:rPr>
                <w:rFonts w:hint="default"/>
                <w:color w:val="auto"/>
                <w:sz w:val="24"/>
                <w:szCs w:val="24"/>
                <w:lang w:val="en-US" w:eastAsia="zh-CN"/>
              </w:rPr>
            </w:pPr>
            <w:r>
              <w:rPr>
                <w:rFonts w:hint="eastAsia"/>
                <w:color w:val="auto"/>
                <w:sz w:val="24"/>
                <w:szCs w:val="24"/>
                <w:lang w:val="en-US" w:eastAsia="zh-CN"/>
              </w:rPr>
              <w:t>3）发泡剂挥发产生的非甲烷总烃</w:t>
            </w:r>
          </w:p>
          <w:p>
            <w:pPr>
              <w:adjustRightInd w:val="0"/>
              <w:snapToGrid w:val="0"/>
              <w:spacing w:line="360" w:lineRule="auto"/>
              <w:ind w:firstLine="480" w:firstLineChars="200"/>
              <w:jc w:val="left"/>
              <w:rPr>
                <w:rFonts w:hint="eastAsia"/>
                <w:color w:val="auto"/>
                <w:sz w:val="24"/>
                <w:szCs w:val="24"/>
                <w:lang w:val="en-US" w:eastAsia="zh-CN"/>
              </w:rPr>
            </w:pPr>
            <w:r>
              <w:rPr>
                <w:rFonts w:hint="eastAsia"/>
                <w:color w:val="auto"/>
                <w:sz w:val="24"/>
                <w:szCs w:val="24"/>
                <w:lang w:eastAsia="zh-CN"/>
              </w:rPr>
              <w:t>本项目使用丁烷作为发泡剂，丁烷在常温常压下可以呈液态，当减压发泡时丁烷气有液态转变为气态，以成核心点为中心均匀的分散在聚合物中。本项目年使用丁烷1</w:t>
            </w:r>
            <w:r>
              <w:rPr>
                <w:rFonts w:hint="eastAsia"/>
                <w:color w:val="auto"/>
                <w:sz w:val="24"/>
                <w:szCs w:val="24"/>
                <w:lang w:val="en-US" w:eastAsia="zh-CN"/>
              </w:rPr>
              <w:t>.</w:t>
            </w:r>
            <w:r>
              <w:rPr>
                <w:rFonts w:hint="eastAsia"/>
                <w:color w:val="auto"/>
                <w:sz w:val="24"/>
                <w:szCs w:val="24"/>
                <w:lang w:eastAsia="zh-CN"/>
              </w:rPr>
              <w:t>5t/a，其中 95%丁烷进入产品，5%的量挥发，以非甲烷总烃计。则废气</w:t>
            </w:r>
            <w:r>
              <w:rPr>
                <w:rFonts w:hint="eastAsia"/>
                <w:color w:val="auto"/>
                <w:sz w:val="24"/>
                <w:szCs w:val="24"/>
                <w:lang w:val="en-US" w:eastAsia="zh-CN"/>
              </w:rPr>
              <w:t>中非甲烷总烃</w:t>
            </w:r>
            <w:r>
              <w:rPr>
                <w:rFonts w:hint="eastAsia"/>
                <w:color w:val="auto"/>
                <w:sz w:val="24"/>
                <w:szCs w:val="24"/>
                <w:lang w:eastAsia="zh-CN"/>
              </w:rPr>
              <w:t>产生量为0.</w:t>
            </w:r>
            <w:r>
              <w:rPr>
                <w:rFonts w:hint="eastAsia"/>
                <w:color w:val="auto"/>
                <w:sz w:val="24"/>
                <w:szCs w:val="24"/>
                <w:lang w:val="en-US" w:eastAsia="zh-CN"/>
              </w:rPr>
              <w:t>0</w:t>
            </w:r>
            <w:r>
              <w:rPr>
                <w:rFonts w:hint="eastAsia"/>
                <w:color w:val="auto"/>
                <w:sz w:val="24"/>
                <w:szCs w:val="24"/>
                <w:lang w:eastAsia="zh-CN"/>
              </w:rPr>
              <w:t>75t/a。</w:t>
            </w:r>
          </w:p>
          <w:p>
            <w:pPr>
              <w:adjustRightInd w:val="0"/>
              <w:snapToGrid w:val="0"/>
              <w:spacing w:line="360" w:lineRule="auto"/>
              <w:ind w:firstLine="480" w:firstLineChars="200"/>
              <w:jc w:val="left"/>
              <w:rPr>
                <w:color w:val="auto"/>
                <w:sz w:val="24"/>
                <w:szCs w:val="24"/>
              </w:rPr>
            </w:pPr>
            <w:r>
              <w:rPr>
                <w:rFonts w:hint="eastAsia"/>
                <w:color w:val="auto"/>
                <w:sz w:val="24"/>
                <w:szCs w:val="24"/>
                <w:lang w:eastAsia="zh-CN"/>
              </w:rPr>
              <w:t>综上所述，非甲烷总烃产生总量为</w:t>
            </w:r>
            <w:r>
              <w:rPr>
                <w:rFonts w:hint="eastAsia"/>
                <w:color w:val="auto"/>
                <w:sz w:val="24"/>
                <w:szCs w:val="24"/>
                <w:lang w:val="en-US" w:eastAsia="zh-CN"/>
              </w:rPr>
              <w:t>0.243</w:t>
            </w:r>
            <w:r>
              <w:rPr>
                <w:rFonts w:hint="eastAsia"/>
                <w:color w:val="auto"/>
                <w:sz w:val="24"/>
                <w:szCs w:val="24"/>
                <w:lang w:eastAsia="zh-CN"/>
              </w:rPr>
              <w:t>t/a，项目分别在发泡挤出机、复合机上方安装集气罩，有机废气经集气罩收集后经</w:t>
            </w:r>
            <w:r>
              <w:rPr>
                <w:rFonts w:hint="eastAsia"/>
                <w:color w:val="auto"/>
                <w:sz w:val="24"/>
                <w:szCs w:val="24"/>
                <w:lang w:val="en-US" w:eastAsia="zh-CN"/>
              </w:rPr>
              <w:t>UV光解+活性炭吸附装置处理后</w:t>
            </w:r>
            <w:r>
              <w:rPr>
                <w:rFonts w:hint="eastAsia"/>
                <w:color w:val="auto"/>
                <w:sz w:val="24"/>
                <w:szCs w:val="24"/>
                <w:lang w:eastAsia="zh-CN"/>
              </w:rPr>
              <w:t>，经15m 高排气筒排放P1。集气罩收集效率</w:t>
            </w:r>
            <w:r>
              <w:rPr>
                <w:rFonts w:hint="eastAsia"/>
                <w:color w:val="auto"/>
                <w:sz w:val="24"/>
                <w:szCs w:val="24"/>
                <w:lang w:val="en-US" w:eastAsia="zh-CN"/>
              </w:rPr>
              <w:t>按8</w:t>
            </w:r>
            <w:r>
              <w:rPr>
                <w:rFonts w:hint="eastAsia"/>
                <w:color w:val="auto"/>
                <w:sz w:val="24"/>
                <w:szCs w:val="24"/>
                <w:lang w:eastAsia="zh-CN"/>
              </w:rPr>
              <w:t>0%</w:t>
            </w:r>
            <w:r>
              <w:rPr>
                <w:rFonts w:hint="eastAsia"/>
                <w:color w:val="auto"/>
                <w:sz w:val="24"/>
                <w:szCs w:val="24"/>
                <w:lang w:val="en-US" w:eastAsia="zh-CN"/>
              </w:rPr>
              <w:t>计</w:t>
            </w:r>
            <w:r>
              <w:rPr>
                <w:rFonts w:hint="eastAsia"/>
                <w:color w:val="auto"/>
                <w:sz w:val="24"/>
                <w:szCs w:val="24"/>
                <w:lang w:eastAsia="zh-CN"/>
              </w:rPr>
              <w:t>，则有组织非甲烷总烃产生总量为</w:t>
            </w:r>
            <w:r>
              <w:rPr>
                <w:rFonts w:hint="eastAsia"/>
                <w:color w:val="auto"/>
                <w:sz w:val="24"/>
                <w:szCs w:val="24"/>
                <w:lang w:val="en-US" w:eastAsia="zh-CN"/>
              </w:rPr>
              <w:t>0.194t</w:t>
            </w:r>
            <w:r>
              <w:rPr>
                <w:rFonts w:hint="eastAsia"/>
                <w:color w:val="auto"/>
                <w:sz w:val="24"/>
                <w:szCs w:val="24"/>
                <w:lang w:eastAsia="zh-CN"/>
              </w:rPr>
              <w:t>/a，风机风量为</w:t>
            </w:r>
            <w:r>
              <w:rPr>
                <w:rFonts w:hint="eastAsia"/>
                <w:color w:val="auto"/>
                <w:sz w:val="24"/>
                <w:szCs w:val="24"/>
                <w:lang w:val="en-US" w:eastAsia="zh-CN"/>
              </w:rPr>
              <w:t>3</w:t>
            </w:r>
            <w:r>
              <w:rPr>
                <w:rFonts w:hint="eastAsia"/>
                <w:color w:val="auto"/>
                <w:sz w:val="24"/>
                <w:szCs w:val="24"/>
                <w:lang w:eastAsia="zh-CN"/>
              </w:rPr>
              <w:t>000m</w:t>
            </w:r>
            <w:r>
              <w:rPr>
                <w:rFonts w:hint="eastAsia"/>
                <w:color w:val="auto"/>
                <w:sz w:val="24"/>
                <w:szCs w:val="24"/>
                <w:vertAlign w:val="superscript"/>
                <w:lang w:eastAsia="zh-CN"/>
              </w:rPr>
              <w:t>3</w:t>
            </w:r>
            <w:r>
              <w:rPr>
                <w:rFonts w:hint="eastAsia"/>
                <w:color w:val="auto"/>
                <w:sz w:val="24"/>
                <w:szCs w:val="24"/>
                <w:lang w:eastAsia="zh-CN"/>
              </w:rPr>
              <w:t>/h，工作时间为2400h，有组织非甲烷总烃产生浓度为</w:t>
            </w:r>
            <w:r>
              <w:rPr>
                <w:rFonts w:hint="eastAsia"/>
                <w:color w:val="auto"/>
                <w:sz w:val="24"/>
                <w:szCs w:val="24"/>
                <w:lang w:val="en-US" w:eastAsia="zh-CN"/>
              </w:rPr>
              <w:t>26.9</w:t>
            </w:r>
            <w:r>
              <w:rPr>
                <w:rFonts w:hint="eastAsia"/>
                <w:color w:val="auto"/>
                <w:sz w:val="24"/>
                <w:szCs w:val="24"/>
                <w:lang w:eastAsia="zh-CN"/>
              </w:rPr>
              <w:t>mg/m</w:t>
            </w:r>
            <w:r>
              <w:rPr>
                <w:rFonts w:hint="eastAsia"/>
                <w:color w:val="auto"/>
                <w:sz w:val="24"/>
                <w:szCs w:val="24"/>
                <w:vertAlign w:val="superscript"/>
                <w:lang w:eastAsia="zh-CN"/>
              </w:rPr>
              <w:t>3</w:t>
            </w:r>
            <w:r>
              <w:rPr>
                <w:rFonts w:hint="eastAsia"/>
                <w:color w:val="auto"/>
                <w:sz w:val="24"/>
                <w:szCs w:val="24"/>
                <w:lang w:eastAsia="zh-CN"/>
              </w:rPr>
              <w:t>，</w:t>
            </w:r>
            <w:r>
              <w:rPr>
                <w:rFonts w:hint="eastAsia"/>
                <w:color w:val="auto"/>
                <w:sz w:val="24"/>
                <w:szCs w:val="24"/>
                <w:lang w:val="en-US" w:eastAsia="zh-CN"/>
              </w:rPr>
              <w:t>根据《第二次全国污染源普查 292 塑料制品业系数手册》，UV光解+活性炭吸附装置处理</w:t>
            </w:r>
            <w:r>
              <w:rPr>
                <w:rFonts w:hint="eastAsia"/>
                <w:color w:val="auto"/>
                <w:sz w:val="24"/>
                <w:szCs w:val="24"/>
                <w:lang w:eastAsia="zh-CN"/>
              </w:rPr>
              <w:t>效率为</w:t>
            </w:r>
            <w:r>
              <w:rPr>
                <w:rFonts w:hint="eastAsia"/>
                <w:color w:val="auto"/>
                <w:sz w:val="24"/>
                <w:szCs w:val="24"/>
                <w:lang w:val="en-US" w:eastAsia="zh-CN"/>
              </w:rPr>
              <w:t>80</w:t>
            </w:r>
            <w:r>
              <w:rPr>
                <w:rFonts w:hint="eastAsia"/>
                <w:color w:val="auto"/>
                <w:sz w:val="24"/>
                <w:szCs w:val="24"/>
                <w:lang w:eastAsia="zh-CN"/>
              </w:rPr>
              <w:t>% ，则有组织非甲烷总烃排放量为</w:t>
            </w:r>
            <w:r>
              <w:rPr>
                <w:rFonts w:hint="eastAsia"/>
                <w:color w:val="auto"/>
                <w:sz w:val="24"/>
                <w:szCs w:val="24"/>
                <w:lang w:val="en-US" w:eastAsia="zh-CN"/>
              </w:rPr>
              <w:t>0.039t</w:t>
            </w:r>
            <w:r>
              <w:rPr>
                <w:rFonts w:hint="eastAsia"/>
                <w:color w:val="auto"/>
                <w:sz w:val="24"/>
                <w:szCs w:val="24"/>
                <w:lang w:eastAsia="zh-CN"/>
              </w:rPr>
              <w:t>/a，（0.</w:t>
            </w:r>
            <w:r>
              <w:rPr>
                <w:rFonts w:hint="eastAsia"/>
                <w:color w:val="auto"/>
                <w:sz w:val="24"/>
                <w:szCs w:val="24"/>
                <w:lang w:val="en-US" w:eastAsia="zh-CN"/>
              </w:rPr>
              <w:t>016</w:t>
            </w:r>
            <w:r>
              <w:rPr>
                <w:rFonts w:hint="eastAsia"/>
                <w:color w:val="auto"/>
                <w:sz w:val="24"/>
                <w:szCs w:val="24"/>
                <w:lang w:eastAsia="zh-CN"/>
              </w:rPr>
              <w:t>kg/h），有组织非甲烷总烃排放浓度为</w:t>
            </w:r>
            <w:r>
              <w:rPr>
                <w:rFonts w:hint="eastAsia"/>
                <w:color w:val="auto"/>
                <w:sz w:val="24"/>
                <w:szCs w:val="24"/>
                <w:lang w:val="en-US" w:eastAsia="zh-CN"/>
              </w:rPr>
              <w:t>5.4mg</w:t>
            </w:r>
            <w:r>
              <w:rPr>
                <w:rFonts w:hint="eastAsia"/>
                <w:color w:val="auto"/>
                <w:sz w:val="24"/>
                <w:szCs w:val="24"/>
                <w:lang w:eastAsia="zh-CN"/>
              </w:rPr>
              <w:t>/m</w:t>
            </w:r>
            <w:r>
              <w:rPr>
                <w:rFonts w:hint="eastAsia"/>
                <w:color w:val="auto"/>
                <w:sz w:val="24"/>
                <w:szCs w:val="24"/>
                <w:vertAlign w:val="superscript"/>
                <w:lang w:eastAsia="zh-CN"/>
              </w:rPr>
              <w:t>3</w:t>
            </w:r>
            <w:r>
              <w:rPr>
                <w:rFonts w:hint="eastAsia"/>
                <w:color w:val="auto"/>
                <w:sz w:val="24"/>
                <w:szCs w:val="24"/>
                <w:lang w:eastAsia="zh-CN"/>
              </w:rPr>
              <w:t>，</w:t>
            </w:r>
            <w:r>
              <w:rPr>
                <w:rFonts w:hint="eastAsia"/>
                <w:color w:val="auto"/>
                <w:sz w:val="24"/>
                <w:szCs w:val="24"/>
                <w:lang w:val="en-US" w:eastAsia="zh-CN"/>
              </w:rPr>
              <w:t>满足《合成树脂工业污染物排放标准》（GB31572-2015）表4大气污染物浓度限值要求</w:t>
            </w:r>
            <w:r>
              <w:rPr>
                <w:rFonts w:hint="eastAsia"/>
                <w:color w:val="auto"/>
                <w:sz w:val="24"/>
                <w:szCs w:val="24"/>
                <w:lang w:eastAsia="zh-CN"/>
              </w:rPr>
              <w:t>。集气罩收集效率为</w:t>
            </w:r>
            <w:r>
              <w:rPr>
                <w:rFonts w:hint="eastAsia"/>
                <w:color w:val="auto"/>
                <w:sz w:val="24"/>
                <w:szCs w:val="24"/>
                <w:lang w:val="en-US" w:eastAsia="zh-CN"/>
              </w:rPr>
              <w:t>80</w:t>
            </w:r>
            <w:r>
              <w:rPr>
                <w:rFonts w:hint="eastAsia"/>
                <w:color w:val="auto"/>
                <w:sz w:val="24"/>
                <w:szCs w:val="24"/>
                <w:lang w:eastAsia="zh-CN"/>
              </w:rPr>
              <w:t>%，无组织非甲烷总烃排放量为0.0</w:t>
            </w:r>
            <w:r>
              <w:rPr>
                <w:rFonts w:hint="eastAsia"/>
                <w:color w:val="auto"/>
                <w:sz w:val="24"/>
                <w:szCs w:val="24"/>
                <w:lang w:val="en-US" w:eastAsia="zh-CN"/>
              </w:rPr>
              <w:t>49</w:t>
            </w:r>
            <w:r>
              <w:rPr>
                <w:rFonts w:hint="eastAsia"/>
                <w:color w:val="auto"/>
                <w:sz w:val="24"/>
                <w:szCs w:val="24"/>
                <w:lang w:eastAsia="zh-CN"/>
              </w:rPr>
              <w:t>t/a。生产车间进行密闭、加强管理，减少废气的逸散，可满足满足《合成树脂工业污染物排放标准》（GB31572-2015）表9企业边界大气污染物浓度限值要求。</w:t>
            </w:r>
          </w:p>
          <w:p>
            <w:pPr>
              <w:numPr>
                <w:ilvl w:val="0"/>
                <w:numId w:val="2"/>
              </w:numPr>
              <w:adjustRightInd w:val="0"/>
              <w:snapToGrid w:val="0"/>
              <w:spacing w:line="360" w:lineRule="auto"/>
              <w:ind w:left="0" w:leftChars="0" w:firstLine="420" w:firstLineChars="175"/>
              <w:jc w:val="left"/>
              <w:rPr>
                <w:rFonts w:hint="eastAsia"/>
                <w:color w:val="auto"/>
                <w:sz w:val="24"/>
                <w:szCs w:val="24"/>
              </w:rPr>
            </w:pPr>
            <w:r>
              <w:rPr>
                <w:rFonts w:hint="eastAsia"/>
                <w:color w:val="auto"/>
                <w:sz w:val="24"/>
                <w:szCs w:val="24"/>
              </w:rPr>
              <w:t xml:space="preserve">颗粒物 </w:t>
            </w:r>
          </w:p>
          <w:p>
            <w:pPr>
              <w:adjustRightInd w:val="0"/>
              <w:snapToGrid w:val="0"/>
              <w:spacing w:line="360" w:lineRule="auto"/>
              <w:ind w:firstLine="480" w:firstLineChars="200"/>
              <w:jc w:val="left"/>
              <w:rPr>
                <w:rFonts w:hint="eastAsia"/>
                <w:color w:val="auto"/>
                <w:sz w:val="24"/>
                <w:szCs w:val="24"/>
              </w:rPr>
            </w:pPr>
            <w:r>
              <w:rPr>
                <w:rFonts w:hint="eastAsia"/>
                <w:color w:val="auto"/>
                <w:sz w:val="24"/>
                <w:szCs w:val="24"/>
                <w:lang w:val="en-US" w:eastAsia="zh-CN"/>
              </w:rPr>
              <w:t>本项目采用聚乙烯颗粒及母料，不采用</w:t>
            </w:r>
            <w:r>
              <w:rPr>
                <w:rFonts w:hint="eastAsia"/>
                <w:color w:val="auto"/>
                <w:sz w:val="24"/>
                <w:szCs w:val="24"/>
              </w:rPr>
              <w:t>滑石粉</w:t>
            </w:r>
            <w:r>
              <w:rPr>
                <w:rFonts w:hint="eastAsia"/>
                <w:color w:val="auto"/>
                <w:sz w:val="24"/>
                <w:szCs w:val="24"/>
                <w:lang w:val="en-US" w:eastAsia="zh-CN"/>
              </w:rPr>
              <w:t>等粉料。因此上料、搅拌过程中产生的颗粒物极少，不做定量分析。</w:t>
            </w:r>
          </w:p>
          <w:p>
            <w:pPr>
              <w:adjustRightInd w:val="0"/>
              <w:snapToGrid w:val="0"/>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通过加强车间通风、设备封闭措施，加强管理，减少废气的逸散，厂界浓度能够小于1.0mg/m</w:t>
            </w:r>
            <w:r>
              <w:rPr>
                <w:rFonts w:hint="eastAsia"/>
                <w:color w:val="auto"/>
                <w:sz w:val="24"/>
                <w:szCs w:val="24"/>
                <w:vertAlign w:val="superscript"/>
                <w:lang w:val="en-US" w:eastAsia="zh-CN"/>
              </w:rPr>
              <w:t>3</w:t>
            </w:r>
            <w:r>
              <w:rPr>
                <w:rFonts w:hint="eastAsia"/>
                <w:color w:val="auto"/>
                <w:sz w:val="24"/>
                <w:szCs w:val="24"/>
                <w:lang w:val="en-US" w:eastAsia="zh-CN"/>
              </w:rPr>
              <w:t>，满足《合成树脂工业污染物排放标准》（GB31572-2015）表9企业边界大气污染物浓度限值要求。</w:t>
            </w:r>
          </w:p>
          <w:p>
            <w:pPr>
              <w:pStyle w:val="28"/>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rPr>
            </w:pPr>
            <w:r>
              <w:rPr>
                <w:rFonts w:hint="eastAsia"/>
                <w:color w:val="auto"/>
                <w:sz w:val="24"/>
                <w:szCs w:val="24"/>
              </w:rPr>
              <w:t>UV光解废气技术原理1、利用特制的高能高臭氧UV紫外线光束照射来裂解排放的废气废气，能有效的处理：甲硫氢、甲硫醇、二硫化碳和苯乙烯，硫化物H2S、VOC类等废气的分子链结构，使有机或无机高分子废气化合物分子链，在高能紫外线光束照射下，降解转变成低分子化合物，如CO2、H2O等，从而达到有效的治理，实现达标排放。2、利用高能高臭氧UV紫外线光束分解空气中的氧分子产生游离氧，即活性氧，因游离氧所携正负电子不平衡所需要与氧分子结合，进而生产臭氧。臭氧对紫外线光束照射分解后的有机物具有极强的氧化作用，对恶臭气体及其它刺鼻性异味有良好的削除效果。3、恶臭气体通过废气收集排风设备进入到装有UV有效光解氧化模块的反应腔后，高能UV紫外线光束及臭氧对恶臭气体进行协同分解氧化反应，使恶臭气体物质降解转化成低分子化合物、水和二氧化碳，再通过排风管道排出室外。4、利用高能UV光束裂解恶臭气体中细菌的分子键，损坏细菌的核酸(DNA)，再通过臭氧进行氧化反应，彻底达到脱臭及杀灭细菌的目的。</w:t>
            </w:r>
          </w:p>
          <w:p>
            <w:pPr>
              <w:pStyle w:val="28"/>
              <w:spacing w:after="0" w:line="360" w:lineRule="auto"/>
              <w:ind w:firstLine="480" w:firstLineChars="200"/>
              <w:jc w:val="left"/>
              <w:rPr>
                <w:color w:val="auto"/>
              </w:rPr>
            </w:pPr>
            <w:r>
              <w:rPr>
                <w:rFonts w:hint="eastAsia"/>
                <w:color w:val="auto"/>
                <w:lang w:eastAsia="zh-CN"/>
              </w:rPr>
              <w:t>活性炭吸附箱</w:t>
            </w:r>
            <w:r>
              <w:rPr>
                <w:rFonts w:hint="eastAsia"/>
                <w:color w:val="auto"/>
              </w:rPr>
              <w:t>又可称为活性炭吸附器，活性炭吸附过滤器。</w:t>
            </w:r>
            <w:r>
              <w:rPr>
                <w:rFonts w:hint="eastAsia"/>
                <w:color w:val="auto"/>
                <w:lang w:eastAsia="zh-CN"/>
              </w:rPr>
              <w:t>活性炭吸附箱</w:t>
            </w:r>
            <w:r>
              <w:rPr>
                <w:rFonts w:hint="eastAsia"/>
                <w:color w:val="auto"/>
              </w:rPr>
              <w:t>具有吸附效率高、适用面广、维护方便、能同时处理多种混合废气等优点，活性炭具有去除甲醛、苯、TVOC等有害气体和消毒除臭等作用。有机废气气体由风机提供动力，正压或负压进入活性炭吸附器塔体，由于活性炭固体表面上存在着未平衡和未饱和的分子引力或化学健力，因此当此固体表面与气体接触时，就能吸引气体分子，使其浓聚并保持在固体表面，污染物质从而被吸附，废气经过滤器后，进入设备排尘系统，净化气体高空达标排放。因此本评价认为该措施具有可行性。</w:t>
            </w:r>
          </w:p>
          <w:p>
            <w:pPr>
              <w:pStyle w:val="28"/>
              <w:spacing w:after="0" w:line="360" w:lineRule="auto"/>
              <w:ind w:firstLine="480" w:firstLineChars="200"/>
              <w:jc w:val="left"/>
              <w:rPr>
                <w:rFonts w:hint="default"/>
                <w:color w:val="auto"/>
                <w:lang w:val="en-US" w:eastAsia="zh-CN"/>
              </w:rPr>
            </w:pPr>
            <w:r>
              <w:rPr>
                <w:rFonts w:hint="eastAsia"/>
                <w:color w:val="auto"/>
                <w:lang w:eastAsia="zh-CN"/>
              </w:rPr>
              <w:t>UV光氧</w:t>
            </w:r>
            <w:r>
              <w:rPr>
                <w:rFonts w:hint="eastAsia"/>
                <w:color w:val="auto"/>
                <w:lang w:val="en-US" w:eastAsia="zh-CN"/>
              </w:rPr>
              <w:t>+</w:t>
            </w:r>
            <w:r>
              <w:rPr>
                <w:rFonts w:hint="eastAsia"/>
                <w:color w:val="auto"/>
                <w:lang w:eastAsia="zh-CN"/>
              </w:rPr>
              <w:t>活性炭吸附装置处理效率按</w:t>
            </w:r>
            <w:r>
              <w:rPr>
                <w:rFonts w:hint="eastAsia"/>
                <w:color w:val="auto"/>
                <w:lang w:val="en-US" w:eastAsia="zh-CN"/>
              </w:rPr>
              <w:t>80%计，风机风量为3000m3/h，则有组织</w:t>
            </w:r>
            <w:r>
              <w:rPr>
                <w:rFonts w:hint="eastAsia"/>
                <w:color w:val="auto"/>
                <w:lang w:eastAsia="zh-CN"/>
              </w:rPr>
              <w:t>非甲烷总烃产生量为</w:t>
            </w:r>
            <w:r>
              <w:rPr>
                <w:rFonts w:hint="eastAsia"/>
                <w:color w:val="auto"/>
                <w:lang w:val="en-US" w:eastAsia="zh-CN"/>
              </w:rPr>
              <w:t>0.194t</w:t>
            </w:r>
            <w:r>
              <w:rPr>
                <w:rFonts w:hint="eastAsia"/>
                <w:color w:val="auto"/>
                <w:lang w:eastAsia="zh-CN"/>
              </w:rPr>
              <w:t>/a。</w:t>
            </w:r>
            <w:r>
              <w:rPr>
                <w:rFonts w:hint="eastAsia"/>
                <w:color w:val="auto"/>
                <w:lang w:val="en-US" w:eastAsia="zh-CN"/>
              </w:rPr>
              <w:t>经处理后</w:t>
            </w:r>
            <w:r>
              <w:rPr>
                <w:rFonts w:hint="eastAsia"/>
                <w:color w:val="auto"/>
                <w:lang w:eastAsia="zh-CN"/>
              </w:rPr>
              <w:t>有组织非甲烷总烃</w:t>
            </w:r>
            <w:r>
              <w:rPr>
                <w:rFonts w:hint="eastAsia"/>
                <w:color w:val="auto"/>
                <w:lang w:val="en-US" w:eastAsia="zh-CN"/>
              </w:rPr>
              <w:t>排放</w:t>
            </w:r>
            <w:r>
              <w:rPr>
                <w:rFonts w:hint="eastAsia"/>
                <w:color w:val="auto"/>
                <w:lang w:eastAsia="zh-CN"/>
              </w:rPr>
              <w:t>量为</w:t>
            </w:r>
            <w:r>
              <w:rPr>
                <w:rFonts w:hint="eastAsia"/>
                <w:color w:val="auto"/>
                <w:lang w:val="en-US" w:eastAsia="zh-CN"/>
              </w:rPr>
              <w:t>0.039t</w:t>
            </w:r>
            <w:r>
              <w:rPr>
                <w:rFonts w:hint="eastAsia"/>
                <w:color w:val="auto"/>
                <w:lang w:eastAsia="zh-CN"/>
              </w:rPr>
              <w:t>/a</w:t>
            </w:r>
            <w:r>
              <w:rPr>
                <w:rFonts w:hint="eastAsia"/>
                <w:color w:val="auto"/>
                <w:lang w:val="en-US" w:eastAsia="zh-CN"/>
              </w:rPr>
              <w:t>，5.4mg/m</w:t>
            </w:r>
            <w:r>
              <w:rPr>
                <w:rFonts w:hint="eastAsia"/>
                <w:color w:val="auto"/>
                <w:vertAlign w:val="superscript"/>
                <w:lang w:val="en-US" w:eastAsia="zh-CN"/>
              </w:rPr>
              <w:t>3</w:t>
            </w:r>
            <w:r>
              <w:rPr>
                <w:rFonts w:hint="eastAsia"/>
                <w:color w:val="auto"/>
                <w:lang w:eastAsia="zh-CN"/>
              </w:rPr>
              <w:t>。</w:t>
            </w:r>
            <w:r>
              <w:rPr>
                <w:rFonts w:hint="eastAsia"/>
                <w:color w:val="auto"/>
                <w:lang w:val="en-US" w:eastAsia="zh-CN"/>
              </w:rPr>
              <w:t>无组织</w:t>
            </w:r>
            <w:r>
              <w:rPr>
                <w:rFonts w:hint="eastAsia"/>
                <w:color w:val="auto"/>
                <w:lang w:eastAsia="zh-CN"/>
              </w:rPr>
              <w:t>非甲烷总烃排放量为</w:t>
            </w:r>
            <w:r>
              <w:rPr>
                <w:rFonts w:hint="eastAsia"/>
                <w:color w:val="auto"/>
                <w:lang w:val="en-US" w:eastAsia="zh-CN"/>
              </w:rPr>
              <w:t>0.049t</w:t>
            </w:r>
            <w:r>
              <w:rPr>
                <w:rFonts w:hint="eastAsia"/>
                <w:color w:val="auto"/>
                <w:lang w:eastAsia="zh-CN"/>
              </w:rPr>
              <w:t>/a。</w:t>
            </w:r>
          </w:p>
          <w:p>
            <w:pPr>
              <w:pStyle w:val="11"/>
              <w:jc w:val="center"/>
              <w:rPr>
                <w:color w:val="auto"/>
                <w:sz w:val="21"/>
                <w:szCs w:val="21"/>
              </w:rPr>
            </w:pPr>
            <w:r>
              <w:rPr>
                <w:color w:val="auto"/>
                <w:sz w:val="21"/>
                <w:szCs w:val="21"/>
              </w:rPr>
              <w:t xml:space="preserve">表4-1 </w:t>
            </w:r>
            <w:r>
              <w:rPr>
                <w:rFonts w:hint="eastAsia"/>
                <w:color w:val="auto"/>
                <w:sz w:val="21"/>
                <w:szCs w:val="21"/>
                <w:lang w:eastAsia="zh-CN"/>
              </w:rPr>
              <w:t>塑化、发泡挤出废气</w:t>
            </w:r>
            <w:r>
              <w:rPr>
                <w:color w:val="auto"/>
                <w:sz w:val="21"/>
                <w:szCs w:val="21"/>
              </w:rPr>
              <w:t>大气污染物排放量</w:t>
            </w:r>
            <w:r>
              <w:rPr>
                <w:rFonts w:hint="eastAsia"/>
                <w:color w:val="auto"/>
                <w:sz w:val="21"/>
                <w:szCs w:val="21"/>
              </w:rPr>
              <w:t>情况</w:t>
            </w:r>
            <w:r>
              <w:rPr>
                <w:color w:val="auto"/>
                <w:sz w:val="21"/>
                <w:szCs w:val="21"/>
              </w:rPr>
              <w:t>表</w:t>
            </w:r>
          </w:p>
          <w:tbl>
            <w:tblPr>
              <w:tblStyle w:val="29"/>
              <w:tblW w:w="7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418"/>
              <w:gridCol w:w="660"/>
              <w:gridCol w:w="855"/>
              <w:gridCol w:w="1015"/>
              <w:gridCol w:w="1655"/>
              <w:gridCol w:w="900"/>
              <w:gridCol w:w="852"/>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dxa"/>
                  <w:vMerge w:val="restart"/>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序号</w:t>
                  </w:r>
                </w:p>
              </w:tc>
              <w:tc>
                <w:tcPr>
                  <w:tcW w:w="418" w:type="dxa"/>
                  <w:vMerge w:val="restart"/>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排放口编号</w:t>
                  </w:r>
                </w:p>
              </w:tc>
              <w:tc>
                <w:tcPr>
                  <w:tcW w:w="660" w:type="dxa"/>
                  <w:vMerge w:val="restart"/>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产污环节</w:t>
                  </w:r>
                </w:p>
              </w:tc>
              <w:tc>
                <w:tcPr>
                  <w:tcW w:w="855" w:type="dxa"/>
                  <w:vMerge w:val="restart"/>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污染物</w:t>
                  </w:r>
                </w:p>
              </w:tc>
              <w:tc>
                <w:tcPr>
                  <w:tcW w:w="1015" w:type="dxa"/>
                  <w:vMerge w:val="restart"/>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主要污染防治措施</w:t>
                  </w:r>
                </w:p>
              </w:tc>
              <w:tc>
                <w:tcPr>
                  <w:tcW w:w="2555" w:type="dxa"/>
                  <w:gridSpan w:val="2"/>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国家或地方污染物排放标准</w:t>
                  </w:r>
                </w:p>
              </w:tc>
              <w:tc>
                <w:tcPr>
                  <w:tcW w:w="852" w:type="dxa"/>
                  <w:vMerge w:val="restart"/>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排放浓度</w:t>
                  </w:r>
                </w:p>
              </w:tc>
              <w:tc>
                <w:tcPr>
                  <w:tcW w:w="883" w:type="dxa"/>
                  <w:vMerge w:val="restart"/>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dxa"/>
                  <w:vMerge w:val="continue"/>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p>
              </w:tc>
              <w:tc>
                <w:tcPr>
                  <w:tcW w:w="418" w:type="dxa"/>
                  <w:vMerge w:val="continue"/>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p>
              </w:tc>
              <w:tc>
                <w:tcPr>
                  <w:tcW w:w="660" w:type="dxa"/>
                  <w:vMerge w:val="continue"/>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p>
              </w:tc>
              <w:tc>
                <w:tcPr>
                  <w:tcW w:w="855" w:type="dxa"/>
                  <w:vMerge w:val="continue"/>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p>
              </w:tc>
              <w:tc>
                <w:tcPr>
                  <w:tcW w:w="1015" w:type="dxa"/>
                  <w:vMerge w:val="continue"/>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p>
              </w:tc>
              <w:tc>
                <w:tcPr>
                  <w:tcW w:w="1655"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标准名称</w:t>
                  </w:r>
                </w:p>
              </w:tc>
              <w:tc>
                <w:tcPr>
                  <w:tcW w:w="900"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浓度限值/（mg/m3）</w:t>
                  </w:r>
                </w:p>
              </w:tc>
              <w:tc>
                <w:tcPr>
                  <w:tcW w:w="852" w:type="dxa"/>
                  <w:vMerge w:val="continue"/>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olor w:val="auto"/>
                      <w:sz w:val="21"/>
                      <w:szCs w:val="21"/>
                      <w:lang w:val="en-US" w:eastAsia="zh-CN"/>
                    </w:rPr>
                  </w:pPr>
                </w:p>
              </w:tc>
              <w:tc>
                <w:tcPr>
                  <w:tcW w:w="883" w:type="dxa"/>
                  <w:vMerge w:val="continue"/>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40"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1</w:t>
                  </w:r>
                </w:p>
              </w:tc>
              <w:tc>
                <w:tcPr>
                  <w:tcW w:w="418"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rightChars="0"/>
                    <w:jc w:val="center"/>
                    <w:textAlignment w:val="auto"/>
                    <w:rPr>
                      <w:rFonts w:hint="eastAsia"/>
                      <w:color w:val="auto"/>
                      <w:sz w:val="21"/>
                      <w:szCs w:val="21"/>
                      <w:lang w:val="en-US" w:eastAsia="zh-CN"/>
                    </w:rPr>
                  </w:pPr>
                  <w:r>
                    <w:rPr>
                      <w:rFonts w:hint="eastAsia"/>
                      <w:color w:val="auto"/>
                      <w:sz w:val="21"/>
                      <w:szCs w:val="21"/>
                      <w:lang w:val="en-US" w:eastAsia="zh-CN"/>
                    </w:rPr>
                    <w:t>DA001</w:t>
                  </w:r>
                </w:p>
              </w:tc>
              <w:tc>
                <w:tcPr>
                  <w:tcW w:w="660"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olor w:val="auto"/>
                      <w:sz w:val="21"/>
                      <w:szCs w:val="21"/>
                      <w:lang w:val="en-US" w:eastAsia="zh-CN"/>
                    </w:rPr>
                  </w:pPr>
                  <w:r>
                    <w:rPr>
                      <w:rFonts w:hint="eastAsia"/>
                      <w:color w:val="auto"/>
                      <w:sz w:val="21"/>
                      <w:szCs w:val="21"/>
                      <w:lang w:val="en-US" w:eastAsia="zh-CN"/>
                    </w:rPr>
                    <w:t>塑化、发泡挤出</w:t>
                  </w:r>
                </w:p>
              </w:tc>
              <w:tc>
                <w:tcPr>
                  <w:tcW w:w="855"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olor w:val="auto"/>
                      <w:sz w:val="21"/>
                      <w:szCs w:val="21"/>
                      <w:lang w:val="en-US" w:eastAsia="zh-CN"/>
                    </w:rPr>
                  </w:pPr>
                  <w:r>
                    <w:rPr>
                      <w:rFonts w:hint="eastAsia"/>
                      <w:color w:val="auto"/>
                      <w:sz w:val="21"/>
                      <w:szCs w:val="21"/>
                      <w:lang w:val="en-US" w:eastAsia="zh-CN"/>
                    </w:rPr>
                    <w:t>非甲烷总烃</w:t>
                  </w:r>
                </w:p>
              </w:tc>
              <w:tc>
                <w:tcPr>
                  <w:tcW w:w="1015"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UV光氧+活性炭吸附装置</w:t>
                  </w:r>
                </w:p>
              </w:tc>
              <w:tc>
                <w:tcPr>
                  <w:tcW w:w="1655"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p>
              </w:tc>
              <w:tc>
                <w:tcPr>
                  <w:tcW w:w="900"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olor w:val="auto"/>
                      <w:sz w:val="21"/>
                      <w:szCs w:val="21"/>
                      <w:lang w:val="en-US" w:eastAsia="zh-CN"/>
                    </w:rPr>
                  </w:pPr>
                  <w:r>
                    <w:rPr>
                      <w:rFonts w:hint="eastAsia"/>
                      <w:color w:val="auto"/>
                      <w:sz w:val="21"/>
                      <w:szCs w:val="21"/>
                      <w:lang w:val="en-US" w:eastAsia="zh-CN"/>
                    </w:rPr>
                    <w:t>100</w:t>
                  </w:r>
                </w:p>
              </w:tc>
              <w:tc>
                <w:tcPr>
                  <w:tcW w:w="852"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olor w:val="auto"/>
                      <w:sz w:val="21"/>
                      <w:szCs w:val="21"/>
                      <w:lang w:val="en-US" w:eastAsia="zh-CN"/>
                    </w:rPr>
                  </w:pPr>
                  <w:r>
                    <w:rPr>
                      <w:rFonts w:hint="eastAsia"/>
                      <w:color w:val="auto"/>
                      <w:sz w:val="21"/>
                      <w:szCs w:val="21"/>
                      <w:lang w:val="en-US" w:eastAsia="zh-CN"/>
                    </w:rPr>
                    <w:t>5.4</w:t>
                  </w:r>
                </w:p>
              </w:tc>
              <w:tc>
                <w:tcPr>
                  <w:tcW w:w="883"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rightChars="0"/>
                    <w:jc w:val="center"/>
                    <w:textAlignment w:val="auto"/>
                    <w:rPr>
                      <w:rFonts w:hint="default"/>
                      <w:color w:val="auto"/>
                      <w:sz w:val="21"/>
                      <w:szCs w:val="21"/>
                      <w:lang w:val="en-US" w:eastAsia="zh-CN"/>
                    </w:rPr>
                  </w:pPr>
                  <w:r>
                    <w:rPr>
                      <w:rFonts w:hint="eastAsia"/>
                      <w:color w:val="auto"/>
                      <w:sz w:val="21"/>
                      <w:szCs w:val="21"/>
                      <w:lang w:val="en-US" w:eastAsia="zh-CN"/>
                    </w:rPr>
                    <w:t>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2</w:t>
                  </w:r>
                </w:p>
              </w:tc>
              <w:tc>
                <w:tcPr>
                  <w:tcW w:w="418"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olor w:val="auto"/>
                      <w:sz w:val="21"/>
                      <w:szCs w:val="21"/>
                      <w:lang w:val="en-US" w:eastAsia="zh-CN"/>
                    </w:rPr>
                  </w:pPr>
                  <w:r>
                    <w:rPr>
                      <w:rFonts w:hint="eastAsia"/>
                      <w:color w:val="auto"/>
                      <w:sz w:val="21"/>
                      <w:szCs w:val="21"/>
                      <w:lang w:val="en-US" w:eastAsia="zh-CN"/>
                    </w:rPr>
                    <w:t>无组织</w:t>
                  </w:r>
                </w:p>
              </w:tc>
              <w:tc>
                <w:tcPr>
                  <w:tcW w:w="660"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车间</w:t>
                  </w:r>
                </w:p>
              </w:tc>
              <w:tc>
                <w:tcPr>
                  <w:tcW w:w="855"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非甲烷总烃</w:t>
                  </w:r>
                </w:p>
              </w:tc>
              <w:tc>
                <w:tcPr>
                  <w:tcW w:w="1015"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加强设备封闭、加强车间通风</w:t>
                  </w:r>
                </w:p>
              </w:tc>
              <w:tc>
                <w:tcPr>
                  <w:tcW w:w="1655"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p>
              </w:tc>
              <w:tc>
                <w:tcPr>
                  <w:tcW w:w="900"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rightChars="0"/>
                    <w:jc w:val="center"/>
                    <w:textAlignment w:val="auto"/>
                    <w:rPr>
                      <w:rFonts w:hint="default"/>
                      <w:color w:val="auto"/>
                      <w:sz w:val="21"/>
                      <w:szCs w:val="21"/>
                      <w:lang w:val="en-US" w:eastAsia="zh-CN"/>
                    </w:rPr>
                  </w:pPr>
                  <w:r>
                    <w:rPr>
                      <w:rFonts w:hint="eastAsia"/>
                      <w:color w:val="auto"/>
                      <w:sz w:val="21"/>
                      <w:szCs w:val="21"/>
                      <w:lang w:val="en-US" w:eastAsia="zh-CN"/>
                    </w:rPr>
                    <w:t>4.0</w:t>
                  </w:r>
                </w:p>
              </w:tc>
              <w:tc>
                <w:tcPr>
                  <w:tcW w:w="852"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rightChars="0"/>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883"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olor w:val="auto"/>
                      <w:sz w:val="21"/>
                      <w:szCs w:val="21"/>
                      <w:lang w:val="en-US" w:eastAsia="zh-CN"/>
                    </w:rPr>
                  </w:pPr>
                  <w:r>
                    <w:rPr>
                      <w:rFonts w:hint="eastAsia"/>
                      <w:color w:val="auto"/>
                      <w:sz w:val="21"/>
                      <w:szCs w:val="21"/>
                      <w:lang w:val="en-US" w:eastAsia="zh-CN"/>
                    </w:rPr>
                    <w:t>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73" w:type="dxa"/>
                  <w:gridSpan w:val="4"/>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总计</w:t>
                  </w:r>
                </w:p>
              </w:tc>
              <w:tc>
                <w:tcPr>
                  <w:tcW w:w="2670" w:type="dxa"/>
                  <w:gridSpan w:val="2"/>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rightChars="0"/>
                    <w:jc w:val="center"/>
                    <w:textAlignment w:val="auto"/>
                    <w:rPr>
                      <w:rFonts w:hint="eastAsia"/>
                      <w:color w:val="auto"/>
                      <w:sz w:val="21"/>
                      <w:szCs w:val="21"/>
                      <w:lang w:val="en-US" w:eastAsia="zh-CN"/>
                    </w:rPr>
                  </w:pPr>
                  <w:r>
                    <w:rPr>
                      <w:rFonts w:hint="eastAsia"/>
                      <w:color w:val="auto"/>
                      <w:sz w:val="21"/>
                      <w:szCs w:val="21"/>
                      <w:lang w:val="en-US" w:eastAsia="zh-CN"/>
                    </w:rPr>
                    <w:t>非甲烷总烃</w:t>
                  </w:r>
                </w:p>
              </w:tc>
              <w:tc>
                <w:tcPr>
                  <w:tcW w:w="900"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rightChars="0"/>
                    <w:jc w:val="center"/>
                    <w:textAlignment w:val="auto"/>
                    <w:rPr>
                      <w:rFonts w:hint="eastAsia"/>
                      <w:color w:val="auto"/>
                      <w:sz w:val="21"/>
                      <w:szCs w:val="21"/>
                      <w:lang w:val="en-US" w:eastAsia="zh-CN"/>
                    </w:rPr>
                  </w:pPr>
                </w:p>
              </w:tc>
              <w:tc>
                <w:tcPr>
                  <w:tcW w:w="852"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rightChars="0"/>
                    <w:jc w:val="center"/>
                    <w:textAlignment w:val="auto"/>
                    <w:rPr>
                      <w:rFonts w:hint="eastAsia"/>
                      <w:color w:val="auto"/>
                      <w:sz w:val="21"/>
                      <w:szCs w:val="21"/>
                      <w:lang w:val="en-US" w:eastAsia="zh-CN"/>
                    </w:rPr>
                  </w:pPr>
                </w:p>
              </w:tc>
              <w:tc>
                <w:tcPr>
                  <w:tcW w:w="883"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rightChars="0"/>
                    <w:jc w:val="center"/>
                    <w:textAlignment w:val="auto"/>
                    <w:rPr>
                      <w:rFonts w:hint="default"/>
                      <w:color w:val="auto"/>
                      <w:sz w:val="21"/>
                      <w:szCs w:val="21"/>
                      <w:lang w:val="en-US" w:eastAsia="zh-CN"/>
                    </w:rPr>
                  </w:pPr>
                  <w:r>
                    <w:rPr>
                      <w:rFonts w:hint="eastAsia"/>
                      <w:color w:val="auto"/>
                      <w:sz w:val="21"/>
                      <w:szCs w:val="21"/>
                      <w:lang w:val="en-US" w:eastAsia="zh-CN"/>
                    </w:rPr>
                    <w:t>0.088</w:t>
                  </w:r>
                </w:p>
              </w:tc>
            </w:tr>
          </w:tbl>
          <w:p>
            <w:pPr>
              <w:pStyle w:val="28"/>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color w:val="auto"/>
              </w:rPr>
            </w:pPr>
            <w:r>
              <w:rPr>
                <w:rFonts w:hint="eastAsia"/>
                <w:color w:val="auto"/>
                <w:lang w:val="en-US" w:eastAsia="zh-CN"/>
              </w:rPr>
              <w:t>废气经收集后通过</w:t>
            </w:r>
            <w:r>
              <w:rPr>
                <w:rFonts w:hint="eastAsia"/>
                <w:color w:val="auto"/>
                <w:lang w:eastAsia="zh-CN"/>
              </w:rPr>
              <w:t>UV光氧</w:t>
            </w:r>
            <w:r>
              <w:rPr>
                <w:rFonts w:hint="eastAsia"/>
                <w:color w:val="auto"/>
                <w:lang w:val="en-US" w:eastAsia="zh-CN"/>
              </w:rPr>
              <w:t>+</w:t>
            </w:r>
            <w:r>
              <w:rPr>
                <w:rFonts w:hint="eastAsia"/>
                <w:color w:val="auto"/>
                <w:lang w:eastAsia="zh-CN"/>
              </w:rPr>
              <w:t>活性炭吸附装置处理。</w:t>
            </w:r>
            <w:r>
              <w:rPr>
                <w:rFonts w:hint="eastAsia"/>
                <w:color w:val="auto"/>
                <w:lang w:val="en-US" w:eastAsia="zh-CN"/>
              </w:rPr>
              <w:t>经处理后</w:t>
            </w:r>
            <w:r>
              <w:rPr>
                <w:rFonts w:hint="eastAsia"/>
                <w:color w:val="auto"/>
                <w:lang w:eastAsia="zh-CN"/>
              </w:rPr>
              <w:t>有组织非甲烷总烃</w:t>
            </w:r>
            <w:r>
              <w:rPr>
                <w:rFonts w:hint="eastAsia"/>
                <w:color w:val="auto"/>
                <w:lang w:val="en-US" w:eastAsia="zh-CN"/>
              </w:rPr>
              <w:t>排放</w:t>
            </w:r>
            <w:r>
              <w:rPr>
                <w:rFonts w:hint="eastAsia"/>
                <w:color w:val="auto"/>
                <w:lang w:eastAsia="zh-CN"/>
              </w:rPr>
              <w:t>量为</w:t>
            </w:r>
            <w:r>
              <w:rPr>
                <w:rFonts w:hint="eastAsia"/>
                <w:color w:val="auto"/>
                <w:lang w:val="en-US" w:eastAsia="zh-CN"/>
              </w:rPr>
              <w:t>0.039t</w:t>
            </w:r>
            <w:r>
              <w:rPr>
                <w:rFonts w:hint="eastAsia"/>
                <w:color w:val="auto"/>
                <w:lang w:eastAsia="zh-CN"/>
              </w:rPr>
              <w:t>/a</w:t>
            </w:r>
            <w:r>
              <w:rPr>
                <w:rFonts w:hint="eastAsia"/>
                <w:color w:val="auto"/>
                <w:lang w:val="en-US" w:eastAsia="zh-CN"/>
              </w:rPr>
              <w:t>，5.4mg/m</w:t>
            </w:r>
            <w:r>
              <w:rPr>
                <w:rFonts w:hint="eastAsia"/>
                <w:color w:val="auto"/>
                <w:vertAlign w:val="superscript"/>
                <w:lang w:val="en-US" w:eastAsia="zh-CN"/>
              </w:rPr>
              <w:t>3</w:t>
            </w:r>
            <w:r>
              <w:rPr>
                <w:rFonts w:hint="eastAsia"/>
                <w:color w:val="auto"/>
                <w:lang w:eastAsia="zh-CN"/>
              </w:rPr>
              <w:t>。</w:t>
            </w:r>
            <w:r>
              <w:rPr>
                <w:rFonts w:hint="eastAsia"/>
                <w:color w:val="auto"/>
                <w:lang w:val="en-US" w:eastAsia="zh-CN"/>
              </w:rPr>
              <w:t>符合《合成树脂工业污染物排放标准》（GB31572-2015）表4大气污染物浓度限值要求，通过15m高排气筒高空排放可行。</w:t>
            </w:r>
            <w:r>
              <w:rPr>
                <w:color w:val="auto"/>
              </w:rPr>
              <w:t>大气排放口基本情况</w:t>
            </w:r>
            <w:r>
              <w:rPr>
                <w:rFonts w:hint="eastAsia"/>
                <w:color w:val="auto"/>
              </w:rPr>
              <w:t>如下：</w:t>
            </w:r>
          </w:p>
          <w:p>
            <w:pPr>
              <w:pStyle w:val="28"/>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center"/>
              <w:textAlignment w:val="auto"/>
              <w:rPr>
                <w:color w:val="auto"/>
              </w:rPr>
            </w:pPr>
            <w:r>
              <w:rPr>
                <w:color w:val="auto"/>
              </w:rPr>
              <w:t>表4-2 大气排放口基本情况表</w:t>
            </w:r>
          </w:p>
          <w:tbl>
            <w:tblPr>
              <w:tblStyle w:val="29"/>
              <w:tblW w:w="7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50"/>
              <w:gridCol w:w="750"/>
              <w:gridCol w:w="750"/>
              <w:gridCol w:w="750"/>
              <w:gridCol w:w="750"/>
              <w:gridCol w:w="750"/>
              <w:gridCol w:w="750"/>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750" w:type="dxa"/>
                  <w:shd w:val="clear" w:color="auto" w:fill="auto"/>
                  <w:vAlign w:val="center"/>
                </w:tcPr>
                <w:p>
                  <w:pPr>
                    <w:pStyle w:val="28"/>
                    <w:spacing w:after="0" w:line="240" w:lineRule="auto"/>
                    <w:jc w:val="center"/>
                    <w:rPr>
                      <w:color w:val="auto"/>
                    </w:rPr>
                  </w:pPr>
                  <w:r>
                    <w:rPr>
                      <w:color w:val="auto"/>
                    </w:rPr>
                    <w:t>序号</w:t>
                  </w:r>
                </w:p>
              </w:tc>
              <w:tc>
                <w:tcPr>
                  <w:tcW w:w="750" w:type="dxa"/>
                  <w:shd w:val="clear" w:color="auto" w:fill="auto"/>
                  <w:vAlign w:val="center"/>
                </w:tcPr>
                <w:p>
                  <w:pPr>
                    <w:adjustRightInd w:val="0"/>
                    <w:snapToGrid w:val="0"/>
                    <w:jc w:val="center"/>
                    <w:rPr>
                      <w:color w:val="auto"/>
                    </w:rPr>
                  </w:pPr>
                  <w:r>
                    <w:rPr>
                      <w:color w:val="auto"/>
                    </w:rPr>
                    <w:t>排放口编号</w:t>
                  </w:r>
                </w:p>
              </w:tc>
              <w:tc>
                <w:tcPr>
                  <w:tcW w:w="750" w:type="dxa"/>
                  <w:shd w:val="clear" w:color="auto" w:fill="auto"/>
                  <w:vAlign w:val="center"/>
                </w:tcPr>
                <w:p>
                  <w:pPr>
                    <w:adjustRightInd w:val="0"/>
                    <w:snapToGrid w:val="0"/>
                    <w:jc w:val="center"/>
                    <w:rPr>
                      <w:rFonts w:hint="eastAsia"/>
                      <w:color w:val="auto"/>
                      <w:lang w:val="en-US" w:eastAsia="zh-CN"/>
                    </w:rPr>
                  </w:pPr>
                  <w:r>
                    <w:rPr>
                      <w:rFonts w:hint="eastAsia"/>
                      <w:color w:val="auto"/>
                      <w:lang w:val="en-US" w:eastAsia="zh-CN"/>
                    </w:rPr>
                    <w:t>坐标</w:t>
                  </w:r>
                </w:p>
              </w:tc>
              <w:tc>
                <w:tcPr>
                  <w:tcW w:w="750" w:type="dxa"/>
                  <w:shd w:val="clear" w:color="auto" w:fill="auto"/>
                  <w:vAlign w:val="center"/>
                </w:tcPr>
                <w:p>
                  <w:pPr>
                    <w:adjustRightInd w:val="0"/>
                    <w:snapToGrid w:val="0"/>
                    <w:jc w:val="center"/>
                    <w:rPr>
                      <w:color w:val="auto"/>
                    </w:rPr>
                  </w:pPr>
                  <w:r>
                    <w:rPr>
                      <w:color w:val="auto"/>
                    </w:rPr>
                    <w:t>排放口名称</w:t>
                  </w:r>
                </w:p>
              </w:tc>
              <w:tc>
                <w:tcPr>
                  <w:tcW w:w="750" w:type="dxa"/>
                  <w:shd w:val="clear" w:color="auto" w:fill="auto"/>
                  <w:vAlign w:val="center"/>
                </w:tcPr>
                <w:p>
                  <w:pPr>
                    <w:adjustRightInd w:val="0"/>
                    <w:snapToGrid w:val="0"/>
                    <w:jc w:val="center"/>
                    <w:rPr>
                      <w:color w:val="auto"/>
                    </w:rPr>
                  </w:pPr>
                  <w:r>
                    <w:rPr>
                      <w:color w:val="auto"/>
                    </w:rPr>
                    <w:t>污染物种类</w:t>
                  </w:r>
                </w:p>
              </w:tc>
              <w:tc>
                <w:tcPr>
                  <w:tcW w:w="750" w:type="dxa"/>
                  <w:shd w:val="clear" w:color="auto" w:fill="auto"/>
                  <w:vAlign w:val="center"/>
                </w:tcPr>
                <w:p>
                  <w:pPr>
                    <w:adjustRightInd w:val="0"/>
                    <w:snapToGrid w:val="0"/>
                    <w:jc w:val="center"/>
                    <w:rPr>
                      <w:color w:val="auto"/>
                    </w:rPr>
                  </w:pPr>
                  <w:r>
                    <w:rPr>
                      <w:color w:val="auto"/>
                    </w:rPr>
                    <w:t>排气筒高度（m）</w:t>
                  </w:r>
                </w:p>
              </w:tc>
              <w:tc>
                <w:tcPr>
                  <w:tcW w:w="750" w:type="dxa"/>
                  <w:shd w:val="clear" w:color="auto" w:fill="auto"/>
                  <w:vAlign w:val="center"/>
                </w:tcPr>
                <w:p>
                  <w:pPr>
                    <w:adjustRightInd w:val="0"/>
                    <w:snapToGrid w:val="0"/>
                    <w:jc w:val="center"/>
                    <w:rPr>
                      <w:color w:val="auto"/>
                    </w:rPr>
                  </w:pPr>
                  <w:r>
                    <w:rPr>
                      <w:color w:val="auto"/>
                    </w:rPr>
                    <w:t>排气筒出口内径（m）</w:t>
                  </w:r>
                </w:p>
              </w:tc>
              <w:tc>
                <w:tcPr>
                  <w:tcW w:w="750" w:type="dxa"/>
                  <w:shd w:val="clear" w:color="auto" w:fill="auto"/>
                  <w:vAlign w:val="center"/>
                </w:tcPr>
                <w:p>
                  <w:pPr>
                    <w:adjustRightInd w:val="0"/>
                    <w:snapToGrid w:val="0"/>
                    <w:jc w:val="center"/>
                    <w:rPr>
                      <w:color w:val="auto"/>
                    </w:rPr>
                  </w:pPr>
                  <w:r>
                    <w:rPr>
                      <w:color w:val="auto"/>
                    </w:rPr>
                    <w:t>排气温度（℃）</w:t>
                  </w:r>
                </w:p>
              </w:tc>
              <w:tc>
                <w:tcPr>
                  <w:tcW w:w="907" w:type="dxa"/>
                  <w:shd w:val="clear" w:color="auto" w:fill="auto"/>
                  <w:vAlign w:val="center"/>
                </w:tcPr>
                <w:p>
                  <w:pPr>
                    <w:adjustRightInd w:val="0"/>
                    <w:snapToGrid w:val="0"/>
                    <w:jc w:val="center"/>
                    <w:rPr>
                      <w:color w:val="auto"/>
                    </w:rPr>
                  </w:pPr>
                  <w:r>
                    <w:rPr>
                      <w:rFonts w:hint="eastAsia"/>
                      <w:color w:val="auto"/>
                    </w:rPr>
                    <w:t>排气筒类型</w:t>
                  </w:r>
                </w:p>
              </w:tc>
              <w:tc>
                <w:tcPr>
                  <w:tcW w:w="907" w:type="dxa"/>
                  <w:shd w:val="clear" w:color="auto" w:fill="auto"/>
                  <w:vAlign w:val="center"/>
                </w:tcPr>
                <w:p>
                  <w:pPr>
                    <w:adjustRightInd w:val="0"/>
                    <w:snapToGrid w:val="0"/>
                    <w:jc w:val="center"/>
                    <w:rPr>
                      <w:rFonts w:hint="default"/>
                      <w:color w:val="auto"/>
                      <w:lang w:val="en-US" w:eastAsia="zh-CN"/>
                    </w:rPr>
                  </w:pPr>
                  <w:r>
                    <w:rPr>
                      <w:rFonts w:hint="eastAsia"/>
                      <w:color w:val="auto"/>
                      <w:lang w:val="en-US" w:eastAsia="zh-CN"/>
                    </w:rPr>
                    <w:t>监测要求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750" w:type="dxa"/>
                  <w:shd w:val="clear" w:color="auto" w:fill="auto"/>
                  <w:vAlign w:val="center"/>
                </w:tcPr>
                <w:p>
                  <w:pPr>
                    <w:pStyle w:val="28"/>
                    <w:spacing w:after="0" w:line="240" w:lineRule="auto"/>
                    <w:jc w:val="center"/>
                    <w:rPr>
                      <w:color w:val="auto"/>
                    </w:rPr>
                  </w:pPr>
                  <w:r>
                    <w:rPr>
                      <w:rFonts w:hint="eastAsia"/>
                      <w:color w:val="auto"/>
                    </w:rPr>
                    <w:t>1</w:t>
                  </w:r>
                </w:p>
              </w:tc>
              <w:tc>
                <w:tcPr>
                  <w:tcW w:w="750" w:type="dxa"/>
                  <w:shd w:val="clear" w:color="auto" w:fill="auto"/>
                  <w:vAlign w:val="center"/>
                </w:tcPr>
                <w:p>
                  <w:pPr>
                    <w:pStyle w:val="28"/>
                    <w:spacing w:after="0" w:line="240" w:lineRule="auto"/>
                    <w:jc w:val="center"/>
                    <w:rPr>
                      <w:color w:val="auto"/>
                    </w:rPr>
                  </w:pPr>
                  <w:r>
                    <w:rPr>
                      <w:rFonts w:hint="eastAsia"/>
                      <w:color w:val="auto"/>
                    </w:rPr>
                    <w:t>DA001</w:t>
                  </w:r>
                </w:p>
              </w:tc>
              <w:tc>
                <w:tcPr>
                  <w:tcW w:w="750" w:type="dxa"/>
                  <w:shd w:val="clear" w:color="auto" w:fill="auto"/>
                  <w:vAlign w:val="center"/>
                </w:tcPr>
                <w:p>
                  <w:pPr>
                    <w:pStyle w:val="28"/>
                    <w:spacing w:after="0" w:line="240" w:lineRule="auto"/>
                    <w:jc w:val="center"/>
                    <w:rPr>
                      <w:rFonts w:hint="default"/>
                      <w:color w:val="auto"/>
                      <w:lang w:val="en-US" w:eastAsia="zh-CN"/>
                    </w:rPr>
                  </w:pPr>
                  <w:r>
                    <w:rPr>
                      <w:rFonts w:hint="eastAsia"/>
                      <w:color w:val="auto"/>
                      <w:lang w:val="en-US" w:eastAsia="zh-CN"/>
                    </w:rPr>
                    <w:t>东经111°39′20.9″北纬27°15′16.1″</w:t>
                  </w:r>
                </w:p>
              </w:tc>
              <w:tc>
                <w:tcPr>
                  <w:tcW w:w="750" w:type="dxa"/>
                  <w:shd w:val="clear" w:color="auto" w:fill="auto"/>
                  <w:vAlign w:val="center"/>
                </w:tcPr>
                <w:p>
                  <w:pPr>
                    <w:pStyle w:val="28"/>
                    <w:spacing w:after="0" w:line="240" w:lineRule="auto"/>
                    <w:jc w:val="center"/>
                    <w:rPr>
                      <w:color w:val="auto"/>
                    </w:rPr>
                  </w:pPr>
                  <w:r>
                    <w:rPr>
                      <w:rFonts w:hint="eastAsia"/>
                      <w:color w:val="auto"/>
                      <w:lang w:eastAsia="zh-CN"/>
                    </w:rPr>
                    <w:t>废气</w:t>
                  </w:r>
                  <w:r>
                    <w:rPr>
                      <w:rFonts w:hint="eastAsia"/>
                      <w:color w:val="auto"/>
                    </w:rPr>
                    <w:t>排气筒</w:t>
                  </w:r>
                </w:p>
              </w:tc>
              <w:tc>
                <w:tcPr>
                  <w:tcW w:w="750" w:type="dxa"/>
                  <w:shd w:val="clear" w:color="auto" w:fill="auto"/>
                  <w:vAlign w:val="center"/>
                </w:tcPr>
                <w:p>
                  <w:pPr>
                    <w:pStyle w:val="28"/>
                    <w:spacing w:after="0" w:line="240" w:lineRule="auto"/>
                    <w:jc w:val="center"/>
                    <w:rPr>
                      <w:rFonts w:hint="default"/>
                      <w:color w:val="auto"/>
                      <w:lang w:val="en-US"/>
                    </w:rPr>
                  </w:pPr>
                  <w:r>
                    <w:rPr>
                      <w:rFonts w:hint="eastAsia"/>
                      <w:color w:val="auto"/>
                      <w:lang w:val="en-US" w:eastAsia="zh-CN"/>
                    </w:rPr>
                    <w:t>非甲烷总烃</w:t>
                  </w:r>
                </w:p>
              </w:tc>
              <w:tc>
                <w:tcPr>
                  <w:tcW w:w="750" w:type="dxa"/>
                  <w:shd w:val="clear" w:color="auto" w:fill="auto"/>
                  <w:vAlign w:val="center"/>
                </w:tcPr>
                <w:p>
                  <w:pPr>
                    <w:pStyle w:val="28"/>
                    <w:spacing w:after="0" w:line="240" w:lineRule="auto"/>
                    <w:jc w:val="center"/>
                    <w:rPr>
                      <w:color w:val="auto"/>
                    </w:rPr>
                  </w:pPr>
                  <w:r>
                    <w:rPr>
                      <w:rFonts w:hint="eastAsia"/>
                      <w:color w:val="auto"/>
                    </w:rPr>
                    <w:t>15</w:t>
                  </w:r>
                </w:p>
              </w:tc>
              <w:tc>
                <w:tcPr>
                  <w:tcW w:w="750" w:type="dxa"/>
                  <w:shd w:val="clear" w:color="auto" w:fill="auto"/>
                  <w:vAlign w:val="center"/>
                </w:tcPr>
                <w:p>
                  <w:pPr>
                    <w:pStyle w:val="28"/>
                    <w:spacing w:after="0" w:line="240" w:lineRule="auto"/>
                    <w:jc w:val="center"/>
                    <w:rPr>
                      <w:color w:val="auto"/>
                    </w:rPr>
                  </w:pPr>
                  <w:r>
                    <w:rPr>
                      <w:rFonts w:hint="eastAsia"/>
                      <w:color w:val="auto"/>
                    </w:rPr>
                    <w:t>0.4</w:t>
                  </w:r>
                </w:p>
              </w:tc>
              <w:tc>
                <w:tcPr>
                  <w:tcW w:w="750" w:type="dxa"/>
                  <w:shd w:val="clear" w:color="auto" w:fill="auto"/>
                  <w:vAlign w:val="center"/>
                </w:tcPr>
                <w:p>
                  <w:pPr>
                    <w:pStyle w:val="28"/>
                    <w:spacing w:after="0" w:line="240" w:lineRule="auto"/>
                    <w:jc w:val="center"/>
                    <w:rPr>
                      <w:color w:val="auto"/>
                    </w:rPr>
                  </w:pPr>
                  <w:r>
                    <w:rPr>
                      <w:rFonts w:hint="eastAsia"/>
                      <w:color w:val="auto"/>
                    </w:rPr>
                    <w:t>25</w:t>
                  </w:r>
                </w:p>
              </w:tc>
              <w:tc>
                <w:tcPr>
                  <w:tcW w:w="907" w:type="dxa"/>
                  <w:shd w:val="clear" w:color="auto" w:fill="auto"/>
                  <w:vAlign w:val="center"/>
                </w:tcPr>
                <w:p>
                  <w:pPr>
                    <w:pStyle w:val="28"/>
                    <w:spacing w:after="0" w:line="240" w:lineRule="auto"/>
                    <w:jc w:val="center"/>
                    <w:rPr>
                      <w:rFonts w:hint="default"/>
                      <w:color w:val="auto"/>
                      <w:lang w:val="en-US" w:eastAsia="zh-CN"/>
                    </w:rPr>
                  </w:pPr>
                  <w:r>
                    <w:rPr>
                      <w:rFonts w:hint="eastAsia"/>
                      <w:color w:val="auto"/>
                      <w:lang w:val="en-US" w:eastAsia="zh-CN"/>
                    </w:rPr>
                    <w:t>一般排放口</w:t>
                  </w:r>
                </w:p>
              </w:tc>
              <w:tc>
                <w:tcPr>
                  <w:tcW w:w="907" w:type="dxa"/>
                  <w:shd w:val="clear" w:color="auto" w:fill="auto"/>
                  <w:vAlign w:val="center"/>
                </w:tcPr>
                <w:p>
                  <w:pPr>
                    <w:pStyle w:val="28"/>
                    <w:spacing w:after="0" w:line="240" w:lineRule="auto"/>
                    <w:jc w:val="center"/>
                    <w:rPr>
                      <w:rFonts w:hint="default"/>
                      <w:color w:val="auto"/>
                      <w:lang w:val="en-US" w:eastAsia="zh-CN"/>
                    </w:rPr>
                  </w:pPr>
                  <w:r>
                    <w:rPr>
                      <w:rFonts w:hint="eastAsia"/>
                      <w:color w:val="auto"/>
                      <w:lang w:val="en-US" w:eastAsia="zh-CN"/>
                    </w:rPr>
                    <w:t>1次/年，不少于3个样，同步监测废气温度、压力、流量</w:t>
                  </w:r>
                </w:p>
              </w:tc>
            </w:tr>
          </w:tbl>
          <w:p>
            <w:pPr>
              <w:pStyle w:val="5"/>
              <w:rPr>
                <w:color w:val="auto"/>
              </w:rPr>
            </w:pPr>
            <w:r>
              <w:rPr>
                <w:color w:val="auto"/>
              </w:rPr>
              <w:t>4.2.2地表水环境影响分析</w:t>
            </w:r>
          </w:p>
          <w:p>
            <w:pPr>
              <w:spacing w:line="360" w:lineRule="auto"/>
              <w:ind w:firstLine="480" w:firstLineChars="200"/>
              <w:rPr>
                <w:color w:val="auto"/>
                <w:sz w:val="24"/>
                <w:szCs w:val="24"/>
              </w:rPr>
            </w:pPr>
            <w:r>
              <w:rPr>
                <w:color w:val="auto"/>
                <w:sz w:val="24"/>
                <w:szCs w:val="24"/>
              </w:rPr>
              <w:t>根据《环境影响评价技术导则 地表水环境》 （HJ 2.3—2018）中的相关规定，本项目运营期间产生无生产废水外排，生活污水经化粪池处理后</w:t>
            </w:r>
            <w:r>
              <w:rPr>
                <w:rFonts w:hint="eastAsia"/>
                <w:color w:val="auto"/>
                <w:sz w:val="24"/>
                <w:szCs w:val="24"/>
                <w:lang w:val="en-US" w:eastAsia="zh-CN"/>
              </w:rPr>
              <w:t>由周边农户</w:t>
            </w:r>
            <w:r>
              <w:rPr>
                <w:rFonts w:hint="eastAsia"/>
                <w:color w:val="auto"/>
                <w:sz w:val="24"/>
                <w:szCs w:val="24"/>
                <w:lang w:eastAsia="zh-CN"/>
              </w:rPr>
              <w:t>清运用作农肥</w:t>
            </w:r>
            <w:r>
              <w:rPr>
                <w:color w:val="auto"/>
                <w:sz w:val="24"/>
                <w:szCs w:val="24"/>
              </w:rPr>
              <w:t>。因此主要分析生活污水</w:t>
            </w:r>
            <w:r>
              <w:rPr>
                <w:rFonts w:hint="eastAsia"/>
                <w:color w:val="auto"/>
                <w:sz w:val="24"/>
                <w:szCs w:val="24"/>
                <w:lang w:val="en-US" w:eastAsia="zh-CN"/>
              </w:rPr>
              <w:t>清运用作农肥</w:t>
            </w:r>
            <w:r>
              <w:rPr>
                <w:color w:val="auto"/>
                <w:sz w:val="24"/>
                <w:szCs w:val="24"/>
              </w:rPr>
              <w:t>的可行性。</w:t>
            </w:r>
          </w:p>
          <w:p>
            <w:pPr>
              <w:autoSpaceDE w:val="0"/>
              <w:autoSpaceDN w:val="0"/>
              <w:adjustRightInd w:val="0"/>
              <w:spacing w:line="360" w:lineRule="auto"/>
              <w:ind w:firstLine="480" w:firstLineChars="200"/>
              <w:jc w:val="left"/>
              <w:rPr>
                <w:color w:val="auto"/>
                <w:sz w:val="24"/>
                <w:szCs w:val="24"/>
              </w:rPr>
            </w:pPr>
            <w:r>
              <w:rPr>
                <w:color w:val="auto"/>
                <w:sz w:val="24"/>
                <w:szCs w:val="24"/>
              </w:rPr>
              <w:t>本次项目</w:t>
            </w:r>
            <w:r>
              <w:rPr>
                <w:rFonts w:hint="eastAsia"/>
                <w:color w:val="auto"/>
                <w:sz w:val="24"/>
                <w:szCs w:val="24"/>
              </w:rPr>
              <w:t>员工人数</w:t>
            </w:r>
            <w:r>
              <w:rPr>
                <w:rFonts w:hint="eastAsia"/>
                <w:color w:val="auto"/>
                <w:sz w:val="24"/>
                <w:szCs w:val="24"/>
                <w:lang w:val="en-US" w:eastAsia="zh-CN"/>
              </w:rPr>
              <w:t>5</w:t>
            </w:r>
            <w:r>
              <w:rPr>
                <w:rFonts w:hint="eastAsia"/>
                <w:color w:val="auto"/>
                <w:sz w:val="24"/>
                <w:szCs w:val="24"/>
                <w:lang w:eastAsia="zh-CN"/>
              </w:rPr>
              <w:t>人</w:t>
            </w:r>
            <w:r>
              <w:rPr>
                <w:color w:val="auto"/>
                <w:sz w:val="24"/>
                <w:szCs w:val="24"/>
              </w:rPr>
              <w:t>，住宿人员每人每天生活用水量参照《湖南省用水定额标准》（</w:t>
            </w:r>
            <w:r>
              <w:rPr>
                <w:rFonts w:hint="eastAsia"/>
                <w:color w:val="auto"/>
                <w:sz w:val="24"/>
                <w:szCs w:val="24"/>
                <w:lang w:eastAsia="zh-CN"/>
              </w:rPr>
              <w:t>DB43T388-2020</w:t>
            </w:r>
            <w:r>
              <w:rPr>
                <w:color w:val="auto"/>
                <w:sz w:val="24"/>
                <w:szCs w:val="24"/>
              </w:rPr>
              <w:t>）用水定额按</w:t>
            </w:r>
            <w:r>
              <w:rPr>
                <w:rFonts w:hint="eastAsia"/>
                <w:color w:val="auto"/>
                <w:sz w:val="24"/>
                <w:szCs w:val="24"/>
                <w:lang w:val="en-US" w:eastAsia="zh-CN"/>
              </w:rPr>
              <w:t>120</w:t>
            </w:r>
            <w:r>
              <w:rPr>
                <w:color w:val="auto"/>
                <w:sz w:val="24"/>
                <w:szCs w:val="24"/>
              </w:rPr>
              <w:t>L/d计，年工作天数为300天计算，则本项目生活用水约</w:t>
            </w:r>
            <w:r>
              <w:rPr>
                <w:rFonts w:hint="eastAsia"/>
                <w:color w:val="auto"/>
                <w:sz w:val="24"/>
                <w:szCs w:val="24"/>
                <w:lang w:val="en-US" w:eastAsia="zh-CN"/>
              </w:rPr>
              <w:t>180</w:t>
            </w:r>
            <w:r>
              <w:rPr>
                <w:rFonts w:hint="eastAsia"/>
                <w:color w:val="auto"/>
                <w:sz w:val="24"/>
                <w:szCs w:val="24"/>
                <w:lang w:eastAsia="zh-CN"/>
              </w:rPr>
              <w:t>m</w:t>
            </w:r>
            <w:r>
              <w:rPr>
                <w:color w:val="auto"/>
                <w:sz w:val="24"/>
                <w:szCs w:val="24"/>
                <w:vertAlign w:val="superscript"/>
              </w:rPr>
              <w:t>3</w:t>
            </w:r>
            <w:r>
              <w:rPr>
                <w:color w:val="auto"/>
                <w:sz w:val="24"/>
                <w:szCs w:val="24"/>
              </w:rPr>
              <w:t>/a（</w:t>
            </w:r>
            <w:r>
              <w:rPr>
                <w:rFonts w:hint="eastAsia"/>
                <w:color w:val="auto"/>
                <w:sz w:val="24"/>
                <w:szCs w:val="24"/>
                <w:lang w:eastAsia="zh-CN"/>
              </w:rPr>
              <w:t>0.6m</w:t>
            </w:r>
            <w:r>
              <w:rPr>
                <w:color w:val="auto"/>
                <w:sz w:val="24"/>
                <w:szCs w:val="24"/>
                <w:vertAlign w:val="superscript"/>
              </w:rPr>
              <w:t>3</w:t>
            </w:r>
            <w:r>
              <w:rPr>
                <w:color w:val="auto"/>
                <w:sz w:val="24"/>
                <w:szCs w:val="24"/>
              </w:rPr>
              <w:t>/d），年污水排放按生活用水量的80%计，则项目运营期的排放污水量</w:t>
            </w:r>
            <w:r>
              <w:rPr>
                <w:rFonts w:hint="eastAsia"/>
                <w:color w:val="auto"/>
                <w:sz w:val="24"/>
                <w:szCs w:val="24"/>
                <w:lang w:val="en-US" w:eastAsia="zh-CN"/>
              </w:rPr>
              <w:t>144</w:t>
            </w:r>
            <w:r>
              <w:rPr>
                <w:rFonts w:hint="eastAsia"/>
                <w:color w:val="auto"/>
                <w:sz w:val="24"/>
                <w:szCs w:val="24"/>
                <w:lang w:eastAsia="zh-CN"/>
              </w:rPr>
              <w:t>m</w:t>
            </w:r>
            <w:r>
              <w:rPr>
                <w:color w:val="auto"/>
                <w:sz w:val="24"/>
                <w:szCs w:val="24"/>
                <w:vertAlign w:val="superscript"/>
              </w:rPr>
              <w:t>3</w:t>
            </w:r>
            <w:r>
              <w:rPr>
                <w:color w:val="auto"/>
                <w:sz w:val="24"/>
                <w:szCs w:val="24"/>
              </w:rPr>
              <w:t>/a（</w:t>
            </w:r>
            <w:r>
              <w:rPr>
                <w:rFonts w:hint="eastAsia"/>
                <w:color w:val="auto"/>
                <w:sz w:val="24"/>
                <w:szCs w:val="24"/>
                <w:lang w:eastAsia="zh-CN"/>
              </w:rPr>
              <w:t>0.</w:t>
            </w:r>
            <w:r>
              <w:rPr>
                <w:rFonts w:hint="eastAsia"/>
                <w:color w:val="auto"/>
                <w:sz w:val="24"/>
                <w:szCs w:val="24"/>
                <w:lang w:val="en-US" w:eastAsia="zh-CN"/>
              </w:rPr>
              <w:t>48</w:t>
            </w:r>
            <w:r>
              <w:rPr>
                <w:rFonts w:hint="eastAsia"/>
                <w:color w:val="auto"/>
                <w:sz w:val="24"/>
                <w:szCs w:val="24"/>
                <w:lang w:eastAsia="zh-CN"/>
              </w:rPr>
              <w:t>m</w:t>
            </w:r>
            <w:r>
              <w:rPr>
                <w:color w:val="auto"/>
                <w:sz w:val="24"/>
                <w:szCs w:val="24"/>
                <w:vertAlign w:val="superscript"/>
              </w:rPr>
              <w:t>3</w:t>
            </w:r>
            <w:r>
              <w:rPr>
                <w:color w:val="auto"/>
                <w:sz w:val="24"/>
                <w:szCs w:val="24"/>
              </w:rPr>
              <w:t>/d）。本项目产生的生活污水，经厂区的化粪池处理后，</w:t>
            </w:r>
            <w:r>
              <w:rPr>
                <w:rFonts w:hint="eastAsia"/>
                <w:color w:val="auto"/>
                <w:sz w:val="24"/>
                <w:szCs w:val="24"/>
                <w:lang w:eastAsia="zh-CN"/>
              </w:rPr>
              <w:t>清运用作农肥</w:t>
            </w:r>
            <w:r>
              <w:rPr>
                <w:color w:val="auto"/>
                <w:sz w:val="24"/>
                <w:szCs w:val="24"/>
              </w:rPr>
              <w:t>。</w:t>
            </w:r>
          </w:p>
          <w:p>
            <w:pPr>
              <w:pageBreakBefore w:val="0"/>
              <w:kinsoku/>
              <w:wordWrap/>
              <w:overflowPunct/>
              <w:topLinePunct w:val="0"/>
              <w:autoSpaceDE w:val="0"/>
              <w:autoSpaceDN w:val="0"/>
              <w:bidi w:val="0"/>
              <w:adjustRightInd w:val="0"/>
              <w:spacing w:line="360" w:lineRule="auto"/>
              <w:ind w:right="0"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根据</w:t>
            </w:r>
            <w:r>
              <w:rPr>
                <w:color w:val="auto"/>
                <w:sz w:val="24"/>
                <w:szCs w:val="24"/>
              </w:rPr>
              <w:t>《湖南省用水定额标准》（</w:t>
            </w:r>
            <w:r>
              <w:rPr>
                <w:rFonts w:hint="eastAsia"/>
                <w:color w:val="auto"/>
                <w:sz w:val="24"/>
                <w:szCs w:val="24"/>
                <w:lang w:eastAsia="zh-CN"/>
              </w:rPr>
              <w:t>DB43T388-2020</w:t>
            </w:r>
            <w:r>
              <w:rPr>
                <w:color w:val="auto"/>
                <w:sz w:val="24"/>
                <w:szCs w:val="24"/>
              </w:rPr>
              <w:t>）</w:t>
            </w:r>
            <w:r>
              <w:rPr>
                <w:rFonts w:hint="eastAsia"/>
                <w:color w:val="auto"/>
                <w:sz w:val="24"/>
                <w:szCs w:val="24"/>
                <w:lang w:eastAsia="zh-CN"/>
              </w:rPr>
              <w:t>，</w:t>
            </w:r>
            <w:r>
              <w:rPr>
                <w:rFonts w:hint="eastAsia"/>
                <w:color w:val="auto"/>
                <w:sz w:val="24"/>
                <w:szCs w:val="24"/>
                <w:lang w:val="en-US" w:eastAsia="zh-CN"/>
              </w:rPr>
              <w:t>邵东市属于湖南省湘中中部，蔬菜类灌溉用水约为234~449</w:t>
            </w:r>
            <w:r>
              <w:rPr>
                <w:rFonts w:hint="eastAsia"/>
                <w:color w:val="auto"/>
                <w:sz w:val="24"/>
                <w:szCs w:val="24"/>
                <w:lang w:eastAsia="zh-CN"/>
              </w:rPr>
              <w:t>m</w:t>
            </w:r>
            <w:r>
              <w:rPr>
                <w:color w:val="auto"/>
                <w:sz w:val="24"/>
                <w:szCs w:val="24"/>
                <w:vertAlign w:val="superscript"/>
              </w:rPr>
              <w:t>3</w:t>
            </w:r>
            <w:r>
              <w:rPr>
                <w:color w:val="auto"/>
                <w:sz w:val="24"/>
                <w:szCs w:val="24"/>
              </w:rPr>
              <w:t>/</w:t>
            </w:r>
            <w:r>
              <w:rPr>
                <w:rFonts w:hint="eastAsia"/>
                <w:color w:val="auto"/>
                <w:sz w:val="24"/>
                <w:szCs w:val="24"/>
                <w:lang w:val="en-US" w:eastAsia="zh-CN"/>
              </w:rPr>
              <w:t>亩，根据现场查看，项目周边有较多的农田，项目生活废水产生量约为0.6m</w:t>
            </w:r>
            <w:r>
              <w:rPr>
                <w:rFonts w:hint="eastAsia"/>
                <w:color w:val="auto"/>
                <w:sz w:val="24"/>
                <w:szCs w:val="24"/>
                <w:vertAlign w:val="superscript"/>
                <w:lang w:val="en-US" w:eastAsia="zh-CN"/>
              </w:rPr>
              <w:t>3</w:t>
            </w:r>
            <w:r>
              <w:rPr>
                <w:rFonts w:hint="eastAsia"/>
                <w:color w:val="auto"/>
                <w:sz w:val="24"/>
                <w:szCs w:val="24"/>
                <w:lang w:val="en-US" w:eastAsia="zh-CN"/>
              </w:rPr>
              <w:t>/d，产生量较少，项目周围农田足够消纳项目废水。</w:t>
            </w:r>
          </w:p>
          <w:p>
            <w:pPr>
              <w:pageBreakBefore w:val="0"/>
              <w:kinsoku/>
              <w:wordWrap/>
              <w:overflowPunct/>
              <w:topLinePunct w:val="0"/>
              <w:autoSpaceDE w:val="0"/>
              <w:autoSpaceDN w:val="0"/>
              <w:bidi w:val="0"/>
              <w:adjustRightInd w:val="0"/>
              <w:spacing w:line="360" w:lineRule="auto"/>
              <w:ind w:right="0"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项目生产过程中需要使用冷却水，冷水水为间接冷却，冷却水不会受到污染，本项目冷却水经冷却水池冷却后循环使用，不外排。</w:t>
            </w:r>
          </w:p>
          <w:p>
            <w:pPr>
              <w:pageBreakBefore w:val="0"/>
              <w:kinsoku/>
              <w:wordWrap/>
              <w:overflowPunct/>
              <w:topLinePunct w:val="0"/>
              <w:autoSpaceDE w:val="0"/>
              <w:autoSpaceDN w:val="0"/>
              <w:bidi w:val="0"/>
              <w:adjustRightInd w:val="0"/>
              <w:spacing w:line="360" w:lineRule="auto"/>
              <w:ind w:right="0" w:firstLine="480" w:firstLineChars="200"/>
              <w:jc w:val="left"/>
              <w:textAlignment w:val="auto"/>
              <w:rPr>
                <w:color w:val="auto"/>
                <w:sz w:val="24"/>
                <w:szCs w:val="24"/>
              </w:rPr>
            </w:pPr>
            <w:r>
              <w:rPr>
                <w:rFonts w:hint="eastAsia"/>
                <w:color w:val="auto"/>
                <w:sz w:val="24"/>
                <w:szCs w:val="24"/>
                <w:lang w:val="en-US" w:eastAsia="zh-CN"/>
              </w:rPr>
              <w:t>综上，本项目营运期，废水通过以上处理措施对地表水环境影响较小</w:t>
            </w:r>
            <w:r>
              <w:rPr>
                <w:color w:val="auto"/>
                <w:sz w:val="24"/>
                <w:szCs w:val="24"/>
              </w:rPr>
              <w:t>。</w:t>
            </w:r>
          </w:p>
          <w:p>
            <w:pPr>
              <w:pStyle w:val="5"/>
              <w:pageBreakBefore w:val="0"/>
              <w:kinsoku/>
              <w:wordWrap/>
              <w:overflowPunct/>
              <w:topLinePunct w:val="0"/>
              <w:bidi w:val="0"/>
              <w:spacing w:line="360" w:lineRule="auto"/>
              <w:ind w:right="0"/>
              <w:textAlignment w:val="auto"/>
              <w:rPr>
                <w:color w:val="auto"/>
                <w:sz w:val="24"/>
                <w:szCs w:val="24"/>
              </w:rPr>
            </w:pPr>
            <w:r>
              <w:rPr>
                <w:color w:val="auto"/>
                <w:sz w:val="24"/>
                <w:szCs w:val="24"/>
              </w:rPr>
              <w:t>4.2.3地下水环境影响分析</w:t>
            </w:r>
          </w:p>
          <w:p>
            <w:pPr>
              <w:spacing w:line="360" w:lineRule="auto"/>
              <w:ind w:firstLine="480" w:firstLineChars="200"/>
              <w:rPr>
                <w:color w:val="auto"/>
                <w:sz w:val="24"/>
                <w:szCs w:val="24"/>
              </w:rPr>
            </w:pPr>
            <w:r>
              <w:rPr>
                <w:color w:val="auto"/>
                <w:sz w:val="24"/>
                <w:szCs w:val="24"/>
              </w:rPr>
              <w:t>根据《环境影响评价技术导则 地下水环境》 （HJ 610-2016）附件A中的相关规定，本项目属于“</w:t>
            </w:r>
            <w:r>
              <w:rPr>
                <w:rFonts w:hint="eastAsia"/>
                <w:color w:val="auto"/>
                <w:sz w:val="24"/>
                <w:szCs w:val="24"/>
                <w:lang w:val="en-US" w:eastAsia="zh-CN"/>
              </w:rPr>
              <w:t>塑料制品制造中的</w:t>
            </w:r>
            <w:r>
              <w:rPr>
                <w:color w:val="auto"/>
                <w:sz w:val="24"/>
                <w:szCs w:val="24"/>
              </w:rPr>
              <w:t>其他</w:t>
            </w:r>
            <w:r>
              <w:rPr>
                <w:rFonts w:hint="eastAsia"/>
                <w:color w:val="auto"/>
                <w:sz w:val="24"/>
                <w:szCs w:val="24"/>
                <w:lang w:val="en-US" w:eastAsia="zh-CN"/>
              </w:rPr>
              <w:t>类</w:t>
            </w:r>
            <w:r>
              <w:rPr>
                <w:color w:val="auto"/>
                <w:sz w:val="24"/>
                <w:szCs w:val="24"/>
              </w:rPr>
              <w:t>”，地下水环境影响评价项目类别为</w:t>
            </w:r>
            <w:r>
              <w:rPr>
                <w:color w:val="auto"/>
                <w:sz w:val="24"/>
                <w:szCs w:val="24"/>
              </w:rPr>
              <w:fldChar w:fldCharType="begin"/>
            </w:r>
            <w:r>
              <w:rPr>
                <w:color w:val="auto"/>
                <w:sz w:val="24"/>
                <w:szCs w:val="24"/>
              </w:rPr>
              <w:instrText xml:space="preserve"> = 4 \* ROMAN \* MERGEFORMAT </w:instrText>
            </w:r>
            <w:r>
              <w:rPr>
                <w:color w:val="auto"/>
                <w:sz w:val="24"/>
                <w:szCs w:val="24"/>
              </w:rPr>
              <w:fldChar w:fldCharType="separate"/>
            </w:r>
            <w:r>
              <w:rPr>
                <w:color w:val="auto"/>
                <w:sz w:val="24"/>
                <w:szCs w:val="24"/>
              </w:rPr>
              <w:t>IV</w:t>
            </w:r>
            <w:r>
              <w:rPr>
                <w:color w:val="auto"/>
                <w:sz w:val="24"/>
                <w:szCs w:val="24"/>
              </w:rPr>
              <w:fldChar w:fldCharType="end"/>
            </w:r>
            <w:r>
              <w:rPr>
                <w:color w:val="auto"/>
                <w:sz w:val="24"/>
                <w:szCs w:val="24"/>
              </w:rPr>
              <w:t>类，依据地下水导则</w:t>
            </w:r>
            <w:r>
              <w:rPr>
                <w:rFonts w:hint="eastAsia"/>
                <w:color w:val="auto"/>
                <w:sz w:val="24"/>
                <w:szCs w:val="24"/>
                <w:lang w:eastAsia="zh-CN"/>
              </w:rPr>
              <w:t>，</w:t>
            </w:r>
            <w:r>
              <w:rPr>
                <w:rFonts w:hint="eastAsia"/>
                <w:color w:val="auto"/>
                <w:sz w:val="24"/>
                <w:szCs w:val="24"/>
                <w:lang w:val="en-US" w:eastAsia="zh-CN"/>
              </w:rPr>
              <w:t>本项目</w:t>
            </w:r>
            <w:r>
              <w:rPr>
                <w:color w:val="auto"/>
                <w:sz w:val="24"/>
                <w:szCs w:val="24"/>
              </w:rPr>
              <w:t>不开展地下水环境影响评价。</w:t>
            </w:r>
          </w:p>
          <w:p>
            <w:pPr>
              <w:pStyle w:val="5"/>
              <w:rPr>
                <w:color w:val="auto"/>
                <w:sz w:val="24"/>
                <w:szCs w:val="24"/>
              </w:rPr>
            </w:pPr>
            <w:r>
              <w:rPr>
                <w:color w:val="auto"/>
                <w:sz w:val="24"/>
                <w:szCs w:val="24"/>
              </w:rPr>
              <w:t>4.2.4噪声环境影响分析</w:t>
            </w:r>
          </w:p>
          <w:p>
            <w:pPr>
              <w:spacing w:line="360" w:lineRule="auto"/>
              <w:ind w:firstLine="480" w:firstLineChars="200"/>
              <w:rPr>
                <w:color w:val="auto"/>
                <w:sz w:val="24"/>
                <w:szCs w:val="24"/>
              </w:rPr>
            </w:pPr>
            <w:r>
              <w:rPr>
                <w:color w:val="auto"/>
                <w:sz w:val="24"/>
                <w:szCs w:val="24"/>
              </w:rPr>
              <w:t>（1）噪声源</w:t>
            </w:r>
          </w:p>
          <w:p>
            <w:pPr>
              <w:adjustRightInd w:val="0"/>
              <w:snapToGrid w:val="0"/>
              <w:spacing w:line="480" w:lineRule="exact"/>
              <w:ind w:firstLine="480" w:firstLineChars="200"/>
              <w:rPr>
                <w:color w:val="auto"/>
                <w:sz w:val="24"/>
                <w:szCs w:val="24"/>
              </w:rPr>
            </w:pPr>
            <w:r>
              <w:rPr>
                <w:color w:val="auto"/>
                <w:sz w:val="24"/>
                <w:szCs w:val="24"/>
              </w:rPr>
              <w:t>项目噪声主要来源于机械设备产生的噪声，主要机械设备声源为</w:t>
            </w:r>
            <w:r>
              <w:rPr>
                <w:rFonts w:hint="eastAsia"/>
                <w:color w:val="auto"/>
                <w:sz w:val="24"/>
                <w:szCs w:val="24"/>
                <w:lang w:eastAsia="zh-CN"/>
              </w:rPr>
              <w:t>发泡挤出机、复合机、分切机、</w:t>
            </w:r>
            <w:r>
              <w:rPr>
                <w:rFonts w:hint="eastAsia"/>
                <w:color w:val="auto"/>
                <w:sz w:val="24"/>
                <w:szCs w:val="24"/>
                <w:lang w:val="en-US" w:eastAsia="zh-CN"/>
              </w:rPr>
              <w:t>水泵</w:t>
            </w:r>
            <w:r>
              <w:rPr>
                <w:color w:val="auto"/>
                <w:sz w:val="24"/>
                <w:szCs w:val="24"/>
              </w:rPr>
              <w:t>和风机等，噪声源声级在70-9</w:t>
            </w:r>
            <w:r>
              <w:rPr>
                <w:rFonts w:hint="eastAsia"/>
                <w:color w:val="auto"/>
                <w:sz w:val="24"/>
                <w:szCs w:val="24"/>
              </w:rPr>
              <w:t>0</w:t>
            </w:r>
            <w:r>
              <w:rPr>
                <w:color w:val="auto"/>
                <w:sz w:val="24"/>
                <w:szCs w:val="24"/>
              </w:rPr>
              <w:t>dB。</w:t>
            </w:r>
          </w:p>
          <w:p>
            <w:pPr>
              <w:pStyle w:val="84"/>
              <w:adjustRightInd w:val="0"/>
              <w:snapToGrid w:val="0"/>
              <w:spacing w:line="360" w:lineRule="exact"/>
              <w:ind w:firstLine="432"/>
              <w:jc w:val="center"/>
              <w:rPr>
                <w:color w:val="auto"/>
              </w:rPr>
            </w:pPr>
            <w:r>
              <w:rPr>
                <w:color w:val="auto"/>
              </w:rPr>
              <w:t>表4-</w:t>
            </w:r>
            <w:r>
              <w:rPr>
                <w:rFonts w:hint="eastAsia"/>
                <w:color w:val="auto"/>
                <w:lang w:val="en-US" w:eastAsia="zh-CN"/>
              </w:rPr>
              <w:t>4</w:t>
            </w:r>
            <w:r>
              <w:rPr>
                <w:color w:val="auto"/>
              </w:rPr>
              <w:t xml:space="preserve">  项目主要产噪声设备源强</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16"/>
              <w:gridCol w:w="2556"/>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2516" w:type="dxa"/>
                  <w:vAlign w:val="center"/>
                </w:tcPr>
                <w:p>
                  <w:pPr>
                    <w:jc w:val="center"/>
                    <w:rPr>
                      <w:color w:val="auto"/>
                    </w:rPr>
                  </w:pPr>
                  <w:r>
                    <w:rPr>
                      <w:color w:val="auto"/>
                    </w:rPr>
                    <w:t>设备名称</w:t>
                  </w:r>
                </w:p>
              </w:tc>
              <w:tc>
                <w:tcPr>
                  <w:tcW w:w="2556" w:type="dxa"/>
                  <w:vAlign w:val="center"/>
                </w:tcPr>
                <w:p>
                  <w:pPr>
                    <w:jc w:val="center"/>
                    <w:rPr>
                      <w:color w:val="auto"/>
                    </w:rPr>
                  </w:pPr>
                  <w:r>
                    <w:rPr>
                      <w:color w:val="auto"/>
                    </w:rPr>
                    <w:t>数量</w:t>
                  </w:r>
                </w:p>
              </w:tc>
              <w:tc>
                <w:tcPr>
                  <w:tcW w:w="2556" w:type="dxa"/>
                  <w:vAlign w:val="center"/>
                </w:tcPr>
                <w:p>
                  <w:pPr>
                    <w:jc w:val="center"/>
                    <w:rPr>
                      <w:color w:val="auto"/>
                    </w:rPr>
                  </w:pPr>
                  <w:r>
                    <w:rPr>
                      <w:color w:val="auto"/>
                    </w:rPr>
                    <w:t>噪声值dB(A)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atLeast"/>
                <w:jc w:val="center"/>
              </w:trPr>
              <w:tc>
                <w:tcPr>
                  <w:tcW w:w="2516"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color w:val="auto"/>
                      <w:lang w:val="en-US" w:eastAsia="zh-CN"/>
                    </w:rPr>
                  </w:pPr>
                  <w:r>
                    <w:rPr>
                      <w:rFonts w:hint="eastAsia"/>
                      <w:color w:val="auto"/>
                      <w:lang w:eastAsia="zh-CN"/>
                    </w:rPr>
                    <w:t>发泡挤出机</w:t>
                  </w:r>
                </w:p>
              </w:tc>
              <w:tc>
                <w:tcPr>
                  <w:tcW w:w="2556" w:type="dxa"/>
                  <w:vAlign w:val="center"/>
                </w:tcPr>
                <w:p>
                  <w:pPr>
                    <w:spacing w:line="360" w:lineRule="exact"/>
                    <w:jc w:val="center"/>
                    <w:rPr>
                      <w:rFonts w:hint="default"/>
                      <w:color w:val="auto"/>
                      <w:lang w:val="en-US" w:eastAsia="zh-CN"/>
                    </w:rPr>
                  </w:pPr>
                  <w:r>
                    <w:rPr>
                      <w:rFonts w:hint="eastAsia"/>
                      <w:color w:val="auto"/>
                      <w:lang w:val="en-US" w:eastAsia="zh-CN"/>
                    </w:rPr>
                    <w:t>1台</w:t>
                  </w:r>
                </w:p>
              </w:tc>
              <w:tc>
                <w:tcPr>
                  <w:tcW w:w="2556" w:type="dxa"/>
                  <w:vAlign w:val="center"/>
                </w:tcPr>
                <w:p>
                  <w:pPr>
                    <w:jc w:val="center"/>
                    <w:rPr>
                      <w:color w:val="auto"/>
                    </w:rPr>
                  </w:pPr>
                  <w:r>
                    <w:rPr>
                      <w:rFonts w:hint="eastAsia"/>
                      <w:color w:val="auto"/>
                      <w:lang w:val="en-US" w:eastAsia="zh-CN"/>
                    </w:rPr>
                    <w:t>7</w:t>
                  </w:r>
                  <w:r>
                    <w:rPr>
                      <w:rFonts w:hint="eastAsia"/>
                      <w:color w:val="auto"/>
                    </w:rPr>
                    <w:t>0</w:t>
                  </w:r>
                  <w:r>
                    <w:rPr>
                      <w:color w:val="auto"/>
                    </w:rPr>
                    <w:t>~</w:t>
                  </w:r>
                  <w:r>
                    <w:rPr>
                      <w:rFonts w:hint="eastAsia"/>
                      <w:color w:val="auto"/>
                      <w:lang w:val="en-US" w:eastAsia="zh-CN"/>
                    </w:rPr>
                    <w:t>8</w:t>
                  </w: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 w:hRule="atLeast"/>
                <w:jc w:val="center"/>
              </w:trPr>
              <w:tc>
                <w:tcPr>
                  <w:tcW w:w="2516"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color w:val="auto"/>
                    </w:rPr>
                  </w:pPr>
                  <w:r>
                    <w:rPr>
                      <w:rFonts w:hint="eastAsia"/>
                      <w:color w:val="auto"/>
                      <w:lang w:val="en-US" w:eastAsia="zh-CN"/>
                    </w:rPr>
                    <w:t>复合机</w:t>
                  </w:r>
                </w:p>
              </w:tc>
              <w:tc>
                <w:tcPr>
                  <w:tcW w:w="2556" w:type="dxa"/>
                  <w:vAlign w:val="center"/>
                </w:tcPr>
                <w:p>
                  <w:pPr>
                    <w:spacing w:line="360" w:lineRule="exact"/>
                    <w:jc w:val="center"/>
                    <w:rPr>
                      <w:rFonts w:hint="default"/>
                      <w:color w:val="auto"/>
                      <w:lang w:val="en-US" w:eastAsia="zh-CN"/>
                    </w:rPr>
                  </w:pPr>
                  <w:r>
                    <w:rPr>
                      <w:rFonts w:hint="eastAsia"/>
                      <w:color w:val="auto"/>
                      <w:lang w:val="en-US" w:eastAsia="zh-CN"/>
                    </w:rPr>
                    <w:t>2台（一用一备）</w:t>
                  </w:r>
                </w:p>
              </w:tc>
              <w:tc>
                <w:tcPr>
                  <w:tcW w:w="2556" w:type="dxa"/>
                  <w:vAlign w:val="center"/>
                </w:tcPr>
                <w:p>
                  <w:pPr>
                    <w:jc w:val="center"/>
                    <w:rPr>
                      <w:color w:val="auto"/>
                    </w:rPr>
                  </w:pPr>
                  <w:r>
                    <w:rPr>
                      <w:rFonts w:hint="eastAsia"/>
                      <w:color w:val="auto"/>
                      <w:lang w:val="en-US" w:eastAsia="zh-CN"/>
                    </w:rPr>
                    <w:t>7</w:t>
                  </w:r>
                  <w:r>
                    <w:rPr>
                      <w:rFonts w:hint="eastAsia"/>
                      <w:color w:val="auto"/>
                    </w:rPr>
                    <w:t>0</w:t>
                  </w:r>
                  <w:r>
                    <w:rPr>
                      <w:color w:val="auto"/>
                    </w:rPr>
                    <w:t>~</w:t>
                  </w:r>
                  <w:r>
                    <w:rPr>
                      <w:rFonts w:hint="eastAsia"/>
                      <w:color w:val="auto"/>
                      <w:lang w:val="en-US" w:eastAsia="zh-CN"/>
                    </w:rPr>
                    <w:t>8</w:t>
                  </w: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 w:hRule="atLeast"/>
                <w:jc w:val="center"/>
              </w:trPr>
              <w:tc>
                <w:tcPr>
                  <w:tcW w:w="2516"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color w:val="auto"/>
                    </w:rPr>
                  </w:pPr>
                  <w:r>
                    <w:rPr>
                      <w:rFonts w:hint="default"/>
                      <w:color w:val="auto"/>
                      <w:lang w:val="en-US" w:eastAsia="zh-CN"/>
                    </w:rPr>
                    <w:t>分切机</w:t>
                  </w:r>
                </w:p>
              </w:tc>
              <w:tc>
                <w:tcPr>
                  <w:tcW w:w="2556" w:type="dxa"/>
                  <w:vAlign w:val="center"/>
                </w:tcPr>
                <w:p>
                  <w:pPr>
                    <w:spacing w:line="360" w:lineRule="exact"/>
                    <w:jc w:val="center"/>
                    <w:rPr>
                      <w:color w:val="auto"/>
                    </w:rPr>
                  </w:pPr>
                  <w:r>
                    <w:rPr>
                      <w:rFonts w:hint="eastAsia"/>
                      <w:color w:val="auto"/>
                      <w:lang w:val="en-US" w:eastAsia="zh-CN"/>
                    </w:rPr>
                    <w:t>1台</w:t>
                  </w:r>
                </w:p>
              </w:tc>
              <w:tc>
                <w:tcPr>
                  <w:tcW w:w="2556" w:type="dxa"/>
                  <w:vAlign w:val="center"/>
                </w:tcPr>
                <w:p>
                  <w:pPr>
                    <w:jc w:val="center"/>
                    <w:rPr>
                      <w:rFonts w:hint="eastAsia"/>
                      <w:color w:val="auto"/>
                    </w:rPr>
                  </w:pPr>
                  <w:r>
                    <w:rPr>
                      <w:rFonts w:hint="eastAsia"/>
                      <w:color w:val="auto"/>
                      <w:lang w:val="en-US" w:eastAsia="zh-CN"/>
                    </w:rPr>
                    <w:t>7</w:t>
                  </w:r>
                  <w:r>
                    <w:rPr>
                      <w:rFonts w:hint="eastAsia"/>
                      <w:color w:val="auto"/>
                    </w:rPr>
                    <w:t>0</w:t>
                  </w:r>
                  <w:r>
                    <w:rPr>
                      <w:color w:val="auto"/>
                    </w:rPr>
                    <w:t>~</w:t>
                  </w:r>
                  <w:r>
                    <w:rPr>
                      <w:rFonts w:hint="eastAsia"/>
                      <w:color w:val="auto"/>
                      <w:lang w:val="en-US" w:eastAsia="zh-CN"/>
                    </w:rPr>
                    <w:t>8</w:t>
                  </w: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 w:hRule="atLeast"/>
                <w:jc w:val="center"/>
              </w:trPr>
              <w:tc>
                <w:tcPr>
                  <w:tcW w:w="2516"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color w:val="auto"/>
                      <w:lang w:val="en-US" w:eastAsia="zh-CN"/>
                    </w:rPr>
                  </w:pPr>
                  <w:r>
                    <w:rPr>
                      <w:rFonts w:hint="eastAsia"/>
                      <w:color w:val="auto"/>
                      <w:lang w:val="en-US" w:eastAsia="zh-CN"/>
                    </w:rPr>
                    <w:t>冷却水水泵</w:t>
                  </w:r>
                </w:p>
              </w:tc>
              <w:tc>
                <w:tcPr>
                  <w:tcW w:w="2556" w:type="dxa"/>
                  <w:vAlign w:val="center"/>
                </w:tcPr>
                <w:p>
                  <w:pPr>
                    <w:spacing w:line="360" w:lineRule="exact"/>
                    <w:jc w:val="center"/>
                    <w:rPr>
                      <w:color w:val="auto"/>
                    </w:rPr>
                  </w:pPr>
                  <w:r>
                    <w:rPr>
                      <w:rFonts w:hint="eastAsia"/>
                      <w:color w:val="auto"/>
                      <w:lang w:val="en-US" w:eastAsia="zh-CN"/>
                    </w:rPr>
                    <w:t>1台</w:t>
                  </w:r>
                </w:p>
              </w:tc>
              <w:tc>
                <w:tcPr>
                  <w:tcW w:w="2556" w:type="dxa"/>
                  <w:vAlign w:val="center"/>
                </w:tcPr>
                <w:p>
                  <w:pPr>
                    <w:jc w:val="center"/>
                    <w:rPr>
                      <w:rFonts w:hint="eastAsia"/>
                      <w:color w:val="auto"/>
                    </w:rPr>
                  </w:pPr>
                  <w:r>
                    <w:rPr>
                      <w:rFonts w:hint="eastAsia"/>
                      <w:color w:val="auto"/>
                    </w:rPr>
                    <w:t>80</w:t>
                  </w:r>
                  <w:r>
                    <w:rPr>
                      <w:color w:val="auto"/>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 w:hRule="atLeast"/>
                <w:jc w:val="center"/>
              </w:trPr>
              <w:tc>
                <w:tcPr>
                  <w:tcW w:w="2516" w:type="dxa"/>
                  <w:vAlign w:val="center"/>
                </w:tcPr>
                <w:p>
                  <w:pPr>
                    <w:spacing w:line="360" w:lineRule="exact"/>
                    <w:jc w:val="center"/>
                    <w:rPr>
                      <w:color w:val="auto"/>
                    </w:rPr>
                  </w:pPr>
                  <w:r>
                    <w:rPr>
                      <w:color w:val="auto"/>
                    </w:rPr>
                    <w:t>废气处理风机</w:t>
                  </w:r>
                </w:p>
              </w:tc>
              <w:tc>
                <w:tcPr>
                  <w:tcW w:w="2556" w:type="dxa"/>
                  <w:vAlign w:val="center"/>
                </w:tcPr>
                <w:p>
                  <w:pPr>
                    <w:spacing w:line="360" w:lineRule="exact"/>
                    <w:jc w:val="center"/>
                    <w:rPr>
                      <w:rFonts w:hint="default"/>
                      <w:color w:val="auto"/>
                      <w:lang w:val="en-US" w:eastAsia="zh-CN"/>
                    </w:rPr>
                  </w:pPr>
                  <w:r>
                    <w:rPr>
                      <w:rFonts w:hint="eastAsia"/>
                      <w:color w:val="auto"/>
                      <w:lang w:val="en-US" w:eastAsia="zh-CN"/>
                    </w:rPr>
                    <w:t>1台</w:t>
                  </w:r>
                </w:p>
              </w:tc>
              <w:tc>
                <w:tcPr>
                  <w:tcW w:w="2556" w:type="dxa"/>
                  <w:vAlign w:val="center"/>
                </w:tcPr>
                <w:p>
                  <w:pPr>
                    <w:jc w:val="center"/>
                    <w:rPr>
                      <w:rFonts w:hint="eastAsia"/>
                      <w:color w:val="auto"/>
                    </w:rPr>
                  </w:pPr>
                  <w:r>
                    <w:rPr>
                      <w:rFonts w:hint="eastAsia"/>
                      <w:color w:val="auto"/>
                    </w:rPr>
                    <w:t>80</w:t>
                  </w:r>
                  <w:r>
                    <w:rPr>
                      <w:color w:val="auto"/>
                    </w:rPr>
                    <w:t>~90</w:t>
                  </w:r>
                </w:p>
              </w:tc>
            </w:tr>
          </w:tbl>
          <w:p>
            <w:pPr>
              <w:spacing w:line="360" w:lineRule="auto"/>
              <w:ind w:firstLine="480" w:firstLineChars="200"/>
              <w:rPr>
                <w:color w:val="auto"/>
                <w:sz w:val="24"/>
                <w:szCs w:val="24"/>
              </w:rPr>
            </w:pPr>
            <w:r>
              <w:rPr>
                <w:color w:val="auto"/>
                <w:sz w:val="24"/>
                <w:szCs w:val="24"/>
              </w:rPr>
              <w:t>（2）噪声预测</w:t>
            </w:r>
          </w:p>
          <w:p>
            <w:pPr>
              <w:spacing w:line="360" w:lineRule="auto"/>
              <w:ind w:firstLine="480" w:firstLineChars="200"/>
              <w:rPr>
                <w:color w:val="auto"/>
                <w:sz w:val="24"/>
                <w:szCs w:val="24"/>
              </w:rPr>
            </w:pPr>
            <w:r>
              <w:rPr>
                <w:color w:val="auto"/>
                <w:sz w:val="24"/>
                <w:szCs w:val="24"/>
              </w:rPr>
              <w:t>在噪声预测中各噪声源作为点声源处理，噪声预测模式采用《环境影响评价技术导则——声环境》（HJ2.4-2009）中推荐的噪声预测模式。噪声声源衰减计算计算依据《环境评价上岗培训教材》P185页的计算距点声源X米处衰减结果值。</w:t>
            </w:r>
          </w:p>
          <w:p>
            <w:pPr>
              <w:spacing w:line="360" w:lineRule="auto"/>
              <w:ind w:firstLine="480" w:firstLineChars="200"/>
              <w:rPr>
                <w:color w:val="auto"/>
                <w:sz w:val="24"/>
                <w:szCs w:val="24"/>
              </w:rPr>
            </w:pPr>
            <w:r>
              <w:rPr>
                <w:color w:val="auto"/>
                <w:sz w:val="24"/>
                <w:szCs w:val="24"/>
              </w:rPr>
              <w:t>点声源的几何发散衰减公式为：</w:t>
            </w:r>
          </w:p>
          <w:p>
            <w:pPr>
              <w:spacing w:line="360" w:lineRule="auto"/>
              <w:ind w:firstLine="480" w:firstLineChars="200"/>
              <w:jc w:val="center"/>
              <w:rPr>
                <w:color w:val="auto"/>
                <w:sz w:val="24"/>
                <w:szCs w:val="24"/>
              </w:rPr>
            </w:pPr>
            <w:r>
              <w:rPr>
                <w:color w:val="auto"/>
                <w:sz w:val="24"/>
                <w:szCs w:val="24"/>
              </w:rPr>
              <w:object>
                <v:shape id="_x0000_i1025" o:spt="75" type="#_x0000_t75" style="height:41pt;width:134.8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p>
          <w:p>
            <w:pPr>
              <w:spacing w:line="360" w:lineRule="auto"/>
              <w:ind w:firstLine="480" w:firstLineChars="200"/>
              <w:rPr>
                <w:color w:val="auto"/>
                <w:sz w:val="24"/>
                <w:szCs w:val="24"/>
              </w:rPr>
            </w:pPr>
            <w:r>
              <w:rPr>
                <w:color w:val="auto"/>
                <w:sz w:val="24"/>
                <w:szCs w:val="24"/>
              </w:rPr>
              <w:t>式中，LP0(r)为评价点噪声预测值，r为与声源距离。</w:t>
            </w:r>
          </w:p>
          <w:p>
            <w:pPr>
              <w:spacing w:line="360" w:lineRule="auto"/>
              <w:ind w:firstLine="480" w:firstLineChars="200"/>
              <w:rPr>
                <w:color w:val="auto"/>
                <w:sz w:val="24"/>
                <w:szCs w:val="24"/>
              </w:rPr>
            </w:pPr>
            <w:r>
              <w:rPr>
                <w:color w:val="auto"/>
                <w:sz w:val="24"/>
                <w:szCs w:val="24"/>
              </w:rPr>
              <w:t>根据上述噪声衰减模式，同时考虑设备数量与距离，本项目设备噪声与预测点的距离和噪声贡献值预测情况如下所示：</w:t>
            </w:r>
          </w:p>
          <w:p>
            <w:pPr>
              <w:pStyle w:val="84"/>
              <w:adjustRightInd w:val="0"/>
              <w:snapToGrid w:val="0"/>
              <w:spacing w:line="360" w:lineRule="exact"/>
              <w:ind w:firstLine="432"/>
              <w:jc w:val="center"/>
              <w:rPr>
                <w:color w:val="auto"/>
              </w:rPr>
            </w:pPr>
            <w:r>
              <w:rPr>
                <w:color w:val="auto"/>
              </w:rPr>
              <w:t>表4-</w:t>
            </w:r>
            <w:r>
              <w:rPr>
                <w:rFonts w:hint="eastAsia"/>
                <w:color w:val="auto"/>
                <w:lang w:val="en-US" w:eastAsia="zh-CN"/>
              </w:rPr>
              <w:t>5</w:t>
            </w:r>
            <w:r>
              <w:rPr>
                <w:color w:val="auto"/>
              </w:rPr>
              <w:t xml:space="preserve"> 噪声源距离厂界及敏感点距离</w:t>
            </w:r>
          </w:p>
          <w:tbl>
            <w:tblPr>
              <w:tblStyle w:val="29"/>
              <w:tblW w:w="7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791"/>
              <w:gridCol w:w="1257"/>
              <w:gridCol w:w="1257"/>
              <w:gridCol w:w="1257"/>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152"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color w:val="auto"/>
                    </w:rPr>
                  </w:pPr>
                  <w:r>
                    <w:rPr>
                      <w:color w:val="auto"/>
                    </w:rPr>
                    <w:t>声源来源</w:t>
                  </w:r>
                </w:p>
              </w:tc>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color w:val="auto"/>
                    </w:rPr>
                  </w:pPr>
                  <w:r>
                    <w:rPr>
                      <w:color w:val="auto"/>
                    </w:rPr>
                    <w:t>数量</w:t>
                  </w:r>
                </w:p>
              </w:tc>
              <w:tc>
                <w:tcPr>
                  <w:tcW w:w="5035" w:type="dxa"/>
                  <w:gridSpan w:val="4"/>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color w:val="auto"/>
                    </w:rPr>
                  </w:pPr>
                  <w:r>
                    <w:rPr>
                      <w:color w:val="auto"/>
                    </w:rPr>
                    <w:t>声源到厂界的距离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15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color w:val="auto"/>
                    </w:rPr>
                  </w:pPr>
                </w:p>
              </w:tc>
              <w:tc>
                <w:tcPr>
                  <w:tcW w:w="79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color w:val="auto"/>
                    </w:rPr>
                  </w:pPr>
                </w:p>
              </w:tc>
              <w:tc>
                <w:tcPr>
                  <w:tcW w:w="125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color w:val="auto"/>
                    </w:rPr>
                  </w:pPr>
                  <w:r>
                    <w:rPr>
                      <w:color w:val="auto"/>
                    </w:rPr>
                    <w:t>东厂界</w:t>
                  </w:r>
                </w:p>
              </w:tc>
              <w:tc>
                <w:tcPr>
                  <w:tcW w:w="125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color w:val="auto"/>
                    </w:rPr>
                  </w:pPr>
                  <w:r>
                    <w:rPr>
                      <w:color w:val="auto"/>
                    </w:rPr>
                    <w:t>西厂界</w:t>
                  </w:r>
                </w:p>
              </w:tc>
              <w:tc>
                <w:tcPr>
                  <w:tcW w:w="125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color w:val="auto"/>
                    </w:rPr>
                  </w:pPr>
                  <w:r>
                    <w:rPr>
                      <w:color w:val="auto"/>
                    </w:rPr>
                    <w:t>南厂界</w:t>
                  </w:r>
                </w:p>
              </w:tc>
              <w:tc>
                <w:tcPr>
                  <w:tcW w:w="126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color w:val="auto"/>
                    </w:rPr>
                  </w:pPr>
                  <w:r>
                    <w:rPr>
                      <w:color w:val="auto"/>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5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color w:val="auto"/>
                      <w:lang w:val="en-US"/>
                    </w:rPr>
                  </w:pPr>
                  <w:r>
                    <w:rPr>
                      <w:rFonts w:hint="eastAsia"/>
                      <w:color w:val="auto"/>
                      <w:lang w:eastAsia="zh-CN"/>
                    </w:rPr>
                    <w:t>发泡挤出机</w:t>
                  </w:r>
                </w:p>
              </w:tc>
              <w:tc>
                <w:tcPr>
                  <w:tcW w:w="791" w:type="dxa"/>
                  <w:vAlign w:val="center"/>
                </w:tcPr>
                <w:p>
                  <w:pPr>
                    <w:keepNext w:val="0"/>
                    <w:keepLines w:val="0"/>
                    <w:pageBreakBefore w:val="0"/>
                    <w:widowControl w:val="0"/>
                    <w:kinsoku/>
                    <w:wordWrap/>
                    <w:overflowPunct/>
                    <w:topLinePunct w:val="0"/>
                    <w:bidi w:val="0"/>
                    <w:snapToGrid/>
                    <w:spacing w:line="240" w:lineRule="auto"/>
                    <w:jc w:val="center"/>
                    <w:textAlignment w:val="auto"/>
                    <w:rPr>
                      <w:color w:val="auto"/>
                    </w:rPr>
                  </w:pPr>
                  <w:r>
                    <w:rPr>
                      <w:rFonts w:hint="eastAsia"/>
                      <w:color w:val="auto"/>
                      <w:lang w:val="en-US" w:eastAsia="zh-CN"/>
                    </w:rPr>
                    <w:t>1</w:t>
                  </w:r>
                  <w:r>
                    <w:rPr>
                      <w:color w:val="auto"/>
                    </w:rPr>
                    <w:t>台</w:t>
                  </w:r>
                </w:p>
              </w:tc>
              <w:tc>
                <w:tcPr>
                  <w:tcW w:w="1257" w:type="dxa"/>
                  <w:vAlign w:val="center"/>
                </w:tcPr>
                <w:p>
                  <w:pPr>
                    <w:keepNext w:val="0"/>
                    <w:keepLines w:val="0"/>
                    <w:pageBreakBefore w:val="0"/>
                    <w:widowControl w:val="0"/>
                    <w:kinsoku/>
                    <w:wordWrap/>
                    <w:overflowPunct/>
                    <w:topLinePunct w:val="0"/>
                    <w:bidi w:val="0"/>
                    <w:snapToGrid/>
                    <w:spacing w:line="240" w:lineRule="auto"/>
                    <w:jc w:val="center"/>
                    <w:textAlignment w:val="auto"/>
                    <w:rPr>
                      <w:color w:val="auto"/>
                    </w:rPr>
                  </w:pPr>
                  <w:r>
                    <w:rPr>
                      <w:rFonts w:hint="eastAsia"/>
                      <w:color w:val="auto"/>
                      <w:lang w:val="en-US" w:eastAsia="zh-CN"/>
                    </w:rPr>
                    <w:t>40</w:t>
                  </w:r>
                  <w:r>
                    <w:rPr>
                      <w:color w:val="auto"/>
                    </w:rPr>
                    <w:t>m</w:t>
                  </w:r>
                </w:p>
              </w:tc>
              <w:tc>
                <w:tcPr>
                  <w:tcW w:w="1257" w:type="dxa"/>
                  <w:vAlign w:val="center"/>
                </w:tcPr>
                <w:p>
                  <w:pPr>
                    <w:keepNext w:val="0"/>
                    <w:keepLines w:val="0"/>
                    <w:pageBreakBefore w:val="0"/>
                    <w:widowControl w:val="0"/>
                    <w:kinsoku/>
                    <w:wordWrap/>
                    <w:overflowPunct/>
                    <w:topLinePunct w:val="0"/>
                    <w:bidi w:val="0"/>
                    <w:snapToGrid/>
                    <w:spacing w:line="240" w:lineRule="auto"/>
                    <w:jc w:val="center"/>
                    <w:textAlignment w:val="auto"/>
                    <w:rPr>
                      <w:color w:val="auto"/>
                    </w:rPr>
                  </w:pPr>
                  <w:r>
                    <w:rPr>
                      <w:rFonts w:hint="eastAsia"/>
                      <w:color w:val="auto"/>
                      <w:lang w:val="en-US" w:eastAsia="zh-CN"/>
                    </w:rPr>
                    <w:t>25</w:t>
                  </w:r>
                  <w:r>
                    <w:rPr>
                      <w:color w:val="auto"/>
                    </w:rPr>
                    <w:t>m</w:t>
                  </w:r>
                </w:p>
              </w:tc>
              <w:tc>
                <w:tcPr>
                  <w:tcW w:w="1257" w:type="dxa"/>
                  <w:vAlign w:val="center"/>
                </w:tcPr>
                <w:p>
                  <w:pPr>
                    <w:keepNext w:val="0"/>
                    <w:keepLines w:val="0"/>
                    <w:pageBreakBefore w:val="0"/>
                    <w:widowControl w:val="0"/>
                    <w:kinsoku/>
                    <w:wordWrap/>
                    <w:overflowPunct/>
                    <w:topLinePunct w:val="0"/>
                    <w:bidi w:val="0"/>
                    <w:snapToGrid/>
                    <w:spacing w:line="240" w:lineRule="auto"/>
                    <w:jc w:val="center"/>
                    <w:textAlignment w:val="auto"/>
                    <w:rPr>
                      <w:color w:val="auto"/>
                    </w:rPr>
                  </w:pPr>
                  <w:r>
                    <w:rPr>
                      <w:rFonts w:hint="eastAsia"/>
                      <w:color w:val="auto"/>
                      <w:lang w:val="en-US" w:eastAsia="zh-CN"/>
                    </w:rPr>
                    <w:t>15</w:t>
                  </w:r>
                  <w:r>
                    <w:rPr>
                      <w:color w:val="auto"/>
                    </w:rPr>
                    <w:t xml:space="preserve"> m</w:t>
                  </w:r>
                </w:p>
              </w:tc>
              <w:tc>
                <w:tcPr>
                  <w:tcW w:w="1264" w:type="dxa"/>
                  <w:vAlign w:val="center"/>
                </w:tcPr>
                <w:p>
                  <w:pPr>
                    <w:keepNext w:val="0"/>
                    <w:keepLines w:val="0"/>
                    <w:pageBreakBefore w:val="0"/>
                    <w:widowControl w:val="0"/>
                    <w:kinsoku/>
                    <w:wordWrap/>
                    <w:overflowPunct/>
                    <w:topLinePunct w:val="0"/>
                    <w:bidi w:val="0"/>
                    <w:snapToGrid/>
                    <w:spacing w:line="240" w:lineRule="auto"/>
                    <w:jc w:val="center"/>
                    <w:textAlignment w:val="auto"/>
                    <w:rPr>
                      <w:color w:val="auto"/>
                    </w:rPr>
                  </w:pPr>
                  <w:r>
                    <w:rPr>
                      <w:rFonts w:hint="eastAsia"/>
                      <w:color w:val="auto"/>
                      <w:lang w:val="en-US" w:eastAsia="zh-CN"/>
                    </w:rPr>
                    <w:t>40</w:t>
                  </w:r>
                  <w:r>
                    <w:rPr>
                      <w:color w:val="auto"/>
                    </w:rPr>
                    <w:t xml:space="preserve">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5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color w:val="auto"/>
                    </w:rPr>
                  </w:pPr>
                  <w:r>
                    <w:rPr>
                      <w:rFonts w:hint="eastAsia"/>
                      <w:color w:val="auto"/>
                      <w:lang w:val="en-US" w:eastAsia="zh-CN"/>
                    </w:rPr>
                    <w:t>复合机</w:t>
                  </w:r>
                </w:p>
              </w:tc>
              <w:tc>
                <w:tcPr>
                  <w:tcW w:w="791"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color w:val="auto"/>
                      <w:lang w:val="en-US" w:eastAsia="zh-CN"/>
                    </w:rPr>
                  </w:pPr>
                  <w:r>
                    <w:rPr>
                      <w:rFonts w:hint="eastAsia"/>
                      <w:color w:val="auto"/>
                      <w:lang w:val="en-US" w:eastAsia="zh-CN"/>
                    </w:rPr>
                    <w:t>1</w:t>
                  </w:r>
                  <w:r>
                    <w:rPr>
                      <w:color w:val="auto"/>
                    </w:rPr>
                    <w:t>台</w:t>
                  </w:r>
                </w:p>
              </w:tc>
              <w:tc>
                <w:tcPr>
                  <w:tcW w:w="1257"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color w:val="auto"/>
                    </w:rPr>
                  </w:pPr>
                  <w:r>
                    <w:rPr>
                      <w:rFonts w:hint="eastAsia"/>
                      <w:color w:val="auto"/>
                      <w:lang w:val="en-US" w:eastAsia="zh-CN"/>
                    </w:rPr>
                    <w:t>40</w:t>
                  </w:r>
                  <w:r>
                    <w:rPr>
                      <w:color w:val="auto"/>
                    </w:rPr>
                    <w:t>m</w:t>
                  </w:r>
                </w:p>
              </w:tc>
              <w:tc>
                <w:tcPr>
                  <w:tcW w:w="1257"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color w:val="auto"/>
                    </w:rPr>
                  </w:pPr>
                  <w:r>
                    <w:rPr>
                      <w:rFonts w:hint="eastAsia"/>
                      <w:color w:val="auto"/>
                      <w:lang w:val="en-US" w:eastAsia="zh-CN"/>
                    </w:rPr>
                    <w:t>25</w:t>
                  </w:r>
                  <w:r>
                    <w:rPr>
                      <w:color w:val="auto"/>
                    </w:rPr>
                    <w:t>m</w:t>
                  </w:r>
                </w:p>
              </w:tc>
              <w:tc>
                <w:tcPr>
                  <w:tcW w:w="1257"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color w:val="auto"/>
                    </w:rPr>
                  </w:pPr>
                  <w:r>
                    <w:rPr>
                      <w:rFonts w:hint="eastAsia"/>
                      <w:color w:val="auto"/>
                      <w:lang w:val="en-US" w:eastAsia="zh-CN"/>
                    </w:rPr>
                    <w:t>2</w:t>
                  </w:r>
                  <w:r>
                    <w:rPr>
                      <w:rFonts w:hint="eastAsia"/>
                      <w:color w:val="auto"/>
                    </w:rPr>
                    <w:t>0</w:t>
                  </w:r>
                  <w:r>
                    <w:rPr>
                      <w:color w:val="auto"/>
                    </w:rPr>
                    <w:t xml:space="preserve"> m</w:t>
                  </w:r>
                </w:p>
              </w:tc>
              <w:tc>
                <w:tcPr>
                  <w:tcW w:w="1264"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color w:val="auto"/>
                    </w:rPr>
                  </w:pPr>
                  <w:r>
                    <w:rPr>
                      <w:rFonts w:hint="eastAsia"/>
                      <w:color w:val="auto"/>
                      <w:lang w:val="en-US" w:eastAsia="zh-CN"/>
                    </w:rPr>
                    <w:t>55</w:t>
                  </w:r>
                  <w:r>
                    <w:rPr>
                      <w:color w:val="auto"/>
                    </w:rPr>
                    <w:t xml:space="preserve">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5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color w:val="auto"/>
                      <w:lang w:eastAsia="zh-CN"/>
                    </w:rPr>
                  </w:pPr>
                  <w:r>
                    <w:rPr>
                      <w:rFonts w:hint="default"/>
                      <w:color w:val="auto"/>
                      <w:lang w:val="en-US" w:eastAsia="zh-CN"/>
                    </w:rPr>
                    <w:t>分切机</w:t>
                  </w:r>
                </w:p>
              </w:tc>
              <w:tc>
                <w:tcPr>
                  <w:tcW w:w="791"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color w:val="auto"/>
                      <w:lang w:val="en-US" w:eastAsia="zh-CN"/>
                    </w:rPr>
                  </w:pPr>
                  <w:r>
                    <w:rPr>
                      <w:rFonts w:hint="eastAsia"/>
                      <w:color w:val="auto"/>
                      <w:lang w:val="en-US" w:eastAsia="zh-CN"/>
                    </w:rPr>
                    <w:t>1台</w:t>
                  </w:r>
                </w:p>
              </w:tc>
              <w:tc>
                <w:tcPr>
                  <w:tcW w:w="1257"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color w:val="auto"/>
                    </w:rPr>
                  </w:pPr>
                  <w:r>
                    <w:rPr>
                      <w:rFonts w:hint="eastAsia"/>
                      <w:color w:val="auto"/>
                      <w:lang w:val="en-US" w:eastAsia="zh-CN"/>
                    </w:rPr>
                    <w:t>2</w:t>
                  </w:r>
                  <w:r>
                    <w:rPr>
                      <w:rFonts w:hint="eastAsia"/>
                      <w:color w:val="auto"/>
                    </w:rPr>
                    <w:t>0</w:t>
                  </w:r>
                  <w:r>
                    <w:rPr>
                      <w:color w:val="auto"/>
                    </w:rPr>
                    <w:t>m</w:t>
                  </w:r>
                </w:p>
              </w:tc>
              <w:tc>
                <w:tcPr>
                  <w:tcW w:w="1257"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color w:val="auto"/>
                    </w:rPr>
                  </w:pPr>
                  <w:r>
                    <w:rPr>
                      <w:rFonts w:hint="eastAsia"/>
                      <w:color w:val="auto"/>
                      <w:lang w:val="en-US" w:eastAsia="zh-CN"/>
                    </w:rPr>
                    <w:t>55</w:t>
                  </w:r>
                  <w:r>
                    <w:rPr>
                      <w:color w:val="auto"/>
                    </w:rPr>
                    <w:t xml:space="preserve"> m</w:t>
                  </w:r>
                </w:p>
              </w:tc>
              <w:tc>
                <w:tcPr>
                  <w:tcW w:w="1257"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color w:val="auto"/>
                    </w:rPr>
                  </w:pPr>
                  <w:r>
                    <w:rPr>
                      <w:rFonts w:hint="eastAsia"/>
                      <w:color w:val="auto"/>
                      <w:lang w:val="en-US" w:eastAsia="zh-CN"/>
                    </w:rPr>
                    <w:t>2</w:t>
                  </w:r>
                  <w:r>
                    <w:rPr>
                      <w:rFonts w:hint="eastAsia"/>
                      <w:color w:val="auto"/>
                    </w:rPr>
                    <w:t>0</w:t>
                  </w:r>
                  <w:r>
                    <w:rPr>
                      <w:color w:val="auto"/>
                    </w:rPr>
                    <w:t xml:space="preserve"> m</w:t>
                  </w:r>
                </w:p>
              </w:tc>
              <w:tc>
                <w:tcPr>
                  <w:tcW w:w="1264"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color w:val="auto"/>
                    </w:rPr>
                  </w:pPr>
                  <w:r>
                    <w:rPr>
                      <w:rFonts w:hint="eastAsia"/>
                      <w:color w:val="auto"/>
                      <w:lang w:val="en-US" w:eastAsia="zh-CN"/>
                    </w:rPr>
                    <w:t>55</w:t>
                  </w:r>
                  <w:r>
                    <w:rPr>
                      <w:color w:val="auto"/>
                    </w:rPr>
                    <w:t xml:space="preserve">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5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color w:val="auto"/>
                      <w:lang w:eastAsia="zh-CN"/>
                    </w:rPr>
                  </w:pPr>
                  <w:r>
                    <w:rPr>
                      <w:rFonts w:hint="eastAsia"/>
                      <w:color w:val="auto"/>
                      <w:lang w:val="en-US" w:eastAsia="zh-CN"/>
                    </w:rPr>
                    <w:t>冷却水水泵</w:t>
                  </w:r>
                </w:p>
              </w:tc>
              <w:tc>
                <w:tcPr>
                  <w:tcW w:w="791"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color w:val="auto"/>
                      <w:lang w:val="en-US" w:eastAsia="zh-CN"/>
                    </w:rPr>
                  </w:pPr>
                  <w:r>
                    <w:rPr>
                      <w:rFonts w:hint="eastAsia"/>
                      <w:color w:val="auto"/>
                      <w:lang w:val="en-US" w:eastAsia="zh-CN"/>
                    </w:rPr>
                    <w:t>1台</w:t>
                  </w:r>
                </w:p>
              </w:tc>
              <w:tc>
                <w:tcPr>
                  <w:tcW w:w="1257"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color w:val="auto"/>
                      <w:lang w:val="en-US" w:eastAsia="zh-CN"/>
                    </w:rPr>
                  </w:pPr>
                  <w:r>
                    <w:rPr>
                      <w:rFonts w:hint="eastAsia"/>
                      <w:color w:val="auto"/>
                      <w:lang w:val="en-US" w:eastAsia="zh-CN"/>
                    </w:rPr>
                    <w:t>45m</w:t>
                  </w:r>
                </w:p>
              </w:tc>
              <w:tc>
                <w:tcPr>
                  <w:tcW w:w="1257"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color w:val="auto"/>
                      <w:lang w:val="en-US" w:eastAsia="zh-CN"/>
                    </w:rPr>
                  </w:pPr>
                  <w:r>
                    <w:rPr>
                      <w:rFonts w:hint="eastAsia"/>
                      <w:color w:val="auto"/>
                      <w:lang w:val="en-US" w:eastAsia="zh-CN"/>
                    </w:rPr>
                    <w:t>20m</w:t>
                  </w:r>
                </w:p>
              </w:tc>
              <w:tc>
                <w:tcPr>
                  <w:tcW w:w="1257"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default"/>
                      <w:color w:val="auto"/>
                      <w:lang w:val="en-US" w:eastAsia="zh-CN"/>
                    </w:rPr>
                  </w:pPr>
                  <w:r>
                    <w:rPr>
                      <w:rFonts w:hint="eastAsia"/>
                      <w:color w:val="auto"/>
                      <w:lang w:val="en-US" w:eastAsia="zh-CN"/>
                    </w:rPr>
                    <w:t>5m</w:t>
                  </w:r>
                </w:p>
              </w:tc>
              <w:tc>
                <w:tcPr>
                  <w:tcW w:w="1264"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default"/>
                      <w:color w:val="auto"/>
                      <w:lang w:val="en-US" w:eastAsia="zh-CN"/>
                    </w:rPr>
                  </w:pPr>
                  <w:r>
                    <w:rPr>
                      <w:rFonts w:hint="eastAsia"/>
                      <w:color w:val="auto"/>
                      <w:lang w:val="en-US" w:eastAsia="zh-CN"/>
                    </w:rPr>
                    <w:t>70m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52" w:type="dxa"/>
                  <w:vAlign w:val="center"/>
                </w:tcPr>
                <w:p>
                  <w:pPr>
                    <w:spacing w:line="360" w:lineRule="exact"/>
                    <w:jc w:val="center"/>
                    <w:rPr>
                      <w:rFonts w:hint="eastAsia"/>
                      <w:color w:val="auto"/>
                      <w:lang w:eastAsia="zh-CN"/>
                    </w:rPr>
                  </w:pPr>
                  <w:r>
                    <w:rPr>
                      <w:color w:val="auto"/>
                    </w:rPr>
                    <w:t>废气处理风机</w:t>
                  </w:r>
                </w:p>
              </w:tc>
              <w:tc>
                <w:tcPr>
                  <w:tcW w:w="791"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color w:val="auto"/>
                      <w:lang w:val="en-US" w:eastAsia="zh-CN"/>
                    </w:rPr>
                  </w:pPr>
                  <w:r>
                    <w:rPr>
                      <w:rFonts w:hint="eastAsia"/>
                      <w:color w:val="auto"/>
                      <w:lang w:val="en-US" w:eastAsia="zh-CN"/>
                    </w:rPr>
                    <w:t>1台</w:t>
                  </w:r>
                </w:p>
              </w:tc>
              <w:tc>
                <w:tcPr>
                  <w:tcW w:w="1257"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default"/>
                      <w:color w:val="auto"/>
                      <w:lang w:val="en-US" w:eastAsia="zh-CN"/>
                    </w:rPr>
                  </w:pPr>
                  <w:r>
                    <w:rPr>
                      <w:rFonts w:hint="eastAsia"/>
                      <w:color w:val="auto"/>
                      <w:lang w:val="en-US" w:eastAsia="zh-CN"/>
                    </w:rPr>
                    <w:t>45m</w:t>
                  </w:r>
                </w:p>
              </w:tc>
              <w:tc>
                <w:tcPr>
                  <w:tcW w:w="1257"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default"/>
                      <w:color w:val="auto"/>
                      <w:lang w:val="en-US" w:eastAsia="zh-CN"/>
                    </w:rPr>
                  </w:pPr>
                  <w:r>
                    <w:rPr>
                      <w:rFonts w:hint="eastAsia"/>
                      <w:color w:val="auto"/>
                      <w:lang w:val="en-US" w:eastAsia="zh-CN"/>
                    </w:rPr>
                    <w:t>20m</w:t>
                  </w:r>
                </w:p>
              </w:tc>
              <w:tc>
                <w:tcPr>
                  <w:tcW w:w="1257"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default"/>
                      <w:color w:val="auto"/>
                      <w:lang w:val="en-US" w:eastAsia="zh-CN"/>
                    </w:rPr>
                  </w:pPr>
                  <w:r>
                    <w:rPr>
                      <w:rFonts w:hint="eastAsia"/>
                      <w:color w:val="auto"/>
                      <w:lang w:val="en-US" w:eastAsia="zh-CN"/>
                    </w:rPr>
                    <w:t>10m</w:t>
                  </w:r>
                </w:p>
              </w:tc>
              <w:tc>
                <w:tcPr>
                  <w:tcW w:w="1264"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default"/>
                      <w:color w:val="auto"/>
                      <w:lang w:val="en-US" w:eastAsia="zh-CN"/>
                    </w:rPr>
                  </w:pPr>
                  <w:r>
                    <w:rPr>
                      <w:rFonts w:hint="eastAsia"/>
                      <w:color w:val="auto"/>
                      <w:lang w:val="en-US" w:eastAsia="zh-CN"/>
                    </w:rPr>
                    <w:t>65m</w:t>
                  </w:r>
                </w:p>
              </w:tc>
            </w:tr>
          </w:tbl>
          <w:p>
            <w:pPr>
              <w:spacing w:line="360" w:lineRule="auto"/>
              <w:ind w:firstLine="480" w:firstLineChars="200"/>
              <w:rPr>
                <w:color w:val="auto"/>
                <w:sz w:val="24"/>
                <w:szCs w:val="24"/>
              </w:rPr>
            </w:pPr>
            <w:r>
              <w:rPr>
                <w:color w:val="auto"/>
                <w:sz w:val="24"/>
                <w:szCs w:val="24"/>
              </w:rPr>
              <w:t>根据《环境影响评价技术导则——声环境》（HJ2.4-2009）中章节9.2：进行边界噪声评价时，新建建设项目以工程噪声贡献值作为评价量，</w:t>
            </w:r>
            <w:r>
              <w:rPr>
                <w:rFonts w:hint="eastAsia"/>
                <w:color w:val="auto"/>
                <w:sz w:val="24"/>
                <w:szCs w:val="24"/>
              </w:rPr>
              <w:t>新建</w:t>
            </w:r>
            <w:r>
              <w:rPr>
                <w:color w:val="auto"/>
                <w:sz w:val="24"/>
                <w:szCs w:val="24"/>
              </w:rPr>
              <w:t>建设项目以工程噪声贡献值与受到的现有工程影响的边界噪声值叠加后的预测值作为评价量。</w:t>
            </w:r>
          </w:p>
          <w:p>
            <w:pPr>
              <w:spacing w:line="360" w:lineRule="auto"/>
              <w:ind w:firstLine="480" w:firstLineChars="200"/>
              <w:rPr>
                <w:color w:val="auto"/>
                <w:sz w:val="24"/>
                <w:szCs w:val="24"/>
              </w:rPr>
            </w:pPr>
            <w:r>
              <w:rPr>
                <w:color w:val="auto"/>
                <w:sz w:val="24"/>
                <w:szCs w:val="24"/>
              </w:rPr>
              <w:t>本项目为新建项目，因此以工程噪声贡献值作为评价量。项目夜间不生产，按照以上预测模式及预测参数对本项目设备噪声的厂界贡献值进行预测和评价，得出以下结果见表4-</w:t>
            </w:r>
            <w:r>
              <w:rPr>
                <w:rFonts w:hint="eastAsia"/>
                <w:color w:val="auto"/>
                <w:sz w:val="24"/>
                <w:szCs w:val="24"/>
                <w:lang w:val="en-US" w:eastAsia="zh-CN"/>
              </w:rPr>
              <w:t>6</w:t>
            </w:r>
            <w:r>
              <w:rPr>
                <w:color w:val="auto"/>
                <w:sz w:val="24"/>
                <w:szCs w:val="24"/>
              </w:rPr>
              <w:t>。</w:t>
            </w:r>
          </w:p>
          <w:p>
            <w:pPr>
              <w:pStyle w:val="84"/>
              <w:adjustRightInd w:val="0"/>
              <w:snapToGrid w:val="0"/>
              <w:spacing w:line="360" w:lineRule="exact"/>
              <w:ind w:firstLine="432"/>
              <w:jc w:val="center"/>
              <w:rPr>
                <w:color w:val="auto"/>
                <w:sz w:val="21"/>
                <w:szCs w:val="21"/>
              </w:rPr>
            </w:pPr>
            <w:r>
              <w:rPr>
                <w:color w:val="auto"/>
                <w:sz w:val="21"/>
                <w:szCs w:val="21"/>
              </w:rPr>
              <w:t>表4-</w:t>
            </w:r>
            <w:r>
              <w:rPr>
                <w:rFonts w:hint="eastAsia"/>
                <w:color w:val="auto"/>
                <w:sz w:val="21"/>
                <w:szCs w:val="21"/>
                <w:lang w:val="en-US" w:eastAsia="zh-CN"/>
              </w:rPr>
              <w:t>6</w:t>
            </w:r>
            <w:r>
              <w:rPr>
                <w:color w:val="auto"/>
                <w:sz w:val="21"/>
                <w:szCs w:val="21"/>
              </w:rPr>
              <w:t xml:space="preserve"> 营运期昼间和夜间的地面设备噪声贡献值预测结果</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1099"/>
              <w:gridCol w:w="1337"/>
              <w:gridCol w:w="984"/>
              <w:gridCol w:w="984"/>
              <w:gridCol w:w="984"/>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color w:val="auto"/>
                    </w:rPr>
                    <w:t>声源设备</w:t>
                  </w:r>
                </w:p>
              </w:tc>
              <w:tc>
                <w:tcPr>
                  <w:tcW w:w="109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color w:val="auto"/>
                    </w:rPr>
                    <w:t>数量</w:t>
                  </w:r>
                </w:p>
              </w:tc>
              <w:tc>
                <w:tcPr>
                  <w:tcW w:w="133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color w:val="auto"/>
                    </w:rPr>
                    <w:t>设备噪声</w:t>
                  </w:r>
                  <w:r>
                    <w:rPr>
                      <w:rFonts w:hint="eastAsia"/>
                      <w:color w:val="auto"/>
                    </w:rPr>
                    <w:t>叠加后</w:t>
                  </w:r>
                  <w:r>
                    <w:rPr>
                      <w:color w:val="auto"/>
                    </w:rPr>
                    <w:t>源强dB(A)</w:t>
                  </w:r>
                </w:p>
              </w:tc>
              <w:tc>
                <w:tcPr>
                  <w:tcW w:w="394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color w:val="auto"/>
                    </w:rPr>
                    <w:t>厂界噪声值 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color w:val="auto"/>
                    </w:rPr>
                  </w:pPr>
                </w:p>
              </w:tc>
              <w:tc>
                <w:tcPr>
                  <w:tcW w:w="109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color w:val="auto"/>
                    </w:rPr>
                  </w:pPr>
                </w:p>
              </w:tc>
              <w:tc>
                <w:tcPr>
                  <w:tcW w:w="133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color w:val="auto"/>
                    </w:rPr>
                  </w:pP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color w:val="auto"/>
                    </w:rPr>
                    <w:t>东厂界</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color w:val="auto"/>
                    </w:rPr>
                    <w:t>西厂界</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color w:val="auto"/>
                    </w:rPr>
                    <w:t>南厂界</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color w:val="auto"/>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91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color w:val="auto"/>
                    </w:rPr>
                    <w:t>贡献值叠加dB(A)</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lang w:val="en-US" w:eastAsia="zh-CN"/>
                    </w:rPr>
                  </w:pPr>
                  <w:r>
                    <w:rPr>
                      <w:rFonts w:hint="eastAsia"/>
                      <w:color w:val="auto"/>
                      <w:lang w:val="en-US" w:eastAsia="zh-CN"/>
                    </w:rPr>
                    <w:t>56.76</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lang w:val="en-US" w:eastAsia="zh-CN"/>
                    </w:rPr>
                  </w:pPr>
                  <w:r>
                    <w:rPr>
                      <w:rFonts w:hint="eastAsia"/>
                      <w:color w:val="auto"/>
                      <w:lang w:val="en-US" w:eastAsia="zh-CN"/>
                    </w:rPr>
                    <w:t>59.31</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lang w:val="en-US" w:eastAsia="zh-CN"/>
                    </w:rPr>
                  </w:pPr>
                  <w:r>
                    <w:rPr>
                      <w:rFonts w:hint="eastAsia"/>
                      <w:color w:val="auto"/>
                      <w:lang w:val="en-US" w:eastAsia="zh-CN"/>
                    </w:rPr>
                    <w:t>67.74</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lang w:val="en-US" w:eastAsia="zh-CN"/>
                    </w:rPr>
                  </w:pPr>
                  <w:r>
                    <w:rPr>
                      <w:rFonts w:hint="eastAsia"/>
                      <w:color w:val="auto"/>
                      <w:lang w:val="en-US" w:eastAsia="zh-CN"/>
                    </w:rPr>
                    <w:t>52.37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91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color w:val="auto"/>
                    </w:rPr>
                    <w:t>厂界结构隔声降噪</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hint="eastAsia"/>
                      <w:color w:val="auto"/>
                    </w:rPr>
                    <w:t>20</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hint="eastAsia"/>
                      <w:color w:val="auto"/>
                    </w:rPr>
                    <w:t>20</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hint="eastAsia"/>
                      <w:color w:val="auto"/>
                    </w:rPr>
                    <w:t>20</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hint="eastAsia"/>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91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color w:val="auto"/>
                    </w:rPr>
                    <w:t>隔声后贡献值叠加dB(A)</w:t>
                  </w:r>
                </w:p>
              </w:tc>
              <w:tc>
                <w:tcPr>
                  <w:tcW w:w="984" w:type="dxa"/>
                  <w:vAlign w:val="center"/>
                </w:tcPr>
                <w:p>
                  <w:pPr>
                    <w:keepNext w:val="0"/>
                    <w:keepLines w:val="0"/>
                    <w:widowControl/>
                    <w:suppressLineNumbers w:val="0"/>
                    <w:jc w:val="center"/>
                    <w:textAlignment w:val="center"/>
                    <w:rPr>
                      <w:rFonts w:hint="default"/>
                      <w:color w:val="auto"/>
                      <w:lang w:val="en-US" w:eastAsia="zh-CN"/>
                    </w:rPr>
                  </w:pPr>
                  <w:r>
                    <w:rPr>
                      <w:rFonts w:hint="default"/>
                      <w:color w:val="auto"/>
                      <w:lang w:val="en-US" w:eastAsia="zh-CN"/>
                    </w:rPr>
                    <w:t>36.76</w:t>
                  </w:r>
                </w:p>
              </w:tc>
              <w:tc>
                <w:tcPr>
                  <w:tcW w:w="984" w:type="dxa"/>
                  <w:vAlign w:val="center"/>
                </w:tcPr>
                <w:p>
                  <w:pPr>
                    <w:keepNext w:val="0"/>
                    <w:keepLines w:val="0"/>
                    <w:widowControl/>
                    <w:suppressLineNumbers w:val="0"/>
                    <w:jc w:val="center"/>
                    <w:textAlignment w:val="center"/>
                    <w:rPr>
                      <w:rFonts w:hint="default"/>
                      <w:color w:val="auto"/>
                      <w:lang w:val="en-US" w:eastAsia="zh-CN"/>
                    </w:rPr>
                  </w:pPr>
                  <w:r>
                    <w:rPr>
                      <w:rFonts w:hint="default"/>
                      <w:color w:val="auto"/>
                      <w:lang w:val="en-US" w:eastAsia="zh-CN"/>
                    </w:rPr>
                    <w:t>39.31</w:t>
                  </w:r>
                </w:p>
              </w:tc>
              <w:tc>
                <w:tcPr>
                  <w:tcW w:w="984" w:type="dxa"/>
                  <w:vAlign w:val="center"/>
                </w:tcPr>
                <w:p>
                  <w:pPr>
                    <w:keepNext w:val="0"/>
                    <w:keepLines w:val="0"/>
                    <w:widowControl/>
                    <w:suppressLineNumbers w:val="0"/>
                    <w:jc w:val="center"/>
                    <w:textAlignment w:val="center"/>
                    <w:rPr>
                      <w:rFonts w:hint="default"/>
                      <w:color w:val="auto"/>
                      <w:lang w:val="en-US" w:eastAsia="zh-CN"/>
                    </w:rPr>
                  </w:pPr>
                  <w:r>
                    <w:rPr>
                      <w:rFonts w:hint="default"/>
                      <w:color w:val="auto"/>
                      <w:lang w:val="en-US" w:eastAsia="zh-CN"/>
                    </w:rPr>
                    <w:t>47.74</w:t>
                  </w:r>
                </w:p>
              </w:tc>
              <w:tc>
                <w:tcPr>
                  <w:tcW w:w="988" w:type="dxa"/>
                  <w:vAlign w:val="center"/>
                </w:tcPr>
                <w:p>
                  <w:pPr>
                    <w:keepNext w:val="0"/>
                    <w:keepLines w:val="0"/>
                    <w:widowControl/>
                    <w:suppressLineNumbers w:val="0"/>
                    <w:jc w:val="center"/>
                    <w:textAlignment w:val="center"/>
                    <w:rPr>
                      <w:rFonts w:hint="default"/>
                      <w:color w:val="auto"/>
                      <w:lang w:val="en-US" w:eastAsia="zh-CN"/>
                    </w:rPr>
                  </w:pPr>
                  <w:r>
                    <w:rPr>
                      <w:rFonts w:hint="default"/>
                      <w:color w:val="auto"/>
                      <w:lang w:val="en-US" w:eastAsia="zh-CN"/>
                    </w:rPr>
                    <w:t>32.37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91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color w:val="auto"/>
                    </w:rPr>
                    <w:t>（GB12348-2008）标准的昼间值</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lang w:val="en-US" w:eastAsia="zh-CN"/>
                    </w:rPr>
                  </w:pPr>
                  <w:r>
                    <w:rPr>
                      <w:rFonts w:hint="eastAsia"/>
                      <w:color w:val="auto"/>
                      <w:lang w:val="en-US" w:eastAsia="zh-CN"/>
                    </w:rPr>
                    <w:t>60</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lang w:val="en-US" w:eastAsia="zh-CN"/>
                    </w:rPr>
                  </w:pPr>
                  <w:r>
                    <w:rPr>
                      <w:rFonts w:hint="eastAsia"/>
                      <w:color w:val="auto"/>
                      <w:lang w:val="en-US" w:eastAsia="zh-CN"/>
                    </w:rPr>
                    <w:t>60</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hint="eastAsia"/>
                      <w:color w:val="auto"/>
                      <w:lang w:val="en-US" w:eastAsia="zh-CN"/>
                    </w:rPr>
                    <w:t>60</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hint="eastAsia"/>
                      <w:color w:val="auto"/>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91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color w:val="auto"/>
                    </w:rPr>
                    <w:t>达标情况</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color w:val="auto"/>
                    </w:rPr>
                    <w:t>达标</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color w:val="auto"/>
                    </w:rPr>
                    <w:t>达标</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color w:val="auto"/>
                    </w:rPr>
                    <w:t>达标</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color w:val="auto"/>
                    </w:rPr>
                    <w:t>达标</w:t>
                  </w:r>
                </w:p>
              </w:tc>
            </w:tr>
          </w:tbl>
          <w:p>
            <w:pPr>
              <w:spacing w:line="360" w:lineRule="auto"/>
              <w:ind w:firstLine="480" w:firstLineChars="200"/>
              <w:rPr>
                <w:rFonts w:hint="eastAsia"/>
                <w:color w:val="auto"/>
                <w:sz w:val="24"/>
                <w:szCs w:val="24"/>
              </w:rPr>
            </w:pPr>
            <w:r>
              <w:rPr>
                <w:color w:val="auto"/>
                <w:sz w:val="24"/>
                <w:szCs w:val="24"/>
              </w:rPr>
              <w:t>由上表计算结果可知，项目在进行生产过程中，厂界结构隔声降噪，东、南、西、北厂界均符合《工业企业厂界环境噪声排放标准》（GB12348-2008）中</w:t>
            </w:r>
            <w:r>
              <w:rPr>
                <w:rFonts w:hint="eastAsia"/>
                <w:color w:val="auto"/>
                <w:sz w:val="24"/>
                <w:szCs w:val="24"/>
                <w:lang w:eastAsia="zh-CN"/>
              </w:rPr>
              <w:t>2类标准</w:t>
            </w:r>
            <w:r>
              <w:rPr>
                <w:rFonts w:hint="eastAsia"/>
                <w:color w:val="auto"/>
                <w:sz w:val="24"/>
                <w:szCs w:val="24"/>
              </w:rPr>
              <w:t>。本环评预测是在设备全部运行、各设备处于最大声级这一不利情况下进行预测，因此项目在实际运行过程中噪声对周边声环境影响比较小。</w:t>
            </w:r>
          </w:p>
          <w:p>
            <w:pPr>
              <w:pStyle w:val="63"/>
              <w:spacing w:line="360" w:lineRule="auto"/>
              <w:ind w:firstLine="480" w:firstLineChars="200"/>
              <w:jc w:val="both"/>
              <w:rPr>
                <w:color w:val="auto"/>
                <w:sz w:val="24"/>
                <w:szCs w:val="24"/>
              </w:rPr>
            </w:pPr>
            <w:r>
              <w:rPr>
                <w:color w:val="auto"/>
                <w:sz w:val="24"/>
                <w:szCs w:val="24"/>
              </w:rPr>
              <w:t>（3）环境监测计划</w:t>
            </w:r>
          </w:p>
          <w:p>
            <w:pPr>
              <w:adjustRightInd w:val="0"/>
              <w:snapToGrid w:val="0"/>
              <w:spacing w:line="360" w:lineRule="auto"/>
              <w:ind w:firstLine="480" w:firstLineChars="200"/>
              <w:rPr>
                <w:color w:val="auto"/>
              </w:rPr>
            </w:pPr>
            <w:r>
              <w:rPr>
                <w:color w:val="auto"/>
                <w:sz w:val="24"/>
                <w:szCs w:val="24"/>
              </w:rPr>
              <w:t>根据《排污单位自行监测技术指南  总则》（HJ819-2017）</w:t>
            </w:r>
            <w:r>
              <w:rPr>
                <w:rFonts w:hint="eastAsia"/>
                <w:color w:val="auto"/>
                <w:sz w:val="24"/>
                <w:szCs w:val="24"/>
                <w:lang w:eastAsia="zh-CN"/>
              </w:rPr>
              <w:t>，本项目</w:t>
            </w:r>
            <w:r>
              <w:rPr>
                <w:rFonts w:hint="eastAsia"/>
                <w:color w:val="auto"/>
                <w:sz w:val="24"/>
                <w:szCs w:val="24"/>
                <w:lang w:val="en-US" w:eastAsia="zh-CN"/>
              </w:rPr>
              <w:t>塑料制品</w:t>
            </w:r>
            <w:r>
              <w:rPr>
                <w:rFonts w:hint="eastAsia"/>
                <w:color w:val="auto"/>
                <w:sz w:val="24"/>
                <w:szCs w:val="24"/>
                <w:lang w:eastAsia="zh-CN"/>
              </w:rPr>
              <w:t>中的其他类，属于登记管理。</w:t>
            </w:r>
            <w:r>
              <w:rPr>
                <w:color w:val="auto"/>
                <w:sz w:val="24"/>
                <w:szCs w:val="24"/>
              </w:rPr>
              <w:t>运营过程中噪声监测计划如下表所示：</w:t>
            </w:r>
          </w:p>
          <w:p>
            <w:pPr>
              <w:jc w:val="center"/>
              <w:rPr>
                <w:color w:val="auto"/>
              </w:rPr>
            </w:pPr>
          </w:p>
          <w:p>
            <w:pPr>
              <w:jc w:val="center"/>
              <w:rPr>
                <w:color w:val="auto"/>
              </w:rPr>
            </w:pPr>
          </w:p>
          <w:p>
            <w:pPr>
              <w:jc w:val="center"/>
              <w:rPr>
                <w:color w:val="auto"/>
              </w:rPr>
            </w:pPr>
            <w:r>
              <w:rPr>
                <w:color w:val="auto"/>
              </w:rPr>
              <w:t>表4-</w:t>
            </w:r>
            <w:r>
              <w:rPr>
                <w:rFonts w:hint="eastAsia"/>
                <w:color w:val="auto"/>
                <w:lang w:val="en-US" w:eastAsia="zh-CN"/>
              </w:rPr>
              <w:t>7</w:t>
            </w:r>
            <w:r>
              <w:rPr>
                <w:color w:val="auto"/>
              </w:rPr>
              <w:t xml:space="preserve"> 本项目噪声监测计划</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981"/>
              <w:gridCol w:w="1214"/>
              <w:gridCol w:w="1884"/>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7" w:type="pct"/>
                  <w:shd w:val="clear" w:color="000000" w:fill="auto"/>
                  <w:noWrap w:val="0"/>
                  <w:vAlign w:val="center"/>
                </w:tcPr>
                <w:p>
                  <w:pPr>
                    <w:pStyle w:val="89"/>
                    <w:rPr>
                      <w:color w:val="auto"/>
                      <w:lang w:val="en-US" w:eastAsia="zh-CN"/>
                    </w:rPr>
                  </w:pPr>
                  <w:r>
                    <w:rPr>
                      <w:color w:val="auto"/>
                      <w:lang w:val="en-US" w:eastAsia="zh-CN"/>
                    </w:rPr>
                    <w:t>序号</w:t>
                  </w:r>
                </w:p>
              </w:tc>
              <w:tc>
                <w:tcPr>
                  <w:tcW w:w="1248" w:type="pct"/>
                  <w:shd w:val="clear" w:color="000000" w:fill="auto"/>
                  <w:noWrap w:val="0"/>
                  <w:vAlign w:val="center"/>
                </w:tcPr>
                <w:p>
                  <w:pPr>
                    <w:pStyle w:val="89"/>
                    <w:rPr>
                      <w:color w:val="auto"/>
                      <w:lang w:val="en-US" w:eastAsia="zh-CN"/>
                    </w:rPr>
                  </w:pPr>
                  <w:r>
                    <w:rPr>
                      <w:color w:val="auto"/>
                      <w:lang w:val="en-US" w:eastAsia="zh-CN"/>
                    </w:rPr>
                    <w:t>监测点位</w:t>
                  </w:r>
                </w:p>
              </w:tc>
              <w:tc>
                <w:tcPr>
                  <w:tcW w:w="764" w:type="pct"/>
                  <w:shd w:val="clear" w:color="000000" w:fill="auto"/>
                  <w:noWrap w:val="0"/>
                  <w:vAlign w:val="center"/>
                </w:tcPr>
                <w:p>
                  <w:pPr>
                    <w:pStyle w:val="89"/>
                    <w:rPr>
                      <w:color w:val="auto"/>
                      <w:lang w:val="en-US" w:eastAsia="zh-CN"/>
                    </w:rPr>
                  </w:pPr>
                  <w:r>
                    <w:rPr>
                      <w:color w:val="auto"/>
                      <w:lang w:val="en-US" w:eastAsia="zh-CN"/>
                    </w:rPr>
                    <w:t>监测频次</w:t>
                  </w:r>
                </w:p>
              </w:tc>
              <w:tc>
                <w:tcPr>
                  <w:tcW w:w="1186" w:type="pct"/>
                  <w:shd w:val="clear" w:color="000000" w:fill="auto"/>
                  <w:noWrap w:val="0"/>
                  <w:vAlign w:val="center"/>
                </w:tcPr>
                <w:p>
                  <w:pPr>
                    <w:pStyle w:val="89"/>
                    <w:rPr>
                      <w:color w:val="auto"/>
                      <w:lang w:val="en-US" w:eastAsia="zh-CN"/>
                    </w:rPr>
                  </w:pPr>
                  <w:r>
                    <w:rPr>
                      <w:color w:val="auto"/>
                      <w:lang w:val="en-US" w:eastAsia="zh-CN"/>
                    </w:rPr>
                    <w:t>标准限值</w:t>
                  </w:r>
                </w:p>
              </w:tc>
              <w:tc>
                <w:tcPr>
                  <w:tcW w:w="1382" w:type="pct"/>
                  <w:shd w:val="clear" w:color="000000" w:fill="auto"/>
                  <w:noWrap w:val="0"/>
                  <w:vAlign w:val="center"/>
                </w:tcPr>
                <w:p>
                  <w:pPr>
                    <w:pStyle w:val="89"/>
                    <w:rPr>
                      <w:color w:val="auto"/>
                      <w:lang w:val="en-US" w:eastAsia="zh-CN"/>
                    </w:rPr>
                  </w:pPr>
                  <w:r>
                    <w:rPr>
                      <w:color w:val="auto"/>
                      <w:lang w:val="en-US" w:eastAsia="zh-CN"/>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417" w:type="pct"/>
                  <w:shd w:val="clear" w:color="000000" w:fill="auto"/>
                  <w:noWrap w:val="0"/>
                  <w:vAlign w:val="center"/>
                </w:tcPr>
                <w:p>
                  <w:pPr>
                    <w:pStyle w:val="89"/>
                    <w:rPr>
                      <w:rFonts w:hint="default"/>
                      <w:color w:val="auto"/>
                      <w:lang w:val="en-US" w:eastAsia="zh-CN"/>
                    </w:rPr>
                  </w:pPr>
                  <w:r>
                    <w:rPr>
                      <w:rFonts w:hint="eastAsia"/>
                      <w:color w:val="auto"/>
                      <w:lang w:val="en-US" w:eastAsia="zh-CN"/>
                    </w:rPr>
                    <w:t>1</w:t>
                  </w:r>
                </w:p>
              </w:tc>
              <w:tc>
                <w:tcPr>
                  <w:tcW w:w="1248" w:type="pct"/>
                  <w:shd w:val="clear" w:color="000000" w:fill="auto"/>
                  <w:noWrap w:val="0"/>
                  <w:vAlign w:val="center"/>
                </w:tcPr>
                <w:p>
                  <w:pPr>
                    <w:pStyle w:val="89"/>
                    <w:rPr>
                      <w:color w:val="auto"/>
                      <w:lang w:val="en-US" w:eastAsia="zh-CN"/>
                    </w:rPr>
                  </w:pPr>
                  <w:r>
                    <w:rPr>
                      <w:rFonts w:hint="eastAsia"/>
                      <w:color w:val="auto"/>
                      <w:lang w:val="en-US" w:eastAsia="zh-CN"/>
                    </w:rPr>
                    <w:t>厂界</w:t>
                  </w:r>
                </w:p>
              </w:tc>
              <w:tc>
                <w:tcPr>
                  <w:tcW w:w="764" w:type="pct"/>
                  <w:shd w:val="clear" w:color="000000" w:fill="auto"/>
                  <w:noWrap w:val="0"/>
                  <w:vAlign w:val="center"/>
                </w:tcPr>
                <w:p>
                  <w:pPr>
                    <w:pStyle w:val="89"/>
                    <w:rPr>
                      <w:color w:val="auto"/>
                      <w:lang w:val="en-US" w:eastAsia="zh-CN"/>
                    </w:rPr>
                  </w:pPr>
                  <w:r>
                    <w:rPr>
                      <w:color w:val="auto"/>
                      <w:lang w:val="en-US" w:eastAsia="zh-CN"/>
                    </w:rPr>
                    <w:t>1</w:t>
                  </w:r>
                  <w:r>
                    <w:rPr>
                      <w:rFonts w:hint="eastAsia"/>
                      <w:color w:val="auto"/>
                      <w:lang w:val="en-US" w:eastAsia="zh-CN"/>
                    </w:rPr>
                    <w:t>次</w:t>
                  </w:r>
                  <w:r>
                    <w:rPr>
                      <w:color w:val="auto"/>
                      <w:lang w:val="en-US" w:eastAsia="zh-CN"/>
                    </w:rPr>
                    <w:t>/</w:t>
                  </w:r>
                  <w:r>
                    <w:rPr>
                      <w:rFonts w:hint="eastAsia"/>
                      <w:color w:val="auto"/>
                      <w:lang w:val="en-US" w:eastAsia="zh-CN"/>
                    </w:rPr>
                    <w:t>季</w:t>
                  </w:r>
                </w:p>
              </w:tc>
              <w:tc>
                <w:tcPr>
                  <w:tcW w:w="1186" w:type="pct"/>
                  <w:shd w:val="clear" w:color="000000" w:fill="auto"/>
                  <w:noWrap w:val="0"/>
                  <w:vAlign w:val="center"/>
                </w:tcPr>
                <w:p>
                  <w:pPr>
                    <w:pStyle w:val="89"/>
                    <w:rPr>
                      <w:color w:val="auto"/>
                      <w:lang w:val="en-US" w:eastAsia="zh-CN"/>
                    </w:rPr>
                  </w:pPr>
                  <w:r>
                    <w:rPr>
                      <w:color w:val="auto"/>
                      <w:lang w:val="en-US" w:eastAsia="zh-CN"/>
                    </w:rPr>
                    <w:t>昼间≤6</w:t>
                  </w:r>
                  <w:r>
                    <w:rPr>
                      <w:rFonts w:hint="eastAsia"/>
                      <w:color w:val="auto"/>
                      <w:lang w:val="en-US" w:eastAsia="zh-CN"/>
                    </w:rPr>
                    <w:t>0</w:t>
                  </w:r>
                  <w:r>
                    <w:rPr>
                      <w:color w:val="auto"/>
                      <w:lang w:val="en-US" w:eastAsia="zh-CN"/>
                    </w:rPr>
                    <w:t>dB(A)，夜间≤5</w:t>
                  </w:r>
                  <w:r>
                    <w:rPr>
                      <w:rFonts w:hint="eastAsia"/>
                      <w:color w:val="auto"/>
                      <w:lang w:val="en-US" w:eastAsia="zh-CN"/>
                    </w:rPr>
                    <w:t>0</w:t>
                  </w:r>
                  <w:r>
                    <w:rPr>
                      <w:color w:val="auto"/>
                      <w:lang w:val="en-US" w:eastAsia="zh-CN"/>
                    </w:rPr>
                    <w:t>dB(A)</w:t>
                  </w:r>
                </w:p>
              </w:tc>
              <w:tc>
                <w:tcPr>
                  <w:tcW w:w="1382" w:type="pct"/>
                  <w:shd w:val="clear" w:color="000000" w:fill="auto"/>
                  <w:noWrap w:val="0"/>
                  <w:vAlign w:val="center"/>
                </w:tcPr>
                <w:p>
                  <w:pPr>
                    <w:pStyle w:val="89"/>
                    <w:rPr>
                      <w:color w:val="auto"/>
                      <w:lang w:val="en-US" w:eastAsia="zh-CN"/>
                    </w:rPr>
                  </w:pPr>
                  <w:r>
                    <w:rPr>
                      <w:color w:val="auto"/>
                      <w:lang w:val="en-US" w:eastAsia="zh-CN"/>
                    </w:rPr>
                    <w:t>《工业企业厂界环境噪声排放标准》（GB12348-2008）</w:t>
                  </w:r>
                  <w:r>
                    <w:rPr>
                      <w:rFonts w:hint="eastAsia"/>
                      <w:color w:val="auto"/>
                      <w:lang w:val="en-US" w:eastAsia="zh-CN"/>
                    </w:rPr>
                    <w:t>2类</w:t>
                  </w:r>
                  <w:r>
                    <w:rPr>
                      <w:color w:val="auto"/>
                      <w:lang w:val="en-US" w:eastAsia="zh-CN"/>
                    </w:rPr>
                    <w:t>标准</w:t>
                  </w:r>
                </w:p>
              </w:tc>
            </w:tr>
          </w:tbl>
          <w:p>
            <w:pPr>
              <w:pStyle w:val="5"/>
              <w:rPr>
                <w:color w:val="auto"/>
                <w:sz w:val="24"/>
                <w:szCs w:val="24"/>
              </w:rPr>
            </w:pPr>
            <w:r>
              <w:rPr>
                <w:color w:val="auto"/>
                <w:sz w:val="24"/>
                <w:szCs w:val="24"/>
              </w:rPr>
              <w:t>4.2.5固体废物环境影响分析</w:t>
            </w:r>
          </w:p>
          <w:p>
            <w:pPr>
              <w:pStyle w:val="8"/>
              <w:snapToGrid w:val="0"/>
              <w:spacing w:line="480" w:lineRule="exact"/>
              <w:ind w:firstLine="480" w:firstLineChars="200"/>
              <w:rPr>
                <w:color w:val="auto"/>
                <w:sz w:val="24"/>
                <w:szCs w:val="24"/>
              </w:rPr>
            </w:pPr>
            <w:r>
              <w:rPr>
                <w:color w:val="auto"/>
                <w:sz w:val="24"/>
                <w:szCs w:val="24"/>
              </w:rPr>
              <w:t>根据对本项目的固体废弃物产生环节的分析，本项目固废主要为生产固废和生活垃圾。</w:t>
            </w:r>
          </w:p>
          <w:p>
            <w:pPr>
              <w:pStyle w:val="8"/>
              <w:snapToGrid w:val="0"/>
              <w:spacing w:line="480" w:lineRule="exact"/>
              <w:ind w:firstLine="480" w:firstLineChars="200"/>
              <w:rPr>
                <w:color w:val="auto"/>
                <w:sz w:val="24"/>
                <w:szCs w:val="24"/>
              </w:rPr>
            </w:pPr>
            <w:r>
              <w:rPr>
                <w:color w:val="auto"/>
                <w:sz w:val="24"/>
                <w:szCs w:val="24"/>
              </w:rPr>
              <w:t>生产固废：</w:t>
            </w:r>
          </w:p>
          <w:p>
            <w:pPr>
              <w:pStyle w:val="8"/>
              <w:snapToGrid w:val="0"/>
              <w:spacing w:line="480" w:lineRule="exact"/>
              <w:ind w:firstLine="480" w:firstLineChars="200"/>
              <w:rPr>
                <w:color w:val="auto"/>
                <w:sz w:val="24"/>
                <w:szCs w:val="24"/>
              </w:rPr>
            </w:pPr>
            <w:r>
              <w:rPr>
                <w:rFonts w:hint="eastAsia"/>
                <w:color w:val="auto"/>
                <w:sz w:val="24"/>
                <w:szCs w:val="24"/>
              </w:rPr>
              <w:t>①</w:t>
            </w:r>
            <w:r>
              <w:rPr>
                <w:rFonts w:hint="eastAsia"/>
                <w:color w:val="auto"/>
                <w:sz w:val="24"/>
                <w:szCs w:val="24"/>
                <w:lang w:eastAsia="zh-CN"/>
              </w:rPr>
              <w:t>废包装袋</w:t>
            </w:r>
            <w:r>
              <w:rPr>
                <w:color w:val="auto"/>
                <w:sz w:val="24"/>
                <w:szCs w:val="24"/>
              </w:rPr>
              <w:t>：</w:t>
            </w:r>
            <w:r>
              <w:rPr>
                <w:rFonts w:hint="eastAsia"/>
                <w:color w:val="auto"/>
                <w:sz w:val="24"/>
                <w:szCs w:val="24"/>
                <w:lang w:eastAsia="zh-CN"/>
              </w:rPr>
              <w:t>本项目在生产过程中，</w:t>
            </w:r>
            <w:r>
              <w:rPr>
                <w:rFonts w:hint="eastAsia"/>
                <w:color w:val="auto"/>
                <w:sz w:val="24"/>
                <w:szCs w:val="24"/>
                <w:lang w:val="en-US" w:eastAsia="zh-CN"/>
              </w:rPr>
              <w:t>产生聚乙烯、母料的包装袋</w:t>
            </w:r>
            <w:r>
              <w:rPr>
                <w:color w:val="auto"/>
                <w:sz w:val="24"/>
                <w:szCs w:val="24"/>
              </w:rPr>
              <w:t>，</w:t>
            </w:r>
            <w:r>
              <w:rPr>
                <w:rFonts w:hint="eastAsia"/>
                <w:color w:val="auto"/>
                <w:sz w:val="24"/>
                <w:szCs w:val="24"/>
                <w:lang w:eastAsia="zh-CN"/>
              </w:rPr>
              <w:t>废包装袋</w:t>
            </w:r>
            <w:r>
              <w:rPr>
                <w:color w:val="auto"/>
                <w:sz w:val="24"/>
                <w:szCs w:val="24"/>
              </w:rPr>
              <w:t>的产生量</w:t>
            </w:r>
            <w:r>
              <w:rPr>
                <w:rFonts w:hint="eastAsia"/>
                <w:color w:val="auto"/>
                <w:sz w:val="24"/>
                <w:szCs w:val="24"/>
                <w:lang w:eastAsia="zh-CN"/>
              </w:rPr>
              <w:t>约</w:t>
            </w:r>
            <w:r>
              <w:rPr>
                <w:color w:val="auto"/>
                <w:sz w:val="24"/>
                <w:szCs w:val="24"/>
              </w:rPr>
              <w:t>为</w:t>
            </w:r>
            <w:r>
              <w:rPr>
                <w:rFonts w:hint="eastAsia"/>
                <w:color w:val="auto"/>
                <w:sz w:val="24"/>
                <w:szCs w:val="24"/>
                <w:lang w:val="en-US" w:eastAsia="zh-CN"/>
              </w:rPr>
              <w:t>2000个，大约0.2</w:t>
            </w:r>
            <w:r>
              <w:rPr>
                <w:color w:val="auto"/>
                <w:sz w:val="24"/>
                <w:szCs w:val="24"/>
              </w:rPr>
              <w:t>t/a。且为一般固体废物，堆放在厂区一般固体废物</w:t>
            </w:r>
            <w:r>
              <w:rPr>
                <w:rFonts w:hint="eastAsia"/>
                <w:color w:val="auto"/>
                <w:sz w:val="24"/>
                <w:szCs w:val="24"/>
              </w:rPr>
              <w:t>暂存场</w:t>
            </w:r>
            <w:r>
              <w:rPr>
                <w:color w:val="auto"/>
                <w:sz w:val="24"/>
                <w:szCs w:val="24"/>
              </w:rPr>
              <w:t>定期外售至废品站。</w:t>
            </w:r>
          </w:p>
          <w:p>
            <w:pPr>
              <w:pStyle w:val="8"/>
              <w:snapToGrid w:val="0"/>
              <w:spacing w:line="480" w:lineRule="exact"/>
              <w:ind w:firstLine="480" w:firstLineChars="200"/>
              <w:rPr>
                <w:rFonts w:hint="eastAsia"/>
                <w:color w:val="auto"/>
                <w:sz w:val="24"/>
                <w:szCs w:val="24"/>
                <w:lang w:eastAsia="zh-CN"/>
              </w:rPr>
            </w:pPr>
            <w:r>
              <w:rPr>
                <w:rFonts w:hint="eastAsia"/>
                <w:color w:val="auto"/>
                <w:sz w:val="24"/>
                <w:szCs w:val="24"/>
              </w:rPr>
              <w:t>②</w:t>
            </w:r>
            <w:r>
              <w:rPr>
                <w:rFonts w:hint="eastAsia"/>
                <w:color w:val="auto"/>
                <w:sz w:val="24"/>
                <w:szCs w:val="24"/>
                <w:lang w:eastAsia="zh-CN"/>
              </w:rPr>
              <w:t>下脚料</w:t>
            </w:r>
          </w:p>
          <w:p>
            <w:pPr>
              <w:pStyle w:val="8"/>
              <w:snapToGrid w:val="0"/>
              <w:spacing w:line="480" w:lineRule="exact"/>
              <w:ind w:firstLine="480" w:firstLineChars="200"/>
              <w:rPr>
                <w:rFonts w:hint="eastAsia"/>
                <w:color w:val="auto"/>
                <w:sz w:val="24"/>
                <w:szCs w:val="24"/>
                <w:lang w:eastAsia="zh-CN"/>
              </w:rPr>
            </w:pPr>
            <w:r>
              <w:rPr>
                <w:color w:val="auto"/>
                <w:sz w:val="24"/>
                <w:szCs w:val="24"/>
              </w:rPr>
              <w:t>本项目</w:t>
            </w:r>
            <w:r>
              <w:rPr>
                <w:rFonts w:hint="eastAsia"/>
                <w:color w:val="auto"/>
                <w:sz w:val="24"/>
                <w:szCs w:val="24"/>
                <w:lang w:eastAsia="zh-CN"/>
              </w:rPr>
              <w:t>分切时会产生下脚料</w:t>
            </w:r>
            <w:r>
              <w:rPr>
                <w:color w:val="auto"/>
                <w:sz w:val="24"/>
                <w:szCs w:val="24"/>
              </w:rPr>
              <w:t>，约</w:t>
            </w:r>
            <w:r>
              <w:rPr>
                <w:rFonts w:hint="eastAsia"/>
                <w:color w:val="auto"/>
                <w:sz w:val="24"/>
                <w:szCs w:val="24"/>
                <w:lang w:val="en-US" w:eastAsia="zh-CN"/>
              </w:rPr>
              <w:t>为产量的3%，约3t</w:t>
            </w:r>
            <w:r>
              <w:rPr>
                <w:color w:val="auto"/>
                <w:sz w:val="24"/>
                <w:szCs w:val="24"/>
              </w:rPr>
              <w:t>/a。</w:t>
            </w:r>
            <w:r>
              <w:rPr>
                <w:rFonts w:hint="eastAsia"/>
                <w:color w:val="auto"/>
                <w:sz w:val="24"/>
                <w:szCs w:val="24"/>
              </w:rPr>
              <w:t xml:space="preserve"> </w:t>
            </w:r>
            <w:r>
              <w:rPr>
                <w:rFonts w:hint="eastAsia"/>
                <w:color w:val="auto"/>
                <w:sz w:val="24"/>
                <w:szCs w:val="24"/>
                <w:lang w:val="en-US" w:eastAsia="zh-CN"/>
              </w:rPr>
              <w:t>下脚料储存在一般固体废物间，定期外售</w:t>
            </w:r>
            <w:r>
              <w:rPr>
                <w:rFonts w:hint="eastAsia"/>
                <w:color w:val="auto"/>
                <w:sz w:val="24"/>
                <w:szCs w:val="24"/>
                <w:lang w:eastAsia="zh-CN"/>
              </w:rPr>
              <w:t>。</w:t>
            </w:r>
          </w:p>
          <w:p>
            <w:pPr>
              <w:pStyle w:val="8"/>
              <w:snapToGrid w:val="0"/>
              <w:spacing w:line="480" w:lineRule="exact"/>
              <w:ind w:firstLine="480" w:firstLineChars="200"/>
              <w:rPr>
                <w:color w:val="auto"/>
                <w:sz w:val="24"/>
                <w:szCs w:val="24"/>
              </w:rPr>
            </w:pPr>
            <w:r>
              <w:rPr>
                <w:rFonts w:hint="eastAsia"/>
                <w:color w:val="auto"/>
                <w:sz w:val="24"/>
                <w:szCs w:val="24"/>
              </w:rPr>
              <w:t>③</w:t>
            </w:r>
            <w:r>
              <w:rPr>
                <w:color w:val="auto"/>
                <w:sz w:val="24"/>
                <w:szCs w:val="24"/>
              </w:rPr>
              <w:t>废</w:t>
            </w:r>
            <w:r>
              <w:rPr>
                <w:rFonts w:hint="eastAsia"/>
                <w:color w:val="auto"/>
                <w:sz w:val="24"/>
                <w:szCs w:val="24"/>
                <w:lang w:eastAsia="zh-CN"/>
              </w:rPr>
              <w:t>活性炭</w:t>
            </w:r>
          </w:p>
          <w:p>
            <w:pPr>
              <w:pStyle w:val="8"/>
              <w:snapToGrid w:val="0"/>
              <w:spacing w:line="480" w:lineRule="exact"/>
              <w:ind w:firstLine="480" w:firstLineChars="200"/>
              <w:rPr>
                <w:rFonts w:hint="eastAsia"/>
                <w:color w:val="auto"/>
                <w:sz w:val="24"/>
                <w:szCs w:val="24"/>
                <w:lang w:eastAsia="zh-CN"/>
              </w:rPr>
            </w:pPr>
            <w:r>
              <w:rPr>
                <w:color w:val="auto"/>
                <w:sz w:val="24"/>
                <w:szCs w:val="24"/>
              </w:rPr>
              <w:t>废气处理过程中产生的</w:t>
            </w:r>
            <w:r>
              <w:rPr>
                <w:rFonts w:hint="eastAsia"/>
                <w:color w:val="auto"/>
                <w:sz w:val="24"/>
                <w:szCs w:val="24"/>
                <w:lang w:eastAsia="zh-CN"/>
              </w:rPr>
              <w:t>废活性炭</w:t>
            </w:r>
          </w:p>
          <w:p>
            <w:pPr>
              <w:pStyle w:val="8"/>
              <w:snapToGrid w:val="0"/>
              <w:spacing w:line="480" w:lineRule="exact"/>
              <w:ind w:firstLine="480" w:firstLineChars="200"/>
              <w:rPr>
                <w:rFonts w:hint="eastAsia"/>
                <w:color w:val="auto"/>
                <w:sz w:val="24"/>
                <w:szCs w:val="24"/>
                <w:lang w:eastAsia="zh-CN"/>
              </w:rPr>
            </w:pPr>
            <w:r>
              <w:rPr>
                <w:color w:val="auto"/>
                <w:sz w:val="24"/>
                <w:szCs w:val="24"/>
              </w:rPr>
              <w:t>废气处理过程中产生</w:t>
            </w:r>
            <w:r>
              <w:rPr>
                <w:rFonts w:hint="eastAsia"/>
                <w:color w:val="auto"/>
                <w:sz w:val="24"/>
                <w:szCs w:val="24"/>
                <w:lang w:eastAsia="zh-CN"/>
              </w:rPr>
              <w:t>废活性炭</w:t>
            </w:r>
            <w:r>
              <w:rPr>
                <w:color w:val="auto"/>
                <w:sz w:val="24"/>
                <w:szCs w:val="24"/>
              </w:rPr>
              <w:t>，根据建设单位提供的资料，</w:t>
            </w:r>
            <w:r>
              <w:rPr>
                <w:rFonts w:hint="eastAsia"/>
                <w:color w:val="auto"/>
                <w:sz w:val="24"/>
                <w:szCs w:val="24"/>
                <w:lang w:eastAsia="zh-CN"/>
              </w:rPr>
              <w:t>塑化发泡挤出</w:t>
            </w:r>
            <w:r>
              <w:rPr>
                <w:color w:val="auto"/>
                <w:sz w:val="24"/>
                <w:szCs w:val="24"/>
              </w:rPr>
              <w:t>废气</w:t>
            </w:r>
            <w:r>
              <w:rPr>
                <w:rFonts w:hint="eastAsia"/>
                <w:color w:val="auto"/>
                <w:sz w:val="24"/>
                <w:szCs w:val="24"/>
                <w:lang w:eastAsia="zh-CN"/>
              </w:rPr>
              <w:t>通过UV光氧+活性炭吸附</w:t>
            </w:r>
            <w:r>
              <w:rPr>
                <w:rFonts w:hint="eastAsia"/>
                <w:color w:val="auto"/>
                <w:sz w:val="24"/>
                <w:szCs w:val="24"/>
                <w:lang w:val="en-US" w:eastAsia="zh-CN"/>
              </w:rPr>
              <w:t>装置处理，非甲烷总烃</w:t>
            </w:r>
            <w:r>
              <w:rPr>
                <w:rFonts w:hint="eastAsia"/>
                <w:color w:val="auto"/>
                <w:sz w:val="24"/>
                <w:szCs w:val="24"/>
                <w:lang w:eastAsia="zh-CN"/>
              </w:rPr>
              <w:t>去除量</w:t>
            </w:r>
            <w:r>
              <w:rPr>
                <w:rFonts w:hint="eastAsia"/>
                <w:color w:val="auto"/>
                <w:sz w:val="24"/>
                <w:szCs w:val="24"/>
                <w:lang w:val="en-US" w:eastAsia="zh-CN"/>
              </w:rPr>
              <w:t>约</w:t>
            </w:r>
            <w:r>
              <w:rPr>
                <w:rFonts w:hint="eastAsia"/>
                <w:color w:val="auto"/>
                <w:sz w:val="24"/>
                <w:szCs w:val="24"/>
                <w:lang w:eastAsia="zh-CN"/>
              </w:rPr>
              <w:t>为0.</w:t>
            </w:r>
            <w:r>
              <w:rPr>
                <w:rFonts w:hint="eastAsia"/>
                <w:color w:val="auto"/>
                <w:sz w:val="24"/>
                <w:szCs w:val="24"/>
                <w:lang w:val="en-US" w:eastAsia="zh-CN"/>
              </w:rPr>
              <w:t>16</w:t>
            </w:r>
            <w:r>
              <w:rPr>
                <w:rFonts w:hint="eastAsia"/>
                <w:color w:val="auto"/>
                <w:sz w:val="24"/>
                <w:szCs w:val="24"/>
                <w:lang w:eastAsia="zh-CN"/>
              </w:rPr>
              <w:t>t</w:t>
            </w:r>
            <w:r>
              <w:rPr>
                <w:rFonts w:hint="eastAsia"/>
                <w:color w:val="auto"/>
                <w:sz w:val="24"/>
                <w:szCs w:val="24"/>
              </w:rPr>
              <w:t>/a</w:t>
            </w:r>
            <w:r>
              <w:rPr>
                <w:rFonts w:hint="eastAsia"/>
                <w:color w:val="auto"/>
                <w:sz w:val="24"/>
                <w:szCs w:val="24"/>
                <w:lang w:eastAsia="zh-CN"/>
              </w:rPr>
              <w:t>，</w:t>
            </w:r>
            <w:r>
              <w:rPr>
                <w:rFonts w:hint="eastAsia"/>
                <w:color w:val="auto"/>
                <w:sz w:val="24"/>
                <w:szCs w:val="24"/>
                <w:lang w:val="en-US" w:eastAsia="zh-CN"/>
              </w:rPr>
              <w:t>其中活性炭吸附量按照总去除量的一半计算</w:t>
            </w:r>
            <w:r>
              <w:rPr>
                <w:rFonts w:hint="eastAsia"/>
                <w:color w:val="auto"/>
                <w:sz w:val="24"/>
                <w:szCs w:val="24"/>
              </w:rPr>
              <w:t>。</w:t>
            </w:r>
            <w:r>
              <w:rPr>
                <w:rFonts w:hint="eastAsia"/>
                <w:color w:val="auto"/>
                <w:sz w:val="24"/>
                <w:szCs w:val="24"/>
                <w:lang w:val="en-US" w:eastAsia="zh-CN"/>
              </w:rPr>
              <w:t>活性炭吸附容量按照0.3计，则废活性炭产生量为0.26t</w:t>
            </w:r>
            <w:r>
              <w:rPr>
                <w:rFonts w:hint="eastAsia"/>
                <w:color w:val="auto"/>
                <w:sz w:val="24"/>
                <w:szCs w:val="24"/>
              </w:rPr>
              <w:t>/a。</w:t>
            </w:r>
            <w:r>
              <w:rPr>
                <w:rFonts w:hint="eastAsia"/>
                <w:color w:val="auto"/>
                <w:sz w:val="24"/>
                <w:szCs w:val="24"/>
                <w:lang w:eastAsia="zh-CN"/>
              </w:rPr>
              <w:t>危险废物代码为900-0</w:t>
            </w:r>
            <w:r>
              <w:rPr>
                <w:rFonts w:hint="eastAsia"/>
                <w:color w:val="auto"/>
                <w:sz w:val="24"/>
                <w:szCs w:val="24"/>
                <w:lang w:val="en-US" w:eastAsia="zh-CN"/>
              </w:rPr>
              <w:t>39</w:t>
            </w:r>
            <w:r>
              <w:rPr>
                <w:rFonts w:hint="eastAsia"/>
                <w:color w:val="auto"/>
                <w:sz w:val="24"/>
                <w:szCs w:val="24"/>
                <w:lang w:eastAsia="zh-CN"/>
              </w:rPr>
              <w:t>-49，属于烟气、VOCs 治理过程（不包括餐饮行业油烟治理过程）产生的废活性炭。</w:t>
            </w:r>
            <w:r>
              <w:rPr>
                <w:color w:val="auto"/>
                <w:sz w:val="24"/>
                <w:szCs w:val="24"/>
              </w:rPr>
              <w:t>由建设方集中收集至危废暂存场所，交由有资质的单位处置</w:t>
            </w:r>
            <w:r>
              <w:rPr>
                <w:rFonts w:hint="eastAsia"/>
                <w:color w:val="auto"/>
                <w:sz w:val="24"/>
                <w:szCs w:val="24"/>
                <w:lang w:eastAsia="zh-CN"/>
              </w:rPr>
              <w:t>。</w:t>
            </w:r>
          </w:p>
          <w:p>
            <w:pPr>
              <w:pStyle w:val="8"/>
              <w:snapToGrid w:val="0"/>
              <w:spacing w:line="480" w:lineRule="exact"/>
              <w:ind w:firstLine="480" w:firstLineChars="200"/>
              <w:rPr>
                <w:rFonts w:hint="default"/>
                <w:color w:val="auto"/>
                <w:sz w:val="24"/>
                <w:szCs w:val="24"/>
                <w:lang w:val="en-US" w:eastAsia="zh-CN"/>
              </w:rPr>
            </w:pPr>
            <w:r>
              <w:rPr>
                <w:color w:val="auto"/>
                <w:sz w:val="24"/>
                <w:szCs w:val="24"/>
              </w:rPr>
              <w:fldChar w:fldCharType="begin"/>
            </w:r>
            <w:r>
              <w:rPr>
                <w:color w:val="auto"/>
                <w:sz w:val="24"/>
                <w:szCs w:val="24"/>
              </w:rPr>
              <w:instrText xml:space="preserve"> = 4 \* GB3 \* MERGEFORMAT </w:instrText>
            </w:r>
            <w:r>
              <w:rPr>
                <w:color w:val="auto"/>
                <w:sz w:val="24"/>
                <w:szCs w:val="24"/>
              </w:rPr>
              <w:fldChar w:fldCharType="separate"/>
            </w:r>
            <w:r>
              <w:rPr>
                <w:color w:val="auto"/>
                <w:sz w:val="24"/>
                <w:szCs w:val="24"/>
              </w:rPr>
              <w:t>④</w:t>
            </w:r>
            <w:r>
              <w:rPr>
                <w:color w:val="auto"/>
                <w:sz w:val="24"/>
                <w:szCs w:val="24"/>
              </w:rPr>
              <w:fldChar w:fldCharType="end"/>
            </w:r>
            <w:r>
              <w:rPr>
                <w:rFonts w:hint="eastAsia"/>
                <w:color w:val="auto"/>
                <w:sz w:val="24"/>
                <w:szCs w:val="24"/>
                <w:lang w:val="en-US" w:eastAsia="zh-CN"/>
              </w:rPr>
              <w:t>废UV灯管</w:t>
            </w:r>
          </w:p>
          <w:p>
            <w:pPr>
              <w:pStyle w:val="8"/>
              <w:snapToGrid w:val="0"/>
              <w:spacing w:line="480" w:lineRule="exact"/>
              <w:ind w:firstLine="480" w:firstLineChars="200"/>
              <w:rPr>
                <w:rFonts w:hint="eastAsia"/>
                <w:color w:val="auto"/>
                <w:sz w:val="24"/>
                <w:szCs w:val="24"/>
                <w:lang w:eastAsia="zh-CN"/>
              </w:rPr>
            </w:pPr>
            <w:r>
              <w:rPr>
                <w:color w:val="auto"/>
                <w:sz w:val="24"/>
                <w:szCs w:val="24"/>
              </w:rPr>
              <w:t>废气处理过程中产生</w:t>
            </w:r>
            <w:r>
              <w:rPr>
                <w:rFonts w:hint="eastAsia"/>
                <w:color w:val="auto"/>
                <w:sz w:val="24"/>
                <w:szCs w:val="24"/>
                <w:lang w:eastAsia="zh-CN"/>
              </w:rPr>
              <w:t>废UV灯管</w:t>
            </w:r>
            <w:r>
              <w:rPr>
                <w:color w:val="auto"/>
                <w:sz w:val="24"/>
                <w:szCs w:val="24"/>
              </w:rPr>
              <w:t>，根据建设单位提供的资料，</w:t>
            </w:r>
            <w:r>
              <w:rPr>
                <w:rFonts w:hint="eastAsia"/>
                <w:color w:val="auto"/>
                <w:sz w:val="24"/>
                <w:szCs w:val="24"/>
                <w:lang w:val="en-US" w:eastAsia="zh-CN"/>
              </w:rPr>
              <w:t>每年更换的UV灯管为40支</w:t>
            </w:r>
            <w:r>
              <w:rPr>
                <w:rFonts w:hint="eastAsia"/>
                <w:color w:val="auto"/>
                <w:sz w:val="24"/>
                <w:szCs w:val="24"/>
              </w:rPr>
              <w:t>/a。</w:t>
            </w:r>
            <w:r>
              <w:rPr>
                <w:rFonts w:hint="eastAsia"/>
                <w:color w:val="auto"/>
                <w:sz w:val="24"/>
                <w:szCs w:val="24"/>
                <w:lang w:eastAsia="zh-CN"/>
              </w:rPr>
              <w:t>危险废物代码为900-023-29，属于生产、销售及使用过程中产生的废含汞荧光灯管及其他废含汞电光源。</w:t>
            </w:r>
            <w:r>
              <w:rPr>
                <w:color w:val="auto"/>
                <w:sz w:val="24"/>
                <w:szCs w:val="24"/>
              </w:rPr>
              <w:t>由建设方集中收集至危废暂存场所，交由有资质的单位处置</w:t>
            </w:r>
            <w:r>
              <w:rPr>
                <w:rFonts w:hint="eastAsia"/>
                <w:color w:val="auto"/>
                <w:sz w:val="24"/>
                <w:szCs w:val="24"/>
                <w:lang w:eastAsia="zh-CN"/>
              </w:rPr>
              <w:t>。</w:t>
            </w:r>
          </w:p>
          <w:p>
            <w:pPr>
              <w:pStyle w:val="8"/>
              <w:snapToGrid w:val="0"/>
              <w:spacing w:line="480" w:lineRule="exact"/>
              <w:ind w:firstLine="480" w:firstLineChars="200"/>
              <w:rPr>
                <w:color w:val="auto"/>
                <w:sz w:val="24"/>
                <w:szCs w:val="24"/>
              </w:rPr>
            </w:pPr>
            <w:r>
              <w:rPr>
                <w:color w:val="auto"/>
                <w:sz w:val="24"/>
                <w:szCs w:val="24"/>
              </w:rPr>
              <w:t>生活垃圾：</w:t>
            </w:r>
          </w:p>
          <w:p>
            <w:pPr>
              <w:pStyle w:val="8"/>
              <w:snapToGrid w:val="0"/>
              <w:spacing w:line="480" w:lineRule="exact"/>
              <w:ind w:firstLine="480" w:firstLineChars="200"/>
              <w:rPr>
                <w:color w:val="auto"/>
                <w:sz w:val="24"/>
                <w:szCs w:val="24"/>
              </w:rPr>
            </w:pPr>
            <w:r>
              <w:rPr>
                <w:color w:val="auto"/>
                <w:sz w:val="24"/>
                <w:szCs w:val="24"/>
              </w:rPr>
              <w:t>项目生活垃圾产生量按</w:t>
            </w:r>
            <w:r>
              <w:rPr>
                <w:rFonts w:hint="eastAsia"/>
                <w:color w:val="auto"/>
                <w:sz w:val="24"/>
                <w:szCs w:val="24"/>
                <w:lang w:val="en-US" w:eastAsia="zh-CN"/>
              </w:rPr>
              <w:t>0.54</w:t>
            </w:r>
            <w:r>
              <w:rPr>
                <w:color w:val="auto"/>
                <w:sz w:val="24"/>
                <w:szCs w:val="24"/>
              </w:rPr>
              <w:t>kg/人·d计，本项目劳动定员为</w:t>
            </w:r>
            <w:r>
              <w:rPr>
                <w:rFonts w:hint="eastAsia"/>
                <w:color w:val="auto"/>
                <w:sz w:val="24"/>
                <w:szCs w:val="24"/>
                <w:lang w:val="en-US" w:eastAsia="zh-CN"/>
              </w:rPr>
              <w:t>5</w:t>
            </w:r>
            <w:r>
              <w:rPr>
                <w:rFonts w:hint="eastAsia"/>
                <w:color w:val="auto"/>
                <w:sz w:val="24"/>
                <w:szCs w:val="24"/>
                <w:lang w:eastAsia="zh-CN"/>
              </w:rPr>
              <w:t>人</w:t>
            </w:r>
            <w:r>
              <w:rPr>
                <w:color w:val="auto"/>
                <w:sz w:val="24"/>
                <w:szCs w:val="24"/>
              </w:rPr>
              <w:t>，则生活垃圾产生量为</w:t>
            </w:r>
            <w:r>
              <w:rPr>
                <w:rFonts w:hint="eastAsia"/>
                <w:color w:val="auto"/>
                <w:sz w:val="24"/>
                <w:szCs w:val="24"/>
                <w:lang w:val="en-US" w:eastAsia="zh-CN"/>
              </w:rPr>
              <w:t>2.7</w:t>
            </w:r>
            <w:r>
              <w:rPr>
                <w:color w:val="auto"/>
                <w:sz w:val="24"/>
                <w:szCs w:val="24"/>
              </w:rPr>
              <w:t>kg/d（</w:t>
            </w:r>
            <w:r>
              <w:rPr>
                <w:rFonts w:hint="eastAsia"/>
                <w:color w:val="auto"/>
                <w:sz w:val="24"/>
                <w:szCs w:val="24"/>
                <w:lang w:val="en-US" w:eastAsia="zh-CN"/>
              </w:rPr>
              <w:t>0.81</w:t>
            </w:r>
            <w:r>
              <w:rPr>
                <w:color w:val="auto"/>
                <w:sz w:val="24"/>
                <w:szCs w:val="24"/>
              </w:rPr>
              <w:t>t/a）；生活垃圾经集中收集后，由环卫部门统一运至当地垃圾填埋场进行安全填埋。</w:t>
            </w:r>
          </w:p>
          <w:p>
            <w:pPr>
              <w:spacing w:line="360" w:lineRule="exact"/>
              <w:jc w:val="center"/>
              <w:rPr>
                <w:color w:val="auto"/>
              </w:rPr>
            </w:pPr>
            <w:r>
              <w:rPr>
                <w:color w:val="auto"/>
              </w:rPr>
              <w:t>表4-</w:t>
            </w:r>
            <w:r>
              <w:rPr>
                <w:rFonts w:hint="eastAsia"/>
                <w:color w:val="auto"/>
                <w:lang w:val="en-US" w:eastAsia="zh-CN"/>
              </w:rPr>
              <w:t>8</w:t>
            </w:r>
            <w:r>
              <w:rPr>
                <w:color w:val="auto"/>
              </w:rPr>
              <w:t xml:space="preserve"> 本项目固体废物产生一览表</w:t>
            </w:r>
          </w:p>
          <w:tbl>
            <w:tblPr>
              <w:tblStyle w:val="29"/>
              <w:tblW w:w="8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605"/>
              <w:gridCol w:w="1671"/>
              <w:gridCol w:w="2199"/>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42" w:type="dxa"/>
                  <w:vAlign w:val="center"/>
                </w:tcPr>
                <w:p>
                  <w:pPr>
                    <w:rPr>
                      <w:color w:val="auto"/>
                    </w:rPr>
                  </w:pPr>
                  <w:r>
                    <w:rPr>
                      <w:color w:val="auto"/>
                    </w:rPr>
                    <w:t>固废类别</w:t>
                  </w:r>
                </w:p>
              </w:tc>
              <w:tc>
                <w:tcPr>
                  <w:tcW w:w="1605" w:type="dxa"/>
                  <w:vAlign w:val="center"/>
                </w:tcPr>
                <w:p>
                  <w:pPr>
                    <w:jc w:val="center"/>
                    <w:rPr>
                      <w:color w:val="auto"/>
                    </w:rPr>
                  </w:pPr>
                  <w:r>
                    <w:rPr>
                      <w:color w:val="auto"/>
                    </w:rPr>
                    <w:t>产生工序</w:t>
                  </w:r>
                </w:p>
              </w:tc>
              <w:tc>
                <w:tcPr>
                  <w:tcW w:w="1671" w:type="dxa"/>
                  <w:vAlign w:val="center"/>
                </w:tcPr>
                <w:p>
                  <w:pPr>
                    <w:jc w:val="center"/>
                    <w:rPr>
                      <w:color w:val="auto"/>
                    </w:rPr>
                  </w:pPr>
                  <w:r>
                    <w:rPr>
                      <w:color w:val="auto"/>
                    </w:rPr>
                    <w:t>固废名称</w:t>
                  </w:r>
                </w:p>
              </w:tc>
              <w:tc>
                <w:tcPr>
                  <w:tcW w:w="2199" w:type="dxa"/>
                  <w:vAlign w:val="center"/>
                </w:tcPr>
                <w:p>
                  <w:pPr>
                    <w:jc w:val="center"/>
                    <w:rPr>
                      <w:color w:val="auto"/>
                    </w:rPr>
                  </w:pPr>
                  <w:r>
                    <w:rPr>
                      <w:color w:val="auto"/>
                    </w:rPr>
                    <w:t>预计产生量</w:t>
                  </w:r>
                </w:p>
              </w:tc>
              <w:tc>
                <w:tcPr>
                  <w:tcW w:w="1440" w:type="dxa"/>
                  <w:vAlign w:val="center"/>
                </w:tcPr>
                <w:p>
                  <w:pPr>
                    <w:jc w:val="center"/>
                    <w:rPr>
                      <w:rFonts w:hint="eastAsia"/>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42" w:type="dxa"/>
                  <w:vMerge w:val="restart"/>
                  <w:vAlign w:val="center"/>
                </w:tcPr>
                <w:p>
                  <w:pPr>
                    <w:rPr>
                      <w:color w:val="auto"/>
                    </w:rPr>
                  </w:pPr>
                  <w:r>
                    <w:rPr>
                      <w:color w:val="auto"/>
                    </w:rPr>
                    <w:t>一般固废</w:t>
                  </w:r>
                </w:p>
              </w:tc>
              <w:tc>
                <w:tcPr>
                  <w:tcW w:w="1605" w:type="dxa"/>
                  <w:vMerge w:val="restart"/>
                  <w:vAlign w:val="center"/>
                </w:tcPr>
                <w:p>
                  <w:pPr>
                    <w:jc w:val="center"/>
                    <w:rPr>
                      <w:rFonts w:hint="eastAsia"/>
                      <w:color w:val="auto"/>
                      <w:lang w:eastAsia="zh-CN"/>
                    </w:rPr>
                  </w:pPr>
                  <w:r>
                    <w:rPr>
                      <w:rFonts w:hint="eastAsia"/>
                      <w:color w:val="auto"/>
                      <w:lang w:eastAsia="zh-CN"/>
                    </w:rPr>
                    <w:t>生产过程</w:t>
                  </w:r>
                </w:p>
              </w:tc>
              <w:tc>
                <w:tcPr>
                  <w:tcW w:w="1671" w:type="dxa"/>
                  <w:vAlign w:val="center"/>
                </w:tcPr>
                <w:p>
                  <w:pPr>
                    <w:jc w:val="center"/>
                    <w:rPr>
                      <w:rFonts w:hint="eastAsia"/>
                      <w:color w:val="auto"/>
                      <w:lang w:eastAsia="zh-CN"/>
                    </w:rPr>
                  </w:pPr>
                  <w:r>
                    <w:rPr>
                      <w:rFonts w:hint="eastAsia"/>
                      <w:color w:val="auto"/>
                      <w:lang w:eastAsia="zh-CN"/>
                    </w:rPr>
                    <w:t>废包装袋</w:t>
                  </w:r>
                </w:p>
              </w:tc>
              <w:tc>
                <w:tcPr>
                  <w:tcW w:w="2199" w:type="dxa"/>
                  <w:vAlign w:val="center"/>
                </w:tcPr>
                <w:p>
                  <w:pPr>
                    <w:jc w:val="center"/>
                    <w:rPr>
                      <w:color w:val="auto"/>
                    </w:rPr>
                  </w:pPr>
                  <w:r>
                    <w:rPr>
                      <w:rFonts w:hint="eastAsia"/>
                      <w:color w:val="auto"/>
                      <w:lang w:val="en-US" w:eastAsia="zh-CN"/>
                    </w:rPr>
                    <w:t>0.2</w:t>
                  </w:r>
                  <w:r>
                    <w:rPr>
                      <w:color w:val="auto"/>
                    </w:rPr>
                    <w:t>t/a</w:t>
                  </w:r>
                </w:p>
              </w:tc>
              <w:tc>
                <w:tcPr>
                  <w:tcW w:w="1440" w:type="dxa"/>
                  <w:vAlign w:val="center"/>
                </w:tcPr>
                <w:p>
                  <w:pPr>
                    <w:jc w:val="center"/>
                    <w:rPr>
                      <w:rFonts w:hint="default"/>
                      <w:color w:val="auto"/>
                      <w:lang w:val="en-US" w:eastAsia="zh-CN"/>
                    </w:rPr>
                  </w:pPr>
                  <w:r>
                    <w:rPr>
                      <w:rFonts w:hint="eastAsia"/>
                      <w:color w:val="auto"/>
                      <w:lang w:val="en-US" w:eastAsia="zh-CN"/>
                    </w:rPr>
                    <w:t>定期外售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42" w:type="dxa"/>
                  <w:vMerge w:val="continue"/>
                  <w:vAlign w:val="center"/>
                </w:tcPr>
                <w:p>
                  <w:pPr>
                    <w:rPr>
                      <w:color w:val="auto"/>
                    </w:rPr>
                  </w:pPr>
                </w:p>
              </w:tc>
              <w:tc>
                <w:tcPr>
                  <w:tcW w:w="1605" w:type="dxa"/>
                  <w:vMerge w:val="continue"/>
                  <w:vAlign w:val="center"/>
                </w:tcPr>
                <w:p>
                  <w:pPr>
                    <w:jc w:val="center"/>
                    <w:rPr>
                      <w:rFonts w:hint="eastAsia"/>
                      <w:color w:val="auto"/>
                      <w:lang w:eastAsia="zh-CN"/>
                    </w:rPr>
                  </w:pPr>
                </w:p>
              </w:tc>
              <w:tc>
                <w:tcPr>
                  <w:tcW w:w="1671" w:type="dxa"/>
                  <w:vAlign w:val="center"/>
                </w:tcPr>
                <w:p>
                  <w:pPr>
                    <w:jc w:val="center"/>
                    <w:rPr>
                      <w:rFonts w:hint="default"/>
                      <w:color w:val="auto"/>
                      <w:lang w:val="en-US" w:eastAsia="zh-CN"/>
                    </w:rPr>
                  </w:pPr>
                  <w:r>
                    <w:rPr>
                      <w:rFonts w:hint="eastAsia"/>
                      <w:color w:val="auto"/>
                      <w:lang w:val="en-US" w:eastAsia="zh-CN"/>
                    </w:rPr>
                    <w:t>下脚料</w:t>
                  </w:r>
                </w:p>
              </w:tc>
              <w:tc>
                <w:tcPr>
                  <w:tcW w:w="2199" w:type="dxa"/>
                  <w:vAlign w:val="center"/>
                </w:tcPr>
                <w:p>
                  <w:pPr>
                    <w:jc w:val="center"/>
                    <w:rPr>
                      <w:rFonts w:hint="eastAsia"/>
                      <w:color w:val="auto"/>
                      <w:lang w:val="en-US" w:eastAsia="zh-CN"/>
                    </w:rPr>
                  </w:pPr>
                  <w:r>
                    <w:rPr>
                      <w:rFonts w:hint="eastAsia"/>
                      <w:color w:val="auto"/>
                      <w:lang w:val="en-US" w:eastAsia="zh-CN"/>
                    </w:rPr>
                    <w:t>3</w:t>
                  </w:r>
                  <w:r>
                    <w:rPr>
                      <w:color w:val="auto"/>
                    </w:rPr>
                    <w:t>t/a</w:t>
                  </w:r>
                </w:p>
              </w:tc>
              <w:tc>
                <w:tcPr>
                  <w:tcW w:w="1440" w:type="dxa"/>
                  <w:vAlign w:val="center"/>
                </w:tcPr>
                <w:p>
                  <w:pPr>
                    <w:jc w:val="center"/>
                    <w:rPr>
                      <w:rFonts w:hint="eastAsia"/>
                      <w:color w:val="auto"/>
                      <w:lang w:val="en-US" w:eastAsia="zh-CN"/>
                    </w:rPr>
                  </w:pPr>
                  <w:r>
                    <w:rPr>
                      <w:rFonts w:hint="eastAsia"/>
                      <w:color w:val="auto"/>
                      <w:lang w:val="en-US" w:eastAsia="zh-CN"/>
                    </w:rPr>
                    <w:t>定期外售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42" w:type="dxa"/>
                  <w:vMerge w:val="restart"/>
                  <w:vAlign w:val="center"/>
                </w:tcPr>
                <w:p>
                  <w:pPr>
                    <w:jc w:val="center"/>
                    <w:rPr>
                      <w:color w:val="auto"/>
                    </w:rPr>
                  </w:pPr>
                  <w:r>
                    <w:rPr>
                      <w:color w:val="auto"/>
                    </w:rPr>
                    <w:t>危险废物</w:t>
                  </w:r>
                </w:p>
              </w:tc>
              <w:tc>
                <w:tcPr>
                  <w:tcW w:w="1605" w:type="dxa"/>
                  <w:vMerge w:val="restart"/>
                  <w:vAlign w:val="center"/>
                </w:tcPr>
                <w:p>
                  <w:pPr>
                    <w:jc w:val="center"/>
                    <w:rPr>
                      <w:color w:val="auto"/>
                    </w:rPr>
                  </w:pPr>
                  <w:r>
                    <w:rPr>
                      <w:color w:val="auto"/>
                    </w:rPr>
                    <w:t>废气处理过程</w:t>
                  </w:r>
                </w:p>
              </w:tc>
              <w:tc>
                <w:tcPr>
                  <w:tcW w:w="1671" w:type="dxa"/>
                  <w:vAlign w:val="center"/>
                </w:tcPr>
                <w:p>
                  <w:pPr>
                    <w:jc w:val="center"/>
                    <w:rPr>
                      <w:rFonts w:hint="eastAsia"/>
                      <w:color w:val="auto"/>
                      <w:lang w:eastAsia="zh-CN"/>
                    </w:rPr>
                  </w:pPr>
                  <w:r>
                    <w:rPr>
                      <w:rFonts w:hint="eastAsia"/>
                      <w:color w:val="auto"/>
                      <w:lang w:eastAsia="zh-CN"/>
                    </w:rPr>
                    <w:t>废活性炭</w:t>
                  </w:r>
                </w:p>
              </w:tc>
              <w:tc>
                <w:tcPr>
                  <w:tcW w:w="2199" w:type="dxa"/>
                  <w:vAlign w:val="center"/>
                </w:tcPr>
                <w:p>
                  <w:pPr>
                    <w:jc w:val="center"/>
                    <w:rPr>
                      <w:rFonts w:hint="eastAsia"/>
                      <w:color w:val="auto"/>
                      <w:lang w:eastAsia="zh-CN"/>
                    </w:rPr>
                  </w:pPr>
                  <w:r>
                    <w:rPr>
                      <w:rFonts w:hint="eastAsia"/>
                      <w:color w:val="auto"/>
                      <w:lang w:val="en-US" w:eastAsia="zh-CN"/>
                    </w:rPr>
                    <w:t>0.26t</w:t>
                  </w:r>
                  <w:r>
                    <w:rPr>
                      <w:rFonts w:hint="eastAsia"/>
                      <w:color w:val="auto"/>
                    </w:rPr>
                    <w:t>/a</w:t>
                  </w:r>
                </w:p>
              </w:tc>
              <w:tc>
                <w:tcPr>
                  <w:tcW w:w="1440" w:type="dxa"/>
                  <w:vAlign w:val="center"/>
                </w:tcPr>
                <w:p>
                  <w:pPr>
                    <w:spacing w:line="360" w:lineRule="exact"/>
                    <w:jc w:val="center"/>
                    <w:rPr>
                      <w:rFonts w:hint="default"/>
                      <w:color w:val="auto"/>
                      <w:lang w:val="en-US" w:eastAsia="zh-CN"/>
                    </w:rPr>
                  </w:pPr>
                  <w:r>
                    <w:rPr>
                      <w:rFonts w:hint="eastAsia"/>
                      <w:color w:val="auto"/>
                      <w:lang w:val="en-US" w:eastAsia="zh-CN"/>
                    </w:rPr>
                    <w:t>定期交资质单位处置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42" w:type="dxa"/>
                  <w:vMerge w:val="continue"/>
                  <w:vAlign w:val="center"/>
                </w:tcPr>
                <w:p>
                  <w:pPr>
                    <w:jc w:val="center"/>
                    <w:rPr>
                      <w:color w:val="auto"/>
                    </w:rPr>
                  </w:pPr>
                </w:p>
              </w:tc>
              <w:tc>
                <w:tcPr>
                  <w:tcW w:w="1605" w:type="dxa"/>
                  <w:vMerge w:val="continue"/>
                  <w:vAlign w:val="center"/>
                </w:tcPr>
                <w:p>
                  <w:pPr>
                    <w:jc w:val="center"/>
                    <w:rPr>
                      <w:color w:val="auto"/>
                    </w:rPr>
                  </w:pPr>
                </w:p>
              </w:tc>
              <w:tc>
                <w:tcPr>
                  <w:tcW w:w="1671" w:type="dxa"/>
                  <w:vAlign w:val="center"/>
                </w:tcPr>
                <w:p>
                  <w:pPr>
                    <w:jc w:val="center"/>
                    <w:rPr>
                      <w:rFonts w:hint="default"/>
                      <w:color w:val="auto"/>
                      <w:lang w:val="en-US" w:eastAsia="zh-CN"/>
                    </w:rPr>
                  </w:pPr>
                  <w:r>
                    <w:rPr>
                      <w:rFonts w:hint="eastAsia"/>
                      <w:color w:val="auto"/>
                      <w:lang w:val="en-US" w:eastAsia="zh-CN"/>
                    </w:rPr>
                    <w:t>废UV灯管</w:t>
                  </w:r>
                </w:p>
              </w:tc>
              <w:tc>
                <w:tcPr>
                  <w:tcW w:w="2199" w:type="dxa"/>
                  <w:vAlign w:val="center"/>
                </w:tcPr>
                <w:p>
                  <w:pPr>
                    <w:jc w:val="center"/>
                    <w:rPr>
                      <w:rFonts w:hint="default"/>
                      <w:color w:val="auto"/>
                      <w:lang w:val="en-US" w:eastAsia="zh-CN"/>
                    </w:rPr>
                  </w:pPr>
                  <w:r>
                    <w:rPr>
                      <w:rFonts w:hint="eastAsia"/>
                      <w:color w:val="auto"/>
                      <w:lang w:val="en-US" w:eastAsia="zh-CN"/>
                    </w:rPr>
                    <w:t>40支/a</w:t>
                  </w:r>
                </w:p>
              </w:tc>
              <w:tc>
                <w:tcPr>
                  <w:tcW w:w="1440" w:type="dxa"/>
                  <w:vAlign w:val="center"/>
                </w:tcPr>
                <w:p>
                  <w:pPr>
                    <w:jc w:val="center"/>
                    <w:rPr>
                      <w:rFonts w:hint="eastAsia"/>
                      <w:color w:val="auto"/>
                      <w:lang w:val="en-US" w:eastAsia="zh-CN"/>
                    </w:rPr>
                  </w:pPr>
                  <w:r>
                    <w:rPr>
                      <w:rFonts w:hint="eastAsia"/>
                      <w:color w:val="auto"/>
                      <w:lang w:val="en-US" w:eastAsia="zh-CN"/>
                    </w:rPr>
                    <w:t>定期交资质单位处置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142" w:type="dxa"/>
                  <w:vAlign w:val="center"/>
                </w:tcPr>
                <w:p>
                  <w:pPr>
                    <w:jc w:val="center"/>
                    <w:rPr>
                      <w:color w:val="auto"/>
                    </w:rPr>
                  </w:pPr>
                  <w:r>
                    <w:rPr>
                      <w:color w:val="auto"/>
                    </w:rPr>
                    <w:t>生活垃圾</w:t>
                  </w:r>
                </w:p>
              </w:tc>
              <w:tc>
                <w:tcPr>
                  <w:tcW w:w="1605" w:type="dxa"/>
                  <w:vAlign w:val="center"/>
                </w:tcPr>
                <w:p>
                  <w:pPr>
                    <w:jc w:val="center"/>
                    <w:rPr>
                      <w:color w:val="auto"/>
                    </w:rPr>
                  </w:pPr>
                  <w:r>
                    <w:rPr>
                      <w:color w:val="auto"/>
                    </w:rPr>
                    <w:t>职工生活</w:t>
                  </w:r>
                </w:p>
              </w:tc>
              <w:tc>
                <w:tcPr>
                  <w:tcW w:w="1671" w:type="dxa"/>
                  <w:vAlign w:val="center"/>
                </w:tcPr>
                <w:p>
                  <w:pPr>
                    <w:jc w:val="center"/>
                    <w:rPr>
                      <w:color w:val="auto"/>
                    </w:rPr>
                  </w:pPr>
                  <w:r>
                    <w:rPr>
                      <w:color w:val="auto"/>
                    </w:rPr>
                    <w:t>生活垃圾</w:t>
                  </w:r>
                </w:p>
              </w:tc>
              <w:tc>
                <w:tcPr>
                  <w:tcW w:w="2199" w:type="dxa"/>
                  <w:vAlign w:val="center"/>
                </w:tcPr>
                <w:p>
                  <w:pPr>
                    <w:jc w:val="center"/>
                    <w:rPr>
                      <w:color w:val="auto"/>
                    </w:rPr>
                  </w:pPr>
                  <w:r>
                    <w:rPr>
                      <w:rFonts w:hint="eastAsia"/>
                      <w:color w:val="auto"/>
                      <w:lang w:val="en-US" w:eastAsia="zh-CN"/>
                    </w:rPr>
                    <w:t>0.81</w:t>
                  </w:r>
                  <w:r>
                    <w:rPr>
                      <w:color w:val="auto"/>
                    </w:rPr>
                    <w:t>t/a</w:t>
                  </w:r>
                </w:p>
              </w:tc>
              <w:tc>
                <w:tcPr>
                  <w:tcW w:w="1440" w:type="dxa"/>
                  <w:vAlign w:val="center"/>
                </w:tcPr>
                <w:p>
                  <w:pPr>
                    <w:jc w:val="center"/>
                    <w:rPr>
                      <w:rFonts w:hint="default"/>
                      <w:color w:val="auto"/>
                      <w:lang w:val="en-US" w:eastAsia="zh-CN"/>
                    </w:rPr>
                  </w:pPr>
                  <w:r>
                    <w:rPr>
                      <w:rFonts w:hint="eastAsia"/>
                      <w:color w:val="auto"/>
                      <w:lang w:val="en-US" w:eastAsia="zh-CN"/>
                    </w:rPr>
                    <w:t>定期交环卫部门处置</w:t>
                  </w:r>
                </w:p>
              </w:tc>
            </w:tr>
          </w:tbl>
          <w:p>
            <w:pPr>
              <w:spacing w:line="360" w:lineRule="exact"/>
              <w:jc w:val="center"/>
              <w:rPr>
                <w:color w:val="auto"/>
              </w:rPr>
            </w:pPr>
            <w:r>
              <w:rPr>
                <w:color w:val="auto"/>
              </w:rPr>
              <w:t>表4-</w:t>
            </w:r>
            <w:r>
              <w:rPr>
                <w:rFonts w:hint="eastAsia"/>
                <w:color w:val="auto"/>
                <w:lang w:val="en-US" w:eastAsia="zh-CN"/>
              </w:rPr>
              <w:t>9</w:t>
            </w:r>
            <w:r>
              <w:rPr>
                <w:color w:val="auto"/>
              </w:rPr>
              <w:t xml:space="preserve">  工程分析中危险废物汇总表</w:t>
            </w:r>
          </w:p>
          <w:tbl>
            <w:tblPr>
              <w:tblStyle w:val="29"/>
              <w:tblW w:w="799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1"/>
              <w:gridCol w:w="630"/>
              <w:gridCol w:w="780"/>
              <w:gridCol w:w="858"/>
              <w:gridCol w:w="788"/>
              <w:gridCol w:w="924"/>
              <w:gridCol w:w="433"/>
              <w:gridCol w:w="1055"/>
              <w:gridCol w:w="485"/>
              <w:gridCol w:w="483"/>
              <w:gridCol w:w="554"/>
              <w:gridCol w:w="5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451" w:type="dxa"/>
                  <w:vAlign w:val="center"/>
                </w:tcPr>
                <w:p>
                  <w:pPr>
                    <w:topLinePunct/>
                    <w:adjustRightInd w:val="0"/>
                    <w:snapToGrid w:val="0"/>
                    <w:jc w:val="center"/>
                    <w:rPr>
                      <w:color w:val="auto"/>
                    </w:rPr>
                  </w:pPr>
                  <w:r>
                    <w:rPr>
                      <w:color w:val="auto"/>
                    </w:rPr>
                    <w:t>序号</w:t>
                  </w:r>
                </w:p>
              </w:tc>
              <w:tc>
                <w:tcPr>
                  <w:tcW w:w="630" w:type="dxa"/>
                  <w:vAlign w:val="center"/>
                </w:tcPr>
                <w:p>
                  <w:pPr>
                    <w:topLinePunct/>
                    <w:adjustRightInd w:val="0"/>
                    <w:snapToGrid w:val="0"/>
                    <w:jc w:val="center"/>
                    <w:rPr>
                      <w:color w:val="auto"/>
                    </w:rPr>
                  </w:pPr>
                  <w:r>
                    <w:rPr>
                      <w:color w:val="auto"/>
                    </w:rPr>
                    <w:t>危险废物名称</w:t>
                  </w:r>
                </w:p>
              </w:tc>
              <w:tc>
                <w:tcPr>
                  <w:tcW w:w="780" w:type="dxa"/>
                  <w:vAlign w:val="center"/>
                </w:tcPr>
                <w:p>
                  <w:pPr>
                    <w:topLinePunct/>
                    <w:adjustRightInd w:val="0"/>
                    <w:snapToGrid w:val="0"/>
                    <w:jc w:val="center"/>
                    <w:rPr>
                      <w:color w:val="auto"/>
                    </w:rPr>
                  </w:pPr>
                  <w:r>
                    <w:rPr>
                      <w:color w:val="auto"/>
                    </w:rPr>
                    <w:t>危险废物类别</w:t>
                  </w:r>
                </w:p>
              </w:tc>
              <w:tc>
                <w:tcPr>
                  <w:tcW w:w="858" w:type="dxa"/>
                  <w:vAlign w:val="center"/>
                </w:tcPr>
                <w:p>
                  <w:pPr>
                    <w:topLinePunct/>
                    <w:adjustRightInd w:val="0"/>
                    <w:snapToGrid w:val="0"/>
                    <w:jc w:val="center"/>
                    <w:rPr>
                      <w:color w:val="auto"/>
                    </w:rPr>
                  </w:pPr>
                  <w:r>
                    <w:rPr>
                      <w:color w:val="auto"/>
                    </w:rPr>
                    <w:t>危险废物代码</w:t>
                  </w:r>
                </w:p>
              </w:tc>
              <w:tc>
                <w:tcPr>
                  <w:tcW w:w="788" w:type="dxa"/>
                  <w:vAlign w:val="center"/>
                </w:tcPr>
                <w:p>
                  <w:pPr>
                    <w:topLinePunct/>
                    <w:adjustRightInd w:val="0"/>
                    <w:snapToGrid w:val="0"/>
                    <w:jc w:val="center"/>
                    <w:rPr>
                      <w:color w:val="auto"/>
                    </w:rPr>
                  </w:pPr>
                  <w:r>
                    <w:rPr>
                      <w:color w:val="auto"/>
                    </w:rPr>
                    <w:t>产生量（</w:t>
                  </w:r>
                  <w:r>
                    <w:rPr>
                      <w:rFonts w:hint="eastAsia"/>
                      <w:color w:val="auto"/>
                      <w:lang w:eastAsia="zh-CN"/>
                    </w:rPr>
                    <w:t>t/a</w:t>
                  </w:r>
                  <w:r>
                    <w:rPr>
                      <w:color w:val="auto"/>
                    </w:rPr>
                    <w:t>）</w:t>
                  </w:r>
                </w:p>
              </w:tc>
              <w:tc>
                <w:tcPr>
                  <w:tcW w:w="924" w:type="dxa"/>
                  <w:vAlign w:val="center"/>
                </w:tcPr>
                <w:p>
                  <w:pPr>
                    <w:topLinePunct/>
                    <w:adjustRightInd w:val="0"/>
                    <w:snapToGrid w:val="0"/>
                    <w:jc w:val="center"/>
                    <w:rPr>
                      <w:color w:val="auto"/>
                    </w:rPr>
                  </w:pPr>
                  <w:r>
                    <w:rPr>
                      <w:color w:val="auto"/>
                    </w:rPr>
                    <w:t>产生工序及装置</w:t>
                  </w:r>
                </w:p>
              </w:tc>
              <w:tc>
                <w:tcPr>
                  <w:tcW w:w="433" w:type="dxa"/>
                  <w:vAlign w:val="center"/>
                </w:tcPr>
                <w:p>
                  <w:pPr>
                    <w:topLinePunct/>
                    <w:adjustRightInd w:val="0"/>
                    <w:snapToGrid w:val="0"/>
                    <w:jc w:val="center"/>
                    <w:rPr>
                      <w:color w:val="auto"/>
                    </w:rPr>
                  </w:pPr>
                  <w:r>
                    <w:rPr>
                      <w:color w:val="auto"/>
                    </w:rPr>
                    <w:t>形态</w:t>
                  </w:r>
                </w:p>
              </w:tc>
              <w:tc>
                <w:tcPr>
                  <w:tcW w:w="1055" w:type="dxa"/>
                  <w:vAlign w:val="center"/>
                </w:tcPr>
                <w:p>
                  <w:pPr>
                    <w:topLinePunct/>
                    <w:adjustRightInd w:val="0"/>
                    <w:snapToGrid w:val="0"/>
                    <w:jc w:val="center"/>
                    <w:rPr>
                      <w:color w:val="auto"/>
                    </w:rPr>
                  </w:pPr>
                  <w:r>
                    <w:rPr>
                      <w:color w:val="auto"/>
                    </w:rPr>
                    <w:t>主要成分</w:t>
                  </w:r>
                </w:p>
              </w:tc>
              <w:tc>
                <w:tcPr>
                  <w:tcW w:w="485" w:type="dxa"/>
                  <w:vAlign w:val="center"/>
                </w:tcPr>
                <w:p>
                  <w:pPr>
                    <w:topLinePunct/>
                    <w:adjustRightInd w:val="0"/>
                    <w:snapToGrid w:val="0"/>
                    <w:jc w:val="center"/>
                    <w:rPr>
                      <w:color w:val="auto"/>
                    </w:rPr>
                  </w:pPr>
                  <w:r>
                    <w:rPr>
                      <w:color w:val="auto"/>
                    </w:rPr>
                    <w:t>有害成分</w:t>
                  </w:r>
                </w:p>
              </w:tc>
              <w:tc>
                <w:tcPr>
                  <w:tcW w:w="483" w:type="dxa"/>
                  <w:vAlign w:val="center"/>
                </w:tcPr>
                <w:p>
                  <w:pPr>
                    <w:topLinePunct/>
                    <w:adjustRightInd w:val="0"/>
                    <w:snapToGrid w:val="0"/>
                    <w:jc w:val="center"/>
                    <w:rPr>
                      <w:color w:val="auto"/>
                    </w:rPr>
                  </w:pPr>
                  <w:r>
                    <w:rPr>
                      <w:color w:val="auto"/>
                    </w:rPr>
                    <w:t>产废周期</w:t>
                  </w:r>
                </w:p>
              </w:tc>
              <w:tc>
                <w:tcPr>
                  <w:tcW w:w="554" w:type="dxa"/>
                  <w:vAlign w:val="center"/>
                </w:tcPr>
                <w:p>
                  <w:pPr>
                    <w:topLinePunct/>
                    <w:adjustRightInd w:val="0"/>
                    <w:snapToGrid w:val="0"/>
                    <w:jc w:val="center"/>
                    <w:rPr>
                      <w:color w:val="auto"/>
                    </w:rPr>
                  </w:pPr>
                  <w:r>
                    <w:rPr>
                      <w:color w:val="auto"/>
                    </w:rPr>
                    <w:t>危险</w:t>
                  </w:r>
                </w:p>
                <w:p>
                  <w:pPr>
                    <w:topLinePunct/>
                    <w:adjustRightInd w:val="0"/>
                    <w:snapToGrid w:val="0"/>
                    <w:jc w:val="center"/>
                    <w:rPr>
                      <w:color w:val="auto"/>
                    </w:rPr>
                  </w:pPr>
                  <w:r>
                    <w:rPr>
                      <w:color w:val="auto"/>
                    </w:rPr>
                    <w:t>特性</w:t>
                  </w:r>
                </w:p>
              </w:tc>
              <w:tc>
                <w:tcPr>
                  <w:tcW w:w="553" w:type="dxa"/>
                  <w:vAlign w:val="center"/>
                </w:tcPr>
                <w:p>
                  <w:pPr>
                    <w:topLinePunct/>
                    <w:adjustRightInd w:val="0"/>
                    <w:snapToGrid w:val="0"/>
                    <w:jc w:val="center"/>
                    <w:rPr>
                      <w:color w:val="auto"/>
                    </w:rPr>
                  </w:pPr>
                  <w:r>
                    <w:rPr>
                      <w:color w:val="auto"/>
                    </w:rPr>
                    <w:t>污染防治措施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51" w:type="dxa"/>
                  <w:vAlign w:val="center"/>
                </w:tcPr>
                <w:p>
                  <w:pPr>
                    <w:topLinePunct/>
                    <w:adjustRightInd w:val="0"/>
                    <w:snapToGrid w:val="0"/>
                    <w:jc w:val="center"/>
                    <w:rPr>
                      <w:rFonts w:hint="eastAsia"/>
                      <w:color w:val="auto"/>
                      <w:lang w:val="en-US" w:eastAsia="zh-CN"/>
                    </w:rPr>
                  </w:pPr>
                  <w:r>
                    <w:rPr>
                      <w:rFonts w:hint="eastAsia"/>
                      <w:color w:val="auto"/>
                      <w:lang w:val="en-US" w:eastAsia="zh-CN"/>
                    </w:rPr>
                    <w:t>1</w:t>
                  </w:r>
                </w:p>
              </w:tc>
              <w:tc>
                <w:tcPr>
                  <w:tcW w:w="630" w:type="dxa"/>
                  <w:vAlign w:val="center"/>
                </w:tcPr>
                <w:p>
                  <w:pPr>
                    <w:topLinePunct/>
                    <w:adjustRightInd w:val="0"/>
                    <w:snapToGrid w:val="0"/>
                    <w:jc w:val="center"/>
                    <w:rPr>
                      <w:rFonts w:hint="eastAsia"/>
                      <w:color w:val="auto"/>
                      <w:lang w:eastAsia="zh-CN"/>
                    </w:rPr>
                  </w:pPr>
                  <w:r>
                    <w:rPr>
                      <w:rFonts w:hint="eastAsia"/>
                      <w:color w:val="auto"/>
                      <w:lang w:eastAsia="zh-CN"/>
                    </w:rPr>
                    <w:t>废活性炭</w:t>
                  </w:r>
                </w:p>
              </w:tc>
              <w:tc>
                <w:tcPr>
                  <w:tcW w:w="780" w:type="dxa"/>
                  <w:vAlign w:val="center"/>
                </w:tcPr>
                <w:p>
                  <w:pPr>
                    <w:topLinePunct/>
                    <w:adjustRightInd w:val="0"/>
                    <w:snapToGrid w:val="0"/>
                    <w:jc w:val="center"/>
                    <w:rPr>
                      <w:color w:val="auto"/>
                    </w:rPr>
                  </w:pPr>
                  <w:r>
                    <w:rPr>
                      <w:color w:val="auto"/>
                    </w:rPr>
                    <w:t>HW49</w:t>
                  </w:r>
                </w:p>
              </w:tc>
              <w:tc>
                <w:tcPr>
                  <w:tcW w:w="858" w:type="dxa"/>
                  <w:vAlign w:val="center"/>
                </w:tcPr>
                <w:p>
                  <w:pPr>
                    <w:topLinePunct/>
                    <w:adjustRightInd w:val="0"/>
                    <w:snapToGrid w:val="0"/>
                    <w:jc w:val="center"/>
                    <w:rPr>
                      <w:color w:val="auto"/>
                    </w:rPr>
                  </w:pPr>
                  <w:r>
                    <w:rPr>
                      <w:color w:val="auto"/>
                    </w:rPr>
                    <w:t>900-041-49</w:t>
                  </w:r>
                </w:p>
              </w:tc>
              <w:tc>
                <w:tcPr>
                  <w:tcW w:w="788" w:type="dxa"/>
                  <w:vAlign w:val="center"/>
                </w:tcPr>
                <w:p>
                  <w:pPr>
                    <w:topLinePunct/>
                    <w:adjustRightInd w:val="0"/>
                    <w:snapToGrid w:val="0"/>
                    <w:jc w:val="center"/>
                    <w:rPr>
                      <w:rFonts w:hint="eastAsia"/>
                      <w:color w:val="auto"/>
                      <w:lang w:eastAsia="zh-CN"/>
                    </w:rPr>
                  </w:pPr>
                  <w:r>
                    <w:rPr>
                      <w:rFonts w:hint="eastAsia"/>
                      <w:color w:val="auto"/>
                      <w:lang w:eastAsia="zh-CN"/>
                    </w:rPr>
                    <w:t>0.26t/a</w:t>
                  </w:r>
                </w:p>
              </w:tc>
              <w:tc>
                <w:tcPr>
                  <w:tcW w:w="924" w:type="dxa"/>
                  <w:vAlign w:val="center"/>
                </w:tcPr>
                <w:p>
                  <w:pPr>
                    <w:topLinePunct/>
                    <w:adjustRightInd w:val="0"/>
                    <w:snapToGrid w:val="0"/>
                    <w:jc w:val="center"/>
                    <w:rPr>
                      <w:rFonts w:hint="eastAsia"/>
                      <w:color w:val="auto"/>
                    </w:rPr>
                  </w:pPr>
                  <w:r>
                    <w:rPr>
                      <w:rFonts w:hint="eastAsia"/>
                      <w:color w:val="auto"/>
                    </w:rPr>
                    <w:t>废气处理系统</w:t>
                  </w:r>
                </w:p>
              </w:tc>
              <w:tc>
                <w:tcPr>
                  <w:tcW w:w="433" w:type="dxa"/>
                  <w:vAlign w:val="center"/>
                </w:tcPr>
                <w:p>
                  <w:pPr>
                    <w:topLinePunct/>
                    <w:adjustRightInd w:val="0"/>
                    <w:snapToGrid w:val="0"/>
                    <w:jc w:val="center"/>
                    <w:rPr>
                      <w:color w:val="auto"/>
                    </w:rPr>
                  </w:pPr>
                  <w:r>
                    <w:rPr>
                      <w:color w:val="auto"/>
                    </w:rPr>
                    <w:t>固态</w:t>
                  </w:r>
                </w:p>
              </w:tc>
              <w:tc>
                <w:tcPr>
                  <w:tcW w:w="1055" w:type="dxa"/>
                  <w:vAlign w:val="center"/>
                </w:tcPr>
                <w:p>
                  <w:pPr>
                    <w:topLinePunct/>
                    <w:adjustRightInd w:val="0"/>
                    <w:snapToGrid w:val="0"/>
                    <w:jc w:val="center"/>
                    <w:rPr>
                      <w:color w:val="auto"/>
                    </w:rPr>
                  </w:pPr>
                  <w:r>
                    <w:rPr>
                      <w:color w:val="auto"/>
                    </w:rPr>
                    <w:t>含有或沾有染毒性、感染性危险废物的废弃包装物、容器、过滤吸附介质</w:t>
                  </w:r>
                </w:p>
              </w:tc>
              <w:tc>
                <w:tcPr>
                  <w:tcW w:w="485" w:type="dxa"/>
                  <w:vAlign w:val="center"/>
                </w:tcPr>
                <w:p>
                  <w:pPr>
                    <w:topLinePunct/>
                    <w:adjustRightInd w:val="0"/>
                    <w:snapToGrid w:val="0"/>
                    <w:jc w:val="center"/>
                    <w:rPr>
                      <w:color w:val="auto"/>
                    </w:rPr>
                  </w:pPr>
                  <w:r>
                    <w:rPr>
                      <w:rFonts w:hint="eastAsia"/>
                      <w:color w:val="auto"/>
                      <w:lang w:eastAsia="zh-CN"/>
                    </w:rPr>
                    <w:t>废活性炭</w:t>
                  </w:r>
                </w:p>
              </w:tc>
              <w:tc>
                <w:tcPr>
                  <w:tcW w:w="483" w:type="dxa"/>
                  <w:vAlign w:val="center"/>
                </w:tcPr>
                <w:p>
                  <w:pPr>
                    <w:topLinePunct/>
                    <w:adjustRightInd w:val="0"/>
                    <w:snapToGrid w:val="0"/>
                    <w:jc w:val="center"/>
                    <w:rPr>
                      <w:color w:val="auto"/>
                    </w:rPr>
                  </w:pPr>
                  <w:r>
                    <w:rPr>
                      <w:color w:val="auto"/>
                    </w:rPr>
                    <w:t>一年</w:t>
                  </w:r>
                </w:p>
              </w:tc>
              <w:tc>
                <w:tcPr>
                  <w:tcW w:w="554" w:type="dxa"/>
                  <w:vAlign w:val="center"/>
                </w:tcPr>
                <w:p>
                  <w:pPr>
                    <w:topLinePunct/>
                    <w:adjustRightInd w:val="0"/>
                    <w:snapToGrid w:val="0"/>
                    <w:jc w:val="center"/>
                    <w:rPr>
                      <w:color w:val="auto"/>
                    </w:rPr>
                  </w:pPr>
                  <w:r>
                    <w:rPr>
                      <w:color w:val="auto"/>
                    </w:rPr>
                    <w:t>有毒</w:t>
                  </w:r>
                </w:p>
              </w:tc>
              <w:tc>
                <w:tcPr>
                  <w:tcW w:w="553" w:type="dxa"/>
                  <w:vAlign w:val="center"/>
                </w:tcPr>
                <w:p>
                  <w:pPr>
                    <w:topLinePunct/>
                    <w:adjustRightInd w:val="0"/>
                    <w:snapToGrid w:val="0"/>
                    <w:jc w:val="center"/>
                    <w:rPr>
                      <w:color w:val="auto"/>
                    </w:rPr>
                  </w:pPr>
                  <w:r>
                    <w:rPr>
                      <w:color w:val="auto"/>
                    </w:rPr>
                    <w:t>委托有资质的单位处置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451" w:type="dxa"/>
                  <w:vAlign w:val="center"/>
                </w:tcPr>
                <w:p>
                  <w:pPr>
                    <w:topLinePunct/>
                    <w:adjustRightInd w:val="0"/>
                    <w:snapToGrid w:val="0"/>
                    <w:jc w:val="center"/>
                    <w:rPr>
                      <w:rFonts w:hint="default"/>
                      <w:color w:val="auto"/>
                      <w:lang w:val="en-US" w:eastAsia="zh-CN"/>
                    </w:rPr>
                  </w:pPr>
                  <w:r>
                    <w:rPr>
                      <w:rFonts w:hint="eastAsia"/>
                      <w:color w:val="auto"/>
                      <w:lang w:val="en-US" w:eastAsia="zh-CN"/>
                    </w:rPr>
                    <w:t>2</w:t>
                  </w:r>
                </w:p>
              </w:tc>
              <w:tc>
                <w:tcPr>
                  <w:tcW w:w="630" w:type="dxa"/>
                  <w:vAlign w:val="center"/>
                </w:tcPr>
                <w:p>
                  <w:pPr>
                    <w:topLinePunct/>
                    <w:adjustRightInd w:val="0"/>
                    <w:snapToGrid w:val="0"/>
                    <w:jc w:val="center"/>
                    <w:rPr>
                      <w:rFonts w:hint="default"/>
                      <w:color w:val="auto"/>
                      <w:lang w:val="en-US" w:eastAsia="zh-CN"/>
                    </w:rPr>
                  </w:pPr>
                  <w:r>
                    <w:rPr>
                      <w:rFonts w:hint="eastAsia"/>
                      <w:color w:val="auto"/>
                      <w:lang w:val="en-US" w:eastAsia="zh-CN"/>
                    </w:rPr>
                    <w:t>废UV灯管</w:t>
                  </w:r>
                </w:p>
              </w:tc>
              <w:tc>
                <w:tcPr>
                  <w:tcW w:w="780" w:type="dxa"/>
                  <w:vAlign w:val="center"/>
                </w:tcPr>
                <w:p>
                  <w:pPr>
                    <w:topLinePunct/>
                    <w:adjustRightInd w:val="0"/>
                    <w:snapToGrid w:val="0"/>
                    <w:jc w:val="center"/>
                    <w:rPr>
                      <w:rFonts w:hint="default"/>
                      <w:color w:val="auto"/>
                      <w:lang w:val="en-US" w:eastAsia="zh-CN"/>
                    </w:rPr>
                  </w:pPr>
                  <w:r>
                    <w:rPr>
                      <w:rFonts w:hint="eastAsia"/>
                      <w:color w:val="auto"/>
                      <w:lang w:val="en-US" w:eastAsia="zh-CN"/>
                    </w:rPr>
                    <w:t>HW23</w:t>
                  </w:r>
                </w:p>
              </w:tc>
              <w:tc>
                <w:tcPr>
                  <w:tcW w:w="858" w:type="dxa"/>
                  <w:vAlign w:val="center"/>
                </w:tcPr>
                <w:p>
                  <w:pPr>
                    <w:topLinePunct/>
                    <w:adjustRightInd w:val="0"/>
                    <w:snapToGrid w:val="0"/>
                    <w:jc w:val="center"/>
                    <w:rPr>
                      <w:color w:val="auto"/>
                    </w:rPr>
                  </w:pPr>
                  <w:r>
                    <w:rPr>
                      <w:rFonts w:hint="eastAsia"/>
                      <w:color w:val="auto"/>
                    </w:rPr>
                    <w:t>900-023-29</w:t>
                  </w:r>
                </w:p>
              </w:tc>
              <w:tc>
                <w:tcPr>
                  <w:tcW w:w="788" w:type="dxa"/>
                  <w:vAlign w:val="center"/>
                </w:tcPr>
                <w:p>
                  <w:pPr>
                    <w:topLinePunct/>
                    <w:adjustRightInd w:val="0"/>
                    <w:snapToGrid w:val="0"/>
                    <w:jc w:val="center"/>
                    <w:rPr>
                      <w:rFonts w:hint="default"/>
                      <w:color w:val="auto"/>
                      <w:lang w:val="en-US" w:eastAsia="zh-CN"/>
                    </w:rPr>
                  </w:pPr>
                  <w:r>
                    <w:rPr>
                      <w:rFonts w:hint="eastAsia"/>
                      <w:color w:val="auto"/>
                      <w:lang w:val="en-US" w:eastAsia="zh-CN"/>
                    </w:rPr>
                    <w:t>40支/a</w:t>
                  </w:r>
                </w:p>
              </w:tc>
              <w:tc>
                <w:tcPr>
                  <w:tcW w:w="924" w:type="dxa"/>
                  <w:vAlign w:val="center"/>
                </w:tcPr>
                <w:p>
                  <w:pPr>
                    <w:topLinePunct/>
                    <w:adjustRightInd w:val="0"/>
                    <w:snapToGrid w:val="0"/>
                    <w:jc w:val="center"/>
                    <w:rPr>
                      <w:rFonts w:hint="eastAsia"/>
                      <w:color w:val="auto"/>
                    </w:rPr>
                  </w:pPr>
                  <w:r>
                    <w:rPr>
                      <w:rFonts w:hint="eastAsia"/>
                      <w:color w:val="auto"/>
                    </w:rPr>
                    <w:t>废气处理系统</w:t>
                  </w:r>
                </w:p>
              </w:tc>
              <w:tc>
                <w:tcPr>
                  <w:tcW w:w="433" w:type="dxa"/>
                  <w:vAlign w:val="center"/>
                </w:tcPr>
                <w:p>
                  <w:pPr>
                    <w:topLinePunct/>
                    <w:adjustRightInd w:val="0"/>
                    <w:snapToGrid w:val="0"/>
                    <w:jc w:val="center"/>
                    <w:rPr>
                      <w:color w:val="auto"/>
                    </w:rPr>
                  </w:pPr>
                  <w:r>
                    <w:rPr>
                      <w:color w:val="auto"/>
                    </w:rPr>
                    <w:t>固态</w:t>
                  </w:r>
                </w:p>
              </w:tc>
              <w:tc>
                <w:tcPr>
                  <w:tcW w:w="1055" w:type="dxa"/>
                  <w:vAlign w:val="center"/>
                </w:tcPr>
                <w:p>
                  <w:pPr>
                    <w:topLinePunct/>
                    <w:adjustRightInd w:val="0"/>
                    <w:snapToGrid w:val="0"/>
                    <w:jc w:val="center"/>
                    <w:rPr>
                      <w:color w:val="auto"/>
                    </w:rPr>
                  </w:pPr>
                  <w:r>
                    <w:rPr>
                      <w:rFonts w:hint="eastAsia"/>
                      <w:color w:val="auto"/>
                    </w:rPr>
                    <w:t>生产、销售及使用过程中产生的废含汞荧光灯管及其他废含汞电光源</w:t>
                  </w:r>
                </w:p>
              </w:tc>
              <w:tc>
                <w:tcPr>
                  <w:tcW w:w="485" w:type="dxa"/>
                  <w:vAlign w:val="center"/>
                </w:tcPr>
                <w:p>
                  <w:pPr>
                    <w:topLinePunct/>
                    <w:adjustRightInd w:val="0"/>
                    <w:snapToGrid w:val="0"/>
                    <w:jc w:val="center"/>
                    <w:rPr>
                      <w:rFonts w:hint="default"/>
                      <w:color w:val="auto"/>
                      <w:lang w:val="en-US" w:eastAsia="zh-CN"/>
                    </w:rPr>
                  </w:pPr>
                  <w:r>
                    <w:rPr>
                      <w:rFonts w:hint="eastAsia"/>
                      <w:color w:val="auto"/>
                      <w:lang w:val="en-US" w:eastAsia="zh-CN"/>
                    </w:rPr>
                    <w:t>含汞</w:t>
                  </w:r>
                </w:p>
              </w:tc>
              <w:tc>
                <w:tcPr>
                  <w:tcW w:w="483" w:type="dxa"/>
                  <w:vAlign w:val="center"/>
                </w:tcPr>
                <w:p>
                  <w:pPr>
                    <w:topLinePunct/>
                    <w:adjustRightInd w:val="0"/>
                    <w:snapToGrid w:val="0"/>
                    <w:jc w:val="center"/>
                    <w:rPr>
                      <w:color w:val="auto"/>
                    </w:rPr>
                  </w:pPr>
                  <w:r>
                    <w:rPr>
                      <w:color w:val="auto"/>
                    </w:rPr>
                    <w:t>一年</w:t>
                  </w:r>
                </w:p>
              </w:tc>
              <w:tc>
                <w:tcPr>
                  <w:tcW w:w="554" w:type="dxa"/>
                  <w:vAlign w:val="center"/>
                </w:tcPr>
                <w:p>
                  <w:pPr>
                    <w:topLinePunct/>
                    <w:adjustRightInd w:val="0"/>
                    <w:snapToGrid w:val="0"/>
                    <w:jc w:val="center"/>
                    <w:rPr>
                      <w:color w:val="auto"/>
                    </w:rPr>
                  </w:pPr>
                  <w:r>
                    <w:rPr>
                      <w:color w:val="auto"/>
                    </w:rPr>
                    <w:t>有毒</w:t>
                  </w:r>
                </w:p>
              </w:tc>
              <w:tc>
                <w:tcPr>
                  <w:tcW w:w="553" w:type="dxa"/>
                  <w:vAlign w:val="center"/>
                </w:tcPr>
                <w:p>
                  <w:pPr>
                    <w:topLinePunct/>
                    <w:adjustRightInd w:val="0"/>
                    <w:snapToGrid w:val="0"/>
                    <w:jc w:val="center"/>
                    <w:rPr>
                      <w:color w:val="auto"/>
                    </w:rPr>
                  </w:pPr>
                  <w:r>
                    <w:rPr>
                      <w:color w:val="auto"/>
                    </w:rPr>
                    <w:t>委托有资质的单位处置</w:t>
                  </w:r>
                </w:p>
              </w:tc>
            </w:tr>
          </w:tbl>
          <w:p>
            <w:pPr>
              <w:spacing w:line="360" w:lineRule="auto"/>
              <w:ind w:firstLine="480" w:firstLineChars="200"/>
              <w:rPr>
                <w:color w:val="auto"/>
                <w:sz w:val="24"/>
                <w:szCs w:val="24"/>
              </w:rPr>
            </w:pPr>
            <w:r>
              <w:rPr>
                <w:color w:val="auto"/>
                <w:sz w:val="24"/>
                <w:szCs w:val="24"/>
              </w:rPr>
              <w:t>2）污染防治措施</w:t>
            </w:r>
          </w:p>
          <w:p>
            <w:pPr>
              <w:spacing w:line="360" w:lineRule="auto"/>
              <w:ind w:firstLine="480" w:firstLineChars="200"/>
              <w:rPr>
                <w:color w:val="auto"/>
                <w:sz w:val="24"/>
                <w:szCs w:val="24"/>
              </w:rPr>
            </w:pPr>
            <w:r>
              <w:rPr>
                <w:color w:val="auto"/>
                <w:sz w:val="24"/>
                <w:szCs w:val="24"/>
              </w:rPr>
              <w:fldChar w:fldCharType="begin"/>
            </w:r>
            <w:r>
              <w:rPr>
                <w:color w:val="auto"/>
                <w:sz w:val="24"/>
                <w:szCs w:val="24"/>
              </w:rPr>
              <w:instrText xml:space="preserve"> = 1 \* GB3 </w:instrText>
            </w:r>
            <w:r>
              <w:rPr>
                <w:color w:val="auto"/>
                <w:sz w:val="24"/>
                <w:szCs w:val="24"/>
              </w:rPr>
              <w:fldChar w:fldCharType="separate"/>
            </w:r>
            <w:r>
              <w:rPr>
                <w:color w:val="auto"/>
                <w:sz w:val="24"/>
                <w:szCs w:val="24"/>
              </w:rPr>
              <w:t>①</w:t>
            </w:r>
            <w:r>
              <w:rPr>
                <w:color w:val="auto"/>
                <w:sz w:val="24"/>
                <w:szCs w:val="24"/>
              </w:rPr>
              <w:fldChar w:fldCharType="end"/>
            </w:r>
            <w:r>
              <w:rPr>
                <w:color w:val="auto"/>
                <w:sz w:val="24"/>
                <w:szCs w:val="24"/>
              </w:rPr>
              <w:t>按照《危险废物贮存污染控制标准》（GB18597-2001）（2013年修改单），结合区域环境条件，企业在厂区修建了废物暂存间。</w:t>
            </w:r>
          </w:p>
          <w:p>
            <w:pPr>
              <w:spacing w:line="360" w:lineRule="auto"/>
              <w:ind w:firstLine="480" w:firstLineChars="200"/>
              <w:rPr>
                <w:color w:val="auto"/>
                <w:sz w:val="24"/>
                <w:szCs w:val="24"/>
              </w:rPr>
            </w:pPr>
            <w:r>
              <w:rPr>
                <w:color w:val="auto"/>
                <w:sz w:val="24"/>
                <w:szCs w:val="24"/>
              </w:rPr>
              <w:fldChar w:fldCharType="begin"/>
            </w:r>
            <w:r>
              <w:rPr>
                <w:color w:val="auto"/>
                <w:sz w:val="24"/>
                <w:szCs w:val="24"/>
              </w:rPr>
              <w:instrText xml:space="preserve"> = 2 \* GB3 </w:instrText>
            </w:r>
            <w:r>
              <w:rPr>
                <w:color w:val="auto"/>
                <w:sz w:val="24"/>
                <w:szCs w:val="24"/>
              </w:rPr>
              <w:fldChar w:fldCharType="separate"/>
            </w:r>
            <w:r>
              <w:rPr>
                <w:color w:val="auto"/>
                <w:sz w:val="24"/>
                <w:szCs w:val="24"/>
              </w:rPr>
              <w:t>②</w:t>
            </w:r>
            <w:r>
              <w:rPr>
                <w:color w:val="auto"/>
                <w:sz w:val="24"/>
                <w:szCs w:val="24"/>
              </w:rPr>
              <w:fldChar w:fldCharType="end"/>
            </w:r>
            <w:r>
              <w:rPr>
                <w:color w:val="auto"/>
                <w:sz w:val="24"/>
                <w:szCs w:val="24"/>
              </w:rPr>
              <w:t>厂区危险废物为项目</w:t>
            </w:r>
            <w:r>
              <w:rPr>
                <w:rFonts w:hint="eastAsia"/>
                <w:color w:val="auto"/>
                <w:sz w:val="24"/>
                <w:szCs w:val="24"/>
              </w:rPr>
              <w:t>生产过程中产生的</w:t>
            </w:r>
            <w:r>
              <w:rPr>
                <w:rFonts w:hint="eastAsia"/>
                <w:color w:val="auto"/>
                <w:sz w:val="24"/>
                <w:szCs w:val="24"/>
                <w:lang w:eastAsia="zh-CN"/>
              </w:rPr>
              <w:t>废</w:t>
            </w:r>
            <w:r>
              <w:rPr>
                <w:rFonts w:hint="eastAsia"/>
                <w:color w:val="auto"/>
                <w:sz w:val="24"/>
                <w:szCs w:val="24"/>
                <w:lang w:val="en-US" w:eastAsia="zh-CN"/>
              </w:rPr>
              <w:t>活性炭、废UV灯管</w:t>
            </w:r>
            <w:r>
              <w:rPr>
                <w:color w:val="auto"/>
                <w:sz w:val="24"/>
                <w:szCs w:val="24"/>
              </w:rPr>
              <w:t>。评价要求：项目产生的危废在危废暂存间内存放，定期由有资质单位回收。危废暂存间外要设立危险废物标志，地面按相关标准进行防渗处理，设置消防设备，安排专人管理；危险废物的收集、储存、转运必须根据国家《危险废物污染防治技术政策》的规定执行。</w:t>
            </w:r>
          </w:p>
          <w:p>
            <w:pPr>
              <w:spacing w:line="360" w:lineRule="auto"/>
              <w:ind w:firstLine="480" w:firstLineChars="200"/>
              <w:rPr>
                <w:color w:val="auto"/>
                <w:sz w:val="24"/>
                <w:szCs w:val="24"/>
              </w:rPr>
            </w:pPr>
            <w:r>
              <w:rPr>
                <w:color w:val="auto"/>
                <w:sz w:val="24"/>
                <w:szCs w:val="24"/>
              </w:rPr>
              <w:fldChar w:fldCharType="begin"/>
            </w:r>
            <w:r>
              <w:rPr>
                <w:color w:val="auto"/>
                <w:sz w:val="24"/>
                <w:szCs w:val="24"/>
              </w:rPr>
              <w:instrText xml:space="preserve"> = 3 \* GB3 </w:instrText>
            </w:r>
            <w:r>
              <w:rPr>
                <w:color w:val="auto"/>
                <w:sz w:val="24"/>
                <w:szCs w:val="24"/>
              </w:rPr>
              <w:fldChar w:fldCharType="separate"/>
            </w:r>
            <w:r>
              <w:rPr>
                <w:color w:val="auto"/>
                <w:sz w:val="24"/>
                <w:szCs w:val="24"/>
              </w:rPr>
              <w:t>③</w:t>
            </w:r>
            <w:r>
              <w:rPr>
                <w:color w:val="auto"/>
                <w:sz w:val="24"/>
                <w:szCs w:val="24"/>
              </w:rPr>
              <w:fldChar w:fldCharType="end"/>
            </w:r>
            <w:r>
              <w:rPr>
                <w:color w:val="auto"/>
                <w:sz w:val="24"/>
                <w:szCs w:val="24"/>
              </w:rPr>
              <w:t>危险废物管理</w:t>
            </w:r>
          </w:p>
          <w:p>
            <w:pPr>
              <w:spacing w:line="360" w:lineRule="auto"/>
              <w:ind w:firstLine="480" w:firstLineChars="200"/>
              <w:rPr>
                <w:color w:val="auto"/>
                <w:sz w:val="24"/>
                <w:szCs w:val="24"/>
              </w:rPr>
            </w:pPr>
            <w:r>
              <w:rPr>
                <w:color w:val="auto"/>
                <w:sz w:val="24"/>
                <w:szCs w:val="24"/>
              </w:rPr>
              <w:t>危险废物转运严格执行转移联单制度，转移联单制度，又称之为废物流向报告单制度，是指在进行危险废物转移时，其转移者、运输者和接受者，不论各环节涉及者数量多寡，均应按国家规定的统一格式、条件和要求，对所交接、运输的危险废物如实进行转移报告单的填报登记，并按程序和期限向有关环境保护部门报告。实施转移联单制度的目的是为了控制废物流向，掌握危险废物的动态变化，监督转移活动，控制危险废物污染的扩散。</w:t>
            </w:r>
          </w:p>
          <w:p>
            <w:pPr>
              <w:spacing w:line="360" w:lineRule="auto"/>
              <w:ind w:firstLine="480" w:firstLineChars="200"/>
              <w:rPr>
                <w:color w:val="auto"/>
                <w:sz w:val="24"/>
                <w:szCs w:val="24"/>
              </w:rPr>
            </w:pPr>
            <w:r>
              <w:rPr>
                <w:color w:val="auto"/>
                <w:sz w:val="24"/>
                <w:szCs w:val="24"/>
              </w:rPr>
              <w:t>危险废物收集、贮存、运输符合《危险废物收集、贮存、运输技术规范》(HJ2025-2012)》等相关要求。</w:t>
            </w:r>
          </w:p>
          <w:p>
            <w:pPr>
              <w:spacing w:line="360" w:lineRule="auto"/>
              <w:ind w:firstLine="480" w:firstLineChars="200"/>
              <w:rPr>
                <w:color w:val="auto"/>
                <w:sz w:val="24"/>
                <w:szCs w:val="24"/>
              </w:rPr>
            </w:pPr>
            <w:r>
              <w:rPr>
                <w:color w:val="auto"/>
                <w:sz w:val="24"/>
                <w:szCs w:val="24"/>
              </w:rPr>
              <w:t>综上所述，固体废物在采取有效防治措施后，对区域环境影响较小。</w:t>
            </w:r>
          </w:p>
          <w:p>
            <w:pPr>
              <w:pStyle w:val="5"/>
              <w:rPr>
                <w:color w:val="auto"/>
                <w:sz w:val="24"/>
                <w:szCs w:val="24"/>
              </w:rPr>
            </w:pPr>
            <w:r>
              <w:rPr>
                <w:color w:val="auto"/>
                <w:sz w:val="24"/>
                <w:szCs w:val="24"/>
              </w:rPr>
              <w:t>4.2.6土壤环境影响分析</w:t>
            </w:r>
          </w:p>
          <w:p>
            <w:pPr>
              <w:spacing w:line="360" w:lineRule="auto"/>
              <w:ind w:firstLine="480" w:firstLineChars="200"/>
              <w:rPr>
                <w:color w:val="auto"/>
                <w:sz w:val="24"/>
                <w:szCs w:val="24"/>
              </w:rPr>
            </w:pPr>
            <w:r>
              <w:rPr>
                <w:color w:val="auto"/>
                <w:sz w:val="24"/>
                <w:szCs w:val="24"/>
              </w:rPr>
              <w:t>根据《环境影响评价技术导则 土壤环境（试行）》 （HJ 964—2018）中《土壤环境影响评价类别》（附录A），本项目属于“</w:t>
            </w:r>
            <w:r>
              <w:rPr>
                <w:rFonts w:hint="eastAsia"/>
                <w:color w:val="auto"/>
                <w:sz w:val="24"/>
                <w:szCs w:val="24"/>
                <w:lang w:val="en-US" w:eastAsia="zh-CN"/>
              </w:rPr>
              <w:t>塑料制品</w:t>
            </w:r>
            <w:r>
              <w:rPr>
                <w:color w:val="auto"/>
                <w:sz w:val="24"/>
                <w:szCs w:val="24"/>
              </w:rPr>
              <w:t>”</w:t>
            </w:r>
            <w:r>
              <w:rPr>
                <w:rFonts w:hint="eastAsia"/>
                <w:color w:val="auto"/>
                <w:sz w:val="24"/>
                <w:szCs w:val="24"/>
                <w:lang w:eastAsia="zh-CN"/>
              </w:rPr>
              <w:t>，</w:t>
            </w:r>
            <w:r>
              <w:rPr>
                <w:rFonts w:hint="eastAsia"/>
                <w:color w:val="auto"/>
                <w:sz w:val="24"/>
                <w:szCs w:val="24"/>
                <w:lang w:val="en-US" w:eastAsia="zh-CN"/>
              </w:rPr>
              <w:t>为</w:t>
            </w:r>
            <w:r>
              <w:rPr>
                <w:color w:val="auto"/>
                <w:sz w:val="24"/>
                <w:szCs w:val="24"/>
              </w:rPr>
              <w:t>“其他”类项目，项目类别为</w:t>
            </w:r>
            <w:r>
              <w:rPr>
                <w:color w:val="auto"/>
                <w:sz w:val="24"/>
                <w:szCs w:val="24"/>
              </w:rPr>
              <w:fldChar w:fldCharType="begin"/>
            </w:r>
            <w:r>
              <w:rPr>
                <w:color w:val="auto"/>
                <w:sz w:val="24"/>
                <w:szCs w:val="24"/>
              </w:rPr>
              <w:instrText xml:space="preserve"> = 4 \* ROMAN \* MERGEFORMAT </w:instrText>
            </w:r>
            <w:r>
              <w:rPr>
                <w:color w:val="auto"/>
                <w:sz w:val="24"/>
                <w:szCs w:val="24"/>
              </w:rPr>
              <w:fldChar w:fldCharType="separate"/>
            </w:r>
            <w:r>
              <w:rPr>
                <w:color w:val="auto"/>
                <w:sz w:val="24"/>
                <w:szCs w:val="24"/>
              </w:rPr>
              <w:t>IV</w:t>
            </w:r>
            <w:r>
              <w:rPr>
                <w:color w:val="auto"/>
                <w:sz w:val="24"/>
                <w:szCs w:val="24"/>
              </w:rPr>
              <w:fldChar w:fldCharType="end"/>
            </w:r>
            <w:r>
              <w:rPr>
                <w:color w:val="auto"/>
                <w:sz w:val="24"/>
                <w:szCs w:val="24"/>
              </w:rPr>
              <w:t>类，因此本项目可不进行土壤环境评价。</w:t>
            </w:r>
          </w:p>
          <w:p>
            <w:pPr>
              <w:pStyle w:val="5"/>
              <w:rPr>
                <w:color w:val="auto"/>
              </w:rPr>
            </w:pPr>
            <w:r>
              <w:rPr>
                <w:rFonts w:hint="eastAsia"/>
                <w:color w:val="auto"/>
              </w:rPr>
              <w:t>4</w:t>
            </w:r>
            <w:r>
              <w:rPr>
                <w:color w:val="auto"/>
              </w:rPr>
              <w:t>.2.7环境风险评价</w:t>
            </w:r>
          </w:p>
          <w:p>
            <w:pPr>
              <w:spacing w:line="360" w:lineRule="auto"/>
              <w:ind w:firstLine="480" w:firstLineChars="200"/>
              <w:rPr>
                <w:rFonts w:hint="default"/>
                <w:color w:val="auto"/>
                <w:sz w:val="24"/>
                <w:szCs w:val="24"/>
              </w:rPr>
            </w:pPr>
            <w:r>
              <w:rPr>
                <w:rFonts w:hint="default"/>
                <w:color w:val="auto"/>
                <w:sz w:val="24"/>
                <w:szCs w:val="24"/>
              </w:rPr>
              <w:t>（1）风险潜势初判</w:t>
            </w:r>
          </w:p>
          <w:p>
            <w:pPr>
              <w:spacing w:line="360" w:lineRule="auto"/>
              <w:ind w:firstLine="480" w:firstLineChars="200"/>
              <w:rPr>
                <w:rFonts w:hint="default"/>
                <w:color w:val="auto"/>
                <w:sz w:val="24"/>
                <w:szCs w:val="24"/>
              </w:rPr>
            </w:pPr>
            <w:r>
              <w:rPr>
                <w:rFonts w:hint="default"/>
                <w:color w:val="auto"/>
                <w:sz w:val="24"/>
                <w:szCs w:val="24"/>
              </w:rPr>
              <w:t>①物质危险性识别 本项目所涉及到的易燃易爆危险物质为丁烷。</w:t>
            </w:r>
          </w:p>
          <w:p>
            <w:pPr>
              <w:spacing w:line="360" w:lineRule="auto"/>
              <w:ind w:firstLine="480" w:firstLineChars="200"/>
              <w:rPr>
                <w:rFonts w:hint="default"/>
                <w:color w:val="auto"/>
                <w:sz w:val="24"/>
                <w:szCs w:val="24"/>
              </w:rPr>
            </w:pPr>
            <w:r>
              <w:rPr>
                <w:rFonts w:hint="default"/>
                <w:color w:val="auto"/>
                <w:sz w:val="24"/>
                <w:szCs w:val="24"/>
              </w:rPr>
              <w:t>②危险物质及工艺系统危险性分级</w:t>
            </w:r>
          </w:p>
          <w:p>
            <w:pPr>
              <w:spacing w:line="360" w:lineRule="auto"/>
              <w:ind w:firstLine="480" w:firstLineChars="200"/>
              <w:rPr>
                <w:rFonts w:hint="default"/>
                <w:color w:val="auto"/>
                <w:sz w:val="24"/>
                <w:szCs w:val="24"/>
              </w:rPr>
            </w:pPr>
            <w:r>
              <w:rPr>
                <w:rFonts w:hint="default"/>
                <w:color w:val="auto"/>
                <w:sz w:val="24"/>
                <w:szCs w:val="24"/>
              </w:rPr>
              <w:t>根据《建设项目环境风险评价技术导则》（HJ 169-2018）附录 B.1 和附录 C，判断 危险物质及工艺系统危险性分级。</w:t>
            </w:r>
          </w:p>
          <w:p>
            <w:pPr>
              <w:spacing w:line="360" w:lineRule="auto"/>
              <w:ind w:firstLine="480" w:firstLineChars="200"/>
              <w:rPr>
                <w:rFonts w:hint="default"/>
                <w:color w:val="auto"/>
                <w:sz w:val="24"/>
                <w:szCs w:val="24"/>
              </w:rPr>
            </w:pPr>
            <w:r>
              <w:rPr>
                <w:rFonts w:hint="default"/>
                <w:color w:val="auto"/>
                <w:sz w:val="24"/>
                <w:szCs w:val="24"/>
              </w:rPr>
              <w:t>A、危险物质数量与临界量比值（Q） Q =q1/Q1＋q2/Q2＋……＋qn/Qn 式中：q1，q2，...，qn——每种危险物质的最大存在总量，t； Q1，Q2，...，Qn——每种危险物质的临界量，t。</w:t>
            </w:r>
          </w:p>
          <w:p>
            <w:pPr>
              <w:spacing w:line="360" w:lineRule="auto"/>
              <w:ind w:firstLine="480" w:firstLineChars="200"/>
              <w:rPr>
                <w:rFonts w:hint="default"/>
                <w:color w:val="auto"/>
                <w:sz w:val="24"/>
                <w:szCs w:val="24"/>
              </w:rPr>
            </w:pPr>
            <w:r>
              <w:rPr>
                <w:rFonts w:hint="default"/>
                <w:color w:val="auto"/>
                <w:sz w:val="24"/>
                <w:szCs w:val="24"/>
              </w:rPr>
              <w:t>当 Q&lt;1 时，该项目环境风险潜势为Ⅰ。</w:t>
            </w:r>
          </w:p>
          <w:p>
            <w:pPr>
              <w:spacing w:line="360" w:lineRule="auto"/>
              <w:ind w:firstLine="480" w:firstLineChars="200"/>
              <w:rPr>
                <w:rFonts w:hint="default"/>
                <w:color w:val="auto"/>
                <w:sz w:val="24"/>
                <w:szCs w:val="24"/>
              </w:rPr>
            </w:pPr>
            <w:r>
              <w:rPr>
                <w:rFonts w:hint="default"/>
                <w:color w:val="auto"/>
                <w:sz w:val="24"/>
                <w:szCs w:val="24"/>
              </w:rPr>
              <w:t xml:space="preserve">当 Q≥1 时，将 Q 值划分为：（1）1≤Q&lt;10；（2）10≤Q&lt;100；（3）Q≥100。 </w:t>
            </w:r>
          </w:p>
          <w:p>
            <w:pPr>
              <w:spacing w:line="360" w:lineRule="auto"/>
              <w:ind w:firstLine="480" w:firstLineChars="200"/>
              <w:rPr>
                <w:rFonts w:hint="default"/>
                <w:color w:val="auto"/>
                <w:sz w:val="24"/>
                <w:szCs w:val="24"/>
              </w:rPr>
            </w:pPr>
            <w:r>
              <w:rPr>
                <w:rFonts w:hint="default"/>
                <w:color w:val="auto"/>
                <w:sz w:val="24"/>
                <w:szCs w:val="24"/>
              </w:rPr>
              <w:t>本项目涉及的风险物质及最大储存量级临界量见表</w:t>
            </w:r>
            <w:r>
              <w:rPr>
                <w:rFonts w:hint="eastAsia"/>
                <w:color w:val="auto"/>
                <w:sz w:val="24"/>
                <w:szCs w:val="24"/>
                <w:lang w:val="en-US" w:eastAsia="zh-CN"/>
              </w:rPr>
              <w:t>4-10</w:t>
            </w:r>
            <w:r>
              <w:rPr>
                <w:rFonts w:hint="default"/>
                <w:color w:val="auto"/>
                <w:sz w:val="24"/>
                <w:szCs w:val="24"/>
              </w:rPr>
              <w:t>。</w:t>
            </w:r>
          </w:p>
          <w:p>
            <w:pPr>
              <w:spacing w:line="360" w:lineRule="exact"/>
              <w:jc w:val="center"/>
              <w:rPr>
                <w:rFonts w:hint="default"/>
                <w:color w:val="auto"/>
              </w:rPr>
            </w:pPr>
            <w:r>
              <w:rPr>
                <w:rFonts w:hint="default"/>
                <w:color w:val="auto"/>
              </w:rPr>
              <w:t>表</w:t>
            </w:r>
            <w:r>
              <w:rPr>
                <w:rFonts w:hint="default"/>
                <w:color w:val="auto"/>
                <w:lang w:val="en-US" w:eastAsia="zh-CN"/>
              </w:rPr>
              <w:t>4-10</w:t>
            </w:r>
            <w:r>
              <w:rPr>
                <w:rFonts w:hint="default"/>
                <w:color w:val="auto"/>
              </w:rPr>
              <w:tab/>
            </w:r>
            <w:r>
              <w:rPr>
                <w:rFonts w:hint="default"/>
                <w:color w:val="auto"/>
              </w:rPr>
              <w:t>主要危险物质风险识别</w:t>
            </w:r>
          </w:p>
          <w:p>
            <w:pPr>
              <w:spacing w:before="5" w:after="0" w:line="40" w:lineRule="exact"/>
              <w:jc w:val="left"/>
              <w:rPr>
                <w:rFonts w:hint="default"/>
                <w:color w:val="auto"/>
              </w:rPr>
            </w:pPr>
          </w:p>
          <w:tbl>
            <w:tblPr>
              <w:tblStyle w:val="29"/>
              <w:tblW w:w="0" w:type="auto"/>
              <w:tblInd w:w="114" w:type="dxa"/>
              <w:tblLayout w:type="fixed"/>
              <w:tblCellMar>
                <w:top w:w="0" w:type="dxa"/>
                <w:left w:w="0" w:type="dxa"/>
                <w:bottom w:w="0" w:type="dxa"/>
                <w:right w:w="0" w:type="dxa"/>
              </w:tblCellMar>
            </w:tblPr>
            <w:tblGrid>
              <w:gridCol w:w="850"/>
              <w:gridCol w:w="1596"/>
              <w:gridCol w:w="1446"/>
              <w:gridCol w:w="1749"/>
              <w:gridCol w:w="2156"/>
            </w:tblGrid>
            <w:tr>
              <w:tblPrEx>
                <w:tblCellMar>
                  <w:top w:w="0" w:type="dxa"/>
                  <w:left w:w="0" w:type="dxa"/>
                  <w:bottom w:w="0" w:type="dxa"/>
                  <w:right w:w="0" w:type="dxa"/>
                </w:tblCellMar>
              </w:tblPrEx>
              <w:trPr>
                <w:trHeight w:val="302" w:hRule="exact"/>
              </w:trPr>
              <w:tc>
                <w:tcPr>
                  <w:tcW w:w="850" w:type="dxa"/>
                  <w:tcBorders>
                    <w:top w:val="single" w:color="000000" w:sz="4" w:space="0"/>
                    <w:left w:val="single" w:color="000000" w:sz="4" w:space="0"/>
                    <w:bottom w:val="single" w:color="000000" w:sz="4" w:space="0"/>
                    <w:right w:val="single" w:color="000000" w:sz="4" w:space="0"/>
                  </w:tcBorders>
                </w:tcPr>
                <w:p>
                  <w:pPr>
                    <w:topLinePunct/>
                    <w:adjustRightInd w:val="0"/>
                    <w:snapToGrid w:val="0"/>
                    <w:jc w:val="center"/>
                    <w:rPr>
                      <w:rFonts w:hint="default"/>
                      <w:color w:val="auto"/>
                      <w:lang w:val="en-US" w:eastAsia="zh-CN"/>
                    </w:rPr>
                  </w:pPr>
                  <w:r>
                    <w:rPr>
                      <w:rFonts w:hint="default"/>
                      <w:color w:val="auto"/>
                      <w:lang w:val="en-US" w:eastAsia="zh-CN"/>
                    </w:rPr>
                    <w:t>序号</w:t>
                  </w:r>
                </w:p>
              </w:tc>
              <w:tc>
                <w:tcPr>
                  <w:tcW w:w="1596" w:type="dxa"/>
                  <w:tcBorders>
                    <w:top w:val="single" w:color="000000" w:sz="4" w:space="0"/>
                    <w:left w:val="single" w:color="000000" w:sz="4" w:space="0"/>
                    <w:bottom w:val="single" w:color="000000" w:sz="4" w:space="0"/>
                    <w:right w:val="single" w:color="000000" w:sz="4" w:space="0"/>
                  </w:tcBorders>
                </w:tcPr>
                <w:p>
                  <w:pPr>
                    <w:topLinePunct/>
                    <w:adjustRightInd w:val="0"/>
                    <w:snapToGrid w:val="0"/>
                    <w:jc w:val="center"/>
                    <w:rPr>
                      <w:rFonts w:hint="default"/>
                      <w:color w:val="auto"/>
                      <w:lang w:val="en-US" w:eastAsia="zh-CN"/>
                    </w:rPr>
                  </w:pPr>
                  <w:r>
                    <w:rPr>
                      <w:rFonts w:hint="default"/>
                      <w:color w:val="auto"/>
                      <w:lang w:val="en-US" w:eastAsia="zh-CN"/>
                    </w:rPr>
                    <w:t>危险物质</w:t>
                  </w:r>
                </w:p>
              </w:tc>
              <w:tc>
                <w:tcPr>
                  <w:tcW w:w="1446" w:type="dxa"/>
                  <w:tcBorders>
                    <w:top w:val="single" w:color="000000" w:sz="4" w:space="0"/>
                    <w:left w:val="single" w:color="000000" w:sz="4" w:space="0"/>
                    <w:bottom w:val="single" w:color="000000" w:sz="4" w:space="0"/>
                    <w:right w:val="single" w:color="000000" w:sz="4" w:space="0"/>
                  </w:tcBorders>
                </w:tcPr>
                <w:p>
                  <w:pPr>
                    <w:topLinePunct/>
                    <w:adjustRightInd w:val="0"/>
                    <w:snapToGrid w:val="0"/>
                    <w:jc w:val="center"/>
                    <w:rPr>
                      <w:rFonts w:hint="default"/>
                      <w:color w:val="auto"/>
                      <w:lang w:val="en-US" w:eastAsia="zh-CN"/>
                    </w:rPr>
                  </w:pPr>
                  <w:r>
                    <w:rPr>
                      <w:rFonts w:hint="default"/>
                      <w:color w:val="auto"/>
                      <w:lang w:val="en-US" w:eastAsia="zh-CN"/>
                    </w:rPr>
                    <w:t>包装形式</w:t>
                  </w:r>
                </w:p>
              </w:tc>
              <w:tc>
                <w:tcPr>
                  <w:tcW w:w="1749" w:type="dxa"/>
                  <w:tcBorders>
                    <w:top w:val="single" w:color="000000" w:sz="4" w:space="0"/>
                    <w:left w:val="single" w:color="000000" w:sz="4" w:space="0"/>
                    <w:bottom w:val="single" w:color="000000" w:sz="4" w:space="0"/>
                    <w:right w:val="single" w:color="000000" w:sz="4" w:space="0"/>
                  </w:tcBorders>
                </w:tcPr>
                <w:p>
                  <w:pPr>
                    <w:topLinePunct/>
                    <w:adjustRightInd w:val="0"/>
                    <w:snapToGrid w:val="0"/>
                    <w:jc w:val="center"/>
                    <w:rPr>
                      <w:rFonts w:hint="default"/>
                      <w:color w:val="auto"/>
                      <w:lang w:val="en-US" w:eastAsia="zh-CN"/>
                    </w:rPr>
                  </w:pPr>
                  <w:r>
                    <w:rPr>
                      <w:rFonts w:hint="default"/>
                      <w:color w:val="auto"/>
                      <w:lang w:val="en-US" w:eastAsia="zh-CN"/>
                    </w:rPr>
                    <w:t>最大存储量</w:t>
                  </w:r>
                </w:p>
              </w:tc>
              <w:tc>
                <w:tcPr>
                  <w:tcW w:w="2156" w:type="dxa"/>
                  <w:tcBorders>
                    <w:top w:val="single" w:color="000000" w:sz="4" w:space="0"/>
                    <w:left w:val="single" w:color="000000" w:sz="4" w:space="0"/>
                    <w:bottom w:val="single" w:color="000000" w:sz="4" w:space="0"/>
                    <w:right w:val="single" w:color="000000" w:sz="4" w:space="0"/>
                  </w:tcBorders>
                </w:tcPr>
                <w:p>
                  <w:pPr>
                    <w:topLinePunct/>
                    <w:adjustRightInd w:val="0"/>
                    <w:snapToGrid w:val="0"/>
                    <w:jc w:val="center"/>
                    <w:rPr>
                      <w:rFonts w:hint="default"/>
                      <w:color w:val="auto"/>
                      <w:lang w:val="en-US" w:eastAsia="zh-CN"/>
                    </w:rPr>
                  </w:pPr>
                  <w:r>
                    <w:rPr>
                      <w:rFonts w:hint="default"/>
                      <w:color w:val="auto"/>
                      <w:lang w:val="en-US" w:eastAsia="zh-CN"/>
                    </w:rPr>
                    <w:t>临界量</w:t>
                  </w:r>
                </w:p>
              </w:tc>
            </w:tr>
            <w:tr>
              <w:tblPrEx>
                <w:tblCellMar>
                  <w:top w:w="0" w:type="dxa"/>
                  <w:left w:w="0" w:type="dxa"/>
                  <w:bottom w:w="0" w:type="dxa"/>
                  <w:right w:w="0" w:type="dxa"/>
                </w:tblCellMar>
              </w:tblPrEx>
              <w:trPr>
                <w:trHeight w:val="312" w:hRule="exact"/>
              </w:trPr>
              <w:tc>
                <w:tcPr>
                  <w:tcW w:w="850" w:type="dxa"/>
                  <w:tcBorders>
                    <w:top w:val="single" w:color="000000" w:sz="4" w:space="0"/>
                    <w:left w:val="single" w:color="000000" w:sz="4" w:space="0"/>
                    <w:bottom w:val="single" w:color="000000" w:sz="4" w:space="0"/>
                    <w:right w:val="single" w:color="000000" w:sz="4" w:space="0"/>
                  </w:tcBorders>
                </w:tcPr>
                <w:p>
                  <w:pPr>
                    <w:topLinePunct/>
                    <w:adjustRightInd w:val="0"/>
                    <w:snapToGrid w:val="0"/>
                    <w:jc w:val="center"/>
                    <w:rPr>
                      <w:rFonts w:hint="default"/>
                      <w:color w:val="auto"/>
                      <w:lang w:val="en-US" w:eastAsia="zh-CN"/>
                    </w:rPr>
                  </w:pPr>
                  <w:r>
                    <w:rPr>
                      <w:rFonts w:hint="default"/>
                      <w:color w:val="auto"/>
                      <w:lang w:val="en-US" w:eastAsia="zh-CN"/>
                    </w:rPr>
                    <w:t>1</w:t>
                  </w:r>
                </w:p>
              </w:tc>
              <w:tc>
                <w:tcPr>
                  <w:tcW w:w="1596" w:type="dxa"/>
                  <w:tcBorders>
                    <w:top w:val="single" w:color="000000" w:sz="4" w:space="0"/>
                    <w:left w:val="single" w:color="000000" w:sz="4" w:space="0"/>
                    <w:bottom w:val="single" w:color="000000" w:sz="4" w:space="0"/>
                    <w:right w:val="single" w:color="000000" w:sz="4" w:space="0"/>
                  </w:tcBorders>
                </w:tcPr>
                <w:p>
                  <w:pPr>
                    <w:topLinePunct/>
                    <w:adjustRightInd w:val="0"/>
                    <w:snapToGrid w:val="0"/>
                    <w:jc w:val="center"/>
                    <w:rPr>
                      <w:rFonts w:hint="default"/>
                      <w:color w:val="auto"/>
                      <w:lang w:val="en-US" w:eastAsia="zh-CN"/>
                    </w:rPr>
                  </w:pPr>
                  <w:r>
                    <w:rPr>
                      <w:rFonts w:hint="default"/>
                      <w:color w:val="auto"/>
                      <w:lang w:val="en-US" w:eastAsia="zh-CN"/>
                    </w:rPr>
                    <w:t>丁烷</w:t>
                  </w:r>
                </w:p>
              </w:tc>
              <w:tc>
                <w:tcPr>
                  <w:tcW w:w="1446" w:type="dxa"/>
                  <w:tcBorders>
                    <w:top w:val="single" w:color="000000" w:sz="4" w:space="0"/>
                    <w:left w:val="single" w:color="000000" w:sz="4" w:space="0"/>
                    <w:bottom w:val="single" w:color="000000" w:sz="4" w:space="0"/>
                    <w:right w:val="single" w:color="000000" w:sz="4" w:space="0"/>
                  </w:tcBorders>
                </w:tcPr>
                <w:p>
                  <w:pPr>
                    <w:topLinePunct/>
                    <w:adjustRightInd w:val="0"/>
                    <w:snapToGrid w:val="0"/>
                    <w:jc w:val="center"/>
                    <w:rPr>
                      <w:rFonts w:hint="default"/>
                      <w:color w:val="auto"/>
                      <w:lang w:val="en-US" w:eastAsia="zh-CN"/>
                    </w:rPr>
                  </w:pPr>
                  <w:r>
                    <w:rPr>
                      <w:rFonts w:hint="default"/>
                      <w:color w:val="auto"/>
                      <w:lang w:val="en-US" w:eastAsia="zh-CN"/>
                    </w:rPr>
                    <w:t>储罐</w:t>
                  </w:r>
                </w:p>
              </w:tc>
              <w:tc>
                <w:tcPr>
                  <w:tcW w:w="1749" w:type="dxa"/>
                  <w:tcBorders>
                    <w:top w:val="single" w:color="000000" w:sz="4" w:space="0"/>
                    <w:left w:val="single" w:color="000000" w:sz="4" w:space="0"/>
                    <w:bottom w:val="single" w:color="000000" w:sz="4" w:space="0"/>
                    <w:right w:val="single" w:color="000000" w:sz="4" w:space="0"/>
                  </w:tcBorders>
                </w:tcPr>
                <w:p>
                  <w:pPr>
                    <w:topLinePunct/>
                    <w:adjustRightInd w:val="0"/>
                    <w:snapToGrid w:val="0"/>
                    <w:jc w:val="center"/>
                    <w:rPr>
                      <w:rFonts w:hint="default"/>
                      <w:color w:val="auto"/>
                      <w:lang w:val="en-US" w:eastAsia="zh-CN"/>
                    </w:rPr>
                  </w:pPr>
                  <w:r>
                    <w:rPr>
                      <w:rFonts w:hint="default"/>
                      <w:color w:val="auto"/>
                      <w:lang w:val="en-US" w:eastAsia="zh-CN"/>
                    </w:rPr>
                    <w:t>0.5t</w:t>
                  </w:r>
                </w:p>
              </w:tc>
              <w:tc>
                <w:tcPr>
                  <w:tcW w:w="2156" w:type="dxa"/>
                  <w:tcBorders>
                    <w:top w:val="single" w:color="000000" w:sz="4" w:space="0"/>
                    <w:left w:val="single" w:color="000000" w:sz="4" w:space="0"/>
                    <w:bottom w:val="single" w:color="000000" w:sz="4" w:space="0"/>
                    <w:right w:val="single" w:color="000000" w:sz="4" w:space="0"/>
                  </w:tcBorders>
                </w:tcPr>
                <w:p>
                  <w:pPr>
                    <w:topLinePunct/>
                    <w:adjustRightInd w:val="0"/>
                    <w:snapToGrid w:val="0"/>
                    <w:jc w:val="center"/>
                    <w:rPr>
                      <w:rFonts w:hint="default"/>
                      <w:color w:val="auto"/>
                      <w:lang w:val="en-US" w:eastAsia="zh-CN"/>
                    </w:rPr>
                  </w:pPr>
                  <w:r>
                    <w:rPr>
                      <w:rFonts w:hint="default"/>
                      <w:color w:val="auto"/>
                      <w:lang w:val="en-US" w:eastAsia="zh-CN"/>
                    </w:rPr>
                    <w:t>10t</w:t>
                  </w:r>
                </w:p>
              </w:tc>
            </w:tr>
          </w:tbl>
          <w:p>
            <w:pPr>
              <w:spacing w:line="360" w:lineRule="auto"/>
              <w:ind w:firstLine="480" w:firstLineChars="200"/>
              <w:rPr>
                <w:rFonts w:hint="default"/>
                <w:color w:val="auto"/>
                <w:sz w:val="24"/>
                <w:szCs w:val="24"/>
              </w:rPr>
            </w:pPr>
            <w:r>
              <w:rPr>
                <w:rFonts w:hint="default"/>
                <w:color w:val="auto"/>
                <w:sz w:val="24"/>
                <w:szCs w:val="24"/>
              </w:rPr>
              <w:t>由上表可知，本项目风险物质数量与临界量比值 Q=0.5/10=0.05，属于 Q&lt;1。本项目环境风险潜势为Ⅰ。</w:t>
            </w:r>
          </w:p>
          <w:p>
            <w:pPr>
              <w:keepNext w:val="0"/>
              <w:keepLines w:val="0"/>
              <w:pageBreakBefore w:val="0"/>
              <w:widowControl w:val="0"/>
              <w:kinsoku/>
              <w:wordWrap/>
              <w:overflowPunct/>
              <w:topLinePunct w:val="0"/>
              <w:autoSpaceDE/>
              <w:autoSpaceDN/>
              <w:bidi w:val="0"/>
              <w:adjustRightInd/>
              <w:snapToGrid/>
              <w:spacing w:after="0" w:line="360" w:lineRule="auto"/>
              <w:ind w:left="596" w:right="-20"/>
              <w:jc w:val="left"/>
              <w:textAlignment w:val="auto"/>
              <w:rPr>
                <w:rFonts w:hint="default"/>
                <w:color w:val="auto"/>
                <w:sz w:val="24"/>
                <w:szCs w:val="24"/>
              </w:rPr>
            </w:pPr>
            <w:r>
              <w:rPr>
                <w:rFonts w:hint="default"/>
                <w:color w:val="auto"/>
                <w:sz w:val="24"/>
                <w:szCs w:val="24"/>
              </w:rPr>
              <w:t>③评价等级</w:t>
            </w:r>
          </w:p>
          <w:p>
            <w:pPr>
              <w:spacing w:line="360" w:lineRule="auto"/>
              <w:ind w:firstLine="480" w:firstLineChars="200"/>
              <w:rPr>
                <w:rFonts w:hint="default"/>
                <w:color w:val="auto"/>
                <w:sz w:val="24"/>
                <w:szCs w:val="24"/>
              </w:rPr>
            </w:pPr>
            <w:r>
              <w:rPr>
                <w:rFonts w:hint="default"/>
                <w:color w:val="auto"/>
                <w:sz w:val="24"/>
                <w:szCs w:val="24"/>
              </w:rPr>
              <w:t>《建设项目环境风险评价技术导则》（HJ169-2018）评价工作等级划分依据见表</w:t>
            </w:r>
            <w:r>
              <w:rPr>
                <w:rFonts w:hint="eastAsia"/>
                <w:color w:val="auto"/>
                <w:sz w:val="24"/>
                <w:szCs w:val="24"/>
                <w:lang w:val="en-US" w:eastAsia="zh-CN"/>
              </w:rPr>
              <w:t>4-11</w:t>
            </w:r>
            <w:r>
              <w:rPr>
                <w:rFonts w:hint="default"/>
                <w:color w:val="auto"/>
                <w:sz w:val="24"/>
                <w:szCs w:val="24"/>
              </w:rPr>
              <w:t xml:space="preserve">。 </w:t>
            </w:r>
          </w:p>
          <w:p>
            <w:pPr>
              <w:spacing w:line="360" w:lineRule="exact"/>
              <w:jc w:val="center"/>
              <w:rPr>
                <w:rFonts w:hint="default"/>
                <w:color w:val="auto"/>
              </w:rPr>
            </w:pPr>
            <w:r>
              <w:rPr>
                <w:rFonts w:hint="default"/>
                <w:color w:val="auto"/>
              </w:rPr>
              <w:t xml:space="preserve">表 </w:t>
            </w:r>
            <w:r>
              <w:rPr>
                <w:rFonts w:hint="eastAsia"/>
                <w:color w:val="auto"/>
                <w:lang w:val="en-US" w:eastAsia="zh-CN"/>
              </w:rPr>
              <w:t>4-11</w:t>
            </w:r>
            <w:r>
              <w:rPr>
                <w:rFonts w:hint="default"/>
                <w:color w:val="auto"/>
              </w:rPr>
              <w:tab/>
            </w:r>
            <w:r>
              <w:rPr>
                <w:rFonts w:hint="default"/>
                <w:color w:val="auto"/>
              </w:rPr>
              <w:t>评价工作等级划分</w:t>
            </w:r>
          </w:p>
          <w:tbl>
            <w:tblPr>
              <w:tblStyle w:val="29"/>
              <w:tblW w:w="0" w:type="auto"/>
              <w:tblInd w:w="114" w:type="dxa"/>
              <w:tblLayout w:type="fixed"/>
              <w:tblCellMar>
                <w:top w:w="0" w:type="dxa"/>
                <w:left w:w="0" w:type="dxa"/>
                <w:bottom w:w="0" w:type="dxa"/>
                <w:right w:w="0" w:type="dxa"/>
              </w:tblCellMar>
            </w:tblPr>
            <w:tblGrid>
              <w:gridCol w:w="2654"/>
              <w:gridCol w:w="1240"/>
              <w:gridCol w:w="1240"/>
              <w:gridCol w:w="1237"/>
              <w:gridCol w:w="1246"/>
            </w:tblGrid>
            <w:tr>
              <w:tblPrEx>
                <w:tblCellMar>
                  <w:top w:w="0" w:type="dxa"/>
                  <w:left w:w="0" w:type="dxa"/>
                  <w:bottom w:w="0" w:type="dxa"/>
                  <w:right w:w="0" w:type="dxa"/>
                </w:tblCellMar>
              </w:tblPrEx>
              <w:trPr>
                <w:trHeight w:val="326" w:hRule="exact"/>
              </w:trPr>
              <w:tc>
                <w:tcPr>
                  <w:tcW w:w="2654" w:type="dxa"/>
                  <w:tcBorders>
                    <w:top w:val="single" w:color="000000" w:sz="4" w:space="0"/>
                    <w:left w:val="single" w:color="000000" w:sz="4" w:space="0"/>
                    <w:bottom w:val="single" w:color="000000" w:sz="4" w:space="0"/>
                    <w:right w:val="single" w:color="000000" w:sz="4" w:space="0"/>
                  </w:tcBorders>
                </w:tcPr>
                <w:p>
                  <w:pPr>
                    <w:topLinePunct/>
                    <w:adjustRightInd w:val="0"/>
                    <w:snapToGrid w:val="0"/>
                    <w:jc w:val="center"/>
                    <w:rPr>
                      <w:rFonts w:hint="default"/>
                      <w:color w:val="auto"/>
                      <w:lang w:val="en-US" w:eastAsia="zh-CN"/>
                    </w:rPr>
                  </w:pPr>
                  <w:r>
                    <w:rPr>
                      <w:rFonts w:hint="default"/>
                      <w:color w:val="auto"/>
                      <w:lang w:val="en-US" w:eastAsia="zh-CN"/>
                    </w:rPr>
                    <w:t>环境风险潜势</w:t>
                  </w:r>
                </w:p>
              </w:tc>
              <w:tc>
                <w:tcPr>
                  <w:tcW w:w="1240" w:type="dxa"/>
                  <w:tcBorders>
                    <w:top w:val="single" w:color="000000" w:sz="4" w:space="0"/>
                    <w:left w:val="single" w:color="000000" w:sz="4" w:space="0"/>
                    <w:bottom w:val="single" w:color="000000" w:sz="4" w:space="0"/>
                    <w:right w:val="single" w:color="000000" w:sz="4" w:space="0"/>
                  </w:tcBorders>
                </w:tcPr>
                <w:p>
                  <w:pPr>
                    <w:topLinePunct/>
                    <w:adjustRightInd w:val="0"/>
                    <w:snapToGrid w:val="0"/>
                    <w:jc w:val="center"/>
                    <w:rPr>
                      <w:rFonts w:hint="default"/>
                      <w:color w:val="auto"/>
                      <w:lang w:val="en-US" w:eastAsia="zh-CN"/>
                    </w:rPr>
                  </w:pPr>
                  <w:r>
                    <w:rPr>
                      <w:rFonts w:hint="default"/>
                      <w:color w:val="auto"/>
                      <w:lang w:val="en-US" w:eastAsia="zh-CN"/>
                    </w:rPr>
                    <w:t>Ⅵ+、Ⅵ</w:t>
                  </w:r>
                </w:p>
              </w:tc>
              <w:tc>
                <w:tcPr>
                  <w:tcW w:w="1240" w:type="dxa"/>
                  <w:tcBorders>
                    <w:top w:val="single" w:color="000000" w:sz="4" w:space="0"/>
                    <w:left w:val="single" w:color="000000" w:sz="4" w:space="0"/>
                    <w:bottom w:val="single" w:color="000000" w:sz="4" w:space="0"/>
                    <w:right w:val="single" w:color="000000" w:sz="4" w:space="0"/>
                  </w:tcBorders>
                </w:tcPr>
                <w:p>
                  <w:pPr>
                    <w:topLinePunct/>
                    <w:adjustRightInd w:val="0"/>
                    <w:snapToGrid w:val="0"/>
                    <w:jc w:val="center"/>
                    <w:rPr>
                      <w:rFonts w:hint="default"/>
                      <w:color w:val="auto"/>
                      <w:lang w:val="en-US" w:eastAsia="zh-CN"/>
                    </w:rPr>
                  </w:pPr>
                  <w:r>
                    <w:rPr>
                      <w:rFonts w:hint="default"/>
                      <w:color w:val="auto"/>
                      <w:lang w:val="en-US" w:eastAsia="zh-CN"/>
                    </w:rPr>
                    <w:t>Ⅲ</w:t>
                  </w:r>
                </w:p>
              </w:tc>
              <w:tc>
                <w:tcPr>
                  <w:tcW w:w="1237" w:type="dxa"/>
                  <w:tcBorders>
                    <w:top w:val="single" w:color="000000" w:sz="4" w:space="0"/>
                    <w:left w:val="single" w:color="000000" w:sz="4" w:space="0"/>
                    <w:bottom w:val="single" w:color="000000" w:sz="4" w:space="0"/>
                    <w:right w:val="single" w:color="000000" w:sz="4" w:space="0"/>
                  </w:tcBorders>
                </w:tcPr>
                <w:p>
                  <w:pPr>
                    <w:topLinePunct/>
                    <w:adjustRightInd w:val="0"/>
                    <w:snapToGrid w:val="0"/>
                    <w:jc w:val="center"/>
                    <w:rPr>
                      <w:rFonts w:hint="default"/>
                      <w:color w:val="auto"/>
                      <w:lang w:val="en-US" w:eastAsia="zh-CN"/>
                    </w:rPr>
                  </w:pPr>
                  <w:r>
                    <w:rPr>
                      <w:rFonts w:hint="default"/>
                      <w:color w:val="auto"/>
                      <w:lang w:val="en-US" w:eastAsia="zh-CN"/>
                    </w:rPr>
                    <w:t>Ⅱ</w:t>
                  </w:r>
                </w:p>
              </w:tc>
              <w:tc>
                <w:tcPr>
                  <w:tcW w:w="1246" w:type="dxa"/>
                  <w:tcBorders>
                    <w:top w:val="single" w:color="000000" w:sz="4" w:space="0"/>
                    <w:left w:val="single" w:color="000000" w:sz="4" w:space="0"/>
                    <w:bottom w:val="single" w:color="000000" w:sz="4" w:space="0"/>
                    <w:right w:val="single" w:color="000000" w:sz="4" w:space="0"/>
                  </w:tcBorders>
                </w:tcPr>
                <w:p>
                  <w:pPr>
                    <w:topLinePunct/>
                    <w:adjustRightInd w:val="0"/>
                    <w:snapToGrid w:val="0"/>
                    <w:jc w:val="center"/>
                    <w:rPr>
                      <w:rFonts w:hint="default"/>
                      <w:color w:val="auto"/>
                      <w:lang w:val="en-US" w:eastAsia="zh-CN"/>
                    </w:rPr>
                  </w:pPr>
                  <w:r>
                    <w:rPr>
                      <w:rFonts w:hint="default"/>
                      <w:color w:val="auto"/>
                      <w:lang w:val="en-US" w:eastAsia="zh-CN"/>
                    </w:rPr>
                    <w:t>Ⅰ</w:t>
                  </w:r>
                </w:p>
              </w:tc>
            </w:tr>
            <w:tr>
              <w:tblPrEx>
                <w:tblCellMar>
                  <w:top w:w="0" w:type="dxa"/>
                  <w:left w:w="0" w:type="dxa"/>
                  <w:bottom w:w="0" w:type="dxa"/>
                  <w:right w:w="0" w:type="dxa"/>
                </w:tblCellMar>
              </w:tblPrEx>
              <w:trPr>
                <w:trHeight w:val="326" w:hRule="exact"/>
              </w:trPr>
              <w:tc>
                <w:tcPr>
                  <w:tcW w:w="2654" w:type="dxa"/>
                  <w:tcBorders>
                    <w:top w:val="single" w:color="000000" w:sz="4" w:space="0"/>
                    <w:left w:val="single" w:color="000000" w:sz="4" w:space="0"/>
                    <w:bottom w:val="single" w:color="000000" w:sz="4" w:space="0"/>
                    <w:right w:val="single" w:color="000000" w:sz="4" w:space="0"/>
                  </w:tcBorders>
                </w:tcPr>
                <w:p>
                  <w:pPr>
                    <w:topLinePunct/>
                    <w:adjustRightInd w:val="0"/>
                    <w:snapToGrid w:val="0"/>
                    <w:jc w:val="center"/>
                    <w:rPr>
                      <w:rFonts w:hint="default"/>
                      <w:color w:val="auto"/>
                      <w:lang w:val="en-US" w:eastAsia="zh-CN"/>
                    </w:rPr>
                  </w:pPr>
                  <w:r>
                    <w:rPr>
                      <w:rFonts w:hint="default"/>
                      <w:color w:val="auto"/>
                      <w:lang w:val="en-US" w:eastAsia="zh-CN"/>
                    </w:rPr>
                    <w:t>评价工作等级</w:t>
                  </w:r>
                </w:p>
              </w:tc>
              <w:tc>
                <w:tcPr>
                  <w:tcW w:w="1240" w:type="dxa"/>
                  <w:tcBorders>
                    <w:top w:val="single" w:color="000000" w:sz="4" w:space="0"/>
                    <w:left w:val="single" w:color="000000" w:sz="4" w:space="0"/>
                    <w:bottom w:val="single" w:color="000000" w:sz="4" w:space="0"/>
                    <w:right w:val="single" w:color="000000" w:sz="4" w:space="0"/>
                  </w:tcBorders>
                </w:tcPr>
                <w:p>
                  <w:pPr>
                    <w:topLinePunct/>
                    <w:adjustRightInd w:val="0"/>
                    <w:snapToGrid w:val="0"/>
                    <w:jc w:val="center"/>
                    <w:rPr>
                      <w:rFonts w:hint="default"/>
                      <w:color w:val="auto"/>
                      <w:lang w:val="en-US" w:eastAsia="zh-CN"/>
                    </w:rPr>
                  </w:pPr>
                  <w:r>
                    <w:rPr>
                      <w:rFonts w:hint="default"/>
                      <w:color w:val="auto"/>
                      <w:lang w:val="en-US" w:eastAsia="zh-CN"/>
                    </w:rPr>
                    <w:t>一</w:t>
                  </w:r>
                </w:p>
              </w:tc>
              <w:tc>
                <w:tcPr>
                  <w:tcW w:w="1240" w:type="dxa"/>
                  <w:tcBorders>
                    <w:top w:val="single" w:color="000000" w:sz="4" w:space="0"/>
                    <w:left w:val="single" w:color="000000" w:sz="4" w:space="0"/>
                    <w:bottom w:val="single" w:color="000000" w:sz="4" w:space="0"/>
                    <w:right w:val="single" w:color="000000" w:sz="4" w:space="0"/>
                  </w:tcBorders>
                </w:tcPr>
                <w:p>
                  <w:pPr>
                    <w:topLinePunct/>
                    <w:adjustRightInd w:val="0"/>
                    <w:snapToGrid w:val="0"/>
                    <w:jc w:val="center"/>
                    <w:rPr>
                      <w:rFonts w:hint="default"/>
                      <w:color w:val="auto"/>
                      <w:lang w:val="en-US" w:eastAsia="zh-CN"/>
                    </w:rPr>
                  </w:pPr>
                  <w:r>
                    <w:rPr>
                      <w:rFonts w:hint="default"/>
                      <w:color w:val="auto"/>
                      <w:lang w:val="en-US" w:eastAsia="zh-CN"/>
                    </w:rPr>
                    <w:t>二</w:t>
                  </w:r>
                </w:p>
              </w:tc>
              <w:tc>
                <w:tcPr>
                  <w:tcW w:w="1237" w:type="dxa"/>
                  <w:tcBorders>
                    <w:top w:val="single" w:color="000000" w:sz="4" w:space="0"/>
                    <w:left w:val="single" w:color="000000" w:sz="4" w:space="0"/>
                    <w:bottom w:val="single" w:color="000000" w:sz="4" w:space="0"/>
                    <w:right w:val="single" w:color="000000" w:sz="4" w:space="0"/>
                  </w:tcBorders>
                </w:tcPr>
                <w:p>
                  <w:pPr>
                    <w:topLinePunct/>
                    <w:adjustRightInd w:val="0"/>
                    <w:snapToGrid w:val="0"/>
                    <w:jc w:val="center"/>
                    <w:rPr>
                      <w:rFonts w:hint="default"/>
                      <w:color w:val="auto"/>
                      <w:lang w:val="en-US" w:eastAsia="zh-CN"/>
                    </w:rPr>
                  </w:pPr>
                  <w:r>
                    <w:rPr>
                      <w:rFonts w:hint="default"/>
                      <w:color w:val="auto"/>
                      <w:lang w:val="en-US" w:eastAsia="zh-CN"/>
                    </w:rPr>
                    <w:t>三</w:t>
                  </w:r>
                </w:p>
              </w:tc>
              <w:tc>
                <w:tcPr>
                  <w:tcW w:w="1246" w:type="dxa"/>
                  <w:tcBorders>
                    <w:top w:val="single" w:color="000000" w:sz="4" w:space="0"/>
                    <w:left w:val="single" w:color="000000" w:sz="4" w:space="0"/>
                    <w:bottom w:val="single" w:color="000000" w:sz="4" w:space="0"/>
                    <w:right w:val="single" w:color="000000" w:sz="4" w:space="0"/>
                  </w:tcBorders>
                </w:tcPr>
                <w:p>
                  <w:pPr>
                    <w:topLinePunct/>
                    <w:adjustRightInd w:val="0"/>
                    <w:snapToGrid w:val="0"/>
                    <w:jc w:val="center"/>
                    <w:rPr>
                      <w:rFonts w:hint="default"/>
                      <w:color w:val="auto"/>
                      <w:lang w:val="en-US" w:eastAsia="zh-CN"/>
                    </w:rPr>
                  </w:pPr>
                  <w:r>
                    <w:rPr>
                      <w:rFonts w:hint="default"/>
                      <w:color w:val="auto"/>
                      <w:lang w:val="en-US" w:eastAsia="zh-CN"/>
                    </w:rPr>
                    <w:t>简单分析 a</w:t>
                  </w:r>
                </w:p>
              </w:tc>
            </w:tr>
            <w:tr>
              <w:tblPrEx>
                <w:tblCellMar>
                  <w:top w:w="0" w:type="dxa"/>
                  <w:left w:w="0" w:type="dxa"/>
                  <w:bottom w:w="0" w:type="dxa"/>
                  <w:right w:w="0" w:type="dxa"/>
                </w:tblCellMar>
              </w:tblPrEx>
              <w:trPr>
                <w:trHeight w:val="623" w:hRule="exact"/>
              </w:trPr>
              <w:tc>
                <w:tcPr>
                  <w:tcW w:w="7617" w:type="dxa"/>
                  <w:gridSpan w:val="5"/>
                  <w:tcBorders>
                    <w:top w:val="single" w:color="000000" w:sz="4" w:space="0"/>
                    <w:left w:val="single" w:color="000000" w:sz="4" w:space="0"/>
                    <w:bottom w:val="single" w:color="000000" w:sz="4" w:space="0"/>
                    <w:right w:val="single" w:color="000000" w:sz="4" w:space="0"/>
                  </w:tcBorders>
                </w:tcPr>
                <w:p>
                  <w:pPr>
                    <w:topLinePunct/>
                    <w:adjustRightInd w:val="0"/>
                    <w:snapToGrid w:val="0"/>
                    <w:jc w:val="center"/>
                    <w:rPr>
                      <w:rFonts w:hint="default"/>
                      <w:color w:val="auto"/>
                      <w:lang w:val="en-US" w:eastAsia="zh-CN"/>
                    </w:rPr>
                  </w:pPr>
                  <w:r>
                    <w:rPr>
                      <w:rFonts w:hint="default"/>
                      <w:color w:val="auto"/>
                      <w:lang w:val="en-US" w:eastAsia="zh-CN"/>
                    </w:rPr>
                    <w:t>a 是相对于详细评价工作内容而言，在描述危险物质、环境影响途径、环境危害后果、风险防范措 施等方面给出定性的说明。</w:t>
                  </w:r>
                </w:p>
              </w:tc>
            </w:tr>
          </w:tbl>
          <w:p>
            <w:pPr>
              <w:spacing w:before="7" w:after="0" w:line="100" w:lineRule="exact"/>
              <w:jc w:val="left"/>
              <w:rPr>
                <w:rFonts w:hint="default"/>
                <w:color w:val="auto"/>
              </w:rPr>
            </w:pPr>
          </w:p>
          <w:p>
            <w:pPr>
              <w:spacing w:line="360" w:lineRule="auto"/>
              <w:ind w:firstLine="480" w:firstLineChars="200"/>
              <w:rPr>
                <w:rFonts w:hint="default"/>
                <w:color w:val="auto"/>
                <w:sz w:val="24"/>
                <w:szCs w:val="24"/>
              </w:rPr>
            </w:pPr>
            <w:r>
              <w:rPr>
                <w:rFonts w:hint="default"/>
                <w:color w:val="auto"/>
                <w:sz w:val="24"/>
                <w:szCs w:val="24"/>
              </w:rPr>
              <w:t>由上表可知，本项目环境风险潜势为Ⅰ，因此本项目环境风险评价工作等级为简单分析。</w:t>
            </w:r>
          </w:p>
          <w:p>
            <w:pPr>
              <w:numPr>
                <w:ilvl w:val="0"/>
                <w:numId w:val="0"/>
              </w:numPr>
              <w:spacing w:line="360" w:lineRule="auto"/>
              <w:ind w:leftChars="350"/>
              <w:rPr>
                <w:rFonts w:hint="default"/>
                <w:color w:val="auto"/>
                <w:sz w:val="24"/>
                <w:szCs w:val="24"/>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default"/>
                <w:color w:val="auto"/>
                <w:sz w:val="24"/>
                <w:szCs w:val="24"/>
              </w:rPr>
              <w:t xml:space="preserve">物质危险性识别 </w:t>
            </w:r>
          </w:p>
          <w:p>
            <w:pPr>
              <w:numPr>
                <w:ilvl w:val="0"/>
                <w:numId w:val="0"/>
              </w:numPr>
              <w:spacing w:line="360" w:lineRule="auto"/>
              <w:ind w:leftChars="350"/>
              <w:rPr>
                <w:rFonts w:hint="default"/>
                <w:color w:val="auto"/>
                <w:sz w:val="24"/>
                <w:szCs w:val="24"/>
              </w:rPr>
            </w:pPr>
            <w:r>
              <w:rPr>
                <w:rFonts w:hint="default"/>
                <w:color w:val="auto"/>
                <w:sz w:val="24"/>
                <w:szCs w:val="24"/>
              </w:rPr>
              <w:t>本项目的风险物质为丁烷，其危险特性及分布见表</w:t>
            </w:r>
            <w:r>
              <w:rPr>
                <w:rFonts w:hint="eastAsia"/>
                <w:color w:val="auto"/>
                <w:sz w:val="24"/>
                <w:szCs w:val="24"/>
                <w:lang w:val="en-US" w:eastAsia="zh-CN"/>
              </w:rPr>
              <w:t>4-12</w:t>
            </w:r>
            <w:r>
              <w:rPr>
                <w:rFonts w:hint="default"/>
                <w:color w:val="auto"/>
                <w:sz w:val="24"/>
                <w:szCs w:val="24"/>
              </w:rPr>
              <w:t>。</w:t>
            </w:r>
          </w:p>
          <w:p>
            <w:pPr>
              <w:tabs>
                <w:tab w:val="left" w:pos="3600"/>
              </w:tabs>
              <w:spacing w:before="8" w:after="0" w:line="402" w:lineRule="exact"/>
              <w:ind w:left="2583" w:right="-20" w:firstLine="420" w:firstLineChars="200"/>
              <w:jc w:val="left"/>
              <w:rPr>
                <w:rFonts w:hint="default"/>
                <w:color w:val="auto"/>
              </w:rPr>
            </w:pPr>
            <w:r>
              <w:rPr>
                <w:rFonts w:hint="default"/>
                <w:color w:val="auto"/>
              </w:rPr>
              <w:t>表</w:t>
            </w:r>
            <w:r>
              <w:rPr>
                <w:rFonts w:hint="eastAsia"/>
                <w:color w:val="auto"/>
                <w:lang w:val="en-US" w:eastAsia="zh-CN"/>
              </w:rPr>
              <w:t>4-12</w:t>
            </w:r>
            <w:r>
              <w:rPr>
                <w:rFonts w:hint="default"/>
                <w:color w:val="auto"/>
              </w:rPr>
              <w:tab/>
            </w:r>
            <w:r>
              <w:rPr>
                <w:rFonts w:hint="default"/>
                <w:color w:val="auto"/>
              </w:rPr>
              <w:t>危险物质理化性质及危险特性</w:t>
            </w:r>
          </w:p>
          <w:tbl>
            <w:tblPr>
              <w:tblStyle w:val="29"/>
              <w:tblW w:w="0" w:type="auto"/>
              <w:tblInd w:w="112" w:type="dxa"/>
              <w:tblLayout w:type="fixed"/>
              <w:tblCellMar>
                <w:top w:w="0" w:type="dxa"/>
                <w:left w:w="0" w:type="dxa"/>
                <w:bottom w:w="0" w:type="dxa"/>
                <w:right w:w="0" w:type="dxa"/>
              </w:tblCellMar>
            </w:tblPr>
            <w:tblGrid>
              <w:gridCol w:w="708"/>
              <w:gridCol w:w="2444"/>
              <w:gridCol w:w="1387"/>
              <w:gridCol w:w="1541"/>
              <w:gridCol w:w="985"/>
              <w:gridCol w:w="592"/>
            </w:tblGrid>
            <w:tr>
              <w:tblPrEx>
                <w:tblCellMar>
                  <w:top w:w="0" w:type="dxa"/>
                  <w:left w:w="0" w:type="dxa"/>
                  <w:bottom w:w="0" w:type="dxa"/>
                  <w:right w:w="0" w:type="dxa"/>
                </w:tblCellMar>
              </w:tblPrEx>
              <w:trPr>
                <w:trHeight w:val="321" w:hRule="exact"/>
              </w:trPr>
              <w:tc>
                <w:tcPr>
                  <w:tcW w:w="70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jc w:val="center"/>
                    <w:rPr>
                      <w:rFonts w:hint="default"/>
                      <w:color w:val="auto"/>
                      <w:lang w:val="en-US" w:eastAsia="zh-CN"/>
                    </w:rPr>
                  </w:pPr>
                  <w:r>
                    <w:rPr>
                      <w:rFonts w:hint="default"/>
                      <w:color w:val="auto"/>
                      <w:lang w:val="en-US" w:eastAsia="zh-CN"/>
                    </w:rPr>
                    <w:t>名称</w:t>
                  </w:r>
                </w:p>
              </w:tc>
              <w:tc>
                <w:tcPr>
                  <w:tcW w:w="244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jc w:val="center"/>
                    <w:rPr>
                      <w:rFonts w:hint="default"/>
                      <w:color w:val="auto"/>
                      <w:lang w:val="en-US" w:eastAsia="zh-CN"/>
                    </w:rPr>
                  </w:pPr>
                  <w:r>
                    <w:rPr>
                      <w:rFonts w:hint="default"/>
                      <w:color w:val="auto"/>
                      <w:lang w:val="en-US" w:eastAsia="zh-CN"/>
                    </w:rPr>
                    <w:t>理化性质</w:t>
                  </w:r>
                </w:p>
              </w:tc>
              <w:tc>
                <w:tcPr>
                  <w:tcW w:w="138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jc w:val="center"/>
                    <w:rPr>
                      <w:rFonts w:hint="default"/>
                      <w:color w:val="auto"/>
                      <w:lang w:val="en-US" w:eastAsia="zh-CN"/>
                    </w:rPr>
                  </w:pPr>
                  <w:r>
                    <w:rPr>
                      <w:rFonts w:hint="default"/>
                      <w:color w:val="auto"/>
                      <w:lang w:val="en-US" w:eastAsia="zh-CN"/>
                    </w:rPr>
                    <w:t>危险性</w:t>
                  </w:r>
                </w:p>
              </w:tc>
              <w:tc>
                <w:tcPr>
                  <w:tcW w:w="154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jc w:val="center"/>
                    <w:rPr>
                      <w:rFonts w:hint="default"/>
                      <w:color w:val="auto"/>
                      <w:lang w:val="en-US" w:eastAsia="zh-CN"/>
                    </w:rPr>
                  </w:pPr>
                  <w:r>
                    <w:rPr>
                      <w:rFonts w:hint="default"/>
                      <w:color w:val="auto"/>
                      <w:lang w:val="en-US" w:eastAsia="zh-CN"/>
                    </w:rPr>
                    <w:t>毒性</w:t>
                  </w:r>
                </w:p>
              </w:tc>
              <w:tc>
                <w:tcPr>
                  <w:tcW w:w="98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jc w:val="center"/>
                    <w:rPr>
                      <w:rFonts w:hint="default"/>
                      <w:color w:val="auto"/>
                      <w:lang w:val="en-US" w:eastAsia="zh-CN"/>
                    </w:rPr>
                  </w:pPr>
                  <w:r>
                    <w:rPr>
                      <w:rFonts w:hint="default"/>
                      <w:color w:val="auto"/>
                      <w:lang w:val="en-US" w:eastAsia="zh-CN"/>
                    </w:rPr>
                    <w:t>判定结果</w:t>
                  </w:r>
                </w:p>
              </w:tc>
              <w:tc>
                <w:tcPr>
                  <w:tcW w:w="59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jc w:val="center"/>
                    <w:rPr>
                      <w:rFonts w:hint="default"/>
                      <w:color w:val="auto"/>
                      <w:lang w:val="en-US" w:eastAsia="zh-CN"/>
                    </w:rPr>
                  </w:pPr>
                  <w:r>
                    <w:rPr>
                      <w:rFonts w:hint="default"/>
                      <w:color w:val="auto"/>
                      <w:lang w:val="en-US" w:eastAsia="zh-CN"/>
                    </w:rPr>
                    <w:t>分布</w:t>
                  </w:r>
                </w:p>
              </w:tc>
            </w:tr>
            <w:tr>
              <w:tblPrEx>
                <w:tblCellMar>
                  <w:top w:w="0" w:type="dxa"/>
                  <w:left w:w="0" w:type="dxa"/>
                  <w:bottom w:w="0" w:type="dxa"/>
                  <w:right w:w="0" w:type="dxa"/>
                </w:tblCellMar>
              </w:tblPrEx>
              <w:trPr>
                <w:trHeight w:val="2195" w:hRule="exact"/>
              </w:trPr>
              <w:tc>
                <w:tcPr>
                  <w:tcW w:w="70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jc w:val="center"/>
                    <w:rPr>
                      <w:rFonts w:hint="default"/>
                      <w:color w:val="auto"/>
                      <w:lang w:val="en-US" w:eastAsia="zh-CN"/>
                    </w:rPr>
                  </w:pPr>
                  <w:r>
                    <w:rPr>
                      <w:rFonts w:hint="default"/>
                      <w:color w:val="auto"/>
                      <w:lang w:val="en-US" w:eastAsia="zh-CN"/>
                    </w:rPr>
                    <w:t>丁烷</w:t>
                  </w:r>
                </w:p>
              </w:tc>
              <w:tc>
                <w:tcPr>
                  <w:tcW w:w="244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jc w:val="center"/>
                    <w:rPr>
                      <w:rFonts w:hint="default"/>
                      <w:color w:val="auto"/>
                      <w:lang w:val="en-US" w:eastAsia="zh-CN"/>
                    </w:rPr>
                  </w:pPr>
                  <w:r>
                    <w:rPr>
                      <w:rFonts w:hint="default"/>
                      <w:color w:val="auto"/>
                      <w:lang w:val="en-US" w:eastAsia="zh-CN"/>
                    </w:rPr>
                    <w:t>无色、有轻微不愉快气味、无腐蚀性。常压下密度约为：600g/m3，气态密度为：</w:t>
                  </w:r>
                </w:p>
                <w:p>
                  <w:pPr>
                    <w:topLinePunct/>
                    <w:adjustRightInd w:val="0"/>
                    <w:snapToGrid w:val="0"/>
                    <w:jc w:val="center"/>
                    <w:rPr>
                      <w:rFonts w:hint="default"/>
                      <w:color w:val="auto"/>
                      <w:lang w:val="en-US" w:eastAsia="zh-CN"/>
                    </w:rPr>
                  </w:pPr>
                  <w:r>
                    <w:rPr>
                      <w:rFonts w:hint="default"/>
                      <w:color w:val="auto"/>
                      <w:lang w:val="en-US" w:eastAsia="zh-CN"/>
                    </w:rPr>
                    <w:t>0.7174kg/m3，气态相对密度：2.05，引燃温度(℃)：287，在空气中的爆炸极限：1.5%~8.5%。溶于水。</w:t>
                  </w:r>
                </w:p>
              </w:tc>
              <w:tc>
                <w:tcPr>
                  <w:tcW w:w="138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jc w:val="center"/>
                    <w:rPr>
                      <w:rFonts w:hint="default"/>
                      <w:color w:val="auto"/>
                      <w:lang w:val="en-US" w:eastAsia="zh-CN"/>
                    </w:rPr>
                  </w:pPr>
                  <w:r>
                    <w:rPr>
                      <w:rFonts w:hint="default"/>
                      <w:color w:val="auto"/>
                      <w:lang w:val="en-US" w:eastAsia="zh-CN"/>
                    </w:rPr>
                    <w:t>易燃，与空气混合能形成爆炸性混合物，遇热源和明火有燃烧爆炸的危险。</w:t>
                  </w:r>
                </w:p>
              </w:tc>
              <w:tc>
                <w:tcPr>
                  <w:tcW w:w="154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jc w:val="center"/>
                    <w:rPr>
                      <w:rFonts w:hint="default"/>
                      <w:color w:val="auto"/>
                      <w:lang w:val="en-US" w:eastAsia="zh-CN"/>
                    </w:rPr>
                  </w:pPr>
                  <w:r>
                    <w:rPr>
                      <w:rFonts w:hint="default"/>
                      <w:color w:val="auto"/>
                      <w:lang w:val="en-US" w:eastAsia="zh-CN"/>
                    </w:rPr>
                    <w:t>大鼠吸入42%浓度60分钟，麻醉作用；兔吸入 42%浓度60 分钟，麻醉作用。</w:t>
                  </w:r>
                </w:p>
              </w:tc>
              <w:tc>
                <w:tcPr>
                  <w:tcW w:w="985"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jc w:val="center"/>
                    <w:rPr>
                      <w:rFonts w:hint="default"/>
                      <w:color w:val="auto"/>
                      <w:lang w:val="en-US" w:eastAsia="zh-CN"/>
                    </w:rPr>
                  </w:pPr>
                  <w:r>
                    <w:rPr>
                      <w:rFonts w:hint="default"/>
                      <w:color w:val="auto"/>
                      <w:lang w:val="en-US" w:eastAsia="zh-CN"/>
                    </w:rPr>
                    <w:t>火灾、爆炸 危险物质</w:t>
                  </w:r>
                </w:p>
              </w:tc>
              <w:tc>
                <w:tcPr>
                  <w:tcW w:w="59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jc w:val="center"/>
                    <w:rPr>
                      <w:rFonts w:hint="default"/>
                      <w:color w:val="auto"/>
                      <w:lang w:val="en-US" w:eastAsia="zh-CN"/>
                    </w:rPr>
                  </w:pPr>
                  <w:r>
                    <w:rPr>
                      <w:rFonts w:hint="default"/>
                      <w:color w:val="auto"/>
                      <w:lang w:val="en-US" w:eastAsia="zh-CN"/>
                    </w:rPr>
                    <w:t>储罐</w:t>
                  </w:r>
                </w:p>
              </w:tc>
            </w:tr>
          </w:tbl>
          <w:p>
            <w:pPr>
              <w:numPr>
                <w:ilvl w:val="0"/>
                <w:numId w:val="0"/>
              </w:numPr>
              <w:spacing w:line="360" w:lineRule="auto"/>
              <w:ind w:leftChars="350"/>
              <w:rPr>
                <w:rFonts w:hint="default"/>
                <w:color w:val="auto"/>
                <w:sz w:val="24"/>
                <w:szCs w:val="24"/>
                <w:lang w:eastAsia="zh-CN"/>
              </w:rPr>
            </w:pPr>
            <w:r>
              <w:rPr>
                <w:rFonts w:hint="default"/>
                <w:color w:val="auto"/>
                <w:sz w:val="24"/>
                <w:szCs w:val="24"/>
                <w:lang w:eastAsia="zh-CN"/>
              </w:rPr>
              <w:t>（3）生产系统危险性识别</w:t>
            </w:r>
          </w:p>
          <w:p>
            <w:pPr>
              <w:numPr>
                <w:ilvl w:val="0"/>
                <w:numId w:val="0"/>
              </w:numPr>
              <w:spacing w:line="360" w:lineRule="auto"/>
              <w:ind w:left="15" w:leftChars="7" w:firstLine="720" w:firstLineChars="300"/>
              <w:rPr>
                <w:rFonts w:hint="default"/>
                <w:color w:val="auto"/>
                <w:sz w:val="24"/>
                <w:szCs w:val="24"/>
                <w:lang w:eastAsia="zh-CN"/>
              </w:rPr>
            </w:pPr>
            <w:r>
              <w:rPr>
                <w:rFonts w:hint="default"/>
                <w:color w:val="auto"/>
                <w:sz w:val="24"/>
                <w:szCs w:val="24"/>
                <w:lang w:eastAsia="zh-CN"/>
              </w:rPr>
              <w:t>生产系统危险性识别范围一般包括：要生产装置、储运系统、公用工程系统和辅助生产设施以及环境保护设施等，本项目生产系统危险性识别见表</w:t>
            </w:r>
            <w:r>
              <w:rPr>
                <w:rFonts w:hint="eastAsia"/>
                <w:color w:val="auto"/>
                <w:sz w:val="24"/>
                <w:szCs w:val="24"/>
                <w:lang w:val="en-US" w:eastAsia="zh-CN"/>
              </w:rPr>
              <w:t>4-13</w:t>
            </w:r>
            <w:r>
              <w:rPr>
                <w:rFonts w:hint="default"/>
                <w:color w:val="auto"/>
                <w:sz w:val="24"/>
                <w:szCs w:val="24"/>
                <w:lang w:eastAsia="zh-CN"/>
              </w:rPr>
              <w:t>。</w:t>
            </w:r>
          </w:p>
          <w:p>
            <w:pPr>
              <w:tabs>
                <w:tab w:val="left" w:pos="3840"/>
              </w:tabs>
              <w:spacing w:before="7" w:after="0" w:line="402" w:lineRule="exact"/>
              <w:ind w:left="21" w:leftChars="0" w:right="-20" w:hanging="21" w:hangingChars="10"/>
              <w:jc w:val="center"/>
              <w:rPr>
                <w:rFonts w:hint="default"/>
                <w:color w:val="auto"/>
              </w:rPr>
            </w:pPr>
            <w:r>
              <w:rPr>
                <w:rFonts w:hint="default"/>
                <w:color w:val="auto"/>
              </w:rPr>
              <w:t>表</w:t>
            </w:r>
            <w:r>
              <w:rPr>
                <w:rFonts w:hint="eastAsia"/>
                <w:color w:val="auto"/>
                <w:lang w:val="en-US" w:eastAsia="zh-CN"/>
              </w:rPr>
              <w:t xml:space="preserve">4-13   </w:t>
            </w:r>
            <w:r>
              <w:rPr>
                <w:rFonts w:hint="default"/>
                <w:color w:val="auto"/>
              </w:rPr>
              <w:t>项目生产系统危险性识别</w:t>
            </w:r>
          </w:p>
          <w:tbl>
            <w:tblPr>
              <w:tblStyle w:val="29"/>
              <w:tblW w:w="0" w:type="auto"/>
              <w:tblInd w:w="107" w:type="dxa"/>
              <w:tblLayout w:type="fixed"/>
              <w:tblCellMar>
                <w:top w:w="0" w:type="dxa"/>
                <w:left w:w="0" w:type="dxa"/>
                <w:bottom w:w="0" w:type="dxa"/>
                <w:right w:w="0" w:type="dxa"/>
              </w:tblCellMar>
            </w:tblPr>
            <w:tblGrid>
              <w:gridCol w:w="1011"/>
              <w:gridCol w:w="661"/>
              <w:gridCol w:w="1468"/>
              <w:gridCol w:w="2193"/>
              <w:gridCol w:w="2444"/>
            </w:tblGrid>
            <w:tr>
              <w:tblPrEx>
                <w:tblCellMar>
                  <w:top w:w="0" w:type="dxa"/>
                  <w:left w:w="0" w:type="dxa"/>
                  <w:bottom w:w="0" w:type="dxa"/>
                  <w:right w:w="0" w:type="dxa"/>
                </w:tblCellMar>
              </w:tblPrEx>
              <w:trPr>
                <w:trHeight w:val="336" w:hRule="exact"/>
              </w:trPr>
              <w:tc>
                <w:tcPr>
                  <w:tcW w:w="101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jc w:val="center"/>
                    <w:rPr>
                      <w:rFonts w:hint="default"/>
                      <w:color w:val="auto"/>
                      <w:lang w:val="en-US" w:eastAsia="zh-CN"/>
                    </w:rPr>
                  </w:pPr>
                  <w:r>
                    <w:rPr>
                      <w:rFonts w:hint="default"/>
                      <w:color w:val="auto"/>
                      <w:lang w:val="en-US" w:eastAsia="zh-CN"/>
                    </w:rPr>
                    <w:t>危险单元</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jc w:val="center"/>
                    <w:rPr>
                      <w:rFonts w:hint="default"/>
                      <w:color w:val="auto"/>
                      <w:lang w:val="en-US" w:eastAsia="zh-CN"/>
                    </w:rPr>
                  </w:pPr>
                  <w:r>
                    <w:rPr>
                      <w:rFonts w:hint="default"/>
                      <w:color w:val="auto"/>
                      <w:lang w:val="en-US" w:eastAsia="zh-CN"/>
                    </w:rPr>
                    <w:t>风险源</w:t>
                  </w:r>
                </w:p>
              </w:tc>
              <w:tc>
                <w:tcPr>
                  <w:tcW w:w="146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jc w:val="center"/>
                    <w:rPr>
                      <w:rFonts w:hint="default"/>
                      <w:color w:val="auto"/>
                      <w:lang w:val="en-US" w:eastAsia="zh-CN"/>
                    </w:rPr>
                  </w:pPr>
                  <w:r>
                    <w:rPr>
                      <w:rFonts w:hint="default"/>
                      <w:color w:val="auto"/>
                      <w:lang w:val="en-US" w:eastAsia="zh-CN"/>
                    </w:rPr>
                    <w:t>风险类型</w:t>
                  </w:r>
                </w:p>
              </w:tc>
              <w:tc>
                <w:tcPr>
                  <w:tcW w:w="219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jc w:val="center"/>
                    <w:rPr>
                      <w:rFonts w:hint="default"/>
                      <w:color w:val="auto"/>
                      <w:lang w:val="en-US" w:eastAsia="zh-CN"/>
                    </w:rPr>
                  </w:pPr>
                  <w:r>
                    <w:rPr>
                      <w:rFonts w:hint="default"/>
                      <w:color w:val="auto"/>
                      <w:lang w:val="en-US" w:eastAsia="zh-CN"/>
                    </w:rPr>
                    <w:t>原因分析</w:t>
                  </w:r>
                </w:p>
              </w:tc>
              <w:tc>
                <w:tcPr>
                  <w:tcW w:w="244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jc w:val="center"/>
                    <w:rPr>
                      <w:rFonts w:hint="default"/>
                      <w:color w:val="auto"/>
                      <w:lang w:val="en-US" w:eastAsia="zh-CN"/>
                    </w:rPr>
                  </w:pPr>
                  <w:r>
                    <w:rPr>
                      <w:rFonts w:hint="default"/>
                      <w:color w:val="auto"/>
                      <w:lang w:val="en-US" w:eastAsia="zh-CN"/>
                    </w:rPr>
                    <w:t>最大存储量</w:t>
                  </w:r>
                </w:p>
              </w:tc>
            </w:tr>
            <w:tr>
              <w:tblPrEx>
                <w:tblCellMar>
                  <w:top w:w="0" w:type="dxa"/>
                  <w:left w:w="0" w:type="dxa"/>
                  <w:bottom w:w="0" w:type="dxa"/>
                  <w:right w:w="0" w:type="dxa"/>
                </w:tblCellMar>
              </w:tblPrEx>
              <w:trPr>
                <w:trHeight w:val="998" w:hRule="exact"/>
              </w:trPr>
              <w:tc>
                <w:tcPr>
                  <w:tcW w:w="101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jc w:val="center"/>
                    <w:rPr>
                      <w:rFonts w:hint="default"/>
                      <w:color w:val="auto"/>
                      <w:lang w:val="en-US" w:eastAsia="zh-CN"/>
                    </w:rPr>
                  </w:pPr>
                  <w:r>
                    <w:rPr>
                      <w:rFonts w:hint="default"/>
                      <w:color w:val="auto"/>
                      <w:lang w:val="en-US" w:eastAsia="zh-CN"/>
                    </w:rPr>
                    <w:t>丁烷储罐</w:t>
                  </w:r>
                </w:p>
              </w:tc>
              <w:tc>
                <w:tcPr>
                  <w:tcW w:w="6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jc w:val="center"/>
                    <w:rPr>
                      <w:rFonts w:hint="default"/>
                      <w:color w:val="auto"/>
                      <w:lang w:val="en-US" w:eastAsia="zh-CN"/>
                    </w:rPr>
                  </w:pPr>
                  <w:r>
                    <w:rPr>
                      <w:rFonts w:hint="default"/>
                      <w:color w:val="auto"/>
                      <w:lang w:val="en-US" w:eastAsia="zh-CN"/>
                    </w:rPr>
                    <w:t>储罐</w:t>
                  </w:r>
                </w:p>
              </w:tc>
              <w:tc>
                <w:tcPr>
                  <w:tcW w:w="146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jc w:val="center"/>
                    <w:rPr>
                      <w:rFonts w:hint="default"/>
                      <w:color w:val="auto"/>
                      <w:lang w:val="en-US" w:eastAsia="zh-CN"/>
                    </w:rPr>
                  </w:pPr>
                  <w:r>
                    <w:rPr>
                      <w:rFonts w:hint="default"/>
                      <w:color w:val="auto"/>
                      <w:lang w:val="en-US" w:eastAsia="zh-CN"/>
                    </w:rPr>
                    <w:t>火灾、爆炸等引发的伴生/次生污染 物排放</w:t>
                  </w:r>
                </w:p>
              </w:tc>
              <w:tc>
                <w:tcPr>
                  <w:tcW w:w="219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jc w:val="center"/>
                    <w:rPr>
                      <w:rFonts w:hint="default"/>
                      <w:color w:val="auto"/>
                      <w:lang w:val="en-US" w:eastAsia="zh-CN"/>
                    </w:rPr>
                  </w:pPr>
                  <w:r>
                    <w:rPr>
                      <w:rFonts w:hint="default"/>
                      <w:color w:val="auto"/>
                      <w:lang w:val="en-US" w:eastAsia="zh-CN"/>
                    </w:rPr>
                    <w:t>储罐泄露遇燃烧源引起火灾，进而导 致爆炸</w:t>
                  </w:r>
                </w:p>
              </w:tc>
              <w:tc>
                <w:tcPr>
                  <w:tcW w:w="244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jc w:val="center"/>
                    <w:rPr>
                      <w:rFonts w:hint="default"/>
                      <w:color w:val="auto"/>
                      <w:lang w:val="en-US" w:eastAsia="zh-CN"/>
                    </w:rPr>
                  </w:pPr>
                  <w:r>
                    <w:rPr>
                      <w:rFonts w:hint="default"/>
                      <w:color w:val="auto"/>
                      <w:lang w:val="en-US" w:eastAsia="zh-CN"/>
                    </w:rPr>
                    <w:t>50</w:t>
                  </w:r>
                  <w:r>
                    <w:rPr>
                      <w:rFonts w:hint="eastAsia"/>
                      <w:color w:val="auto"/>
                      <w:lang w:val="en-US" w:eastAsia="zh-CN"/>
                    </w:rPr>
                    <w:t>0</w:t>
                  </w:r>
                  <w:r>
                    <w:rPr>
                      <w:rFonts w:hint="default"/>
                      <w:color w:val="auto"/>
                      <w:lang w:val="en-US" w:eastAsia="zh-CN"/>
                    </w:rPr>
                    <w:t>kg</w:t>
                  </w:r>
                </w:p>
              </w:tc>
            </w:tr>
          </w:tbl>
          <w:p>
            <w:pPr>
              <w:spacing w:line="360" w:lineRule="auto"/>
              <w:ind w:firstLine="480" w:firstLineChars="200"/>
              <w:rPr>
                <w:rFonts w:hint="default"/>
                <w:color w:val="auto"/>
                <w:sz w:val="24"/>
                <w:szCs w:val="24"/>
                <w:lang w:eastAsia="zh-CN"/>
              </w:rPr>
            </w:pPr>
            <w:r>
              <w:rPr>
                <w:rFonts w:hint="default"/>
                <w:color w:val="auto"/>
                <w:sz w:val="24"/>
                <w:szCs w:val="24"/>
                <w:lang w:eastAsia="zh-CN"/>
              </w:rPr>
              <w:t>（4）环境风险防范措施</w:t>
            </w:r>
          </w:p>
          <w:p>
            <w:pPr>
              <w:spacing w:line="360" w:lineRule="auto"/>
              <w:ind w:firstLine="480" w:firstLineChars="200"/>
              <w:rPr>
                <w:rFonts w:hint="default"/>
                <w:color w:val="auto"/>
                <w:sz w:val="24"/>
                <w:szCs w:val="24"/>
                <w:lang w:eastAsia="zh-CN"/>
              </w:rPr>
            </w:pPr>
            <w:r>
              <w:rPr>
                <w:rFonts w:hint="default"/>
                <w:color w:val="auto"/>
                <w:sz w:val="24"/>
                <w:szCs w:val="24"/>
                <w:lang w:eastAsia="zh-CN"/>
              </w:rPr>
              <w:t>为了预防和减少事故风险，本次环评从工艺技术设计、自动控制设计、消防及火灾 报警等方面提出事故风险防范措施。</w:t>
            </w:r>
          </w:p>
          <w:p>
            <w:pPr>
              <w:spacing w:line="360" w:lineRule="auto"/>
              <w:ind w:firstLine="480" w:firstLineChars="200"/>
              <w:rPr>
                <w:rFonts w:hint="default"/>
                <w:color w:val="auto"/>
                <w:sz w:val="24"/>
                <w:szCs w:val="24"/>
                <w:lang w:eastAsia="zh-CN"/>
              </w:rPr>
            </w:pPr>
            <w:r>
              <w:rPr>
                <w:rFonts w:hint="default"/>
                <w:color w:val="auto"/>
                <w:sz w:val="24"/>
                <w:szCs w:val="24"/>
                <w:lang w:eastAsia="zh-CN"/>
              </w:rPr>
              <w:t xml:space="preserve">①工艺技术及自动控制安全防范措施 </w:t>
            </w:r>
          </w:p>
          <w:p>
            <w:pPr>
              <w:spacing w:line="360" w:lineRule="auto"/>
              <w:ind w:firstLine="480" w:firstLineChars="200"/>
              <w:rPr>
                <w:rFonts w:hint="default"/>
                <w:color w:val="auto"/>
                <w:sz w:val="24"/>
                <w:szCs w:val="24"/>
                <w:lang w:eastAsia="zh-CN"/>
              </w:rPr>
            </w:pPr>
            <w:r>
              <w:rPr>
                <w:rFonts w:hint="default"/>
                <w:color w:val="auto"/>
                <w:sz w:val="24"/>
                <w:szCs w:val="24"/>
                <w:lang w:eastAsia="zh-CN"/>
              </w:rPr>
              <w:t>在运行中要保持系统的密闭，要严格控制设备，对设备管道要经常进行维护保养，防止泄漏；安装泄露报警设备，出现意外，及时发现，进行补救；设立紧急关断系统，在管线进出口等处设置紧急切断阀，对一些明显故障实施紧急切断。加强火源管理，在进行检修时使用的工具应该是不产生火花的工具，严禁用铁器敲打设备或管道，禁止明火，日常生产活动中动火要严格执行有关安全管理制度。</w:t>
            </w:r>
          </w:p>
          <w:p>
            <w:pPr>
              <w:spacing w:line="360" w:lineRule="auto"/>
              <w:ind w:firstLine="480" w:firstLineChars="200"/>
              <w:rPr>
                <w:rFonts w:hint="default"/>
                <w:color w:val="auto"/>
                <w:sz w:val="24"/>
                <w:szCs w:val="24"/>
                <w:lang w:eastAsia="zh-CN"/>
              </w:rPr>
            </w:pPr>
            <w:r>
              <w:rPr>
                <w:rFonts w:hint="default"/>
                <w:color w:val="auto"/>
                <w:sz w:val="24"/>
                <w:szCs w:val="24"/>
                <w:lang w:eastAsia="zh-CN"/>
              </w:rPr>
              <w:t xml:space="preserve">②消防、火灾 </w:t>
            </w:r>
          </w:p>
          <w:p>
            <w:pPr>
              <w:spacing w:line="360" w:lineRule="auto"/>
              <w:ind w:firstLine="480" w:firstLineChars="200"/>
              <w:rPr>
                <w:rFonts w:hint="default"/>
                <w:color w:val="auto"/>
                <w:sz w:val="24"/>
                <w:szCs w:val="24"/>
                <w:lang w:eastAsia="zh-CN"/>
              </w:rPr>
            </w:pPr>
            <w:r>
              <w:rPr>
                <w:rFonts w:hint="default"/>
                <w:color w:val="auto"/>
                <w:sz w:val="24"/>
                <w:szCs w:val="24"/>
                <w:lang w:eastAsia="zh-CN"/>
              </w:rPr>
              <w:t>厂区应设置专用报警电话，火灾报警电话：119。配置应急工具和消防设施，包括一定数量的防毒面具，一定数量的手提式二氧化碳和干粉灭火器、消防沙、灭火毯，定期组织演练，并会正确使用。整个厂区范围设置为“防火禁区”，规定进入厂区后，严禁携带火种，严禁烟火。在厂区内进行维修、电焊、切割等明火作业时，现场有消防人员负责值勤和监督。 厂内所有压力容器须按照《压力容器安全技术检察规程》规定进行定期检验，并且合格有效。</w:t>
            </w:r>
          </w:p>
          <w:p>
            <w:pPr>
              <w:spacing w:line="360" w:lineRule="auto"/>
              <w:ind w:firstLine="480" w:firstLineChars="200"/>
              <w:rPr>
                <w:rFonts w:hint="default"/>
                <w:color w:val="auto"/>
                <w:sz w:val="24"/>
                <w:szCs w:val="24"/>
                <w:lang w:eastAsia="zh-CN"/>
              </w:rPr>
            </w:pPr>
            <w:r>
              <w:rPr>
                <w:rFonts w:hint="default"/>
                <w:color w:val="auto"/>
                <w:sz w:val="24"/>
                <w:szCs w:val="24"/>
                <w:lang w:eastAsia="zh-CN"/>
              </w:rPr>
              <w:t xml:space="preserve">③管理防范措施 </w:t>
            </w:r>
          </w:p>
          <w:p>
            <w:pPr>
              <w:spacing w:line="360" w:lineRule="auto"/>
              <w:ind w:firstLine="480" w:firstLineChars="200"/>
              <w:rPr>
                <w:rFonts w:hint="default"/>
                <w:color w:val="auto"/>
                <w:sz w:val="24"/>
                <w:szCs w:val="24"/>
                <w:lang w:eastAsia="zh-CN"/>
              </w:rPr>
            </w:pPr>
            <w:r>
              <w:rPr>
                <w:rFonts w:hint="default"/>
                <w:color w:val="auto"/>
                <w:sz w:val="24"/>
                <w:szCs w:val="24"/>
                <w:lang w:eastAsia="zh-CN"/>
              </w:rPr>
              <w:t>在管理方面要有一系列详细的安全管理制度及有效的安全管理组织，确保各种有关的安全管理规定能在各个环节上得到充分落实，并能有所改进与提高。 加强对工作人员安全素质方面的教育及训练，包括安全知识、安全技术、安全心理、职业卫生及排险与消防活动等，而且要时常演练与考核。 制定应急操作规程，在规程中应说明发生事故时应采取的操作步骤，规定抢修进度，限制事故的影响；按计划进行定期维护；厂区内设有醒目的“严禁烟火”标志和防火安全制度。</w:t>
            </w:r>
          </w:p>
          <w:p>
            <w:pPr>
              <w:spacing w:line="360" w:lineRule="auto"/>
              <w:ind w:firstLine="480" w:firstLineChars="200"/>
              <w:rPr>
                <w:rFonts w:hint="default"/>
                <w:color w:val="auto"/>
                <w:sz w:val="24"/>
                <w:szCs w:val="24"/>
              </w:rPr>
            </w:pPr>
            <w:r>
              <w:rPr>
                <w:rFonts w:hint="default"/>
                <w:color w:val="auto"/>
                <w:sz w:val="24"/>
                <w:szCs w:val="24"/>
              </w:rPr>
              <w:t>（5）事故应急预案</w:t>
            </w:r>
          </w:p>
          <w:p>
            <w:pPr>
              <w:spacing w:line="360" w:lineRule="auto"/>
              <w:ind w:firstLine="480" w:firstLineChars="200"/>
              <w:rPr>
                <w:rFonts w:hint="default"/>
                <w:color w:val="auto"/>
                <w:sz w:val="24"/>
                <w:szCs w:val="24"/>
              </w:rPr>
            </w:pPr>
            <w:r>
              <w:rPr>
                <w:rFonts w:hint="default"/>
                <w:color w:val="auto"/>
                <w:sz w:val="24"/>
                <w:szCs w:val="24"/>
              </w:rPr>
              <w:t xml:space="preserve">①综合应急方案： </w:t>
            </w:r>
          </w:p>
          <w:p>
            <w:pPr>
              <w:spacing w:line="360" w:lineRule="auto"/>
              <w:ind w:firstLine="480" w:firstLineChars="200"/>
              <w:rPr>
                <w:rFonts w:hint="default"/>
                <w:color w:val="auto"/>
                <w:sz w:val="24"/>
                <w:szCs w:val="24"/>
              </w:rPr>
            </w:pPr>
            <w:r>
              <w:rPr>
                <w:rFonts w:hint="default"/>
                <w:color w:val="auto"/>
                <w:sz w:val="24"/>
                <w:szCs w:val="24"/>
              </w:rPr>
              <w:t>发生事故后，先是抢救伤员，同时采取防止事故蔓延或扩大的措施。险情严重时，必须组织抢险队和救护队。 防止第二次灾害事故发生，采取措施防止残留危险物品的燃烧和爆炸、可燃气体的继续泄漏、悬吊物坠落和垮塌等。 建立警戒区、警戒线，撤离无关人员，禁止非抢救人员入内，对可燃气体泄漏的场所，采取切断电源、火种和断绝交通。</w:t>
            </w:r>
          </w:p>
          <w:p>
            <w:pPr>
              <w:spacing w:line="360" w:lineRule="auto"/>
              <w:ind w:firstLine="480" w:firstLineChars="200"/>
              <w:rPr>
                <w:rFonts w:hint="default"/>
                <w:color w:val="auto"/>
                <w:sz w:val="24"/>
                <w:szCs w:val="24"/>
              </w:rPr>
            </w:pPr>
            <w:r>
              <w:rPr>
                <w:rFonts w:hint="default"/>
                <w:color w:val="auto"/>
                <w:sz w:val="24"/>
                <w:szCs w:val="24"/>
              </w:rPr>
              <w:t xml:space="preserve">②具体应急方案： </w:t>
            </w:r>
          </w:p>
          <w:p>
            <w:pPr>
              <w:spacing w:line="360" w:lineRule="auto"/>
              <w:ind w:firstLine="480" w:firstLineChars="200"/>
              <w:rPr>
                <w:rFonts w:hint="default"/>
                <w:color w:val="auto"/>
                <w:sz w:val="24"/>
                <w:szCs w:val="24"/>
              </w:rPr>
            </w:pPr>
            <w:r>
              <w:rPr>
                <w:rFonts w:hint="default"/>
                <w:color w:val="auto"/>
                <w:sz w:val="24"/>
                <w:szCs w:val="24"/>
              </w:rPr>
              <w:t>当燃气发生较大泄漏时，应采取以下措施：</w:t>
            </w:r>
          </w:p>
          <w:p>
            <w:pPr>
              <w:spacing w:line="360" w:lineRule="auto"/>
              <w:ind w:firstLine="480" w:firstLineChars="200"/>
              <w:rPr>
                <w:rFonts w:hint="default"/>
                <w:color w:val="auto"/>
                <w:sz w:val="24"/>
                <w:szCs w:val="24"/>
              </w:rPr>
            </w:pPr>
            <w:r>
              <w:rPr>
                <w:rFonts w:hint="default"/>
                <w:color w:val="auto"/>
                <w:sz w:val="24"/>
                <w:szCs w:val="24"/>
              </w:rPr>
              <w:t>正确分析判断突然事故发生的位置，用最快的办法打开截断阀，同时组织人力对扩散危险区进行警戒，严格控制一切可燃物可能发生的火源，避免发生着火爆炸和蔓延扩大；</w:t>
            </w:r>
          </w:p>
          <w:p>
            <w:pPr>
              <w:spacing w:line="360" w:lineRule="auto"/>
              <w:ind w:firstLine="480" w:firstLineChars="200"/>
              <w:rPr>
                <w:rFonts w:hint="default"/>
                <w:color w:val="auto"/>
                <w:sz w:val="24"/>
                <w:szCs w:val="24"/>
              </w:rPr>
            </w:pPr>
            <w:r>
              <w:rPr>
                <w:rFonts w:hint="default"/>
                <w:color w:val="auto"/>
                <w:sz w:val="24"/>
                <w:szCs w:val="24"/>
              </w:rPr>
              <w:t>组织抢修队伍迅速奔赴现场，在现场领导小组的统一组织指挥下，按照制定的抢修 方案和安全技术措施，分工负责，在确保安全的前提下进行抢修。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rPr>
            </w:pPr>
            <w:r>
              <w:rPr>
                <w:rFonts w:hint="default"/>
                <w:color w:val="auto"/>
                <w:sz w:val="24"/>
                <w:szCs w:val="24"/>
              </w:rPr>
              <w:t>本项目应急预案主要内容见表</w:t>
            </w:r>
            <w:r>
              <w:rPr>
                <w:rFonts w:hint="eastAsia"/>
                <w:color w:val="auto"/>
                <w:sz w:val="24"/>
                <w:szCs w:val="24"/>
                <w:lang w:val="en-US" w:eastAsia="zh-CN"/>
              </w:rPr>
              <w:t>4-14</w:t>
            </w:r>
            <w:r>
              <w:rPr>
                <w:rFonts w:hint="default"/>
                <w:color w:val="auto"/>
                <w:sz w:val="24"/>
                <w:szCs w:val="24"/>
              </w:rPr>
              <w:t>。</w:t>
            </w:r>
          </w:p>
          <w:p>
            <w:pPr>
              <w:keepNext w:val="0"/>
              <w:keepLines w:val="0"/>
              <w:pageBreakBefore w:val="0"/>
              <w:widowControl w:val="0"/>
              <w:tabs>
                <w:tab w:val="left" w:pos="3840"/>
              </w:tabs>
              <w:kinsoku/>
              <w:wordWrap/>
              <w:overflowPunct/>
              <w:topLinePunct w:val="0"/>
              <w:autoSpaceDE/>
              <w:autoSpaceDN/>
              <w:bidi w:val="0"/>
              <w:adjustRightInd/>
              <w:snapToGrid/>
              <w:spacing w:before="7" w:after="0" w:line="360" w:lineRule="auto"/>
              <w:ind w:left="21" w:leftChars="0" w:right="-20" w:hanging="21" w:hangingChars="10"/>
              <w:jc w:val="center"/>
              <w:textAlignment w:val="auto"/>
              <w:rPr>
                <w:rFonts w:hint="default"/>
                <w:color w:val="auto"/>
              </w:rPr>
            </w:pPr>
            <w:r>
              <w:rPr>
                <w:rFonts w:hint="default"/>
                <w:color w:val="auto"/>
              </w:rPr>
              <w:t xml:space="preserve">表 </w:t>
            </w:r>
            <w:r>
              <w:rPr>
                <w:rFonts w:hint="eastAsia"/>
                <w:color w:val="auto"/>
                <w:lang w:val="en-US" w:eastAsia="zh-CN"/>
              </w:rPr>
              <w:t xml:space="preserve">4-14      </w:t>
            </w:r>
            <w:r>
              <w:rPr>
                <w:rFonts w:hint="default"/>
                <w:color w:val="auto"/>
              </w:rPr>
              <w:t>突发事故应急预案</w:t>
            </w:r>
          </w:p>
          <w:tbl>
            <w:tblPr>
              <w:tblStyle w:val="29"/>
              <w:tblW w:w="7818" w:type="dxa"/>
              <w:tblInd w:w="0" w:type="dxa"/>
              <w:tblLayout w:type="fixed"/>
              <w:tblCellMar>
                <w:top w:w="0" w:type="dxa"/>
                <w:left w:w="0" w:type="dxa"/>
                <w:bottom w:w="0" w:type="dxa"/>
                <w:right w:w="0" w:type="dxa"/>
              </w:tblCellMar>
            </w:tblPr>
            <w:tblGrid>
              <w:gridCol w:w="527"/>
              <w:gridCol w:w="1725"/>
              <w:gridCol w:w="5566"/>
            </w:tblGrid>
            <w:tr>
              <w:trPr>
                <w:trHeight w:val="23"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序号</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项目</w:t>
                  </w:r>
                </w:p>
              </w:tc>
              <w:tc>
                <w:tcPr>
                  <w:tcW w:w="5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内容及要求</w:t>
                  </w:r>
                </w:p>
              </w:tc>
            </w:tr>
            <w:tr>
              <w:tblPrEx>
                <w:tblCellMar>
                  <w:top w:w="0" w:type="dxa"/>
                  <w:left w:w="0" w:type="dxa"/>
                  <w:bottom w:w="0" w:type="dxa"/>
                  <w:right w:w="0" w:type="dxa"/>
                </w:tblCellMar>
              </w:tblPrEx>
              <w:trPr>
                <w:trHeight w:val="23"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1</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危险源概况</w:t>
                  </w:r>
                </w:p>
              </w:tc>
              <w:tc>
                <w:tcPr>
                  <w:tcW w:w="5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丁烷储罐存在泄露和火灾、爆炸风险</w:t>
                  </w:r>
                </w:p>
              </w:tc>
            </w:tr>
            <w:tr>
              <w:tblPrEx>
                <w:tblCellMar>
                  <w:top w:w="0" w:type="dxa"/>
                  <w:left w:w="0" w:type="dxa"/>
                  <w:bottom w:w="0" w:type="dxa"/>
                  <w:right w:w="0" w:type="dxa"/>
                </w:tblCellMar>
              </w:tblPrEx>
              <w:trPr>
                <w:trHeight w:val="23"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2</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应急计划区</w:t>
                  </w:r>
                </w:p>
              </w:tc>
              <w:tc>
                <w:tcPr>
                  <w:tcW w:w="5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丁烷储罐区</w:t>
                  </w:r>
                </w:p>
              </w:tc>
            </w:tr>
            <w:tr>
              <w:trPr>
                <w:trHeight w:val="23"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p>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3</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p>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应急组织</w:t>
                  </w:r>
                </w:p>
              </w:tc>
              <w:tc>
                <w:tcPr>
                  <w:tcW w:w="5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公司：成立事故应急救援指挥领导小组，下设应急救援办公室 专业救助队伍：成立专业救助队伍，负责事故控制、救援、善后处理</w:t>
                  </w:r>
                </w:p>
              </w:tc>
            </w:tr>
            <w:tr>
              <w:trPr>
                <w:trHeight w:val="23"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p>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4</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应急状态分类及</w:t>
                  </w:r>
                </w:p>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应急响应程序</w:t>
                  </w:r>
                </w:p>
              </w:tc>
              <w:tc>
                <w:tcPr>
                  <w:tcW w:w="5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按照事故发生的严重程度，规定事故的级别及相应的应急分类响应程序</w:t>
                  </w:r>
                </w:p>
              </w:tc>
            </w:tr>
            <w:tr>
              <w:tblPrEx>
                <w:tblCellMar>
                  <w:top w:w="0" w:type="dxa"/>
                  <w:left w:w="0" w:type="dxa"/>
                  <w:bottom w:w="0" w:type="dxa"/>
                  <w:right w:w="0" w:type="dxa"/>
                </w:tblCellMar>
              </w:tblPrEx>
              <w:trPr>
                <w:trHeight w:val="23"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p>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5</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应急设施、设备与材料</w:t>
                  </w:r>
                </w:p>
              </w:tc>
              <w:tc>
                <w:tcPr>
                  <w:tcW w:w="5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防火灾、爆炸事故应急设施、设备与材料，主要为消防器材，防静电服，安全防护镜等</w:t>
                  </w:r>
                </w:p>
              </w:tc>
            </w:tr>
            <w:tr>
              <w:trPr>
                <w:trHeight w:val="23"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p>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6</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应急通讯、 通知和交通</w:t>
                  </w:r>
                </w:p>
              </w:tc>
              <w:tc>
                <w:tcPr>
                  <w:tcW w:w="5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组成通信联络队，并规定应急状态下的通讯方式、通知方式和交通保障、管制</w:t>
                  </w:r>
                </w:p>
              </w:tc>
            </w:tr>
            <w:tr>
              <w:tblPrEx>
                <w:tblCellMar>
                  <w:top w:w="0" w:type="dxa"/>
                  <w:left w:w="0" w:type="dxa"/>
                  <w:bottom w:w="0" w:type="dxa"/>
                  <w:right w:w="0" w:type="dxa"/>
                </w:tblCellMar>
              </w:tblPrEx>
              <w:trPr>
                <w:trHeight w:val="23"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p>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7</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应急环境监测及 事故后评估</w:t>
                  </w:r>
                </w:p>
              </w:tc>
              <w:tc>
                <w:tcPr>
                  <w:tcW w:w="5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有专业队伍负责对事故现场进行监测，对事故性质、参数与后果进行评估 为指挥部门提供决策依据</w:t>
                  </w:r>
                </w:p>
              </w:tc>
            </w:tr>
            <w:tr>
              <w:tblPrEx>
                <w:tblCellMar>
                  <w:top w:w="0" w:type="dxa"/>
                  <w:left w:w="0" w:type="dxa"/>
                  <w:bottom w:w="0" w:type="dxa"/>
                  <w:right w:w="0" w:type="dxa"/>
                </w:tblCellMar>
              </w:tblPrEx>
              <w:trPr>
                <w:trHeight w:val="23"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8</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应急措施</w:t>
                  </w:r>
                </w:p>
              </w:tc>
              <w:tc>
                <w:tcPr>
                  <w:tcW w:w="5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事故现场：控制事故，防止扩大、蔓延及连锁反应</w:t>
                  </w:r>
                </w:p>
              </w:tc>
            </w:tr>
            <w:tr>
              <w:tblPrEx>
                <w:tblCellMar>
                  <w:top w:w="0" w:type="dxa"/>
                  <w:left w:w="0" w:type="dxa"/>
                  <w:bottom w:w="0" w:type="dxa"/>
                  <w:right w:w="0" w:type="dxa"/>
                </w:tblCellMar>
              </w:tblPrEx>
              <w:trPr>
                <w:trHeight w:val="23"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p>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p>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9</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p>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撤离组织计划、医 疗救护与公众健 康</w:t>
                  </w:r>
                </w:p>
              </w:tc>
              <w:tc>
                <w:tcPr>
                  <w:tcW w:w="5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事故现场：事故处理人员对毒物应急剂量控制制定，现场及临近装置人员撤离组织计划及救护 事故临近区：受事故影响的临近区域人员及公众对毒物应急剂量的控制规定，撤离组织计划及救护</w:t>
                  </w:r>
                </w:p>
              </w:tc>
            </w:tr>
            <w:tr>
              <w:tblPrEx>
                <w:tblCellMar>
                  <w:top w:w="0" w:type="dxa"/>
                  <w:left w:w="0" w:type="dxa"/>
                  <w:bottom w:w="0" w:type="dxa"/>
                  <w:right w:w="0" w:type="dxa"/>
                </w:tblCellMar>
              </w:tblPrEx>
              <w:trPr>
                <w:trHeight w:val="23"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p>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10</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应急状态终止与 恢复措施</w:t>
                  </w:r>
                </w:p>
              </w:tc>
              <w:tc>
                <w:tcPr>
                  <w:tcW w:w="5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规定应急状态终止程序；事故现场善后处理，恢复措施；临近区域解除事故警戒及善后恢复措施</w:t>
                  </w:r>
                </w:p>
              </w:tc>
            </w:tr>
            <w:tr>
              <w:tblPrEx>
                <w:tblCellMar>
                  <w:top w:w="0" w:type="dxa"/>
                  <w:left w:w="0" w:type="dxa"/>
                  <w:bottom w:w="0" w:type="dxa"/>
                  <w:right w:w="0" w:type="dxa"/>
                </w:tblCellMar>
              </w:tblPrEx>
              <w:trPr>
                <w:trHeight w:val="23"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11</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人员培训与演练</w:t>
                  </w:r>
                </w:p>
              </w:tc>
              <w:tc>
                <w:tcPr>
                  <w:tcW w:w="5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平时安排人员应急救援培训与演练</w:t>
                  </w:r>
                </w:p>
              </w:tc>
            </w:tr>
            <w:tr>
              <w:tblPrEx>
                <w:tblCellMar>
                  <w:top w:w="0" w:type="dxa"/>
                  <w:left w:w="0" w:type="dxa"/>
                  <w:bottom w:w="0" w:type="dxa"/>
                  <w:right w:w="0" w:type="dxa"/>
                </w:tblCellMar>
              </w:tblPrEx>
              <w:trPr>
                <w:trHeight w:val="23"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12</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公众教育与信息</w:t>
                  </w:r>
                </w:p>
              </w:tc>
              <w:tc>
                <w:tcPr>
                  <w:tcW w:w="5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对厂区临近地区开展公众教育、培训和发布有关信息</w:t>
                  </w:r>
                </w:p>
              </w:tc>
            </w:tr>
            <w:tr>
              <w:trPr>
                <w:trHeight w:val="23"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13</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记录和报告</w:t>
                  </w:r>
                </w:p>
              </w:tc>
              <w:tc>
                <w:tcPr>
                  <w:tcW w:w="5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color w:val="auto"/>
                      <w:lang w:val="en-US" w:eastAsia="zh-CN"/>
                    </w:rPr>
                  </w:pPr>
                  <w:r>
                    <w:rPr>
                      <w:rFonts w:hint="default"/>
                      <w:color w:val="auto"/>
                      <w:lang w:val="en-US" w:eastAsia="zh-CN"/>
                    </w:rPr>
                    <w:t>设置应急事故专门记录，建档案和专门报告制度，设专门部门负责管理</w:t>
                  </w:r>
                </w:p>
              </w:tc>
            </w:tr>
          </w:tbl>
          <w:p>
            <w:pPr>
              <w:spacing w:line="360" w:lineRule="auto"/>
              <w:ind w:firstLine="480" w:firstLineChars="200"/>
              <w:rPr>
                <w:rFonts w:hint="eastAsia"/>
                <w:color w:val="auto"/>
                <w:sz w:val="24"/>
                <w:szCs w:val="24"/>
                <w:lang w:eastAsia="zh-CN"/>
              </w:rPr>
            </w:pPr>
            <w:r>
              <w:rPr>
                <w:rFonts w:hint="eastAsia"/>
                <w:color w:val="auto"/>
                <w:sz w:val="24"/>
                <w:szCs w:val="24"/>
                <w:lang w:eastAsia="zh-CN"/>
              </w:rPr>
              <w:t>综上所述，对于本项目来说，可能产生的环境风险事故主要是由于丁烷可能发生泄露引起的，如果发生环境风险事故，受影响的主要为厂区工作人员，厂区工作员工应严格遵守国家相关管理规定，对工作本着认真负责的态度，在发生事故后能正确采取相应 的安全措施和及时启动事故应急预案，本项目丁烷的泄露、火灾、爆炸事故风险都是可以预防和控制的。</w:t>
            </w:r>
          </w:p>
          <w:p>
            <w:pPr>
              <w:numPr>
                <w:ilvl w:val="0"/>
                <w:numId w:val="3"/>
              </w:numPr>
              <w:spacing w:line="360" w:lineRule="auto"/>
              <w:ind w:firstLine="480" w:firstLineChars="200"/>
              <w:rPr>
                <w:rFonts w:hint="eastAsia"/>
                <w:color w:val="auto"/>
                <w:sz w:val="24"/>
                <w:szCs w:val="24"/>
                <w:lang w:eastAsia="zh-CN"/>
              </w:rPr>
            </w:pPr>
            <w:r>
              <w:rPr>
                <w:rFonts w:hint="eastAsia"/>
                <w:color w:val="auto"/>
                <w:sz w:val="24"/>
                <w:szCs w:val="24"/>
                <w:lang w:eastAsia="zh-CN"/>
              </w:rPr>
              <w:t>分析结论 本项目可能产生的环境风险事故主要是由于丁烷有可能发生泄露引起的火灾爆炸，如果发生环境风险事故，受影响的主要为厂内工作人员，经采取完善的防渗漏、防火、 防静电措施，严格遵守国家相关管理规定，制定安全措施、管理制度和突发环境事件应急预案等措施后，环境风险可接受。</w:t>
            </w:r>
          </w:p>
          <w:p>
            <w:pPr>
              <w:pStyle w:val="90"/>
              <w:spacing w:before="120" w:beforeLines="50" w:line="240" w:lineRule="auto"/>
              <w:ind w:firstLine="0"/>
              <w:rPr>
                <w:color w:val="auto"/>
                <w:sz w:val="21"/>
                <w:szCs w:val="21"/>
              </w:rPr>
            </w:pPr>
            <w:r>
              <w:rPr>
                <w:rFonts w:hint="default" w:ascii="Times New Roman" w:hAnsi="Times New Roman" w:cs="Times New Roman"/>
                <w:color w:val="auto"/>
                <w:sz w:val="21"/>
                <w:szCs w:val="21"/>
              </w:rPr>
              <w:t>表4-</w:t>
            </w:r>
            <w:r>
              <w:rPr>
                <w:rFonts w:hint="default"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val="en-US"/>
              </w:rPr>
              <w:t xml:space="preserve">  </w:t>
            </w:r>
            <w:r>
              <w:rPr>
                <w:rFonts w:hint="default" w:ascii="Times New Roman" w:hAnsi="Times New Roman" w:cs="Times New Roman"/>
                <w:color w:val="auto"/>
                <w:sz w:val="21"/>
                <w:szCs w:val="21"/>
              </w:rPr>
              <w:t>建设项目环境风险分析表</w:t>
            </w:r>
          </w:p>
          <w:tbl>
            <w:tblPr>
              <w:tblStyle w:val="29"/>
              <w:tblW w:w="0" w:type="auto"/>
              <w:tblInd w:w="0" w:type="dxa"/>
              <w:tblLayout w:type="fixed"/>
              <w:tblCellMar>
                <w:top w:w="0" w:type="dxa"/>
                <w:left w:w="0" w:type="dxa"/>
                <w:bottom w:w="0" w:type="dxa"/>
                <w:right w:w="0" w:type="dxa"/>
              </w:tblCellMar>
            </w:tblPr>
            <w:tblGrid>
              <w:gridCol w:w="2022"/>
              <w:gridCol w:w="975"/>
              <w:gridCol w:w="1427"/>
              <w:gridCol w:w="808"/>
              <w:gridCol w:w="2670"/>
            </w:tblGrid>
            <w:tr>
              <w:tblPrEx>
                <w:tblCellMar>
                  <w:top w:w="0" w:type="dxa"/>
                  <w:left w:w="0" w:type="dxa"/>
                  <w:bottom w:w="0" w:type="dxa"/>
                  <w:right w:w="0" w:type="dxa"/>
                </w:tblCellMar>
              </w:tblPrEx>
              <w:trPr>
                <w:trHeight w:val="23" w:hRule="atLeast"/>
              </w:trPr>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建设项目名称</w:t>
                  </w:r>
                </w:p>
              </w:tc>
              <w:tc>
                <w:tcPr>
                  <w:tcW w:w="588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邵东勇博商贸有限公司年产100吨珍珠棉生产线建设项目</w:t>
                  </w:r>
                </w:p>
              </w:tc>
            </w:tr>
            <w:tr>
              <w:tblPrEx>
                <w:tblCellMar>
                  <w:top w:w="0" w:type="dxa"/>
                  <w:left w:w="0" w:type="dxa"/>
                  <w:bottom w:w="0" w:type="dxa"/>
                  <w:right w:w="0" w:type="dxa"/>
                </w:tblCellMar>
              </w:tblPrEx>
              <w:trPr>
                <w:trHeight w:val="23" w:hRule="atLeast"/>
              </w:trPr>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建设地点</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湖南</w:t>
                  </w:r>
                  <w:r>
                    <w:rPr>
                      <w:rFonts w:hint="default" w:ascii="Times New Roman" w:hAnsi="Times New Roman" w:eastAsia="宋体" w:cs="Times New Roman"/>
                      <w:color w:val="auto"/>
                      <w:lang w:val="en-US" w:eastAsia="zh-CN"/>
                    </w:rPr>
                    <w:t>省</w:t>
                  </w:r>
                </w:p>
              </w:tc>
              <w:tc>
                <w:tcPr>
                  <w:tcW w:w="14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邵阳</w:t>
                  </w:r>
                  <w:r>
                    <w:rPr>
                      <w:rFonts w:hint="default" w:ascii="Times New Roman" w:hAnsi="Times New Roman" w:eastAsia="宋体" w:cs="Times New Roman"/>
                      <w:color w:val="auto"/>
                      <w:lang w:val="en-US" w:eastAsia="zh-CN"/>
                    </w:rPr>
                    <w:t>市</w:t>
                  </w:r>
                </w:p>
              </w:tc>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邵东市</w:t>
                  </w:r>
                </w:p>
              </w:tc>
              <w:tc>
                <w:tcPr>
                  <w:tcW w:w="26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牛马司镇湾泥乡工农村01栋</w:t>
                  </w:r>
                </w:p>
              </w:tc>
            </w:tr>
            <w:tr>
              <w:tblPrEx>
                <w:tblCellMar>
                  <w:top w:w="0" w:type="dxa"/>
                  <w:left w:w="0" w:type="dxa"/>
                  <w:bottom w:w="0" w:type="dxa"/>
                  <w:right w:w="0" w:type="dxa"/>
                </w:tblCellMar>
              </w:tblPrEx>
              <w:trPr>
                <w:trHeight w:val="23" w:hRule="atLeast"/>
              </w:trPr>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地理坐标</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经度</w:t>
                  </w:r>
                </w:p>
              </w:tc>
              <w:tc>
                <w:tcPr>
                  <w:tcW w:w="14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111度39分21.73秒</w:t>
                  </w:r>
                </w:p>
              </w:tc>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纬度</w:t>
                  </w:r>
                </w:p>
              </w:tc>
              <w:tc>
                <w:tcPr>
                  <w:tcW w:w="26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27度15分16.85秒</w:t>
                  </w:r>
                </w:p>
              </w:tc>
            </w:tr>
            <w:tr>
              <w:tblPrEx>
                <w:tblCellMar>
                  <w:top w:w="0" w:type="dxa"/>
                  <w:left w:w="0" w:type="dxa"/>
                  <w:bottom w:w="0" w:type="dxa"/>
                  <w:right w:w="0" w:type="dxa"/>
                </w:tblCellMar>
              </w:tblPrEx>
              <w:trPr>
                <w:trHeight w:val="23" w:hRule="atLeast"/>
              </w:trPr>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主要危险物质及分布</w:t>
                  </w:r>
                </w:p>
              </w:tc>
              <w:tc>
                <w:tcPr>
                  <w:tcW w:w="588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丁烷储罐</w:t>
                  </w:r>
                </w:p>
              </w:tc>
            </w:tr>
            <w:tr>
              <w:tblPrEx>
                <w:tblCellMar>
                  <w:top w:w="0" w:type="dxa"/>
                  <w:left w:w="0" w:type="dxa"/>
                  <w:bottom w:w="0" w:type="dxa"/>
                  <w:right w:w="0" w:type="dxa"/>
                </w:tblCellMar>
              </w:tblPrEx>
              <w:trPr>
                <w:trHeight w:val="23" w:hRule="atLeast"/>
              </w:trPr>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环境影响途径及危害后果</w:t>
                  </w:r>
                </w:p>
              </w:tc>
              <w:tc>
                <w:tcPr>
                  <w:tcW w:w="588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一旦发生泄露、火灾、爆炸，可能造成污染环境空气、水环境， 人身伤害或生命危险</w:t>
                  </w:r>
                </w:p>
              </w:tc>
            </w:tr>
            <w:tr>
              <w:tblPrEx>
                <w:tblCellMar>
                  <w:top w:w="0" w:type="dxa"/>
                  <w:left w:w="0" w:type="dxa"/>
                  <w:bottom w:w="0" w:type="dxa"/>
                  <w:right w:w="0" w:type="dxa"/>
                </w:tblCellMar>
              </w:tblPrEx>
              <w:trPr>
                <w:trHeight w:val="23" w:hRule="atLeast"/>
              </w:trPr>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风险防范措施要求</w:t>
                  </w:r>
                </w:p>
              </w:tc>
              <w:tc>
                <w:tcPr>
                  <w:tcW w:w="588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采取完善的防渗漏、防火、防静电措施，严格遵守国家相关管理 规定，制定安全措施、管理制度和突发环境事件应急预案</w:t>
                  </w:r>
                </w:p>
              </w:tc>
            </w:tr>
            <w:tr>
              <w:tblPrEx>
                <w:tblCellMar>
                  <w:top w:w="0" w:type="dxa"/>
                  <w:left w:w="0" w:type="dxa"/>
                  <w:bottom w:w="0" w:type="dxa"/>
                  <w:right w:w="0" w:type="dxa"/>
                </w:tblCellMar>
              </w:tblPrEx>
              <w:trPr>
                <w:trHeight w:val="23" w:hRule="atLeast"/>
              </w:trPr>
              <w:tc>
                <w:tcPr>
                  <w:tcW w:w="2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sz w:val="21"/>
                      <w:szCs w:val="21"/>
                    </w:rPr>
                    <w:t>建设项目环境风险分析</w:t>
                  </w:r>
                  <w:r>
                    <w:rPr>
                      <w:rFonts w:hint="eastAsia" w:ascii="Times New Roman" w:hAnsi="Times New Roman" w:eastAsia="宋体" w:cs="Times New Roman"/>
                      <w:color w:val="auto"/>
                      <w:lang w:val="en-US" w:eastAsia="zh-CN"/>
                    </w:rPr>
                    <w:t>结论</w:t>
                  </w:r>
                </w:p>
              </w:tc>
              <w:tc>
                <w:tcPr>
                  <w:tcW w:w="588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项目在运行过程中存在着泄漏、火灾爆炸风险。项目要加强风险 防范管理，按照本评价的要求完善风险防范措施，制定有效的应急预 案，可降低风险事故的发生和影响后果，项目的环境风险是可防控的</w:t>
                  </w:r>
                </w:p>
              </w:tc>
            </w:tr>
          </w:tbl>
          <w:p>
            <w:pPr>
              <w:pStyle w:val="90"/>
              <w:spacing w:before="120" w:beforeLines="50" w:line="240" w:lineRule="auto"/>
              <w:ind w:firstLine="0"/>
              <w:rPr>
                <w:color w:val="auto"/>
                <w:sz w:val="21"/>
                <w:szCs w:val="21"/>
              </w:rPr>
            </w:pPr>
          </w:p>
          <w:p>
            <w:pPr>
              <w:pStyle w:val="90"/>
              <w:spacing w:before="120" w:beforeLines="50" w:line="240" w:lineRule="auto"/>
              <w:ind w:firstLine="0"/>
              <w:rPr>
                <w:rFonts w:hint="default"/>
                <w:color w:val="auto"/>
                <w:sz w:val="21"/>
                <w:szCs w:val="21"/>
              </w:rPr>
            </w:pPr>
          </w:p>
          <w:p>
            <w:pPr>
              <w:pStyle w:val="11"/>
              <w:numPr>
                <w:ilvl w:val="0"/>
                <w:numId w:val="0"/>
              </w:numPr>
              <w:ind w:right="113" w:rightChars="0"/>
              <w:rPr>
                <w:color w:val="auto"/>
              </w:rPr>
            </w:pPr>
          </w:p>
        </w:tc>
      </w:tr>
    </w:tbl>
    <w:p>
      <w:pPr>
        <w:adjustRightInd w:val="0"/>
        <w:snapToGrid w:val="0"/>
        <w:spacing w:line="360" w:lineRule="auto"/>
        <w:rPr>
          <w:b/>
          <w:color w:val="auto"/>
          <w:kern w:val="0"/>
          <w:sz w:val="28"/>
          <w:szCs w:val="28"/>
        </w:rPr>
        <w:sectPr>
          <w:pgSz w:w="11907" w:h="16840"/>
          <w:pgMar w:top="1701" w:right="1531" w:bottom="2127" w:left="1531" w:header="851" w:footer="851" w:gutter="0"/>
          <w:cols w:space="720" w:num="1"/>
          <w:docGrid w:linePitch="312" w:charSpace="0"/>
        </w:sectPr>
      </w:pPr>
    </w:p>
    <w:p>
      <w:pPr>
        <w:pStyle w:val="24"/>
        <w:jc w:val="center"/>
        <w:outlineLvl w:val="0"/>
        <w:rPr>
          <w:rStyle w:val="38"/>
          <w:rFonts w:ascii="Times New Roman" w:hAnsi="Times New Roman"/>
          <w:color w:val="auto"/>
        </w:rPr>
      </w:pPr>
      <w:bookmarkStart w:id="13" w:name="_Toc73483526"/>
      <w:r>
        <w:rPr>
          <w:rStyle w:val="38"/>
          <w:rFonts w:ascii="Times New Roman" w:hAnsi="Times New Roman"/>
          <w:color w:val="auto"/>
        </w:rPr>
        <w:t>五、</w:t>
      </w:r>
      <w:bookmarkStart w:id="14" w:name="_Hlk54167917"/>
      <w:r>
        <w:rPr>
          <w:rStyle w:val="38"/>
          <w:rFonts w:ascii="Times New Roman" w:hAnsi="Times New Roman"/>
          <w:color w:val="auto"/>
        </w:rPr>
        <w:t>环境保护措施监督检查清单</w:t>
      </w:r>
      <w:bookmarkEnd w:id="13"/>
      <w:bookmarkEnd w:id="14"/>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523"/>
        <w:gridCol w:w="1987"/>
        <w:gridCol w:w="1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tcPr>
          <w:p>
            <w:pPr>
              <w:adjustRightInd w:val="0"/>
              <w:snapToGrid w:val="0"/>
              <w:ind w:firstLine="840"/>
              <w:rPr>
                <w:color w:val="auto"/>
                <w:szCs w:val="21"/>
              </w:rPr>
            </w:pPr>
            <w:r>
              <w:rPr>
                <w:color w:val="auto"/>
                <w:szCs w:val="21"/>
              </w:rPr>
              <w:t>内容</w:t>
            </w:r>
          </w:p>
          <w:p>
            <w:pPr>
              <w:adjustRightInd w:val="0"/>
              <w:snapToGrid w:val="0"/>
              <w:rPr>
                <w:color w:val="auto"/>
                <w:szCs w:val="21"/>
              </w:rPr>
            </w:pPr>
            <w:r>
              <w:rPr>
                <w:color w:val="auto"/>
                <w:szCs w:val="21"/>
              </w:rPr>
              <w:t>要素</w:t>
            </w:r>
          </w:p>
        </w:tc>
        <w:tc>
          <w:tcPr>
            <w:tcW w:w="1755" w:type="dxa"/>
            <w:vAlign w:val="center"/>
          </w:tcPr>
          <w:p>
            <w:pPr>
              <w:adjustRightInd w:val="0"/>
              <w:snapToGrid w:val="0"/>
              <w:jc w:val="center"/>
              <w:rPr>
                <w:color w:val="auto"/>
                <w:szCs w:val="21"/>
              </w:rPr>
            </w:pPr>
            <w:r>
              <w:rPr>
                <w:color w:val="auto"/>
                <w:szCs w:val="21"/>
              </w:rPr>
              <w:t>排放口(编号、</w:t>
            </w:r>
          </w:p>
          <w:p>
            <w:pPr>
              <w:adjustRightInd w:val="0"/>
              <w:snapToGrid w:val="0"/>
              <w:jc w:val="center"/>
              <w:rPr>
                <w:color w:val="auto"/>
                <w:szCs w:val="21"/>
              </w:rPr>
            </w:pPr>
            <w:r>
              <w:rPr>
                <w:color w:val="auto"/>
                <w:szCs w:val="21"/>
              </w:rPr>
              <w:t>名称)/污染源</w:t>
            </w:r>
          </w:p>
        </w:tc>
        <w:tc>
          <w:tcPr>
            <w:tcW w:w="1523" w:type="dxa"/>
            <w:vAlign w:val="center"/>
          </w:tcPr>
          <w:p>
            <w:pPr>
              <w:adjustRightInd w:val="0"/>
              <w:snapToGrid w:val="0"/>
              <w:jc w:val="center"/>
              <w:rPr>
                <w:color w:val="auto"/>
                <w:szCs w:val="21"/>
              </w:rPr>
            </w:pPr>
            <w:r>
              <w:rPr>
                <w:color w:val="auto"/>
                <w:szCs w:val="21"/>
              </w:rPr>
              <w:t>污染物项目</w:t>
            </w:r>
          </w:p>
        </w:tc>
        <w:tc>
          <w:tcPr>
            <w:tcW w:w="1987" w:type="dxa"/>
            <w:vAlign w:val="center"/>
          </w:tcPr>
          <w:p>
            <w:pPr>
              <w:adjustRightInd w:val="0"/>
              <w:snapToGrid w:val="0"/>
              <w:jc w:val="center"/>
              <w:rPr>
                <w:color w:val="auto"/>
                <w:szCs w:val="21"/>
              </w:rPr>
            </w:pPr>
            <w:r>
              <w:rPr>
                <w:color w:val="auto"/>
                <w:szCs w:val="21"/>
              </w:rPr>
              <w:t>环境保护措施</w:t>
            </w:r>
          </w:p>
        </w:tc>
        <w:tc>
          <w:tcPr>
            <w:tcW w:w="1757" w:type="dxa"/>
            <w:vAlign w:val="center"/>
          </w:tcPr>
          <w:p>
            <w:pPr>
              <w:adjustRightInd w:val="0"/>
              <w:snapToGrid w:val="0"/>
              <w:jc w:val="center"/>
              <w:rPr>
                <w:color w:val="auto"/>
                <w:szCs w:val="21"/>
              </w:rPr>
            </w:pPr>
            <w:r>
              <w:rPr>
                <w:color w:val="auto"/>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pPr>
              <w:adjustRightInd w:val="0"/>
              <w:snapToGrid w:val="0"/>
              <w:jc w:val="center"/>
              <w:rPr>
                <w:color w:val="auto"/>
                <w:szCs w:val="21"/>
              </w:rPr>
            </w:pPr>
            <w:r>
              <w:rPr>
                <w:color w:val="auto"/>
                <w:szCs w:val="21"/>
              </w:rPr>
              <w:t>大气环境</w:t>
            </w:r>
          </w:p>
        </w:tc>
        <w:tc>
          <w:tcPr>
            <w:tcW w:w="1755" w:type="dxa"/>
            <w:vAlign w:val="center"/>
          </w:tcPr>
          <w:p>
            <w:pPr>
              <w:adjustRightInd w:val="0"/>
              <w:snapToGrid w:val="0"/>
              <w:jc w:val="center"/>
              <w:rPr>
                <w:color w:val="auto"/>
                <w:szCs w:val="21"/>
              </w:rPr>
            </w:pPr>
            <w:r>
              <w:rPr>
                <w:color w:val="auto"/>
                <w:szCs w:val="21"/>
              </w:rPr>
              <w:t>DA001：</w:t>
            </w:r>
            <w:r>
              <w:rPr>
                <w:rFonts w:hint="eastAsia"/>
                <w:color w:val="auto"/>
                <w:szCs w:val="21"/>
                <w:lang w:eastAsia="zh-CN"/>
              </w:rPr>
              <w:t>塑化发泡挤出废气</w:t>
            </w:r>
            <w:r>
              <w:rPr>
                <w:rFonts w:hint="eastAsia"/>
                <w:color w:val="auto"/>
                <w:szCs w:val="21"/>
              </w:rPr>
              <w:t>排气筒</w:t>
            </w:r>
          </w:p>
        </w:tc>
        <w:tc>
          <w:tcPr>
            <w:tcW w:w="1523" w:type="dxa"/>
            <w:vAlign w:val="center"/>
          </w:tcPr>
          <w:p>
            <w:pPr>
              <w:adjustRightInd w:val="0"/>
              <w:snapToGrid w:val="0"/>
              <w:jc w:val="center"/>
              <w:rPr>
                <w:rFonts w:hint="default"/>
                <w:color w:val="auto"/>
                <w:szCs w:val="21"/>
                <w:lang w:val="en-US"/>
              </w:rPr>
            </w:pPr>
            <w:r>
              <w:rPr>
                <w:rFonts w:hint="eastAsia"/>
                <w:color w:val="auto"/>
                <w:lang w:val="en-US" w:eastAsia="zh-CN"/>
              </w:rPr>
              <w:t>非甲烷总烃</w:t>
            </w:r>
          </w:p>
        </w:tc>
        <w:tc>
          <w:tcPr>
            <w:tcW w:w="1987" w:type="dxa"/>
            <w:vAlign w:val="center"/>
          </w:tcPr>
          <w:p>
            <w:pPr>
              <w:adjustRightInd w:val="0"/>
              <w:snapToGrid w:val="0"/>
              <w:jc w:val="center"/>
              <w:rPr>
                <w:color w:val="auto"/>
                <w:szCs w:val="21"/>
              </w:rPr>
            </w:pPr>
            <w:r>
              <w:rPr>
                <w:rFonts w:hint="eastAsia"/>
                <w:color w:val="auto"/>
                <w:szCs w:val="21"/>
              </w:rPr>
              <w:t>集气罩收集、</w:t>
            </w:r>
            <w:r>
              <w:rPr>
                <w:rFonts w:hint="eastAsia"/>
                <w:color w:val="auto"/>
                <w:szCs w:val="21"/>
                <w:lang w:eastAsia="zh-CN"/>
              </w:rPr>
              <w:t>UV光氧+活性炭吸附</w:t>
            </w:r>
            <w:r>
              <w:rPr>
                <w:rFonts w:hint="eastAsia"/>
                <w:color w:val="auto"/>
                <w:szCs w:val="21"/>
                <w:lang w:val="en-US" w:eastAsia="zh-CN"/>
              </w:rPr>
              <w:t>装置</w:t>
            </w:r>
            <w:r>
              <w:rPr>
                <w:rFonts w:hint="eastAsia"/>
                <w:color w:val="auto"/>
                <w:szCs w:val="21"/>
              </w:rPr>
              <w:t>处理、15m高排气筒高空排放</w:t>
            </w:r>
          </w:p>
        </w:tc>
        <w:tc>
          <w:tcPr>
            <w:tcW w:w="1757" w:type="dxa"/>
            <w:vMerge w:val="restart"/>
            <w:vAlign w:val="center"/>
          </w:tcPr>
          <w:p>
            <w:pPr>
              <w:adjustRightInd w:val="0"/>
              <w:snapToGrid w:val="0"/>
              <w:jc w:val="center"/>
              <w:rPr>
                <w:rFonts w:hint="eastAsia"/>
                <w:color w:val="auto"/>
                <w:szCs w:val="21"/>
                <w:lang w:eastAsia="zh-CN"/>
              </w:rPr>
            </w:pPr>
            <w:r>
              <w:rPr>
                <w:rFonts w:hint="eastAsia"/>
                <w:color w:val="auto"/>
                <w:szCs w:val="21"/>
                <w:lang w:eastAsia="zh-CN"/>
              </w:rPr>
              <w:t xml:space="preserve"> 执行合成树脂工业污染物排放标准》</w:t>
            </w:r>
          </w:p>
          <w:p>
            <w:pPr>
              <w:adjustRightInd w:val="0"/>
              <w:snapToGrid w:val="0"/>
              <w:jc w:val="center"/>
              <w:rPr>
                <w:rFonts w:hint="default" w:eastAsia="宋体"/>
                <w:color w:val="auto"/>
                <w:szCs w:val="21"/>
                <w:lang w:val="en-US" w:eastAsia="zh-CN"/>
              </w:rPr>
            </w:pPr>
            <w:r>
              <w:rPr>
                <w:rFonts w:hint="eastAsia"/>
                <w:color w:val="auto"/>
                <w:szCs w:val="21"/>
                <w:lang w:eastAsia="zh-CN"/>
              </w:rPr>
              <w:t>（GB31572-2015）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778" w:type="dxa"/>
            <w:vMerge w:val="continue"/>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r>
              <w:rPr>
                <w:color w:val="auto"/>
                <w:szCs w:val="21"/>
              </w:rPr>
              <w:t>无组织排放</w:t>
            </w:r>
          </w:p>
        </w:tc>
        <w:tc>
          <w:tcPr>
            <w:tcW w:w="1523" w:type="dxa"/>
            <w:vAlign w:val="center"/>
          </w:tcPr>
          <w:p>
            <w:pPr>
              <w:adjustRightInd w:val="0"/>
              <w:snapToGrid w:val="0"/>
              <w:jc w:val="center"/>
              <w:rPr>
                <w:rFonts w:hint="default" w:eastAsia="宋体"/>
                <w:color w:val="auto"/>
                <w:szCs w:val="21"/>
                <w:lang w:val="en-US" w:eastAsia="zh-CN"/>
              </w:rPr>
            </w:pPr>
            <w:r>
              <w:rPr>
                <w:bCs/>
                <w:color w:val="auto"/>
                <w:szCs w:val="21"/>
              </w:rPr>
              <w:t>非甲烷总烃</w:t>
            </w:r>
            <w:r>
              <w:rPr>
                <w:rFonts w:hint="eastAsia"/>
                <w:bCs/>
                <w:color w:val="auto"/>
                <w:szCs w:val="21"/>
                <w:lang w:eastAsia="zh-CN"/>
              </w:rPr>
              <w:t>、</w:t>
            </w:r>
            <w:r>
              <w:rPr>
                <w:rFonts w:hint="eastAsia"/>
                <w:bCs/>
                <w:color w:val="auto"/>
                <w:szCs w:val="21"/>
                <w:lang w:val="en-US" w:eastAsia="zh-CN"/>
              </w:rPr>
              <w:t>颗粒物</w:t>
            </w:r>
          </w:p>
        </w:tc>
        <w:tc>
          <w:tcPr>
            <w:tcW w:w="1987" w:type="dxa"/>
            <w:vAlign w:val="center"/>
          </w:tcPr>
          <w:p>
            <w:pPr>
              <w:adjustRightInd w:val="0"/>
              <w:snapToGrid w:val="0"/>
              <w:jc w:val="center"/>
              <w:rPr>
                <w:color w:val="auto"/>
                <w:szCs w:val="21"/>
              </w:rPr>
            </w:pPr>
            <w:r>
              <w:rPr>
                <w:color w:val="auto"/>
                <w:szCs w:val="21"/>
              </w:rPr>
              <w:t>加强</w:t>
            </w:r>
            <w:r>
              <w:rPr>
                <w:rFonts w:hint="eastAsia"/>
                <w:color w:val="auto"/>
                <w:szCs w:val="21"/>
                <w:lang w:eastAsia="zh-CN"/>
              </w:rPr>
              <w:t>设备封闭、</w:t>
            </w:r>
            <w:r>
              <w:rPr>
                <w:color w:val="auto"/>
                <w:szCs w:val="21"/>
              </w:rPr>
              <w:t>加强</w:t>
            </w:r>
            <w:r>
              <w:rPr>
                <w:rFonts w:hint="eastAsia"/>
                <w:color w:val="auto"/>
                <w:szCs w:val="21"/>
              </w:rPr>
              <w:t>车间通风</w:t>
            </w:r>
          </w:p>
        </w:tc>
        <w:tc>
          <w:tcPr>
            <w:tcW w:w="1757" w:type="dxa"/>
            <w:vMerge w:val="continue"/>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pPr>
              <w:adjustRightInd w:val="0"/>
              <w:snapToGrid w:val="0"/>
              <w:jc w:val="center"/>
              <w:rPr>
                <w:color w:val="auto"/>
                <w:szCs w:val="21"/>
              </w:rPr>
            </w:pPr>
            <w:r>
              <w:rPr>
                <w:color w:val="auto"/>
                <w:szCs w:val="21"/>
              </w:rPr>
              <w:t>地表水环境</w:t>
            </w:r>
          </w:p>
        </w:tc>
        <w:tc>
          <w:tcPr>
            <w:tcW w:w="1755" w:type="dxa"/>
            <w:vAlign w:val="center"/>
          </w:tcPr>
          <w:p>
            <w:pPr>
              <w:adjustRightInd w:val="0"/>
              <w:snapToGrid w:val="0"/>
              <w:jc w:val="center"/>
              <w:rPr>
                <w:color w:val="auto"/>
                <w:szCs w:val="21"/>
              </w:rPr>
            </w:pPr>
            <w:r>
              <w:rPr>
                <w:color w:val="auto"/>
                <w:szCs w:val="21"/>
              </w:rPr>
              <w:t>生活污水</w:t>
            </w:r>
          </w:p>
        </w:tc>
        <w:tc>
          <w:tcPr>
            <w:tcW w:w="1523" w:type="dxa"/>
            <w:vAlign w:val="center"/>
          </w:tcPr>
          <w:p>
            <w:pPr>
              <w:adjustRightInd w:val="0"/>
              <w:snapToGrid w:val="0"/>
              <w:jc w:val="center"/>
              <w:rPr>
                <w:color w:val="auto"/>
                <w:szCs w:val="21"/>
              </w:rPr>
            </w:pPr>
            <w:r>
              <w:rPr>
                <w:color w:val="auto"/>
                <w:szCs w:val="21"/>
              </w:rPr>
              <w:t>COD、NH</w:t>
            </w:r>
            <w:r>
              <w:rPr>
                <w:color w:val="auto"/>
                <w:szCs w:val="21"/>
                <w:vertAlign w:val="subscript"/>
              </w:rPr>
              <w:t>3</w:t>
            </w:r>
            <w:r>
              <w:rPr>
                <w:color w:val="auto"/>
                <w:szCs w:val="21"/>
              </w:rPr>
              <w:t>-N、SS</w:t>
            </w:r>
          </w:p>
        </w:tc>
        <w:tc>
          <w:tcPr>
            <w:tcW w:w="1987" w:type="dxa"/>
            <w:vAlign w:val="center"/>
          </w:tcPr>
          <w:p>
            <w:pPr>
              <w:adjustRightInd w:val="0"/>
              <w:snapToGrid w:val="0"/>
              <w:jc w:val="center"/>
              <w:rPr>
                <w:color w:val="auto"/>
                <w:szCs w:val="21"/>
              </w:rPr>
            </w:pPr>
            <w:r>
              <w:rPr>
                <w:color w:val="auto"/>
                <w:szCs w:val="21"/>
              </w:rPr>
              <w:t>生活污水经</w:t>
            </w:r>
            <w:r>
              <w:rPr>
                <w:rFonts w:hint="eastAsia"/>
                <w:color w:val="auto"/>
                <w:szCs w:val="21"/>
                <w:lang w:eastAsia="zh-CN"/>
              </w:rPr>
              <w:t>化粪池</w:t>
            </w:r>
            <w:r>
              <w:rPr>
                <w:color w:val="auto"/>
                <w:szCs w:val="21"/>
              </w:rPr>
              <w:t>处理后</w:t>
            </w:r>
            <w:r>
              <w:rPr>
                <w:rFonts w:hint="eastAsia"/>
                <w:color w:val="auto"/>
                <w:szCs w:val="21"/>
                <w:lang w:eastAsia="zh-CN"/>
              </w:rPr>
              <w:t>，</w:t>
            </w:r>
            <w:r>
              <w:rPr>
                <w:rFonts w:hint="eastAsia"/>
                <w:color w:val="auto"/>
                <w:szCs w:val="21"/>
                <w:lang w:val="en-US" w:eastAsia="zh-CN"/>
              </w:rPr>
              <w:t>由周边农户</w:t>
            </w:r>
            <w:r>
              <w:rPr>
                <w:rFonts w:hint="eastAsia"/>
                <w:color w:val="auto"/>
                <w:szCs w:val="21"/>
                <w:lang w:eastAsia="zh-CN"/>
              </w:rPr>
              <w:t>清运用作农肥</w:t>
            </w:r>
          </w:p>
        </w:tc>
        <w:tc>
          <w:tcPr>
            <w:tcW w:w="1757" w:type="dxa"/>
            <w:vAlign w:val="center"/>
          </w:tcPr>
          <w:p>
            <w:pPr>
              <w:adjustRightInd w:val="0"/>
              <w:snapToGrid w:val="0"/>
              <w:jc w:val="center"/>
              <w:rPr>
                <w:rFonts w:hint="default"/>
                <w:color w:val="auto"/>
                <w:szCs w:val="21"/>
                <w:lang w:val="en-US" w:eastAsia="zh-CN"/>
              </w:rPr>
            </w:pPr>
            <w:r>
              <w:rPr>
                <w:rFonts w:hint="eastAsia"/>
                <w:color w:val="auto"/>
                <w:szCs w:val="21"/>
                <w:lang w:val="en-US" w:eastAsia="zh-CN"/>
              </w:rPr>
              <w:t>综合利用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color w:val="auto"/>
                <w:szCs w:val="21"/>
              </w:rPr>
            </w:pPr>
          </w:p>
        </w:tc>
        <w:tc>
          <w:tcPr>
            <w:tcW w:w="1755" w:type="dxa"/>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冷却废水</w:t>
            </w:r>
          </w:p>
        </w:tc>
        <w:tc>
          <w:tcPr>
            <w:tcW w:w="1523" w:type="dxa"/>
            <w:vAlign w:val="center"/>
          </w:tcPr>
          <w:p>
            <w:pPr>
              <w:adjustRightInd w:val="0"/>
              <w:snapToGrid w:val="0"/>
              <w:jc w:val="center"/>
              <w:rPr>
                <w:color w:val="auto"/>
                <w:szCs w:val="21"/>
              </w:rPr>
            </w:pPr>
            <w:r>
              <w:rPr>
                <w:color w:val="auto"/>
                <w:szCs w:val="21"/>
              </w:rPr>
              <w:t>SS</w:t>
            </w:r>
          </w:p>
        </w:tc>
        <w:tc>
          <w:tcPr>
            <w:tcW w:w="1987" w:type="dxa"/>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冷却水循环使用</w:t>
            </w:r>
          </w:p>
        </w:tc>
        <w:tc>
          <w:tcPr>
            <w:tcW w:w="1757" w:type="dxa"/>
            <w:vAlign w:val="center"/>
          </w:tcPr>
          <w:p>
            <w:pPr>
              <w:adjustRightInd w:val="0"/>
              <w:snapToGrid w:val="0"/>
              <w:jc w:val="center"/>
              <w:rPr>
                <w:rFonts w:hint="eastAsia" w:eastAsia="宋体"/>
                <w:color w:val="auto"/>
                <w:szCs w:val="21"/>
                <w:lang w:val="en-US" w:eastAsia="zh-CN"/>
              </w:rPr>
            </w:pPr>
            <w:r>
              <w:rPr>
                <w:rFonts w:hint="eastAsia"/>
                <w:color w:val="auto"/>
                <w:szCs w:val="21"/>
                <w:lang w:val="en-US" w:eastAsia="zh-CN"/>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pPr>
              <w:adjustRightInd w:val="0"/>
              <w:snapToGrid w:val="0"/>
              <w:jc w:val="center"/>
              <w:rPr>
                <w:color w:val="auto"/>
                <w:szCs w:val="21"/>
              </w:rPr>
            </w:pPr>
            <w:r>
              <w:rPr>
                <w:color w:val="auto"/>
                <w:szCs w:val="21"/>
              </w:rPr>
              <w:t>声环境</w:t>
            </w:r>
          </w:p>
        </w:tc>
        <w:tc>
          <w:tcPr>
            <w:tcW w:w="1755" w:type="dxa"/>
            <w:vAlign w:val="center"/>
          </w:tcPr>
          <w:p>
            <w:pPr>
              <w:adjustRightInd w:val="0"/>
              <w:snapToGrid w:val="0"/>
              <w:jc w:val="center"/>
              <w:rPr>
                <w:color w:val="auto"/>
                <w:szCs w:val="21"/>
              </w:rPr>
            </w:pPr>
            <w:r>
              <w:rPr>
                <w:rFonts w:hint="eastAsia"/>
                <w:color w:val="auto"/>
                <w:szCs w:val="21"/>
                <w:lang w:eastAsia="zh-CN"/>
              </w:rPr>
              <w:t>塑化发泡挤出生产线</w:t>
            </w:r>
            <w:r>
              <w:rPr>
                <w:rFonts w:hint="eastAsia"/>
                <w:color w:val="auto"/>
                <w:szCs w:val="21"/>
              </w:rPr>
              <w:t>和风机</w:t>
            </w:r>
            <w:r>
              <w:rPr>
                <w:color w:val="auto"/>
                <w:szCs w:val="21"/>
              </w:rPr>
              <w:t>等机械设备</w:t>
            </w:r>
          </w:p>
        </w:tc>
        <w:tc>
          <w:tcPr>
            <w:tcW w:w="1523" w:type="dxa"/>
            <w:vAlign w:val="center"/>
          </w:tcPr>
          <w:p>
            <w:pPr>
              <w:adjustRightInd w:val="0"/>
              <w:snapToGrid w:val="0"/>
              <w:jc w:val="center"/>
              <w:rPr>
                <w:color w:val="auto"/>
                <w:szCs w:val="21"/>
              </w:rPr>
            </w:pPr>
            <w:r>
              <w:rPr>
                <w:color w:val="auto"/>
                <w:szCs w:val="21"/>
              </w:rPr>
              <w:t>噪声</w:t>
            </w:r>
          </w:p>
        </w:tc>
        <w:tc>
          <w:tcPr>
            <w:tcW w:w="1987" w:type="dxa"/>
            <w:vAlign w:val="center"/>
          </w:tcPr>
          <w:p>
            <w:pPr>
              <w:adjustRightInd w:val="0"/>
              <w:snapToGrid w:val="0"/>
              <w:jc w:val="center"/>
              <w:rPr>
                <w:color w:val="auto"/>
                <w:szCs w:val="21"/>
              </w:rPr>
            </w:pPr>
            <w:r>
              <w:rPr>
                <w:color w:val="auto"/>
                <w:szCs w:val="21"/>
              </w:rPr>
              <w:t>基础减震、隔音、消音等</w:t>
            </w:r>
          </w:p>
        </w:tc>
        <w:tc>
          <w:tcPr>
            <w:tcW w:w="1757" w:type="dxa"/>
            <w:vAlign w:val="center"/>
          </w:tcPr>
          <w:p>
            <w:pPr>
              <w:adjustRightInd w:val="0"/>
              <w:snapToGrid w:val="0"/>
              <w:jc w:val="center"/>
              <w:rPr>
                <w:color w:val="auto"/>
                <w:szCs w:val="21"/>
              </w:rPr>
            </w:pPr>
            <w:r>
              <w:rPr>
                <w:color w:val="auto"/>
                <w:szCs w:val="21"/>
              </w:rPr>
              <w:t>满足《工业企业厂界环境噪声排放标准》</w:t>
            </w:r>
            <w:r>
              <w:rPr>
                <w:rFonts w:hint="eastAsia"/>
                <w:color w:val="auto"/>
                <w:szCs w:val="21"/>
                <w:lang w:val="en-US" w:eastAsia="zh-CN"/>
              </w:rPr>
              <w:t>2</w:t>
            </w:r>
            <w:r>
              <w:rPr>
                <w:color w:val="auto"/>
                <w:szCs w:val="21"/>
              </w:rPr>
              <w:t>类</w:t>
            </w:r>
            <w:r>
              <w:rPr>
                <w:rFonts w:hint="eastAsia"/>
                <w:color w:val="auto"/>
                <w:szCs w:val="21"/>
                <w:lang w:val="en-US" w:eastAsia="zh-CN"/>
              </w:rPr>
              <w:t>标准</w:t>
            </w:r>
            <w:r>
              <w:rPr>
                <w:color w:val="auto"/>
                <w:szCs w:val="21"/>
              </w:rPr>
              <w:t>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523" w:type="dxa"/>
            <w:vAlign w:val="center"/>
          </w:tcPr>
          <w:p>
            <w:pPr>
              <w:adjustRightInd w:val="0"/>
              <w:snapToGrid w:val="0"/>
              <w:jc w:val="center"/>
              <w:rPr>
                <w:color w:val="auto"/>
                <w:szCs w:val="21"/>
              </w:rPr>
            </w:pPr>
          </w:p>
        </w:tc>
        <w:tc>
          <w:tcPr>
            <w:tcW w:w="1987" w:type="dxa"/>
            <w:vAlign w:val="center"/>
          </w:tcPr>
          <w:p>
            <w:pPr>
              <w:adjustRightInd w:val="0"/>
              <w:snapToGrid w:val="0"/>
              <w:jc w:val="center"/>
              <w:rPr>
                <w:color w:val="auto"/>
                <w:szCs w:val="21"/>
              </w:rPr>
            </w:pPr>
          </w:p>
        </w:tc>
        <w:tc>
          <w:tcPr>
            <w:tcW w:w="1757" w:type="dxa"/>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523" w:type="dxa"/>
            <w:vAlign w:val="center"/>
          </w:tcPr>
          <w:p>
            <w:pPr>
              <w:adjustRightInd w:val="0"/>
              <w:snapToGrid w:val="0"/>
              <w:jc w:val="center"/>
              <w:rPr>
                <w:color w:val="auto"/>
                <w:szCs w:val="21"/>
              </w:rPr>
            </w:pPr>
          </w:p>
        </w:tc>
        <w:tc>
          <w:tcPr>
            <w:tcW w:w="1987" w:type="dxa"/>
            <w:vAlign w:val="center"/>
          </w:tcPr>
          <w:p>
            <w:pPr>
              <w:adjustRightInd w:val="0"/>
              <w:snapToGrid w:val="0"/>
              <w:jc w:val="center"/>
              <w:rPr>
                <w:color w:val="auto"/>
                <w:szCs w:val="21"/>
              </w:rPr>
            </w:pPr>
          </w:p>
        </w:tc>
        <w:tc>
          <w:tcPr>
            <w:tcW w:w="1757" w:type="dxa"/>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pPr>
              <w:adjustRightInd w:val="0"/>
              <w:snapToGrid w:val="0"/>
              <w:jc w:val="center"/>
              <w:rPr>
                <w:color w:val="auto"/>
                <w:szCs w:val="21"/>
              </w:rPr>
            </w:pPr>
            <w:r>
              <w:rPr>
                <w:color w:val="auto"/>
                <w:szCs w:val="21"/>
              </w:rPr>
              <w:t>电磁辐射</w:t>
            </w:r>
          </w:p>
        </w:tc>
        <w:tc>
          <w:tcPr>
            <w:tcW w:w="1755" w:type="dxa"/>
            <w:vAlign w:val="center"/>
          </w:tcPr>
          <w:p>
            <w:pPr>
              <w:adjustRightInd w:val="0"/>
              <w:snapToGrid w:val="0"/>
              <w:jc w:val="center"/>
              <w:rPr>
                <w:color w:val="auto"/>
                <w:szCs w:val="21"/>
              </w:rPr>
            </w:pPr>
          </w:p>
        </w:tc>
        <w:tc>
          <w:tcPr>
            <w:tcW w:w="1523" w:type="dxa"/>
            <w:vAlign w:val="center"/>
          </w:tcPr>
          <w:p>
            <w:pPr>
              <w:adjustRightInd w:val="0"/>
              <w:snapToGrid w:val="0"/>
              <w:jc w:val="center"/>
              <w:rPr>
                <w:color w:val="auto"/>
                <w:szCs w:val="21"/>
              </w:rPr>
            </w:pPr>
          </w:p>
        </w:tc>
        <w:tc>
          <w:tcPr>
            <w:tcW w:w="1987" w:type="dxa"/>
            <w:vAlign w:val="center"/>
          </w:tcPr>
          <w:p>
            <w:pPr>
              <w:adjustRightInd w:val="0"/>
              <w:snapToGrid w:val="0"/>
              <w:jc w:val="center"/>
              <w:rPr>
                <w:color w:val="auto"/>
                <w:szCs w:val="21"/>
              </w:rPr>
            </w:pPr>
          </w:p>
        </w:tc>
        <w:tc>
          <w:tcPr>
            <w:tcW w:w="1757" w:type="dxa"/>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523" w:type="dxa"/>
            <w:vAlign w:val="center"/>
          </w:tcPr>
          <w:p>
            <w:pPr>
              <w:adjustRightInd w:val="0"/>
              <w:snapToGrid w:val="0"/>
              <w:jc w:val="center"/>
              <w:rPr>
                <w:color w:val="auto"/>
                <w:szCs w:val="21"/>
              </w:rPr>
            </w:pPr>
          </w:p>
        </w:tc>
        <w:tc>
          <w:tcPr>
            <w:tcW w:w="1987" w:type="dxa"/>
            <w:vAlign w:val="center"/>
          </w:tcPr>
          <w:p>
            <w:pPr>
              <w:adjustRightInd w:val="0"/>
              <w:snapToGrid w:val="0"/>
              <w:jc w:val="center"/>
              <w:rPr>
                <w:color w:val="auto"/>
                <w:szCs w:val="21"/>
              </w:rPr>
            </w:pPr>
          </w:p>
        </w:tc>
        <w:tc>
          <w:tcPr>
            <w:tcW w:w="1757" w:type="dxa"/>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523" w:type="dxa"/>
            <w:vAlign w:val="center"/>
          </w:tcPr>
          <w:p>
            <w:pPr>
              <w:adjustRightInd w:val="0"/>
              <w:snapToGrid w:val="0"/>
              <w:jc w:val="center"/>
              <w:rPr>
                <w:color w:val="auto"/>
                <w:szCs w:val="21"/>
              </w:rPr>
            </w:pPr>
          </w:p>
        </w:tc>
        <w:tc>
          <w:tcPr>
            <w:tcW w:w="1987" w:type="dxa"/>
            <w:vAlign w:val="center"/>
          </w:tcPr>
          <w:p>
            <w:pPr>
              <w:adjustRightInd w:val="0"/>
              <w:snapToGrid w:val="0"/>
              <w:jc w:val="center"/>
              <w:rPr>
                <w:color w:val="auto"/>
                <w:szCs w:val="21"/>
              </w:rPr>
            </w:pPr>
          </w:p>
        </w:tc>
        <w:tc>
          <w:tcPr>
            <w:tcW w:w="1757" w:type="dxa"/>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jc w:val="center"/>
              <w:rPr>
                <w:color w:val="auto"/>
                <w:szCs w:val="21"/>
              </w:rPr>
            </w:pPr>
            <w:r>
              <w:rPr>
                <w:color w:val="auto"/>
                <w:szCs w:val="21"/>
              </w:rPr>
              <w:t>固体废物</w:t>
            </w:r>
          </w:p>
        </w:tc>
        <w:tc>
          <w:tcPr>
            <w:tcW w:w="7022" w:type="dxa"/>
            <w:gridSpan w:val="4"/>
            <w:vAlign w:val="center"/>
          </w:tcPr>
          <w:p>
            <w:pPr>
              <w:adjustRightInd w:val="0"/>
              <w:snapToGrid w:val="0"/>
              <w:jc w:val="center"/>
              <w:rPr>
                <w:color w:val="auto"/>
                <w:szCs w:val="21"/>
              </w:rPr>
            </w:pPr>
            <w:r>
              <w:rPr>
                <w:rFonts w:hint="eastAsia"/>
                <w:color w:val="auto"/>
                <w:szCs w:val="21"/>
              </w:rPr>
              <w:t>生产过程中产生的</w:t>
            </w:r>
            <w:r>
              <w:rPr>
                <w:rFonts w:hint="eastAsia"/>
                <w:color w:val="auto"/>
                <w:szCs w:val="21"/>
                <w:lang w:eastAsia="zh-CN"/>
              </w:rPr>
              <w:t>废包装袋</w:t>
            </w:r>
            <w:r>
              <w:rPr>
                <w:rFonts w:hint="eastAsia"/>
                <w:color w:val="auto"/>
                <w:szCs w:val="21"/>
              </w:rPr>
              <w:t>统一收集后外售处置；</w:t>
            </w:r>
            <w:r>
              <w:rPr>
                <w:color w:val="auto"/>
                <w:szCs w:val="21"/>
              </w:rPr>
              <w:t>废</w:t>
            </w:r>
            <w:r>
              <w:rPr>
                <w:rFonts w:hint="eastAsia"/>
                <w:color w:val="auto"/>
                <w:szCs w:val="21"/>
                <w:lang w:eastAsia="zh-CN"/>
              </w:rPr>
              <w:t>活性炭、</w:t>
            </w:r>
            <w:r>
              <w:rPr>
                <w:rFonts w:hint="eastAsia"/>
                <w:color w:val="auto"/>
                <w:szCs w:val="21"/>
                <w:lang w:val="en-US" w:eastAsia="zh-CN"/>
              </w:rPr>
              <w:t>废UV灯管</w:t>
            </w:r>
            <w:r>
              <w:rPr>
                <w:color w:val="auto"/>
                <w:szCs w:val="21"/>
              </w:rPr>
              <w:t>暂存于危废间，定期交由资质单位处置</w:t>
            </w:r>
            <w:r>
              <w:rPr>
                <w:rFonts w:hint="eastAsia"/>
                <w:color w:val="auto"/>
                <w:szCs w:val="21"/>
              </w:rPr>
              <w:t>；生活垃圾委托环卫部门定期清运。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78" w:type="dxa"/>
            <w:vAlign w:val="center"/>
          </w:tcPr>
          <w:p>
            <w:pPr>
              <w:adjustRightInd w:val="0"/>
              <w:snapToGrid w:val="0"/>
              <w:jc w:val="center"/>
              <w:rPr>
                <w:color w:val="auto"/>
                <w:szCs w:val="21"/>
              </w:rPr>
            </w:pPr>
            <w:r>
              <w:rPr>
                <w:color w:val="auto"/>
                <w:szCs w:val="21"/>
              </w:rPr>
              <w:t>土壤及地下水</w:t>
            </w:r>
          </w:p>
          <w:p>
            <w:pPr>
              <w:adjustRightInd w:val="0"/>
              <w:snapToGrid w:val="0"/>
              <w:jc w:val="center"/>
              <w:rPr>
                <w:color w:val="auto"/>
                <w:szCs w:val="21"/>
              </w:rPr>
            </w:pPr>
            <w:r>
              <w:rPr>
                <w:color w:val="auto"/>
                <w:szCs w:val="21"/>
              </w:rPr>
              <w:t>污染防治措施</w:t>
            </w:r>
          </w:p>
        </w:tc>
        <w:tc>
          <w:tcPr>
            <w:tcW w:w="7022" w:type="dxa"/>
            <w:gridSpan w:val="4"/>
            <w:vAlign w:val="center"/>
          </w:tcPr>
          <w:p>
            <w:pPr>
              <w:adjustRightInd w:val="0"/>
              <w:snapToGrid w:val="0"/>
              <w:jc w:val="center"/>
              <w:rPr>
                <w:color w:val="auto"/>
                <w:szCs w:val="21"/>
              </w:rPr>
            </w:pPr>
            <w:r>
              <w:rPr>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78" w:type="dxa"/>
            <w:vAlign w:val="center"/>
          </w:tcPr>
          <w:p>
            <w:pPr>
              <w:adjustRightInd w:val="0"/>
              <w:snapToGrid w:val="0"/>
              <w:jc w:val="center"/>
              <w:rPr>
                <w:color w:val="auto"/>
                <w:szCs w:val="21"/>
              </w:rPr>
            </w:pPr>
            <w:r>
              <w:rPr>
                <w:color w:val="auto"/>
                <w:szCs w:val="21"/>
              </w:rPr>
              <w:t>生态保护措施</w:t>
            </w:r>
          </w:p>
        </w:tc>
        <w:tc>
          <w:tcPr>
            <w:tcW w:w="7022" w:type="dxa"/>
            <w:gridSpan w:val="4"/>
            <w:vAlign w:val="center"/>
          </w:tcPr>
          <w:p>
            <w:pPr>
              <w:adjustRightInd w:val="0"/>
              <w:snapToGrid w:val="0"/>
              <w:jc w:val="center"/>
              <w:rPr>
                <w:rFonts w:hint="eastAsia" w:eastAsia="宋体"/>
                <w:color w:val="auto"/>
                <w:szCs w:val="21"/>
                <w:lang w:eastAsia="zh-CN"/>
              </w:rPr>
            </w:pPr>
            <w:r>
              <w:rPr>
                <w:rFonts w:hint="eastAsia"/>
                <w:color w:val="auto"/>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jc w:val="center"/>
              <w:rPr>
                <w:color w:val="auto"/>
                <w:spacing w:val="-8"/>
                <w:szCs w:val="21"/>
              </w:rPr>
            </w:pPr>
            <w:r>
              <w:rPr>
                <w:color w:val="auto"/>
                <w:spacing w:val="-8"/>
                <w:szCs w:val="21"/>
              </w:rPr>
              <w:t>环境风险</w:t>
            </w:r>
          </w:p>
          <w:p>
            <w:pPr>
              <w:adjustRightInd w:val="0"/>
              <w:snapToGrid w:val="0"/>
              <w:jc w:val="center"/>
              <w:rPr>
                <w:color w:val="auto"/>
                <w:spacing w:val="-8"/>
                <w:szCs w:val="21"/>
              </w:rPr>
            </w:pPr>
            <w:r>
              <w:rPr>
                <w:color w:val="auto"/>
                <w:spacing w:val="-8"/>
                <w:szCs w:val="21"/>
              </w:rPr>
              <w:t>防范措施</w:t>
            </w:r>
          </w:p>
        </w:tc>
        <w:tc>
          <w:tcPr>
            <w:tcW w:w="7022" w:type="dxa"/>
            <w:gridSpan w:val="4"/>
            <w:vAlign w:val="center"/>
          </w:tcPr>
          <w:p>
            <w:pPr>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color w:val="auto"/>
              </w:rPr>
            </w:pPr>
            <w:r>
              <w:rPr>
                <w:rFonts w:hint="eastAsia"/>
                <w:color w:val="auto"/>
                <w:lang w:val="en-US" w:eastAsia="zh-CN"/>
              </w:rPr>
              <w:t>危险废物</w:t>
            </w:r>
            <w:r>
              <w:rPr>
                <w:rFonts w:hint="eastAsia"/>
                <w:color w:val="auto"/>
              </w:rPr>
              <w:t>临时贮存场所建设要求应当符合《危险废物贮存污染控制标准》，应设防渗、防淋、防起尘。危废由专人负责收集，收集过程中按危废类别分类收集，收集容器采用危废专用收集容器，并及时送交有资质的单位进行处置。根据国家环保部相关文件要求，企业应制定环境污染事故发生的工作计划，消除事故隐患的实施及突发性事故的应急办法等。</w:t>
            </w:r>
          </w:p>
          <w:p>
            <w:pPr>
              <w:pStyle w:val="2"/>
              <w:pageBreakBefore w:val="0"/>
              <w:widowControl w:val="0"/>
              <w:kinsoku/>
              <w:wordWrap/>
              <w:overflowPunct/>
              <w:topLinePunct w:val="0"/>
              <w:autoSpaceDE/>
              <w:autoSpaceDN/>
              <w:bidi w:val="0"/>
              <w:adjustRightInd/>
              <w:snapToGrid/>
              <w:spacing w:before="0" w:after="0" w:line="360" w:lineRule="auto"/>
              <w:textAlignment w:val="auto"/>
              <w:rPr>
                <w:rFonts w:hint="default" w:eastAsia="宋体"/>
                <w:color w:val="auto"/>
                <w:lang w:val="en-US" w:eastAsia="zh-CN"/>
              </w:rPr>
            </w:pPr>
            <w:r>
              <w:rPr>
                <w:rFonts w:hint="eastAsia"/>
                <w:color w:val="auto"/>
                <w:szCs w:val="21"/>
                <w:lang w:val="en-US" w:eastAsia="zh-CN"/>
              </w:rPr>
              <w:t xml:space="preserve"> </w:t>
            </w:r>
            <w:r>
              <w:rPr>
                <w:rFonts w:hint="eastAsia" w:ascii="Times New Roman" w:hAnsi="Times New Roman" w:eastAsia="宋体" w:cs="Times New Roman"/>
                <w:b w:val="0"/>
                <w:color w:val="auto"/>
                <w:kern w:val="2"/>
                <w:sz w:val="21"/>
                <w:szCs w:val="24"/>
                <w:lang w:val="en-US" w:eastAsia="zh-CN" w:bidi="ar-SA"/>
              </w:rPr>
              <w:t xml:space="preserve">   </w:t>
            </w:r>
            <w:r>
              <w:rPr>
                <w:rFonts w:hint="eastAsia" w:ascii="Times New Roman" w:hAnsi="Times New Roman" w:eastAsia="宋体" w:cs="Times New Roman"/>
                <w:b w:val="0"/>
                <w:color w:val="auto"/>
                <w:kern w:val="2"/>
                <w:sz w:val="21"/>
                <w:szCs w:val="24"/>
                <w:lang w:val="en-US" w:eastAsia="zh-CN" w:bidi="ar-SA"/>
              </w:rPr>
              <w:t>丁烷仓库需</w:t>
            </w:r>
            <w:r>
              <w:rPr>
                <w:rFonts w:hint="default" w:ascii="Times New Roman" w:hAnsi="Times New Roman" w:eastAsia="宋体" w:cs="Times New Roman"/>
                <w:b w:val="0"/>
                <w:color w:val="auto"/>
                <w:kern w:val="2"/>
                <w:sz w:val="21"/>
                <w:szCs w:val="24"/>
                <w:lang w:val="en-US" w:eastAsia="zh-CN" w:bidi="ar-SA"/>
              </w:rPr>
              <w:t>采取完善的防渗漏、防火、防静电措施，严格遵守国家相关管理规定，制定安全措施、管理制度和突发环境事件应急预案</w:t>
            </w:r>
            <w:r>
              <w:rPr>
                <w:rFonts w:hint="eastAsia" w:ascii="Times New Roman" w:hAnsi="Times New Roman" w:eastAsia="宋体" w:cs="Times New Roman"/>
                <w:b w:val="0"/>
                <w:color w:val="auto"/>
                <w:kern w:val="2"/>
                <w:sz w:val="21"/>
                <w:szCs w:val="24"/>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vAlign w:val="center"/>
          </w:tcPr>
          <w:p>
            <w:pPr>
              <w:adjustRightInd w:val="0"/>
              <w:snapToGrid w:val="0"/>
              <w:jc w:val="center"/>
              <w:rPr>
                <w:color w:val="auto"/>
                <w:spacing w:val="-8"/>
                <w:szCs w:val="21"/>
              </w:rPr>
            </w:pPr>
            <w:r>
              <w:rPr>
                <w:color w:val="auto"/>
                <w:spacing w:val="-8"/>
                <w:szCs w:val="21"/>
              </w:rPr>
              <w:t>其他环境</w:t>
            </w:r>
          </w:p>
          <w:p>
            <w:pPr>
              <w:adjustRightInd w:val="0"/>
              <w:snapToGrid w:val="0"/>
              <w:jc w:val="center"/>
              <w:rPr>
                <w:color w:val="auto"/>
                <w:spacing w:val="-8"/>
                <w:szCs w:val="21"/>
              </w:rPr>
            </w:pPr>
            <w:r>
              <w:rPr>
                <w:color w:val="auto"/>
                <w:spacing w:val="-8"/>
                <w:szCs w:val="21"/>
              </w:rPr>
              <w:t>管理要求</w:t>
            </w:r>
          </w:p>
        </w:tc>
        <w:tc>
          <w:tcPr>
            <w:tcW w:w="7022" w:type="dxa"/>
            <w:gridSpan w:val="4"/>
            <w:vAlign w:val="center"/>
          </w:tcPr>
          <w:p>
            <w:pPr>
              <w:spacing w:line="360" w:lineRule="auto"/>
              <w:ind w:firstLine="480"/>
              <w:jc w:val="left"/>
              <w:rPr>
                <w:color w:val="auto"/>
                <w:szCs w:val="21"/>
              </w:rPr>
            </w:pPr>
            <w:r>
              <w:rPr>
                <w:color w:val="auto"/>
                <w:szCs w:val="21"/>
              </w:rPr>
              <w:t>公司应建立完善的环境管理和监测机构，本次工程建成后，应抓好环境保护措施、项目施工、安装、调试、验收工作的正常运行，健全环境保护机构、环境管理档案，健全企业环境管理的各项规章制度，完善环境保护设施的技术规程和操作规程，开展环境保护教育，培训环保设施的操作人员，以保证投产后顺利开展环境保护工作，委托有资质的监测单位负责对全厂主要污染源监测。同时对建设单位提出向公众公开企业环境保护相关信息及排污口信息管理等相关要求。</w:t>
            </w:r>
          </w:p>
          <w:p>
            <w:pPr>
              <w:spacing w:line="360" w:lineRule="auto"/>
              <w:ind w:firstLine="480"/>
              <w:jc w:val="left"/>
              <w:rPr>
                <w:color w:val="auto"/>
                <w:szCs w:val="21"/>
              </w:rPr>
            </w:pPr>
            <w:r>
              <w:rPr>
                <w:color w:val="auto"/>
                <w:szCs w:val="21"/>
              </w:rPr>
              <w:t>按要求设置规范化排污口</w:t>
            </w:r>
          </w:p>
          <w:p>
            <w:pPr>
              <w:spacing w:line="360" w:lineRule="auto"/>
              <w:ind w:firstLine="420" w:firstLineChars="200"/>
              <w:jc w:val="left"/>
              <w:rPr>
                <w:color w:val="auto"/>
                <w:szCs w:val="21"/>
              </w:rPr>
            </w:pPr>
            <w:r>
              <w:rPr>
                <w:color w:val="auto"/>
                <w:szCs w:val="21"/>
              </w:rPr>
              <w:drawing>
                <wp:inline distT="0" distB="0" distL="0" distR="0">
                  <wp:extent cx="3807460" cy="1187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t="2089" b="3464"/>
                          <a:stretch>
                            <a:fillRect/>
                          </a:stretch>
                        </pic:blipFill>
                        <pic:spPr>
                          <a:xfrm>
                            <a:off x="0" y="0"/>
                            <a:ext cx="3807460" cy="1187450"/>
                          </a:xfrm>
                          <a:prstGeom prst="rect">
                            <a:avLst/>
                          </a:prstGeom>
                          <a:noFill/>
                          <a:ln>
                            <a:noFill/>
                          </a:ln>
                        </pic:spPr>
                      </pic:pic>
                    </a:graphicData>
                  </a:graphic>
                </wp:inline>
              </w:drawing>
            </w:r>
          </w:p>
          <w:p>
            <w:pPr>
              <w:tabs>
                <w:tab w:val="left" w:pos="4680"/>
              </w:tabs>
              <w:spacing w:line="360" w:lineRule="auto"/>
              <w:ind w:firstLine="420" w:firstLineChars="200"/>
              <w:jc w:val="left"/>
              <w:rPr>
                <w:color w:val="auto"/>
                <w:sz w:val="24"/>
              </w:rPr>
            </w:pPr>
            <w:r>
              <w:rPr>
                <w:color w:val="auto"/>
                <w:szCs w:val="21"/>
              </w:rPr>
              <w:t>按照《固定污染源排污许可分类管理名录（2019版）》和《排污许可管理办法（试行）》（环境保护部令 第48号）相关要求，本公司为</w:t>
            </w:r>
            <w:r>
              <w:rPr>
                <w:rFonts w:hint="eastAsia"/>
                <w:color w:val="auto"/>
                <w:szCs w:val="21"/>
                <w:lang w:val="en-US" w:eastAsia="zh-CN"/>
              </w:rPr>
              <w:t>塑料制品生产</w:t>
            </w:r>
            <w:r>
              <w:rPr>
                <w:color w:val="auto"/>
                <w:szCs w:val="21"/>
              </w:rPr>
              <w:t>项目，为实施</w:t>
            </w:r>
            <w:r>
              <w:rPr>
                <w:rFonts w:hint="eastAsia"/>
                <w:color w:val="auto"/>
                <w:szCs w:val="21"/>
              </w:rPr>
              <w:t>登记</w:t>
            </w:r>
            <w:r>
              <w:rPr>
                <w:color w:val="auto"/>
                <w:szCs w:val="21"/>
              </w:rPr>
              <w:t>管理的行业，参考《排污单位自行监测技术指南 总则》（HJ819-2017）申请排污许可</w:t>
            </w:r>
            <w:r>
              <w:rPr>
                <w:rFonts w:hint="eastAsia"/>
                <w:color w:val="auto"/>
                <w:szCs w:val="21"/>
              </w:rPr>
              <w:t>登记</w:t>
            </w:r>
            <w:r>
              <w:rPr>
                <w:color w:val="auto"/>
                <w:szCs w:val="21"/>
              </w:rPr>
              <w:t>，依</w:t>
            </w:r>
            <w:r>
              <w:rPr>
                <w:rFonts w:hint="eastAsia"/>
                <w:color w:val="auto"/>
                <w:szCs w:val="21"/>
              </w:rPr>
              <w:t>法</w:t>
            </w:r>
            <w:r>
              <w:rPr>
                <w:color w:val="auto"/>
                <w:szCs w:val="21"/>
              </w:rPr>
              <w:t>排污。</w:t>
            </w:r>
          </w:p>
          <w:p>
            <w:pPr>
              <w:adjustRightInd w:val="0"/>
              <w:snapToGrid w:val="0"/>
              <w:rPr>
                <w:color w:val="auto"/>
                <w:szCs w:val="21"/>
              </w:rPr>
            </w:pPr>
          </w:p>
        </w:tc>
      </w:tr>
    </w:tbl>
    <w:p>
      <w:pPr>
        <w:pStyle w:val="24"/>
        <w:jc w:val="center"/>
        <w:outlineLvl w:val="0"/>
        <w:rPr>
          <w:rFonts w:ascii="Times New Roman" w:hAnsi="Times New Roman" w:eastAsia="黑体"/>
          <w:snapToGrid w:val="0"/>
          <w:color w:val="auto"/>
          <w:sz w:val="30"/>
          <w:szCs w:val="30"/>
        </w:rPr>
      </w:pPr>
      <w:r>
        <w:rPr>
          <w:rFonts w:ascii="Times New Roman" w:hAnsi="Times New Roman"/>
          <w:snapToGrid w:val="0"/>
          <w:color w:val="auto"/>
        </w:rPr>
        <w:br w:type="page"/>
      </w:r>
      <w:bookmarkStart w:id="15" w:name="_Toc73483527"/>
      <w:r>
        <w:rPr>
          <w:rStyle w:val="38"/>
          <w:rFonts w:ascii="Times New Roman" w:hAnsi="Times New Roman"/>
          <w:color w:val="auto"/>
        </w:rPr>
        <w:t>六、结论</w:t>
      </w:r>
      <w:bookmarkEnd w:id="15"/>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snapToGrid w:val="0"/>
              <w:spacing w:line="360" w:lineRule="auto"/>
              <w:rPr>
                <w:color w:val="auto"/>
                <w:sz w:val="24"/>
              </w:rPr>
            </w:pPr>
            <w:r>
              <w:rPr>
                <w:b/>
                <w:bCs/>
                <w:color w:val="auto"/>
                <w:sz w:val="24"/>
              </w:rPr>
              <w:t>6.1.1建设项目概况</w:t>
            </w:r>
          </w:p>
          <w:p>
            <w:pPr>
              <w:spacing w:line="360" w:lineRule="auto"/>
              <w:ind w:firstLine="480" w:firstLineChars="200"/>
              <w:rPr>
                <w:color w:val="auto"/>
                <w:sz w:val="24"/>
              </w:rPr>
            </w:pPr>
            <w:r>
              <w:rPr>
                <w:rFonts w:hint="eastAsia"/>
                <w:color w:val="auto"/>
                <w:sz w:val="24"/>
                <w:lang w:eastAsia="zh-CN"/>
              </w:rPr>
              <w:t>邵东勇博商贸有限公司年产100吨珍珠棉生产线建设项目</w:t>
            </w:r>
            <w:r>
              <w:rPr>
                <w:color w:val="auto"/>
                <w:sz w:val="24"/>
              </w:rPr>
              <w:t>位于湖南省</w:t>
            </w:r>
            <w:r>
              <w:rPr>
                <w:rFonts w:hint="eastAsia"/>
                <w:color w:val="auto"/>
                <w:sz w:val="24"/>
                <w:lang w:eastAsia="zh-CN"/>
              </w:rPr>
              <w:t>邵东市牛马司镇湾泥乡工农村01栋</w:t>
            </w:r>
            <w:r>
              <w:rPr>
                <w:color w:val="auto"/>
                <w:sz w:val="24"/>
              </w:rPr>
              <w:t>，其地理坐标为</w:t>
            </w:r>
            <w:r>
              <w:rPr>
                <w:rFonts w:hint="eastAsia"/>
                <w:color w:val="auto"/>
                <w:sz w:val="24"/>
                <w:lang w:eastAsia="zh-CN"/>
              </w:rPr>
              <w:t>东经111度39分21.73秒，北纬27度15分16.85秒</w:t>
            </w:r>
            <w:r>
              <w:rPr>
                <w:color w:val="auto"/>
                <w:sz w:val="24"/>
              </w:rPr>
              <w:t>。本厂占地面积约为</w:t>
            </w:r>
            <w:r>
              <w:rPr>
                <w:rFonts w:hint="eastAsia"/>
                <w:color w:val="auto"/>
                <w:sz w:val="24"/>
                <w:lang w:val="en-US" w:eastAsia="zh-CN"/>
              </w:rPr>
              <w:t>4200</w:t>
            </w:r>
            <w:r>
              <w:rPr>
                <w:color w:val="auto"/>
                <w:sz w:val="24"/>
              </w:rPr>
              <w:t xml:space="preserve"> m</w:t>
            </w:r>
            <w:r>
              <w:rPr>
                <w:color w:val="auto"/>
                <w:sz w:val="24"/>
                <w:vertAlign w:val="superscript"/>
              </w:rPr>
              <w:t>2</w:t>
            </w:r>
            <w:r>
              <w:rPr>
                <w:color w:val="auto"/>
                <w:sz w:val="24"/>
              </w:rPr>
              <w:t>。</w:t>
            </w:r>
            <w:r>
              <w:rPr>
                <w:rFonts w:hint="eastAsia"/>
                <w:color w:val="auto"/>
                <w:sz w:val="24"/>
                <w:lang w:eastAsia="zh-CN"/>
              </w:rPr>
              <w:t>项目乡村公路，交通便利，东面为空地，南面为荒山，西面为农地</w:t>
            </w:r>
            <w:r>
              <w:rPr>
                <w:color w:val="auto"/>
                <w:sz w:val="24"/>
              </w:rPr>
              <w:t>。本</w:t>
            </w:r>
            <w:r>
              <w:rPr>
                <w:rFonts w:hint="eastAsia"/>
                <w:color w:val="auto"/>
                <w:sz w:val="24"/>
              </w:rPr>
              <w:t>项目</w:t>
            </w:r>
            <w:r>
              <w:rPr>
                <w:color w:val="auto"/>
                <w:sz w:val="24"/>
                <w:lang w:val="zh-CN"/>
              </w:rPr>
              <w:t>主要建设内容：</w:t>
            </w:r>
            <w:r>
              <w:rPr>
                <w:color w:val="auto"/>
                <w:sz w:val="24"/>
              </w:rPr>
              <w:t>生产车间</w:t>
            </w:r>
            <w:r>
              <w:rPr>
                <w:rFonts w:hint="eastAsia"/>
                <w:color w:val="auto"/>
                <w:sz w:val="24"/>
              </w:rPr>
              <w:t>、</w:t>
            </w:r>
            <w:r>
              <w:rPr>
                <w:rFonts w:hint="eastAsia"/>
                <w:color w:val="auto"/>
                <w:sz w:val="24"/>
                <w:lang w:eastAsia="zh-CN"/>
              </w:rPr>
              <w:t>办公生活区、仓库等</w:t>
            </w:r>
            <w:r>
              <w:rPr>
                <w:color w:val="auto"/>
                <w:sz w:val="24"/>
              </w:rPr>
              <w:t>，同时配备环保、水电、安全、消防、绿化等设施，</w:t>
            </w:r>
            <w:r>
              <w:rPr>
                <w:rFonts w:hint="eastAsia"/>
                <w:color w:val="auto"/>
                <w:sz w:val="24"/>
              </w:rPr>
              <w:t>设计</w:t>
            </w:r>
            <w:r>
              <w:rPr>
                <w:rFonts w:hint="eastAsia"/>
                <w:color w:val="auto"/>
                <w:sz w:val="24"/>
                <w:lang w:eastAsia="zh-CN"/>
              </w:rPr>
              <w:t>年产100吨珍珠棉</w:t>
            </w:r>
            <w:r>
              <w:rPr>
                <w:color w:val="auto"/>
                <w:sz w:val="24"/>
              </w:rPr>
              <w:t>。</w:t>
            </w:r>
          </w:p>
          <w:p>
            <w:pPr>
              <w:snapToGrid w:val="0"/>
              <w:spacing w:line="360" w:lineRule="auto"/>
              <w:rPr>
                <w:color w:val="auto"/>
                <w:sz w:val="24"/>
              </w:rPr>
            </w:pPr>
            <w:r>
              <w:rPr>
                <w:b/>
                <w:bCs/>
                <w:color w:val="auto"/>
                <w:sz w:val="24"/>
              </w:rPr>
              <w:t>6.1.2产业政策</w:t>
            </w:r>
          </w:p>
          <w:p>
            <w:pPr>
              <w:snapToGrid w:val="0"/>
              <w:spacing w:line="360" w:lineRule="auto"/>
              <w:ind w:firstLine="480" w:firstLineChars="200"/>
              <w:rPr>
                <w:bCs/>
                <w:color w:val="auto"/>
                <w:sz w:val="24"/>
              </w:rPr>
            </w:pPr>
            <w:r>
              <w:rPr>
                <w:bCs/>
                <w:color w:val="auto"/>
                <w:sz w:val="24"/>
              </w:rPr>
              <w:t>根据2019年11月06日国家发展改革委第29号令《产业结构凋整指导目录》（2019年本），本项目不属于产业结构调整调整指导目录中的鼓励类、限制类、淘汰类项目，不违背《产业结构凋整指导目录》（2019年本）。按照湘政办函[2018]15号文件规定，新建工业项目须进入省级及以上园区，</w:t>
            </w:r>
            <w:r>
              <w:rPr>
                <w:rFonts w:hint="eastAsia"/>
                <w:bCs/>
                <w:color w:val="auto"/>
                <w:sz w:val="24"/>
              </w:rPr>
              <w:t>本项目属于补办环评，且根据《邵东市人民政府常务会议纪要》（[2020]第20次），“已开工建成项目按照过渡期暂不入园要求，予以办理环评审批手续”，本项目已建设完成，现阶段办理环评审批手续，拟于2021年10前完成环评审批手续及环保竣工验收，因此项目的建设不违背湘政办函[2018]15号文件和湘环发[2020]27号文件的要求，属于《邵东市人民政府常务会议纪要》（[2020]第20次）文件中可办理环评审批手续的项目</w:t>
            </w:r>
            <w:r>
              <w:rPr>
                <w:bCs/>
                <w:color w:val="auto"/>
                <w:sz w:val="24"/>
              </w:rPr>
              <w:t>。</w:t>
            </w:r>
          </w:p>
          <w:p>
            <w:pPr>
              <w:snapToGrid w:val="0"/>
              <w:spacing w:line="360" w:lineRule="auto"/>
              <w:ind w:right="105" w:rightChars="50"/>
              <w:rPr>
                <w:b/>
                <w:color w:val="auto"/>
                <w:sz w:val="24"/>
              </w:rPr>
            </w:pPr>
            <w:r>
              <w:rPr>
                <w:b/>
                <w:color w:val="auto"/>
                <w:sz w:val="24"/>
              </w:rPr>
              <w:t>6.1.3环境质量现状</w:t>
            </w:r>
          </w:p>
          <w:p>
            <w:pPr>
              <w:tabs>
                <w:tab w:val="left" w:pos="3500"/>
              </w:tabs>
              <w:spacing w:line="360" w:lineRule="auto"/>
              <w:ind w:firstLine="480" w:firstLineChars="200"/>
              <w:rPr>
                <w:color w:val="auto"/>
                <w:sz w:val="24"/>
                <w:highlight w:val="none"/>
              </w:rPr>
            </w:pPr>
            <w:r>
              <w:rPr>
                <w:color w:val="auto"/>
                <w:sz w:val="24"/>
                <w:highlight w:val="none"/>
              </w:rPr>
              <w:t>（1）环境空气</w:t>
            </w:r>
          </w:p>
          <w:p>
            <w:pPr>
              <w:tabs>
                <w:tab w:val="left" w:pos="3500"/>
              </w:tabs>
              <w:spacing w:line="360" w:lineRule="auto"/>
              <w:ind w:firstLine="480" w:firstLineChars="200"/>
              <w:rPr>
                <w:color w:val="auto"/>
                <w:sz w:val="24"/>
                <w:highlight w:val="none"/>
              </w:rPr>
            </w:pPr>
            <w:r>
              <w:rPr>
                <w:rFonts w:hint="eastAsia"/>
                <w:color w:val="auto"/>
                <w:sz w:val="24"/>
                <w:highlight w:val="none"/>
              </w:rPr>
              <w:t>邵东市2020年1月~2020年12月二氧化硫、二氧化氮和PM10、PM2.5均达到《环境空气质量标准》（GB3095-2012）二级标准年平均浓度限值，一氧化碳达到《环境空气质量标准》（GB3095-2012）二级标准日平均浓度限值，臭氧达到《环境空气质量标准》（GB3095-2012）二级标准日最大8小时浓度平均值限值。下风向监测点监测因子</w:t>
            </w:r>
            <w:r>
              <w:rPr>
                <w:rFonts w:hint="eastAsia"/>
                <w:color w:val="auto"/>
                <w:sz w:val="24"/>
                <w:highlight w:val="none"/>
                <w:lang w:val="en-US" w:eastAsia="zh-CN"/>
              </w:rPr>
              <w:t>NMHC</w:t>
            </w:r>
            <w:r>
              <w:rPr>
                <w:rFonts w:hint="eastAsia"/>
                <w:color w:val="auto"/>
                <w:sz w:val="24"/>
                <w:highlight w:val="none"/>
              </w:rPr>
              <w:t>的小时浓度</w:t>
            </w:r>
            <w:r>
              <w:rPr>
                <w:rFonts w:hint="eastAsia"/>
                <w:color w:val="auto"/>
                <w:sz w:val="24"/>
                <w:highlight w:val="none"/>
                <w:lang w:eastAsia="zh-CN"/>
              </w:rPr>
              <w:t>符合</w:t>
            </w:r>
            <w:r>
              <w:rPr>
                <w:rFonts w:hint="eastAsia" w:cs="宋体"/>
                <w:color w:val="auto"/>
                <w:sz w:val="24"/>
                <w:highlight w:val="none"/>
                <w:lang w:eastAsia="zh-CN"/>
              </w:rPr>
              <w:t>《大气污染物综合排放标准详解》限值的要求</w:t>
            </w:r>
            <w:r>
              <w:rPr>
                <w:rFonts w:hint="eastAsia" w:ascii="Calibri" w:hAnsi="Calibri"/>
                <w:color w:val="auto"/>
                <w:sz w:val="24"/>
                <w:highlight w:val="none"/>
                <w:lang w:eastAsia="zh-CN"/>
              </w:rPr>
              <w:t>。</w:t>
            </w:r>
            <w:r>
              <w:rPr>
                <w:rFonts w:hint="eastAsia"/>
                <w:color w:val="auto"/>
                <w:sz w:val="24"/>
                <w:highlight w:val="none"/>
              </w:rPr>
              <w:t>项目区域环境空气现状质量良好，能符合功能区划要求</w:t>
            </w:r>
            <w:r>
              <w:rPr>
                <w:color w:val="auto"/>
                <w:sz w:val="24"/>
                <w:highlight w:val="none"/>
              </w:rPr>
              <w:t>。</w:t>
            </w:r>
          </w:p>
          <w:p>
            <w:pPr>
              <w:tabs>
                <w:tab w:val="left" w:pos="3500"/>
              </w:tabs>
              <w:spacing w:line="360" w:lineRule="auto"/>
              <w:ind w:firstLine="480" w:firstLineChars="200"/>
              <w:rPr>
                <w:color w:val="auto"/>
                <w:sz w:val="24"/>
              </w:rPr>
            </w:pPr>
            <w:r>
              <w:rPr>
                <w:color w:val="auto"/>
                <w:sz w:val="24"/>
              </w:rPr>
              <w:t>（2）地表水</w:t>
            </w:r>
          </w:p>
          <w:p>
            <w:pPr>
              <w:tabs>
                <w:tab w:val="left" w:pos="3500"/>
              </w:tabs>
              <w:spacing w:line="360" w:lineRule="auto"/>
              <w:ind w:firstLine="480" w:firstLineChars="200"/>
              <w:rPr>
                <w:rFonts w:hint="eastAsia" w:eastAsia="宋体"/>
                <w:color w:val="auto"/>
                <w:sz w:val="24"/>
                <w:lang w:eastAsia="zh-CN"/>
              </w:rPr>
            </w:pPr>
            <w:r>
              <w:rPr>
                <w:color w:val="auto"/>
                <w:sz w:val="24"/>
              </w:rPr>
              <w:t>本项目</w:t>
            </w:r>
            <w:r>
              <w:rPr>
                <w:rFonts w:hint="eastAsia"/>
                <w:color w:val="auto"/>
                <w:sz w:val="24"/>
                <w:lang w:val="en-US" w:eastAsia="zh-CN"/>
              </w:rPr>
              <w:t>附近的水体为南面260m处的</w:t>
            </w:r>
            <w:r>
              <w:rPr>
                <w:rFonts w:hint="eastAsia"/>
                <w:color w:val="auto"/>
                <w:sz w:val="24"/>
              </w:rPr>
              <w:t>邵水</w:t>
            </w:r>
            <w:r>
              <w:rPr>
                <w:color w:val="auto"/>
                <w:sz w:val="24"/>
              </w:rPr>
              <w:t>河，邵东市地表水</w:t>
            </w:r>
            <w:r>
              <w:rPr>
                <w:rFonts w:hint="eastAsia"/>
                <w:color w:val="auto"/>
                <w:sz w:val="24"/>
              </w:rPr>
              <w:t>邵水河的2020年，邵东市监测地表水断面中渡头桥镇光辉村、桐江兴隆和邵水梅子坝断面中水质符合</w:t>
            </w:r>
            <w:r>
              <w:rPr>
                <w:color w:val="auto"/>
                <w:sz w:val="24"/>
              </w:rPr>
              <w:t>《地表水环境质量标准》（GB3838-2002）中Ⅲ类标准要求</w:t>
            </w:r>
            <w:r>
              <w:rPr>
                <w:rFonts w:hint="eastAsia"/>
                <w:color w:val="auto"/>
                <w:sz w:val="24"/>
              </w:rPr>
              <w:t>，水质状况为良好</w:t>
            </w:r>
            <w:r>
              <w:rPr>
                <w:color w:val="auto"/>
                <w:sz w:val="24"/>
              </w:rPr>
              <w:t>。</w:t>
            </w:r>
          </w:p>
          <w:p>
            <w:pPr>
              <w:tabs>
                <w:tab w:val="left" w:pos="3500"/>
              </w:tabs>
              <w:spacing w:line="360" w:lineRule="auto"/>
              <w:ind w:firstLine="480" w:firstLineChars="200"/>
              <w:rPr>
                <w:color w:val="auto"/>
                <w:sz w:val="24"/>
              </w:rPr>
            </w:pPr>
            <w:r>
              <w:rPr>
                <w:color w:val="auto"/>
                <w:sz w:val="24"/>
              </w:rPr>
              <w:t>（3）声环境质量</w:t>
            </w:r>
          </w:p>
          <w:p>
            <w:pPr>
              <w:tabs>
                <w:tab w:val="left" w:pos="0"/>
              </w:tabs>
              <w:autoSpaceDE w:val="0"/>
              <w:autoSpaceDN w:val="0"/>
              <w:spacing w:line="360" w:lineRule="auto"/>
              <w:ind w:firstLine="480" w:firstLineChars="200"/>
              <w:rPr>
                <w:color w:val="auto"/>
                <w:sz w:val="24"/>
              </w:rPr>
            </w:pPr>
            <w:r>
              <w:rPr>
                <w:color w:val="auto"/>
                <w:sz w:val="24"/>
              </w:rPr>
              <w:t>为了解该项目所在区域的声环境质量现状，对</w:t>
            </w:r>
            <w:r>
              <w:rPr>
                <w:rFonts w:hint="eastAsia"/>
                <w:color w:val="auto"/>
                <w:sz w:val="24"/>
                <w:lang w:val="en-US" w:eastAsia="zh-CN"/>
              </w:rPr>
              <w:t>项目周边</w:t>
            </w:r>
            <w:r>
              <w:rPr>
                <w:color w:val="auto"/>
                <w:sz w:val="24"/>
              </w:rPr>
              <w:t>进行了声环境质量现状监测，监测点位的监测值均</w:t>
            </w:r>
            <w:r>
              <w:rPr>
                <w:bCs/>
                <w:color w:val="auto"/>
                <w:sz w:val="24"/>
              </w:rPr>
              <w:t>满足《声环境质量标准》（GB3096-2008）中</w:t>
            </w:r>
            <w:r>
              <w:rPr>
                <w:rFonts w:hint="eastAsia"/>
                <w:bCs/>
                <w:color w:val="auto"/>
                <w:sz w:val="24"/>
                <w:lang w:eastAsia="zh-CN"/>
              </w:rPr>
              <w:t>2类标准</w:t>
            </w:r>
            <w:r>
              <w:rPr>
                <w:bCs/>
                <w:color w:val="auto"/>
                <w:sz w:val="24"/>
              </w:rPr>
              <w:t>要求，</w:t>
            </w:r>
            <w:r>
              <w:rPr>
                <w:color w:val="auto"/>
                <w:sz w:val="24"/>
              </w:rPr>
              <w:t>即昼间6</w:t>
            </w:r>
            <w:r>
              <w:rPr>
                <w:rFonts w:hint="eastAsia"/>
                <w:color w:val="auto"/>
                <w:sz w:val="24"/>
                <w:lang w:val="en-US" w:eastAsia="zh-CN"/>
              </w:rPr>
              <w:t>0</w:t>
            </w:r>
            <w:r>
              <w:rPr>
                <w:color w:val="auto"/>
                <w:sz w:val="24"/>
              </w:rPr>
              <w:t>dB（A）、夜间5</w:t>
            </w:r>
            <w:r>
              <w:rPr>
                <w:rFonts w:hint="eastAsia"/>
                <w:color w:val="auto"/>
                <w:sz w:val="24"/>
                <w:lang w:val="en-US" w:eastAsia="zh-CN"/>
              </w:rPr>
              <w:t>0</w:t>
            </w:r>
            <w:r>
              <w:rPr>
                <w:color w:val="auto"/>
                <w:sz w:val="24"/>
              </w:rPr>
              <w:t>dB（A）的要求。</w:t>
            </w:r>
            <w:r>
              <w:rPr>
                <w:bCs/>
                <w:color w:val="auto"/>
                <w:sz w:val="24"/>
              </w:rPr>
              <w:t>表明</w:t>
            </w:r>
            <w:r>
              <w:rPr>
                <w:color w:val="auto"/>
                <w:sz w:val="24"/>
              </w:rPr>
              <w:t>评价区域声环境质量现状较好。</w:t>
            </w:r>
          </w:p>
          <w:p>
            <w:pPr>
              <w:tabs>
                <w:tab w:val="left" w:pos="0"/>
              </w:tabs>
              <w:autoSpaceDE w:val="0"/>
              <w:autoSpaceDN w:val="0"/>
              <w:spacing w:line="360" w:lineRule="auto"/>
              <w:ind w:firstLine="360" w:firstLineChars="150"/>
              <w:rPr>
                <w:color w:val="auto"/>
                <w:sz w:val="24"/>
              </w:rPr>
            </w:pPr>
            <w:r>
              <w:rPr>
                <w:color w:val="auto"/>
                <w:sz w:val="24"/>
              </w:rPr>
              <w:t>（4）区域环境现状</w:t>
            </w:r>
          </w:p>
          <w:p>
            <w:pPr>
              <w:tabs>
                <w:tab w:val="left" w:pos="0"/>
              </w:tabs>
              <w:autoSpaceDE w:val="0"/>
              <w:autoSpaceDN w:val="0"/>
              <w:spacing w:line="360" w:lineRule="auto"/>
              <w:ind w:firstLine="480" w:firstLineChars="200"/>
              <w:rPr>
                <w:color w:val="auto"/>
                <w:sz w:val="24"/>
              </w:rPr>
            </w:pPr>
            <w:r>
              <w:rPr>
                <w:color w:val="auto"/>
                <w:sz w:val="24"/>
              </w:rPr>
              <w:t>根据项目周围的调查情况可知，</w:t>
            </w:r>
            <w:r>
              <w:rPr>
                <w:rFonts w:hint="eastAsia"/>
                <w:color w:val="auto"/>
                <w:sz w:val="24"/>
              </w:rPr>
              <w:t>项目周边植被类型</w:t>
            </w:r>
            <w:r>
              <w:rPr>
                <w:color w:val="auto"/>
                <w:sz w:val="24"/>
              </w:rPr>
              <w:t>比较单一，主要植被为人工种植的粮食、经济作物及树木等，无天然林及珍稀植被；区域内生物多样性程度较低，无特殊需要保护的动植物资源。</w:t>
            </w:r>
          </w:p>
          <w:p>
            <w:pPr>
              <w:snapToGrid w:val="0"/>
              <w:spacing w:line="360" w:lineRule="auto"/>
              <w:rPr>
                <w:b/>
                <w:color w:val="auto"/>
                <w:sz w:val="24"/>
              </w:rPr>
            </w:pPr>
            <w:r>
              <w:rPr>
                <w:b/>
                <w:color w:val="auto"/>
                <w:sz w:val="24"/>
              </w:rPr>
              <w:t>6.1.4主要环境影响</w:t>
            </w:r>
          </w:p>
          <w:p>
            <w:pPr>
              <w:spacing w:line="360" w:lineRule="auto"/>
              <w:rPr>
                <w:b/>
                <w:color w:val="auto"/>
                <w:sz w:val="24"/>
              </w:rPr>
            </w:pPr>
            <w:r>
              <w:rPr>
                <w:b/>
                <w:color w:val="auto"/>
                <w:sz w:val="24"/>
              </w:rPr>
              <w:t>6.1.4.1环境空气</w:t>
            </w:r>
          </w:p>
          <w:p>
            <w:pPr>
              <w:spacing w:line="360" w:lineRule="auto"/>
              <w:ind w:firstLine="504" w:firstLineChars="200"/>
              <w:rPr>
                <w:color w:val="auto"/>
                <w:spacing w:val="6"/>
                <w:sz w:val="24"/>
              </w:rPr>
            </w:pPr>
            <w:r>
              <w:rPr>
                <w:color w:val="auto"/>
                <w:spacing w:val="6"/>
                <w:sz w:val="24"/>
              </w:rPr>
              <w:t>本项目</w:t>
            </w:r>
            <w:r>
              <w:rPr>
                <w:rFonts w:hint="eastAsia"/>
                <w:color w:val="auto"/>
                <w:spacing w:val="6"/>
                <w:sz w:val="24"/>
                <w:lang w:eastAsia="zh-CN"/>
              </w:rPr>
              <w:t>塑化发泡挤出</w:t>
            </w:r>
            <w:r>
              <w:rPr>
                <w:color w:val="auto"/>
                <w:spacing w:val="6"/>
                <w:sz w:val="24"/>
              </w:rPr>
              <w:t>过程中</w:t>
            </w:r>
            <w:r>
              <w:rPr>
                <w:rFonts w:hint="eastAsia"/>
                <w:color w:val="auto"/>
                <w:spacing w:val="6"/>
                <w:sz w:val="24"/>
              </w:rPr>
              <w:t>产生</w:t>
            </w:r>
            <w:r>
              <w:rPr>
                <w:rFonts w:hint="eastAsia"/>
                <w:color w:val="auto"/>
                <w:spacing w:val="6"/>
                <w:sz w:val="24"/>
                <w:lang w:val="en-US" w:eastAsia="zh-CN"/>
              </w:rPr>
              <w:t>有机</w:t>
            </w:r>
            <w:r>
              <w:rPr>
                <w:rFonts w:hint="eastAsia"/>
                <w:color w:val="auto"/>
                <w:spacing w:val="6"/>
                <w:sz w:val="24"/>
                <w:lang w:eastAsia="zh-CN"/>
              </w:rPr>
              <w:t>废气（</w:t>
            </w:r>
            <w:r>
              <w:rPr>
                <w:rFonts w:hint="eastAsia"/>
                <w:color w:val="auto"/>
                <w:spacing w:val="6"/>
                <w:sz w:val="24"/>
                <w:lang w:val="en-US" w:eastAsia="zh-CN"/>
              </w:rPr>
              <w:t>非甲烷总烃</w:t>
            </w:r>
            <w:r>
              <w:rPr>
                <w:rFonts w:hint="eastAsia"/>
                <w:color w:val="auto"/>
                <w:spacing w:val="6"/>
                <w:sz w:val="24"/>
                <w:lang w:eastAsia="zh-CN"/>
              </w:rPr>
              <w:t>）</w:t>
            </w:r>
            <w:r>
              <w:rPr>
                <w:rFonts w:hint="eastAsia"/>
                <w:color w:val="auto"/>
                <w:spacing w:val="6"/>
                <w:sz w:val="24"/>
              </w:rPr>
              <w:t>。</w:t>
            </w:r>
            <w:r>
              <w:rPr>
                <w:rFonts w:hint="eastAsia"/>
                <w:color w:val="auto"/>
                <w:spacing w:val="6"/>
                <w:sz w:val="24"/>
                <w:lang w:eastAsia="zh-CN"/>
              </w:rPr>
              <w:t>塑化发泡挤出废气</w:t>
            </w:r>
            <w:r>
              <w:rPr>
                <w:rFonts w:hint="eastAsia"/>
                <w:color w:val="auto"/>
                <w:spacing w:val="6"/>
                <w:sz w:val="24"/>
              </w:rPr>
              <w:t>经集气罩收集，</w:t>
            </w:r>
            <w:r>
              <w:rPr>
                <w:rFonts w:hint="eastAsia"/>
                <w:color w:val="auto"/>
                <w:spacing w:val="6"/>
                <w:sz w:val="24"/>
                <w:lang w:eastAsia="zh-CN"/>
              </w:rPr>
              <w:t>通过UV光氧+活性炭吸附</w:t>
            </w:r>
            <w:r>
              <w:rPr>
                <w:rFonts w:hint="eastAsia"/>
                <w:color w:val="auto"/>
                <w:spacing w:val="6"/>
                <w:sz w:val="24"/>
              </w:rPr>
              <w:t>装置处理后，通过15m高的排气筒（DA001）高空排放</w:t>
            </w:r>
            <w:r>
              <w:rPr>
                <w:rFonts w:hint="eastAsia"/>
                <w:color w:val="auto"/>
                <w:spacing w:val="6"/>
                <w:sz w:val="24"/>
                <w:lang w:eastAsia="zh-CN"/>
              </w:rPr>
              <w:t>，排放的</w:t>
            </w:r>
            <w:r>
              <w:rPr>
                <w:rFonts w:hint="eastAsia"/>
                <w:color w:val="auto"/>
                <w:spacing w:val="6"/>
                <w:sz w:val="24"/>
                <w:lang w:val="en-US" w:eastAsia="zh-CN"/>
              </w:rPr>
              <w:t>非甲烷总烃</w:t>
            </w:r>
            <w:r>
              <w:rPr>
                <w:rFonts w:hint="eastAsia"/>
                <w:color w:val="auto"/>
                <w:spacing w:val="6"/>
                <w:sz w:val="24"/>
              </w:rPr>
              <w:t>能达到</w:t>
            </w:r>
            <w:r>
              <w:rPr>
                <w:rFonts w:hint="eastAsia"/>
                <w:color w:val="auto"/>
                <w:spacing w:val="6"/>
                <w:sz w:val="24"/>
                <w:lang w:eastAsia="zh-CN"/>
              </w:rPr>
              <w:t>《合成树脂工业污染物排放标准》（GB31572-2015）排放限值</w:t>
            </w:r>
            <w:r>
              <w:rPr>
                <w:rFonts w:hint="eastAsia"/>
                <w:color w:val="auto"/>
                <w:spacing w:val="6"/>
                <w:sz w:val="24"/>
              </w:rPr>
              <w:t>的要求。</w:t>
            </w:r>
            <w:r>
              <w:rPr>
                <w:rFonts w:hint="eastAsia"/>
                <w:color w:val="auto"/>
                <w:spacing w:val="6"/>
                <w:sz w:val="24"/>
              </w:rPr>
              <w:t>本项目采用聚乙烯颗粒及母料，不采用滑石粉等粉料</w:t>
            </w:r>
            <w:r>
              <w:rPr>
                <w:rFonts w:hint="eastAsia"/>
                <w:color w:val="auto"/>
                <w:spacing w:val="6"/>
                <w:sz w:val="24"/>
                <w:lang w:eastAsia="zh-CN"/>
              </w:rPr>
              <w:t>，</w:t>
            </w:r>
            <w:r>
              <w:rPr>
                <w:rFonts w:hint="eastAsia"/>
                <w:color w:val="auto"/>
                <w:spacing w:val="6"/>
                <w:sz w:val="24"/>
              </w:rPr>
              <w:t>因此上料、搅拌过程中产生的颗粒物极少</w:t>
            </w:r>
            <w:r>
              <w:rPr>
                <w:rFonts w:hint="eastAsia"/>
                <w:color w:val="auto"/>
                <w:spacing w:val="6"/>
                <w:sz w:val="24"/>
                <w:lang w:eastAsia="zh-CN"/>
              </w:rPr>
              <w:t>。</w:t>
            </w:r>
            <w:r>
              <w:rPr>
                <w:rFonts w:hint="eastAsia"/>
                <w:color w:val="auto"/>
                <w:spacing w:val="6"/>
                <w:sz w:val="24"/>
              </w:rPr>
              <w:t>通过加强车间通风、设备封闭措施，加强管理，厂界</w:t>
            </w:r>
            <w:r>
              <w:rPr>
                <w:rFonts w:hint="eastAsia"/>
                <w:color w:val="auto"/>
                <w:spacing w:val="6"/>
                <w:sz w:val="24"/>
                <w:lang w:val="en-US" w:eastAsia="zh-CN"/>
              </w:rPr>
              <w:t>非甲烷总烃、颗粒物</w:t>
            </w:r>
            <w:r>
              <w:rPr>
                <w:rFonts w:hint="eastAsia"/>
                <w:color w:val="auto"/>
                <w:spacing w:val="6"/>
                <w:sz w:val="24"/>
              </w:rPr>
              <w:t>浓度能够满足《合成树脂工业污染物排放标准》（GB31572-2015）表9企业边界大气污染物浓度限值要求</w:t>
            </w:r>
            <w:r>
              <w:rPr>
                <w:rFonts w:hint="eastAsia"/>
                <w:color w:val="auto"/>
                <w:spacing w:val="6"/>
                <w:sz w:val="24"/>
                <w:lang w:eastAsia="zh-CN"/>
              </w:rPr>
              <w:t>。</w:t>
            </w:r>
            <w:r>
              <w:rPr>
                <w:color w:val="auto"/>
                <w:spacing w:val="6"/>
                <w:sz w:val="24"/>
              </w:rPr>
              <w:t>对周边环境影响</w:t>
            </w:r>
            <w:r>
              <w:rPr>
                <w:rFonts w:hint="eastAsia"/>
                <w:color w:val="auto"/>
                <w:spacing w:val="6"/>
                <w:sz w:val="24"/>
              </w:rPr>
              <w:t>较</w:t>
            </w:r>
            <w:r>
              <w:rPr>
                <w:color w:val="auto"/>
                <w:spacing w:val="6"/>
                <w:sz w:val="24"/>
              </w:rPr>
              <w:t>小。</w:t>
            </w:r>
          </w:p>
          <w:p>
            <w:pPr>
              <w:spacing w:line="360" w:lineRule="auto"/>
              <w:rPr>
                <w:b/>
                <w:color w:val="auto"/>
                <w:sz w:val="24"/>
              </w:rPr>
            </w:pPr>
            <w:r>
              <w:rPr>
                <w:b/>
                <w:color w:val="auto"/>
                <w:sz w:val="24"/>
              </w:rPr>
              <w:t>6.1.4.2地表水</w:t>
            </w:r>
          </w:p>
          <w:p>
            <w:pPr>
              <w:autoSpaceDE w:val="0"/>
              <w:autoSpaceDN w:val="0"/>
              <w:spacing w:line="360" w:lineRule="auto"/>
              <w:ind w:firstLine="480" w:firstLineChars="200"/>
              <w:rPr>
                <w:color w:val="auto"/>
                <w:sz w:val="24"/>
              </w:rPr>
            </w:pPr>
            <w:r>
              <w:rPr>
                <w:rFonts w:hint="eastAsia"/>
                <w:color w:val="auto"/>
                <w:sz w:val="24"/>
              </w:rPr>
              <w:t>本项目生产过程中无生产废水排放，生活污水经</w:t>
            </w:r>
            <w:r>
              <w:rPr>
                <w:rFonts w:hint="eastAsia"/>
                <w:color w:val="auto"/>
                <w:sz w:val="24"/>
                <w:lang w:eastAsia="zh-CN"/>
              </w:rPr>
              <w:t>化粪池</w:t>
            </w:r>
            <w:r>
              <w:rPr>
                <w:rFonts w:hint="eastAsia"/>
                <w:color w:val="auto"/>
                <w:sz w:val="24"/>
              </w:rPr>
              <w:t>处理后</w:t>
            </w:r>
            <w:r>
              <w:rPr>
                <w:rFonts w:hint="eastAsia"/>
                <w:color w:val="auto"/>
                <w:sz w:val="24"/>
                <w:lang w:eastAsia="zh-CN"/>
              </w:rPr>
              <w:t>清运用作农肥</w:t>
            </w:r>
            <w:r>
              <w:rPr>
                <w:color w:val="auto"/>
                <w:sz w:val="24"/>
              </w:rPr>
              <w:t>。本项目废水对环境的影响较小。</w:t>
            </w:r>
          </w:p>
          <w:p>
            <w:pPr>
              <w:spacing w:line="360" w:lineRule="auto"/>
              <w:rPr>
                <w:b/>
                <w:color w:val="auto"/>
                <w:sz w:val="24"/>
              </w:rPr>
            </w:pPr>
            <w:r>
              <w:rPr>
                <w:b/>
                <w:color w:val="auto"/>
                <w:sz w:val="24"/>
              </w:rPr>
              <w:t>6.1.4.3声环境</w:t>
            </w:r>
          </w:p>
          <w:p>
            <w:pPr>
              <w:autoSpaceDE w:val="0"/>
              <w:autoSpaceDN w:val="0"/>
              <w:spacing w:line="360" w:lineRule="auto"/>
              <w:ind w:firstLine="480" w:firstLineChars="200"/>
              <w:rPr>
                <w:color w:val="auto"/>
                <w:sz w:val="24"/>
              </w:rPr>
            </w:pPr>
            <w:r>
              <w:rPr>
                <w:color w:val="auto"/>
                <w:sz w:val="24"/>
              </w:rPr>
              <w:t>本项目产噪设备主要为</w:t>
            </w:r>
            <w:r>
              <w:rPr>
                <w:rFonts w:hint="eastAsia"/>
                <w:color w:val="auto"/>
                <w:sz w:val="24"/>
                <w:lang w:eastAsia="zh-CN"/>
              </w:rPr>
              <w:t>发泡挤出机、复合机、分切机、冷却水水泵、废气处理风机</w:t>
            </w:r>
            <w:r>
              <w:rPr>
                <w:color w:val="auto"/>
                <w:sz w:val="24"/>
              </w:rPr>
              <w:t>等生产设备。选择低噪声设备、合理布局、封闭厂房，减震基础，厂房门窗隔声等措施。</w:t>
            </w:r>
            <w:r>
              <w:rPr>
                <w:rFonts w:hint="eastAsia"/>
                <w:color w:val="auto"/>
                <w:sz w:val="24"/>
              </w:rPr>
              <w:t>厂界噪声能够达到《工业企业厂界环境噪声排放标准》(GB12348-2008)中</w:t>
            </w:r>
            <w:r>
              <w:rPr>
                <w:rFonts w:hint="eastAsia"/>
                <w:color w:val="auto"/>
                <w:sz w:val="24"/>
                <w:lang w:eastAsia="zh-CN"/>
              </w:rPr>
              <w:t>2类标准</w:t>
            </w:r>
            <w:r>
              <w:rPr>
                <w:rFonts w:hint="eastAsia"/>
                <w:color w:val="auto"/>
                <w:sz w:val="24"/>
              </w:rPr>
              <w:t>。</w:t>
            </w:r>
            <w:r>
              <w:rPr>
                <w:color w:val="auto"/>
                <w:sz w:val="24"/>
              </w:rPr>
              <w:t>因此，从声环境角度来讲本项目建设是可行的。</w:t>
            </w:r>
          </w:p>
          <w:p>
            <w:pPr>
              <w:spacing w:line="360" w:lineRule="auto"/>
              <w:rPr>
                <w:b/>
                <w:color w:val="auto"/>
                <w:sz w:val="24"/>
              </w:rPr>
            </w:pPr>
            <w:r>
              <w:rPr>
                <w:b/>
                <w:color w:val="auto"/>
                <w:sz w:val="24"/>
              </w:rPr>
              <w:t>6.1.4.4固废</w:t>
            </w:r>
          </w:p>
          <w:p>
            <w:pPr>
              <w:autoSpaceDE w:val="0"/>
              <w:autoSpaceDN w:val="0"/>
              <w:spacing w:line="360" w:lineRule="auto"/>
              <w:ind w:firstLine="480" w:firstLineChars="200"/>
              <w:rPr>
                <w:color w:val="auto"/>
                <w:sz w:val="24"/>
              </w:rPr>
            </w:pPr>
            <w:r>
              <w:rPr>
                <w:color w:val="auto"/>
                <w:sz w:val="24"/>
              </w:rPr>
              <w:t>生产过程中产生的</w:t>
            </w:r>
            <w:r>
              <w:rPr>
                <w:rFonts w:hint="eastAsia"/>
                <w:color w:val="auto"/>
                <w:sz w:val="24"/>
                <w:lang w:eastAsia="zh-CN"/>
              </w:rPr>
              <w:t>废包装袋、下脚料</w:t>
            </w:r>
            <w:r>
              <w:rPr>
                <w:color w:val="auto"/>
                <w:sz w:val="24"/>
              </w:rPr>
              <w:t>统一收集后外售处置；</w:t>
            </w:r>
            <w:r>
              <w:rPr>
                <w:rFonts w:hint="eastAsia"/>
                <w:color w:val="auto"/>
                <w:sz w:val="24"/>
                <w:lang w:eastAsia="zh-CN"/>
              </w:rPr>
              <w:t>废</w:t>
            </w:r>
            <w:r>
              <w:rPr>
                <w:rFonts w:hint="eastAsia"/>
                <w:color w:val="auto"/>
                <w:sz w:val="24"/>
                <w:lang w:val="en-US" w:eastAsia="zh-CN"/>
              </w:rPr>
              <w:t>活性炭、废UV灯管</w:t>
            </w:r>
            <w:r>
              <w:rPr>
                <w:color w:val="auto"/>
                <w:sz w:val="24"/>
              </w:rPr>
              <w:t>暂存于危废间，定期交由资质单位处置；生活垃圾委托环卫部门定期清运。项目各类固体废物可得到妥善的处置，基本不会对周围环境产生影响。</w:t>
            </w:r>
          </w:p>
          <w:p>
            <w:pPr>
              <w:snapToGrid w:val="0"/>
              <w:spacing w:line="360" w:lineRule="auto"/>
              <w:rPr>
                <w:b/>
                <w:color w:val="auto"/>
                <w:sz w:val="24"/>
              </w:rPr>
            </w:pPr>
            <w:r>
              <w:rPr>
                <w:b/>
                <w:color w:val="auto"/>
                <w:sz w:val="24"/>
              </w:rPr>
              <w:t>6.1.5环境管理</w:t>
            </w:r>
          </w:p>
          <w:p>
            <w:pPr>
              <w:autoSpaceDE w:val="0"/>
              <w:autoSpaceDN w:val="0"/>
              <w:spacing w:line="360" w:lineRule="auto"/>
              <w:ind w:firstLine="480" w:firstLineChars="200"/>
              <w:rPr>
                <w:b/>
                <w:color w:val="auto"/>
                <w:sz w:val="24"/>
              </w:rPr>
            </w:pPr>
            <w:r>
              <w:rPr>
                <w:color w:val="auto"/>
                <w:sz w:val="24"/>
                <w:szCs w:val="18"/>
              </w:rPr>
              <w:t>公司应建立完善的环境管理和监测机构</w:t>
            </w:r>
            <w:r>
              <w:rPr>
                <w:color w:val="auto"/>
                <w:sz w:val="24"/>
                <w:szCs w:val="28"/>
              </w:rPr>
              <w:t>，本次工程建成后，应抓好环境保护措施、项目施工、安装、调试、验收工作的正常运行，健全环境保护机构、环境管理档案，健全企业环境管理的各项规章制度，完善环境保护设施的技术规程和操作规程，开展环境保护教育，培训环保设施的操作人员，以保证投产后顺利开展环境保护工作，委托有资质的监测单位负责对全厂主要污染源监测。同时对建设单位提出向公众公开企业环境保护相关信息及排污口信息管理等相关要求。</w:t>
            </w:r>
          </w:p>
          <w:p>
            <w:pPr>
              <w:snapToGrid w:val="0"/>
              <w:spacing w:line="360" w:lineRule="auto"/>
              <w:rPr>
                <w:b/>
                <w:color w:val="auto"/>
                <w:sz w:val="24"/>
              </w:rPr>
            </w:pPr>
            <w:r>
              <w:rPr>
                <w:rFonts w:hint="eastAsia"/>
                <w:b/>
                <w:color w:val="auto"/>
                <w:sz w:val="24"/>
                <w:lang w:val="en-US" w:eastAsia="zh-CN"/>
              </w:rPr>
              <w:t>6</w:t>
            </w:r>
            <w:r>
              <w:rPr>
                <w:b/>
                <w:color w:val="auto"/>
                <w:sz w:val="24"/>
              </w:rPr>
              <w:t>.1.6、评价结论</w:t>
            </w:r>
          </w:p>
          <w:p>
            <w:pPr>
              <w:autoSpaceDE w:val="0"/>
              <w:autoSpaceDN w:val="0"/>
              <w:spacing w:line="360" w:lineRule="auto"/>
              <w:ind w:firstLine="482" w:firstLineChars="200"/>
              <w:rPr>
                <w:b/>
                <w:bCs/>
                <w:color w:val="auto"/>
                <w:sz w:val="24"/>
              </w:rPr>
            </w:pPr>
            <w:r>
              <w:rPr>
                <w:b/>
                <w:bCs/>
                <w:color w:val="auto"/>
                <w:sz w:val="24"/>
              </w:rPr>
              <w:t>综上所述，</w:t>
            </w:r>
            <w:r>
              <w:rPr>
                <w:rFonts w:hint="eastAsia"/>
                <w:b/>
                <w:bCs/>
                <w:color w:val="auto"/>
                <w:sz w:val="24"/>
                <w:lang w:eastAsia="zh-CN"/>
              </w:rPr>
              <w:t>年产100吨珍珠棉生产线建设项目</w:t>
            </w:r>
            <w:r>
              <w:rPr>
                <w:b/>
                <w:bCs/>
                <w:color w:val="auto"/>
                <w:sz w:val="24"/>
              </w:rPr>
              <w:t>的建设符合国家产业政策，厂址选择不涉及环境敏感区；在采取环评规定的措施后各污染物可达标排放。在严格落实环评规定的各项环保措施，保证所排污染物达标排放，对周围环境影响较小。因此，从环保角度评价，本项目的建设是可行的。</w:t>
            </w:r>
          </w:p>
          <w:p>
            <w:pPr>
              <w:autoSpaceDE w:val="0"/>
              <w:autoSpaceDN w:val="0"/>
              <w:spacing w:line="360" w:lineRule="auto"/>
              <w:ind w:firstLine="482" w:firstLineChars="200"/>
              <w:rPr>
                <w:b/>
                <w:bCs/>
                <w:color w:val="auto"/>
                <w:sz w:val="24"/>
              </w:rPr>
            </w:pPr>
          </w:p>
          <w:p>
            <w:pPr>
              <w:autoSpaceDE w:val="0"/>
              <w:autoSpaceDN w:val="0"/>
              <w:spacing w:line="360" w:lineRule="auto"/>
              <w:ind w:firstLine="482" w:firstLineChars="200"/>
              <w:rPr>
                <w:b/>
                <w:bCs/>
                <w:color w:val="auto"/>
                <w:sz w:val="24"/>
              </w:rPr>
            </w:pPr>
          </w:p>
          <w:p>
            <w:pPr>
              <w:spacing w:line="360" w:lineRule="auto"/>
              <w:rPr>
                <w:color w:val="auto"/>
                <w:sz w:val="24"/>
              </w:rPr>
            </w:pPr>
          </w:p>
        </w:tc>
      </w:tr>
    </w:tbl>
    <w:p>
      <w:pPr>
        <w:rPr>
          <w:color w:val="auto"/>
        </w:rPr>
        <w:sectPr>
          <w:pgSz w:w="11906" w:h="16838"/>
          <w:pgMar w:top="1701" w:right="1531" w:bottom="1701" w:left="1531" w:header="851" w:footer="851" w:gutter="0"/>
          <w:cols w:space="720" w:num="1"/>
          <w:docGrid w:linePitch="312" w:charSpace="0"/>
        </w:sectPr>
      </w:pPr>
    </w:p>
    <w:p>
      <w:pPr>
        <w:pStyle w:val="24"/>
        <w:adjustRightInd w:val="0"/>
        <w:snapToGrid w:val="0"/>
        <w:spacing w:before="0" w:beforeAutospacing="0" w:after="0" w:afterAutospacing="0"/>
        <w:outlineLvl w:val="0"/>
        <w:rPr>
          <w:rFonts w:ascii="Times New Roman" w:hAnsi="Times New Roman" w:eastAsia="黑体"/>
          <w:snapToGrid w:val="0"/>
          <w:color w:val="auto"/>
          <w:sz w:val="32"/>
          <w:szCs w:val="32"/>
        </w:rPr>
      </w:pPr>
      <w:bookmarkStart w:id="16" w:name="_Toc73483528"/>
      <w:r>
        <w:rPr>
          <w:rFonts w:ascii="Times New Roman" w:hAnsi="Times New Roman" w:eastAsia="黑体"/>
          <w:snapToGrid w:val="0"/>
          <w:color w:val="auto"/>
          <w:sz w:val="32"/>
          <w:szCs w:val="32"/>
        </w:rPr>
        <w:t>附表</w:t>
      </w:r>
      <w:bookmarkEnd w:id="16"/>
    </w:p>
    <w:p>
      <w:pPr>
        <w:pStyle w:val="24"/>
        <w:adjustRightInd w:val="0"/>
        <w:snapToGrid w:val="0"/>
        <w:spacing w:before="0" w:beforeAutospacing="0" w:after="0" w:afterAutospacing="0"/>
        <w:jc w:val="center"/>
        <w:outlineLvl w:val="0"/>
        <w:rPr>
          <w:rFonts w:ascii="Times New Roman" w:hAnsi="Times New Roman" w:eastAsia="方正小标宋_GBK"/>
          <w:snapToGrid w:val="0"/>
          <w:color w:val="auto"/>
          <w:sz w:val="38"/>
          <w:szCs w:val="38"/>
        </w:rPr>
      </w:pPr>
      <w:bookmarkStart w:id="17" w:name="_Toc73483529"/>
      <w:r>
        <w:rPr>
          <w:rFonts w:ascii="Times New Roman" w:hAnsi="Times New Roman" w:eastAsia="方正小标宋_GBK"/>
          <w:snapToGrid w:val="0"/>
          <w:color w:val="auto"/>
          <w:sz w:val="38"/>
          <w:szCs w:val="38"/>
        </w:rPr>
        <w:t>建设项目污染物排放量汇总表</w:t>
      </w:r>
      <w:bookmarkEnd w:id="17"/>
    </w:p>
    <w:tbl>
      <w:tblPr>
        <w:tblStyle w:val="29"/>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783"/>
        <w:gridCol w:w="10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50"/>
              <w:spacing w:beforeLines="0" w:afterLines="0" w:line="240" w:lineRule="auto"/>
              <w:jc w:val="right"/>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项目</w:t>
            </w:r>
          </w:p>
          <w:p>
            <w:pPr>
              <w:pStyle w:val="50"/>
              <w:spacing w:beforeLines="0" w:afterLines="0" w:line="240" w:lineRule="auto"/>
              <w:jc w:val="left"/>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分类</w:t>
            </w:r>
          </w:p>
        </w:tc>
        <w:tc>
          <w:tcPr>
            <w:tcW w:w="1417" w:type="dxa"/>
            <w:tcMar>
              <w:left w:w="28" w:type="dxa"/>
              <w:right w:w="28" w:type="dxa"/>
            </w:tcMar>
            <w:vAlign w:val="center"/>
          </w:tcPr>
          <w:p>
            <w:pPr>
              <w:pStyle w:val="50"/>
              <w:spacing w:beforeLines="0" w:afterLines="0" w:line="240" w:lineRule="auto"/>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污染物名称</w:t>
            </w:r>
          </w:p>
        </w:tc>
        <w:tc>
          <w:tcPr>
            <w:tcW w:w="1701" w:type="dxa"/>
            <w:tcMar>
              <w:left w:w="28" w:type="dxa"/>
              <w:right w:w="28" w:type="dxa"/>
            </w:tcMar>
            <w:vAlign w:val="center"/>
          </w:tcPr>
          <w:p>
            <w:pPr>
              <w:pStyle w:val="50"/>
              <w:spacing w:beforeLines="0" w:afterLines="0" w:line="240" w:lineRule="auto"/>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现有工程</w:t>
            </w:r>
          </w:p>
          <w:p>
            <w:pPr>
              <w:pStyle w:val="50"/>
              <w:spacing w:beforeLines="0" w:afterLines="0" w:line="240" w:lineRule="auto"/>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排放量（固体废物产生量）</w:t>
            </w:r>
            <w:r>
              <w:rPr>
                <w:rFonts w:ascii="Times New Roman" w:hAnsi="Times New Roman" w:eastAsia="黑体"/>
                <w:snapToGrid w:val="0"/>
                <w:color w:val="auto"/>
                <w:spacing w:val="-6"/>
                <w:kern w:val="21"/>
                <w:szCs w:val="21"/>
              </w:rPr>
              <w:fldChar w:fldCharType="begin"/>
            </w:r>
            <w:r>
              <w:rPr>
                <w:rFonts w:ascii="Times New Roman" w:hAnsi="Times New Roman" w:eastAsia="黑体"/>
                <w:snapToGrid w:val="0"/>
                <w:color w:val="auto"/>
                <w:spacing w:val="-6"/>
                <w:kern w:val="21"/>
                <w:szCs w:val="21"/>
              </w:rPr>
              <w:instrText xml:space="preserve"> = 1 \* GB3 \* MERGEFORMAT </w:instrText>
            </w:r>
            <w:r>
              <w:rPr>
                <w:rFonts w:ascii="Times New Roman" w:hAnsi="Times New Roman" w:eastAsia="黑体"/>
                <w:snapToGrid w:val="0"/>
                <w:color w:val="auto"/>
                <w:spacing w:val="-6"/>
                <w:kern w:val="21"/>
                <w:szCs w:val="21"/>
              </w:rPr>
              <w:fldChar w:fldCharType="separate"/>
            </w:r>
            <w:r>
              <w:rPr>
                <w:rFonts w:ascii="Times New Roman" w:hAnsi="Times New Roman" w:eastAsia="黑体"/>
                <w:color w:val="auto"/>
                <w:kern w:val="2"/>
                <w:szCs w:val="21"/>
              </w:rPr>
              <w:t>①</w:t>
            </w:r>
            <w:r>
              <w:rPr>
                <w:rFonts w:ascii="Times New Roman" w:hAnsi="Times New Roman" w:eastAsia="黑体"/>
                <w:snapToGrid w:val="0"/>
                <w:color w:val="auto"/>
                <w:spacing w:val="-6"/>
                <w:kern w:val="21"/>
                <w:szCs w:val="21"/>
              </w:rPr>
              <w:fldChar w:fldCharType="end"/>
            </w:r>
          </w:p>
        </w:tc>
        <w:tc>
          <w:tcPr>
            <w:tcW w:w="1276" w:type="dxa"/>
            <w:tcMar>
              <w:left w:w="28" w:type="dxa"/>
              <w:right w:w="28" w:type="dxa"/>
            </w:tcMar>
            <w:vAlign w:val="center"/>
          </w:tcPr>
          <w:p>
            <w:pPr>
              <w:pStyle w:val="50"/>
              <w:spacing w:beforeLines="0" w:afterLines="0" w:line="240" w:lineRule="auto"/>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现有工程</w:t>
            </w:r>
          </w:p>
          <w:p>
            <w:pPr>
              <w:pStyle w:val="50"/>
              <w:spacing w:beforeLines="0" w:afterLines="0" w:line="240" w:lineRule="auto"/>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许可排放量</w:t>
            </w:r>
          </w:p>
          <w:p>
            <w:pPr>
              <w:pStyle w:val="50"/>
              <w:spacing w:beforeLines="0" w:afterLines="0"/>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fldChar w:fldCharType="begin"/>
            </w:r>
            <w:r>
              <w:rPr>
                <w:rFonts w:ascii="Times New Roman" w:hAnsi="Times New Roman" w:eastAsia="黑体"/>
                <w:snapToGrid w:val="0"/>
                <w:color w:val="auto"/>
                <w:spacing w:val="-6"/>
                <w:kern w:val="21"/>
                <w:szCs w:val="21"/>
              </w:rPr>
              <w:instrText xml:space="preserve"> = 2 \* GB3 \* MERGEFORMAT </w:instrText>
            </w:r>
            <w:r>
              <w:rPr>
                <w:rFonts w:ascii="Times New Roman" w:hAnsi="Times New Roman" w:eastAsia="黑体"/>
                <w:snapToGrid w:val="0"/>
                <w:color w:val="auto"/>
                <w:spacing w:val="-6"/>
                <w:kern w:val="21"/>
                <w:szCs w:val="21"/>
              </w:rPr>
              <w:fldChar w:fldCharType="separate"/>
            </w:r>
            <w:r>
              <w:rPr>
                <w:rFonts w:ascii="Times New Roman" w:hAnsi="Times New Roman" w:eastAsia="黑体"/>
                <w:snapToGrid w:val="0"/>
                <w:color w:val="auto"/>
                <w:spacing w:val="-6"/>
                <w:kern w:val="21"/>
                <w:szCs w:val="21"/>
              </w:rPr>
              <w:t>②</w:t>
            </w:r>
            <w:r>
              <w:rPr>
                <w:rFonts w:ascii="Times New Roman" w:hAnsi="Times New Roman" w:eastAsia="黑体"/>
                <w:snapToGrid w:val="0"/>
                <w:color w:val="auto"/>
                <w:spacing w:val="-6"/>
                <w:kern w:val="21"/>
                <w:szCs w:val="21"/>
              </w:rPr>
              <w:fldChar w:fldCharType="end"/>
            </w:r>
          </w:p>
        </w:tc>
        <w:tc>
          <w:tcPr>
            <w:tcW w:w="1701" w:type="dxa"/>
            <w:tcMar>
              <w:left w:w="28" w:type="dxa"/>
              <w:right w:w="28" w:type="dxa"/>
            </w:tcMar>
            <w:vAlign w:val="center"/>
          </w:tcPr>
          <w:p>
            <w:pPr>
              <w:pStyle w:val="50"/>
              <w:spacing w:beforeLines="0" w:afterLines="0" w:line="240" w:lineRule="auto"/>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在建工程</w:t>
            </w:r>
          </w:p>
          <w:p>
            <w:pPr>
              <w:pStyle w:val="50"/>
              <w:spacing w:beforeLines="0" w:afterLines="0" w:line="240" w:lineRule="auto"/>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排放量（固体废物产生量）</w:t>
            </w:r>
            <w:r>
              <w:rPr>
                <w:rFonts w:ascii="Times New Roman" w:hAnsi="Times New Roman" w:eastAsia="黑体"/>
                <w:snapToGrid w:val="0"/>
                <w:color w:val="auto"/>
                <w:spacing w:val="-6"/>
                <w:kern w:val="21"/>
                <w:szCs w:val="21"/>
              </w:rPr>
              <w:fldChar w:fldCharType="begin"/>
            </w:r>
            <w:r>
              <w:rPr>
                <w:rFonts w:ascii="Times New Roman" w:hAnsi="Times New Roman" w:eastAsia="黑体"/>
                <w:snapToGrid w:val="0"/>
                <w:color w:val="auto"/>
                <w:spacing w:val="-6"/>
                <w:kern w:val="21"/>
                <w:szCs w:val="21"/>
              </w:rPr>
              <w:instrText xml:space="preserve"> = 3 \* GB3 \* MERGEFORMAT </w:instrText>
            </w:r>
            <w:r>
              <w:rPr>
                <w:rFonts w:ascii="Times New Roman" w:hAnsi="Times New Roman" w:eastAsia="黑体"/>
                <w:snapToGrid w:val="0"/>
                <w:color w:val="auto"/>
                <w:spacing w:val="-6"/>
                <w:kern w:val="21"/>
                <w:szCs w:val="21"/>
              </w:rPr>
              <w:fldChar w:fldCharType="separate"/>
            </w:r>
            <w:r>
              <w:rPr>
                <w:rFonts w:ascii="Times New Roman" w:hAnsi="Times New Roman" w:eastAsia="黑体"/>
                <w:color w:val="auto"/>
                <w:kern w:val="2"/>
                <w:szCs w:val="21"/>
              </w:rPr>
              <w:t>③</w:t>
            </w:r>
            <w:r>
              <w:rPr>
                <w:rFonts w:ascii="Times New Roman" w:hAnsi="Times New Roman" w:eastAsia="黑体"/>
                <w:snapToGrid w:val="0"/>
                <w:color w:val="auto"/>
                <w:spacing w:val="-6"/>
                <w:kern w:val="21"/>
                <w:szCs w:val="21"/>
              </w:rPr>
              <w:fldChar w:fldCharType="end"/>
            </w:r>
          </w:p>
        </w:tc>
        <w:tc>
          <w:tcPr>
            <w:tcW w:w="1559" w:type="dxa"/>
            <w:tcMar>
              <w:left w:w="28" w:type="dxa"/>
              <w:right w:w="28" w:type="dxa"/>
            </w:tcMar>
            <w:vAlign w:val="center"/>
          </w:tcPr>
          <w:p>
            <w:pPr>
              <w:pStyle w:val="50"/>
              <w:spacing w:beforeLines="0" w:afterLines="0" w:line="240" w:lineRule="auto"/>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本项目</w:t>
            </w:r>
          </w:p>
          <w:p>
            <w:pPr>
              <w:pStyle w:val="50"/>
              <w:spacing w:beforeLines="0" w:afterLines="0" w:line="240" w:lineRule="auto"/>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排放量（固体废物产生量）</w:t>
            </w:r>
            <w:r>
              <w:rPr>
                <w:rFonts w:ascii="Times New Roman" w:hAnsi="Times New Roman" w:eastAsia="黑体"/>
                <w:snapToGrid w:val="0"/>
                <w:color w:val="auto"/>
                <w:spacing w:val="-6"/>
                <w:kern w:val="21"/>
                <w:szCs w:val="21"/>
              </w:rPr>
              <w:fldChar w:fldCharType="begin"/>
            </w:r>
            <w:r>
              <w:rPr>
                <w:rFonts w:ascii="Times New Roman" w:hAnsi="Times New Roman" w:eastAsia="黑体"/>
                <w:snapToGrid w:val="0"/>
                <w:color w:val="auto"/>
                <w:spacing w:val="-6"/>
                <w:kern w:val="21"/>
                <w:szCs w:val="21"/>
              </w:rPr>
              <w:instrText xml:space="preserve"> = 4 \* GB3 \* MERGEFORMAT </w:instrText>
            </w:r>
            <w:r>
              <w:rPr>
                <w:rFonts w:ascii="Times New Roman" w:hAnsi="Times New Roman" w:eastAsia="黑体"/>
                <w:snapToGrid w:val="0"/>
                <w:color w:val="auto"/>
                <w:spacing w:val="-6"/>
                <w:kern w:val="21"/>
                <w:szCs w:val="21"/>
              </w:rPr>
              <w:fldChar w:fldCharType="separate"/>
            </w:r>
            <w:r>
              <w:rPr>
                <w:rFonts w:ascii="Times New Roman" w:hAnsi="Times New Roman" w:eastAsia="黑体"/>
                <w:color w:val="auto"/>
                <w:kern w:val="2"/>
                <w:szCs w:val="21"/>
              </w:rPr>
              <w:t>④</w:t>
            </w:r>
            <w:r>
              <w:rPr>
                <w:rFonts w:ascii="Times New Roman" w:hAnsi="Times New Roman" w:eastAsia="黑体"/>
                <w:snapToGrid w:val="0"/>
                <w:color w:val="auto"/>
                <w:spacing w:val="-6"/>
                <w:kern w:val="21"/>
                <w:szCs w:val="21"/>
              </w:rPr>
              <w:fldChar w:fldCharType="end"/>
            </w:r>
          </w:p>
        </w:tc>
        <w:tc>
          <w:tcPr>
            <w:tcW w:w="1761" w:type="dxa"/>
            <w:tcMar>
              <w:left w:w="28" w:type="dxa"/>
              <w:right w:w="28" w:type="dxa"/>
            </w:tcMar>
            <w:vAlign w:val="center"/>
          </w:tcPr>
          <w:p>
            <w:pPr>
              <w:pStyle w:val="50"/>
              <w:spacing w:beforeLines="0" w:afterLines="0" w:line="240" w:lineRule="auto"/>
              <w:rPr>
                <w:rFonts w:ascii="Times New Roman" w:hAnsi="Times New Roman" w:eastAsia="黑体"/>
                <w:snapToGrid w:val="0"/>
                <w:color w:val="auto"/>
                <w:spacing w:val="-16"/>
                <w:kern w:val="21"/>
                <w:szCs w:val="21"/>
              </w:rPr>
            </w:pPr>
            <w:r>
              <w:rPr>
                <w:rFonts w:ascii="Times New Roman" w:hAnsi="Times New Roman" w:eastAsia="黑体"/>
                <w:snapToGrid w:val="0"/>
                <w:color w:val="auto"/>
                <w:spacing w:val="-16"/>
                <w:kern w:val="21"/>
                <w:szCs w:val="21"/>
              </w:rPr>
              <w:t>以新带老削减量</w:t>
            </w:r>
          </w:p>
          <w:p>
            <w:pPr>
              <w:pStyle w:val="50"/>
              <w:spacing w:beforeLines="0" w:afterLines="0" w:line="240" w:lineRule="auto"/>
              <w:rPr>
                <w:rFonts w:ascii="Times New Roman" w:hAnsi="Times New Roman" w:eastAsia="黑体"/>
                <w:snapToGrid w:val="0"/>
                <w:color w:val="auto"/>
                <w:spacing w:val="-16"/>
                <w:kern w:val="21"/>
                <w:szCs w:val="21"/>
              </w:rPr>
            </w:pPr>
            <w:r>
              <w:rPr>
                <w:rFonts w:ascii="Times New Roman" w:hAnsi="Times New Roman" w:eastAsia="黑体"/>
                <w:snapToGrid w:val="0"/>
                <w:color w:val="auto"/>
                <w:spacing w:val="-16"/>
                <w:kern w:val="21"/>
                <w:szCs w:val="21"/>
              </w:rPr>
              <w:t>（新建项目不填）</w:t>
            </w:r>
            <w:r>
              <w:rPr>
                <w:rFonts w:ascii="Times New Roman" w:hAnsi="Times New Roman" w:eastAsia="黑体"/>
                <w:snapToGrid w:val="0"/>
                <w:color w:val="auto"/>
                <w:spacing w:val="-16"/>
                <w:kern w:val="21"/>
                <w:szCs w:val="21"/>
              </w:rPr>
              <w:fldChar w:fldCharType="begin"/>
            </w:r>
            <w:r>
              <w:rPr>
                <w:rFonts w:ascii="Times New Roman" w:hAnsi="Times New Roman" w:eastAsia="黑体"/>
                <w:snapToGrid w:val="0"/>
                <w:color w:val="auto"/>
                <w:spacing w:val="-16"/>
                <w:kern w:val="21"/>
                <w:szCs w:val="21"/>
              </w:rPr>
              <w:instrText xml:space="preserve"> = 5 \* GB3 \* MERGEFORMAT </w:instrText>
            </w:r>
            <w:r>
              <w:rPr>
                <w:rFonts w:ascii="Times New Roman" w:hAnsi="Times New Roman" w:eastAsia="黑体"/>
                <w:snapToGrid w:val="0"/>
                <w:color w:val="auto"/>
                <w:spacing w:val="-16"/>
                <w:kern w:val="21"/>
                <w:szCs w:val="21"/>
              </w:rPr>
              <w:fldChar w:fldCharType="separate"/>
            </w:r>
            <w:r>
              <w:rPr>
                <w:rFonts w:ascii="Times New Roman" w:hAnsi="Times New Roman" w:eastAsia="黑体"/>
                <w:color w:val="auto"/>
                <w:kern w:val="2"/>
                <w:szCs w:val="21"/>
              </w:rPr>
              <w:t>⑤</w:t>
            </w:r>
            <w:r>
              <w:rPr>
                <w:rFonts w:ascii="Times New Roman" w:hAnsi="Times New Roman" w:eastAsia="黑体"/>
                <w:snapToGrid w:val="0"/>
                <w:color w:val="auto"/>
                <w:spacing w:val="-16"/>
                <w:kern w:val="21"/>
                <w:szCs w:val="21"/>
              </w:rPr>
              <w:fldChar w:fldCharType="end"/>
            </w:r>
          </w:p>
        </w:tc>
        <w:tc>
          <w:tcPr>
            <w:tcW w:w="1783" w:type="dxa"/>
            <w:tcMar>
              <w:left w:w="28" w:type="dxa"/>
              <w:right w:w="28" w:type="dxa"/>
            </w:tcMar>
            <w:vAlign w:val="center"/>
          </w:tcPr>
          <w:p>
            <w:pPr>
              <w:pStyle w:val="50"/>
              <w:spacing w:beforeLines="0" w:afterLines="0" w:line="240" w:lineRule="auto"/>
              <w:rPr>
                <w:rFonts w:ascii="Times New Roman" w:hAnsi="Times New Roman" w:eastAsia="黑体"/>
                <w:snapToGrid w:val="0"/>
                <w:color w:val="auto"/>
                <w:spacing w:val="-16"/>
                <w:kern w:val="21"/>
                <w:szCs w:val="21"/>
              </w:rPr>
            </w:pPr>
            <w:r>
              <w:rPr>
                <w:rFonts w:ascii="Times New Roman" w:hAnsi="Times New Roman" w:eastAsia="黑体"/>
                <w:snapToGrid w:val="0"/>
                <w:color w:val="auto"/>
                <w:spacing w:val="-16"/>
                <w:kern w:val="21"/>
                <w:szCs w:val="21"/>
              </w:rPr>
              <w:t>本项目建成后</w:t>
            </w:r>
          </w:p>
          <w:p>
            <w:pPr>
              <w:pStyle w:val="50"/>
              <w:spacing w:beforeLines="0" w:afterLines="0" w:line="240" w:lineRule="auto"/>
              <w:rPr>
                <w:rFonts w:ascii="Times New Roman" w:hAnsi="Times New Roman" w:eastAsia="黑体"/>
                <w:snapToGrid w:val="0"/>
                <w:color w:val="auto"/>
                <w:spacing w:val="-16"/>
                <w:kern w:val="21"/>
                <w:szCs w:val="21"/>
              </w:rPr>
            </w:pPr>
            <w:r>
              <w:rPr>
                <w:rFonts w:ascii="Times New Roman" w:hAnsi="Times New Roman" w:eastAsia="黑体"/>
                <w:snapToGrid w:val="0"/>
                <w:color w:val="auto"/>
                <w:spacing w:val="-16"/>
                <w:kern w:val="21"/>
                <w:szCs w:val="21"/>
              </w:rPr>
              <w:t>全厂排放量（固体废物产生量）</w:t>
            </w:r>
            <w:r>
              <w:rPr>
                <w:rFonts w:ascii="Times New Roman" w:hAnsi="Times New Roman" w:eastAsia="黑体"/>
                <w:snapToGrid w:val="0"/>
                <w:color w:val="auto"/>
                <w:spacing w:val="-16"/>
                <w:kern w:val="21"/>
                <w:szCs w:val="21"/>
              </w:rPr>
              <w:fldChar w:fldCharType="begin"/>
            </w:r>
            <w:r>
              <w:rPr>
                <w:rFonts w:ascii="Times New Roman" w:hAnsi="Times New Roman" w:eastAsia="黑体"/>
                <w:snapToGrid w:val="0"/>
                <w:color w:val="auto"/>
                <w:spacing w:val="-16"/>
                <w:kern w:val="21"/>
                <w:szCs w:val="21"/>
              </w:rPr>
              <w:instrText xml:space="preserve"> = 6 \* GB3 \* MERGEFORMAT </w:instrText>
            </w:r>
            <w:r>
              <w:rPr>
                <w:rFonts w:ascii="Times New Roman" w:hAnsi="Times New Roman" w:eastAsia="黑体"/>
                <w:snapToGrid w:val="0"/>
                <w:color w:val="auto"/>
                <w:spacing w:val="-16"/>
                <w:kern w:val="21"/>
                <w:szCs w:val="21"/>
              </w:rPr>
              <w:fldChar w:fldCharType="separate"/>
            </w:r>
            <w:r>
              <w:rPr>
                <w:rFonts w:ascii="Times New Roman" w:hAnsi="Times New Roman" w:eastAsia="黑体"/>
                <w:color w:val="auto"/>
                <w:kern w:val="2"/>
                <w:szCs w:val="21"/>
              </w:rPr>
              <w:t>⑥</w:t>
            </w:r>
            <w:r>
              <w:rPr>
                <w:rFonts w:ascii="Times New Roman" w:hAnsi="Times New Roman" w:eastAsia="黑体"/>
                <w:snapToGrid w:val="0"/>
                <w:color w:val="auto"/>
                <w:spacing w:val="-16"/>
                <w:kern w:val="21"/>
                <w:szCs w:val="21"/>
              </w:rPr>
              <w:fldChar w:fldCharType="end"/>
            </w:r>
          </w:p>
        </w:tc>
        <w:tc>
          <w:tcPr>
            <w:tcW w:w="1002" w:type="dxa"/>
            <w:tcMar>
              <w:left w:w="28" w:type="dxa"/>
              <w:right w:w="28" w:type="dxa"/>
            </w:tcMar>
            <w:vAlign w:val="center"/>
          </w:tcPr>
          <w:p>
            <w:pPr>
              <w:pStyle w:val="50"/>
              <w:spacing w:beforeLines="0" w:afterLines="0" w:line="240" w:lineRule="auto"/>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变化量</w:t>
            </w:r>
          </w:p>
          <w:p>
            <w:pPr>
              <w:pStyle w:val="50"/>
              <w:spacing w:beforeLines="0" w:afterLines="0" w:line="240" w:lineRule="auto"/>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fldChar w:fldCharType="begin"/>
            </w:r>
            <w:r>
              <w:rPr>
                <w:rFonts w:ascii="Times New Roman" w:hAnsi="Times New Roman" w:eastAsia="黑体"/>
                <w:snapToGrid w:val="0"/>
                <w:color w:val="auto"/>
                <w:spacing w:val="-6"/>
                <w:kern w:val="21"/>
                <w:szCs w:val="21"/>
              </w:rPr>
              <w:instrText xml:space="preserve"> = 7 \* GB3 \* MERGEFORMAT </w:instrText>
            </w:r>
            <w:r>
              <w:rPr>
                <w:rFonts w:ascii="Times New Roman" w:hAnsi="Times New Roman" w:eastAsia="黑体"/>
                <w:snapToGrid w:val="0"/>
                <w:color w:val="auto"/>
                <w:spacing w:val="-6"/>
                <w:kern w:val="21"/>
                <w:szCs w:val="21"/>
              </w:rPr>
              <w:fldChar w:fldCharType="separate"/>
            </w:r>
            <w:r>
              <w:rPr>
                <w:rFonts w:ascii="Times New Roman" w:hAnsi="Times New Roman" w:eastAsia="黑体"/>
                <w:color w:val="auto"/>
                <w:kern w:val="2"/>
                <w:szCs w:val="21"/>
              </w:rPr>
              <w:t>⑦</w:t>
            </w:r>
            <w:r>
              <w:rPr>
                <w:rFonts w:ascii="Times New Roman" w:hAnsi="Times New Roman" w:eastAsia="黑体"/>
                <w:snapToGrid w:val="0"/>
                <w:color w:val="auto"/>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50"/>
              <w:spacing w:beforeLines="0" w:afterLines="0" w:line="240" w:lineRule="auto"/>
              <w:rPr>
                <w:rFonts w:ascii="Times New Roman" w:hAnsi="Times New Roman"/>
                <w:snapToGrid w:val="0"/>
                <w:color w:val="auto"/>
                <w:kern w:val="21"/>
                <w:szCs w:val="21"/>
              </w:rPr>
            </w:pPr>
            <w:r>
              <w:rPr>
                <w:rFonts w:ascii="Times New Roman" w:hAnsi="Times New Roman"/>
                <w:snapToGrid w:val="0"/>
                <w:color w:val="auto"/>
                <w:kern w:val="21"/>
                <w:szCs w:val="21"/>
              </w:rPr>
              <w:t>废气</w:t>
            </w:r>
          </w:p>
        </w:tc>
        <w:tc>
          <w:tcPr>
            <w:tcW w:w="1417" w:type="dxa"/>
            <w:vAlign w:val="center"/>
          </w:tcPr>
          <w:p>
            <w:pPr>
              <w:pStyle w:val="50"/>
              <w:spacing w:beforeLines="0" w:afterLines="0" w:line="240" w:lineRule="auto"/>
              <w:rPr>
                <w:rFonts w:ascii="Times New Roman" w:hAnsi="Times New Roman"/>
                <w:snapToGrid w:val="0"/>
                <w:color w:val="auto"/>
                <w:kern w:val="21"/>
                <w:szCs w:val="21"/>
              </w:rPr>
            </w:pPr>
            <w:r>
              <w:rPr>
                <w:rFonts w:ascii="Times New Roman" w:hAnsi="Times New Roman"/>
                <w:snapToGrid w:val="0"/>
                <w:color w:val="auto"/>
                <w:kern w:val="21"/>
                <w:szCs w:val="21"/>
              </w:rPr>
              <w:t>颗粒物</w:t>
            </w: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276" w:type="dxa"/>
            <w:vAlign w:val="center"/>
          </w:tcPr>
          <w:p>
            <w:pPr>
              <w:pStyle w:val="50"/>
              <w:spacing w:beforeLines="0" w:afterLines="0" w:line="240" w:lineRule="auto"/>
              <w:rPr>
                <w:rFonts w:ascii="Times New Roman" w:hAnsi="Times New Roman"/>
                <w:snapToGrid w:val="0"/>
                <w:color w:val="auto"/>
                <w:kern w:val="21"/>
                <w:szCs w:val="21"/>
              </w:rPr>
            </w:pP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559" w:type="dxa"/>
            <w:vAlign w:val="center"/>
          </w:tcPr>
          <w:p>
            <w:pPr>
              <w:pStyle w:val="50"/>
              <w:spacing w:beforeLines="0" w:afterLines="0" w:line="240" w:lineRule="auto"/>
              <w:rPr>
                <w:rFonts w:ascii="Times New Roman" w:hAnsi="Times New Roman"/>
                <w:snapToGrid w:val="0"/>
                <w:color w:val="auto"/>
                <w:kern w:val="21"/>
                <w:szCs w:val="21"/>
              </w:rPr>
            </w:pPr>
            <w:r>
              <w:rPr>
                <w:rFonts w:hint="eastAsia" w:ascii="Times New Roman" w:hAnsi="Times New Roman"/>
                <w:snapToGrid w:val="0"/>
                <w:color w:val="auto"/>
                <w:kern w:val="21"/>
                <w:szCs w:val="21"/>
              </w:rPr>
              <w:t>0</w:t>
            </w:r>
          </w:p>
        </w:tc>
        <w:tc>
          <w:tcPr>
            <w:tcW w:w="1761" w:type="dxa"/>
            <w:vAlign w:val="center"/>
          </w:tcPr>
          <w:p>
            <w:pPr>
              <w:pStyle w:val="50"/>
              <w:spacing w:beforeLines="0" w:afterLines="0" w:line="240" w:lineRule="auto"/>
              <w:rPr>
                <w:rFonts w:ascii="Times New Roman" w:hAnsi="Times New Roman"/>
                <w:snapToGrid w:val="0"/>
                <w:color w:val="auto"/>
                <w:kern w:val="21"/>
                <w:szCs w:val="21"/>
              </w:rPr>
            </w:pPr>
          </w:p>
        </w:tc>
        <w:tc>
          <w:tcPr>
            <w:tcW w:w="1783" w:type="dxa"/>
            <w:vAlign w:val="center"/>
          </w:tcPr>
          <w:p>
            <w:pPr>
              <w:pStyle w:val="50"/>
              <w:spacing w:beforeLines="0" w:afterLines="0" w:line="240" w:lineRule="auto"/>
              <w:rPr>
                <w:rFonts w:ascii="Times New Roman" w:hAnsi="Times New Roman"/>
                <w:snapToGrid w:val="0"/>
                <w:color w:val="auto"/>
                <w:kern w:val="21"/>
                <w:szCs w:val="21"/>
              </w:rPr>
            </w:pPr>
            <w:r>
              <w:rPr>
                <w:rFonts w:ascii="Times New Roman" w:hAnsi="Times New Roman"/>
                <w:snapToGrid w:val="0"/>
                <w:color w:val="auto"/>
                <w:kern w:val="21"/>
                <w:szCs w:val="21"/>
              </w:rPr>
              <w:t>0</w:t>
            </w:r>
          </w:p>
        </w:tc>
        <w:tc>
          <w:tcPr>
            <w:tcW w:w="1002" w:type="dxa"/>
            <w:vAlign w:val="center"/>
          </w:tcPr>
          <w:p>
            <w:pPr>
              <w:pStyle w:val="50"/>
              <w:spacing w:beforeLines="0" w:afterLines="0" w:line="240" w:lineRule="auto"/>
              <w:rPr>
                <w:rFonts w:ascii="Times New Roman" w:hAnsi="Times New Roman"/>
                <w:snapToGrid w:val="0"/>
                <w:color w:val="auto"/>
                <w:kern w:val="21"/>
                <w:szCs w:val="21"/>
              </w:rPr>
            </w:pPr>
            <w:r>
              <w:rPr>
                <w:rFonts w:ascii="Times New Roman" w:hAnsi="Times New Roman"/>
                <w:snapToGrid w:val="0"/>
                <w:color w:val="auto"/>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0"/>
              <w:spacing w:beforeLines="0" w:afterLines="0" w:line="240" w:lineRule="auto"/>
              <w:rPr>
                <w:rFonts w:ascii="Times New Roman" w:hAnsi="Times New Roman"/>
                <w:snapToGrid w:val="0"/>
                <w:color w:val="auto"/>
                <w:kern w:val="21"/>
                <w:szCs w:val="21"/>
              </w:rPr>
            </w:pPr>
          </w:p>
        </w:tc>
        <w:tc>
          <w:tcPr>
            <w:tcW w:w="1417" w:type="dxa"/>
            <w:vAlign w:val="center"/>
          </w:tcPr>
          <w:p>
            <w:pPr>
              <w:pStyle w:val="50"/>
              <w:spacing w:beforeLines="0" w:afterLines="0" w:line="240" w:lineRule="auto"/>
              <w:rPr>
                <w:rFonts w:ascii="Times New Roman" w:hAnsi="Times New Roman"/>
                <w:snapToGrid w:val="0"/>
                <w:color w:val="auto"/>
                <w:kern w:val="21"/>
                <w:szCs w:val="21"/>
              </w:rPr>
            </w:pPr>
            <w:r>
              <w:rPr>
                <w:rFonts w:ascii="Times New Roman" w:hAnsi="Times New Roman"/>
                <w:snapToGrid w:val="0"/>
                <w:color w:val="auto"/>
                <w:kern w:val="21"/>
                <w:szCs w:val="21"/>
              </w:rPr>
              <w:t>二氧化硫</w:t>
            </w: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276" w:type="dxa"/>
            <w:vAlign w:val="center"/>
          </w:tcPr>
          <w:p>
            <w:pPr>
              <w:pStyle w:val="50"/>
              <w:spacing w:beforeLines="0" w:afterLines="0" w:line="240" w:lineRule="auto"/>
              <w:rPr>
                <w:rFonts w:ascii="Times New Roman" w:hAnsi="Times New Roman"/>
                <w:snapToGrid w:val="0"/>
                <w:color w:val="auto"/>
                <w:kern w:val="21"/>
                <w:szCs w:val="21"/>
              </w:rPr>
            </w:pP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559" w:type="dxa"/>
            <w:vAlign w:val="center"/>
          </w:tcPr>
          <w:p>
            <w:pPr>
              <w:pStyle w:val="50"/>
              <w:spacing w:beforeLines="0" w:afterLines="0" w:line="240" w:lineRule="auto"/>
              <w:rPr>
                <w:rFonts w:ascii="Times New Roman" w:hAnsi="Times New Roman"/>
                <w:snapToGrid w:val="0"/>
                <w:color w:val="auto"/>
                <w:kern w:val="21"/>
                <w:szCs w:val="21"/>
              </w:rPr>
            </w:pPr>
            <w:r>
              <w:rPr>
                <w:rFonts w:ascii="Times New Roman" w:hAnsi="Times New Roman"/>
                <w:snapToGrid w:val="0"/>
                <w:color w:val="auto"/>
                <w:kern w:val="21"/>
                <w:szCs w:val="21"/>
              </w:rPr>
              <w:t>0</w:t>
            </w:r>
          </w:p>
        </w:tc>
        <w:tc>
          <w:tcPr>
            <w:tcW w:w="1761" w:type="dxa"/>
            <w:vAlign w:val="center"/>
          </w:tcPr>
          <w:p>
            <w:pPr>
              <w:pStyle w:val="50"/>
              <w:spacing w:beforeLines="0" w:afterLines="0" w:line="240" w:lineRule="auto"/>
              <w:rPr>
                <w:rFonts w:ascii="Times New Roman" w:hAnsi="Times New Roman"/>
                <w:snapToGrid w:val="0"/>
                <w:color w:val="auto"/>
                <w:kern w:val="21"/>
                <w:szCs w:val="21"/>
              </w:rPr>
            </w:pPr>
          </w:p>
        </w:tc>
        <w:tc>
          <w:tcPr>
            <w:tcW w:w="1783" w:type="dxa"/>
            <w:vAlign w:val="center"/>
          </w:tcPr>
          <w:p>
            <w:pPr>
              <w:pStyle w:val="50"/>
              <w:spacing w:beforeLines="0" w:afterLines="0" w:line="240" w:lineRule="auto"/>
              <w:rPr>
                <w:rFonts w:ascii="Times New Roman" w:hAnsi="Times New Roman"/>
                <w:snapToGrid w:val="0"/>
                <w:color w:val="auto"/>
                <w:kern w:val="21"/>
                <w:szCs w:val="21"/>
              </w:rPr>
            </w:pPr>
            <w:r>
              <w:rPr>
                <w:rFonts w:ascii="Times New Roman" w:hAnsi="Times New Roman"/>
                <w:snapToGrid w:val="0"/>
                <w:color w:val="auto"/>
                <w:kern w:val="21"/>
                <w:szCs w:val="21"/>
              </w:rPr>
              <w:t>0</w:t>
            </w:r>
          </w:p>
        </w:tc>
        <w:tc>
          <w:tcPr>
            <w:tcW w:w="1002" w:type="dxa"/>
            <w:vAlign w:val="center"/>
          </w:tcPr>
          <w:p>
            <w:pPr>
              <w:pStyle w:val="50"/>
              <w:spacing w:beforeLines="0" w:afterLines="0" w:line="240" w:lineRule="auto"/>
              <w:rPr>
                <w:rFonts w:ascii="Times New Roman" w:hAnsi="Times New Roman"/>
                <w:snapToGrid w:val="0"/>
                <w:color w:val="auto"/>
                <w:kern w:val="21"/>
                <w:szCs w:val="21"/>
              </w:rPr>
            </w:pPr>
            <w:r>
              <w:rPr>
                <w:rFonts w:hint="eastAsia" w:ascii="Times New Roman" w:hAnsi="Times New Roman"/>
                <w:snapToGrid w:val="0"/>
                <w:color w:val="auto"/>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0"/>
              <w:spacing w:beforeLines="0" w:afterLines="0" w:line="240" w:lineRule="auto"/>
              <w:rPr>
                <w:rFonts w:ascii="Times New Roman" w:hAnsi="Times New Roman"/>
                <w:snapToGrid w:val="0"/>
                <w:color w:val="auto"/>
                <w:kern w:val="21"/>
                <w:szCs w:val="21"/>
              </w:rPr>
            </w:pPr>
          </w:p>
        </w:tc>
        <w:tc>
          <w:tcPr>
            <w:tcW w:w="1417" w:type="dxa"/>
            <w:vAlign w:val="center"/>
          </w:tcPr>
          <w:p>
            <w:pPr>
              <w:pStyle w:val="50"/>
              <w:spacing w:beforeLines="0" w:afterLines="0" w:line="240" w:lineRule="auto"/>
              <w:rPr>
                <w:rFonts w:ascii="Times New Roman" w:hAnsi="Times New Roman"/>
                <w:snapToGrid w:val="0"/>
                <w:color w:val="auto"/>
                <w:kern w:val="21"/>
                <w:szCs w:val="21"/>
              </w:rPr>
            </w:pPr>
            <w:r>
              <w:rPr>
                <w:rFonts w:ascii="Times New Roman" w:hAnsi="Times New Roman"/>
                <w:snapToGrid w:val="0"/>
                <w:color w:val="auto"/>
                <w:kern w:val="21"/>
                <w:szCs w:val="21"/>
              </w:rPr>
              <w:t>氮氧化物</w:t>
            </w: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276" w:type="dxa"/>
            <w:vAlign w:val="center"/>
          </w:tcPr>
          <w:p>
            <w:pPr>
              <w:pStyle w:val="50"/>
              <w:spacing w:beforeLines="0" w:afterLines="0" w:line="240" w:lineRule="auto"/>
              <w:rPr>
                <w:rFonts w:ascii="Times New Roman" w:hAnsi="Times New Roman"/>
                <w:snapToGrid w:val="0"/>
                <w:color w:val="auto"/>
                <w:kern w:val="21"/>
                <w:szCs w:val="21"/>
              </w:rPr>
            </w:pP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559" w:type="dxa"/>
            <w:vAlign w:val="center"/>
          </w:tcPr>
          <w:p>
            <w:pPr>
              <w:pStyle w:val="50"/>
              <w:spacing w:beforeLines="0" w:afterLines="0" w:line="240" w:lineRule="auto"/>
              <w:rPr>
                <w:rFonts w:ascii="Times New Roman" w:hAnsi="Times New Roman"/>
                <w:snapToGrid w:val="0"/>
                <w:color w:val="auto"/>
                <w:kern w:val="21"/>
                <w:szCs w:val="21"/>
              </w:rPr>
            </w:pPr>
            <w:r>
              <w:rPr>
                <w:rFonts w:ascii="Times New Roman" w:hAnsi="Times New Roman"/>
                <w:snapToGrid w:val="0"/>
                <w:color w:val="auto"/>
                <w:kern w:val="21"/>
                <w:szCs w:val="21"/>
              </w:rPr>
              <w:t>0</w:t>
            </w:r>
          </w:p>
        </w:tc>
        <w:tc>
          <w:tcPr>
            <w:tcW w:w="1761" w:type="dxa"/>
            <w:vAlign w:val="center"/>
          </w:tcPr>
          <w:p>
            <w:pPr>
              <w:pStyle w:val="50"/>
              <w:spacing w:beforeLines="0" w:afterLines="0" w:line="240" w:lineRule="auto"/>
              <w:rPr>
                <w:rFonts w:ascii="Times New Roman" w:hAnsi="Times New Roman"/>
                <w:snapToGrid w:val="0"/>
                <w:color w:val="auto"/>
                <w:kern w:val="21"/>
                <w:szCs w:val="21"/>
              </w:rPr>
            </w:pPr>
          </w:p>
        </w:tc>
        <w:tc>
          <w:tcPr>
            <w:tcW w:w="1783" w:type="dxa"/>
            <w:vAlign w:val="center"/>
          </w:tcPr>
          <w:p>
            <w:pPr>
              <w:pStyle w:val="50"/>
              <w:spacing w:beforeLines="0" w:afterLines="0" w:line="240" w:lineRule="auto"/>
              <w:rPr>
                <w:rFonts w:ascii="Times New Roman" w:hAnsi="Times New Roman"/>
                <w:snapToGrid w:val="0"/>
                <w:color w:val="auto"/>
                <w:kern w:val="21"/>
                <w:szCs w:val="21"/>
              </w:rPr>
            </w:pPr>
            <w:r>
              <w:rPr>
                <w:rFonts w:ascii="Times New Roman" w:hAnsi="Times New Roman"/>
                <w:snapToGrid w:val="0"/>
                <w:color w:val="auto"/>
                <w:kern w:val="21"/>
                <w:szCs w:val="21"/>
              </w:rPr>
              <w:t>0</w:t>
            </w:r>
          </w:p>
        </w:tc>
        <w:tc>
          <w:tcPr>
            <w:tcW w:w="1002" w:type="dxa"/>
            <w:vAlign w:val="center"/>
          </w:tcPr>
          <w:p>
            <w:pPr>
              <w:pStyle w:val="50"/>
              <w:spacing w:beforeLines="0" w:afterLines="0" w:line="240" w:lineRule="auto"/>
              <w:rPr>
                <w:rFonts w:ascii="Times New Roman" w:hAnsi="Times New Roman"/>
                <w:snapToGrid w:val="0"/>
                <w:color w:val="auto"/>
                <w:kern w:val="21"/>
                <w:szCs w:val="21"/>
              </w:rPr>
            </w:pPr>
            <w:r>
              <w:rPr>
                <w:rFonts w:hint="eastAsia" w:ascii="Times New Roman" w:hAnsi="Times New Roman"/>
                <w:snapToGrid w:val="0"/>
                <w:color w:val="auto"/>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0"/>
              <w:spacing w:beforeLines="0" w:afterLines="0" w:line="240" w:lineRule="auto"/>
              <w:rPr>
                <w:rFonts w:ascii="Times New Roman" w:hAnsi="Times New Roman"/>
                <w:snapToGrid w:val="0"/>
                <w:color w:val="auto"/>
                <w:kern w:val="21"/>
                <w:szCs w:val="21"/>
              </w:rPr>
            </w:pPr>
          </w:p>
        </w:tc>
        <w:tc>
          <w:tcPr>
            <w:tcW w:w="1417" w:type="dxa"/>
            <w:vAlign w:val="center"/>
          </w:tcPr>
          <w:p>
            <w:pPr>
              <w:pStyle w:val="50"/>
              <w:spacing w:beforeLines="0" w:afterLines="0" w:line="240" w:lineRule="auto"/>
              <w:rPr>
                <w:rFonts w:ascii="Times New Roman" w:hAnsi="Times New Roman"/>
                <w:snapToGrid w:val="0"/>
                <w:color w:val="auto"/>
                <w:kern w:val="21"/>
                <w:szCs w:val="21"/>
              </w:rPr>
            </w:pPr>
            <w:r>
              <w:rPr>
                <w:rFonts w:ascii="Times New Roman" w:hAnsi="Times New Roman"/>
                <w:snapToGrid w:val="0"/>
                <w:color w:val="auto"/>
                <w:kern w:val="21"/>
                <w:szCs w:val="21"/>
              </w:rPr>
              <w:t>非甲烷总烃</w:t>
            </w: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276" w:type="dxa"/>
            <w:vAlign w:val="center"/>
          </w:tcPr>
          <w:p>
            <w:pPr>
              <w:pStyle w:val="50"/>
              <w:spacing w:beforeLines="0" w:afterLines="0" w:line="240" w:lineRule="auto"/>
              <w:rPr>
                <w:rFonts w:ascii="Times New Roman" w:hAnsi="Times New Roman"/>
                <w:snapToGrid w:val="0"/>
                <w:color w:val="auto"/>
                <w:kern w:val="21"/>
                <w:szCs w:val="21"/>
              </w:rPr>
            </w:pP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559" w:type="dxa"/>
            <w:vAlign w:val="center"/>
          </w:tcPr>
          <w:p>
            <w:pPr>
              <w:pStyle w:val="50"/>
              <w:spacing w:beforeLines="0" w:afterLines="0" w:line="240" w:lineRule="auto"/>
              <w:rPr>
                <w:rFonts w:hint="eastAsia" w:ascii="Times New Roman" w:hAnsi="Times New Roman" w:eastAsia="宋体"/>
                <w:snapToGrid w:val="0"/>
                <w:color w:val="auto"/>
                <w:kern w:val="21"/>
                <w:szCs w:val="21"/>
                <w:lang w:val="en-US" w:eastAsia="zh-CN"/>
              </w:rPr>
            </w:pPr>
            <w:r>
              <w:rPr>
                <w:rFonts w:hint="eastAsia" w:ascii="Times New Roman" w:hAnsi="Times New Roman"/>
                <w:snapToGrid w:val="0"/>
                <w:color w:val="auto"/>
                <w:kern w:val="21"/>
                <w:szCs w:val="21"/>
                <w:lang w:eastAsia="zh-CN"/>
              </w:rPr>
              <w:t>0.046</w:t>
            </w:r>
          </w:p>
        </w:tc>
        <w:tc>
          <w:tcPr>
            <w:tcW w:w="1761" w:type="dxa"/>
            <w:vAlign w:val="center"/>
          </w:tcPr>
          <w:p>
            <w:pPr>
              <w:pStyle w:val="50"/>
              <w:spacing w:beforeLines="0" w:afterLines="0" w:line="240" w:lineRule="auto"/>
              <w:rPr>
                <w:rFonts w:ascii="Times New Roman" w:hAnsi="Times New Roman"/>
                <w:snapToGrid w:val="0"/>
                <w:color w:val="auto"/>
                <w:kern w:val="21"/>
                <w:szCs w:val="21"/>
              </w:rPr>
            </w:pPr>
          </w:p>
        </w:tc>
        <w:tc>
          <w:tcPr>
            <w:tcW w:w="1783" w:type="dxa"/>
            <w:vAlign w:val="center"/>
          </w:tcPr>
          <w:p>
            <w:pPr>
              <w:pStyle w:val="50"/>
              <w:spacing w:beforeLines="0" w:afterLines="0" w:line="240" w:lineRule="auto"/>
              <w:rPr>
                <w:rFonts w:hint="eastAsia" w:ascii="Times New Roman" w:hAnsi="Times New Roman" w:eastAsia="宋体"/>
                <w:snapToGrid w:val="0"/>
                <w:color w:val="auto"/>
                <w:kern w:val="21"/>
                <w:szCs w:val="21"/>
                <w:lang w:val="en-US" w:eastAsia="zh-CN"/>
              </w:rPr>
            </w:pPr>
            <w:r>
              <w:rPr>
                <w:rFonts w:hint="eastAsia" w:ascii="Times New Roman" w:hAnsi="Times New Roman"/>
                <w:snapToGrid w:val="0"/>
                <w:color w:val="auto"/>
                <w:kern w:val="21"/>
                <w:szCs w:val="21"/>
                <w:lang w:eastAsia="zh-CN"/>
              </w:rPr>
              <w:t>0.046</w:t>
            </w:r>
          </w:p>
        </w:tc>
        <w:tc>
          <w:tcPr>
            <w:tcW w:w="1002" w:type="dxa"/>
            <w:vAlign w:val="center"/>
          </w:tcPr>
          <w:p>
            <w:pPr>
              <w:pStyle w:val="50"/>
              <w:spacing w:beforeLines="0" w:afterLines="0" w:line="240" w:lineRule="auto"/>
              <w:rPr>
                <w:rFonts w:hint="eastAsia" w:ascii="Times New Roman" w:hAnsi="Times New Roman" w:eastAsia="宋体"/>
                <w:snapToGrid w:val="0"/>
                <w:color w:val="auto"/>
                <w:kern w:val="21"/>
                <w:szCs w:val="21"/>
                <w:lang w:val="en-US" w:eastAsia="zh-CN"/>
              </w:rPr>
            </w:pPr>
            <w:r>
              <w:rPr>
                <w:rFonts w:ascii="Times New Roman" w:hAnsi="Times New Roman"/>
                <w:snapToGrid w:val="0"/>
                <w:color w:val="auto"/>
                <w:kern w:val="21"/>
                <w:szCs w:val="21"/>
              </w:rPr>
              <w:t>+</w:t>
            </w:r>
            <w:r>
              <w:rPr>
                <w:rFonts w:hint="eastAsia" w:ascii="Times New Roman" w:hAnsi="Times New Roman"/>
                <w:snapToGrid w:val="0"/>
                <w:color w:val="auto"/>
                <w:kern w:val="21"/>
                <w:szCs w:val="21"/>
                <w:lang w:eastAsia="zh-CN"/>
              </w:rPr>
              <w:t>0.046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50"/>
              <w:spacing w:beforeLines="0" w:afterLines="0" w:line="240" w:lineRule="auto"/>
              <w:rPr>
                <w:rFonts w:ascii="Times New Roman" w:hAnsi="Times New Roman"/>
                <w:snapToGrid w:val="0"/>
                <w:color w:val="auto"/>
                <w:kern w:val="21"/>
                <w:szCs w:val="21"/>
              </w:rPr>
            </w:pPr>
            <w:r>
              <w:rPr>
                <w:rFonts w:ascii="Times New Roman" w:hAnsi="Times New Roman"/>
                <w:snapToGrid w:val="0"/>
                <w:color w:val="auto"/>
                <w:kern w:val="21"/>
                <w:szCs w:val="21"/>
              </w:rPr>
              <w:t>废水</w:t>
            </w:r>
          </w:p>
        </w:tc>
        <w:tc>
          <w:tcPr>
            <w:tcW w:w="1417" w:type="dxa"/>
            <w:vAlign w:val="center"/>
          </w:tcPr>
          <w:p>
            <w:pPr>
              <w:pStyle w:val="50"/>
              <w:spacing w:beforeLines="0" w:afterLines="0" w:line="240" w:lineRule="auto"/>
              <w:rPr>
                <w:rFonts w:ascii="Times New Roman" w:hAnsi="Times New Roman"/>
                <w:snapToGrid w:val="0"/>
                <w:color w:val="auto"/>
                <w:kern w:val="21"/>
                <w:szCs w:val="21"/>
              </w:rPr>
            </w:pPr>
            <w:r>
              <w:rPr>
                <w:rFonts w:hint="eastAsia" w:ascii="Times New Roman" w:hAnsi="Times New Roman"/>
                <w:snapToGrid w:val="0"/>
                <w:color w:val="auto"/>
                <w:kern w:val="21"/>
                <w:szCs w:val="21"/>
              </w:rPr>
              <w:t>COD</w:t>
            </w: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276" w:type="dxa"/>
            <w:vAlign w:val="center"/>
          </w:tcPr>
          <w:p>
            <w:pPr>
              <w:pStyle w:val="50"/>
              <w:spacing w:beforeLines="0" w:afterLines="0" w:line="240" w:lineRule="auto"/>
              <w:rPr>
                <w:rFonts w:ascii="Times New Roman" w:hAnsi="Times New Roman"/>
                <w:snapToGrid w:val="0"/>
                <w:color w:val="auto"/>
                <w:kern w:val="21"/>
                <w:szCs w:val="21"/>
              </w:rPr>
            </w:pP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559" w:type="dxa"/>
            <w:vAlign w:val="center"/>
          </w:tcPr>
          <w:p>
            <w:pPr>
              <w:pStyle w:val="50"/>
              <w:spacing w:beforeLines="0" w:afterLines="0" w:line="240" w:lineRule="auto"/>
              <w:rPr>
                <w:rFonts w:hint="default" w:ascii="Times New Roman" w:hAnsi="Times New Roman" w:eastAsia="宋体"/>
                <w:snapToGrid w:val="0"/>
                <w:color w:val="auto"/>
                <w:kern w:val="21"/>
                <w:szCs w:val="21"/>
                <w:lang w:val="en-US" w:eastAsia="zh-CN"/>
              </w:rPr>
            </w:pPr>
            <w:r>
              <w:rPr>
                <w:rFonts w:hint="eastAsia" w:ascii="Times New Roman" w:hAnsi="Times New Roman"/>
                <w:snapToGrid w:val="0"/>
                <w:color w:val="auto"/>
                <w:kern w:val="21"/>
                <w:szCs w:val="21"/>
                <w:lang w:val="en-US" w:eastAsia="zh-CN"/>
              </w:rPr>
              <w:t>0</w:t>
            </w:r>
          </w:p>
        </w:tc>
        <w:tc>
          <w:tcPr>
            <w:tcW w:w="1761" w:type="dxa"/>
            <w:vAlign w:val="center"/>
          </w:tcPr>
          <w:p>
            <w:pPr>
              <w:pStyle w:val="50"/>
              <w:spacing w:beforeLines="0" w:afterLines="0" w:line="240" w:lineRule="auto"/>
              <w:rPr>
                <w:rFonts w:ascii="Times New Roman" w:hAnsi="Times New Roman"/>
                <w:snapToGrid w:val="0"/>
                <w:color w:val="auto"/>
                <w:kern w:val="21"/>
                <w:szCs w:val="21"/>
              </w:rPr>
            </w:pPr>
          </w:p>
        </w:tc>
        <w:tc>
          <w:tcPr>
            <w:tcW w:w="1783" w:type="dxa"/>
            <w:vAlign w:val="center"/>
          </w:tcPr>
          <w:p>
            <w:pPr>
              <w:pStyle w:val="50"/>
              <w:spacing w:beforeLines="0" w:afterLines="0" w:line="240" w:lineRule="auto"/>
              <w:rPr>
                <w:rFonts w:hint="eastAsia" w:ascii="Times New Roman" w:hAnsi="Times New Roman" w:eastAsia="宋体"/>
                <w:snapToGrid w:val="0"/>
                <w:color w:val="auto"/>
                <w:kern w:val="21"/>
                <w:szCs w:val="21"/>
                <w:lang w:val="en-US" w:eastAsia="zh-CN"/>
              </w:rPr>
            </w:pPr>
            <w:r>
              <w:rPr>
                <w:rFonts w:hint="eastAsia" w:ascii="Times New Roman" w:hAnsi="Times New Roman"/>
                <w:snapToGrid w:val="0"/>
                <w:color w:val="auto"/>
                <w:kern w:val="21"/>
                <w:szCs w:val="21"/>
                <w:lang w:eastAsia="zh-CN"/>
              </w:rPr>
              <w:t>0</w:t>
            </w:r>
          </w:p>
        </w:tc>
        <w:tc>
          <w:tcPr>
            <w:tcW w:w="1002" w:type="dxa"/>
            <w:vAlign w:val="center"/>
          </w:tcPr>
          <w:p>
            <w:pPr>
              <w:pStyle w:val="50"/>
              <w:spacing w:beforeLines="0" w:afterLines="0" w:line="240" w:lineRule="auto"/>
              <w:rPr>
                <w:rFonts w:hint="eastAsia" w:ascii="Times New Roman" w:hAnsi="Times New Roman" w:eastAsia="宋体"/>
                <w:snapToGrid w:val="0"/>
                <w:color w:val="auto"/>
                <w:kern w:val="21"/>
                <w:szCs w:val="21"/>
                <w:lang w:val="en-US" w:eastAsia="zh-CN"/>
              </w:rPr>
            </w:pPr>
            <w:r>
              <w:rPr>
                <w:rFonts w:hint="eastAsia" w:ascii="Times New Roman" w:hAnsi="Times New Roman"/>
                <w:snapToGrid w:val="0"/>
                <w:color w:val="auto"/>
                <w:kern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0"/>
              <w:spacing w:beforeLines="0" w:afterLines="0" w:line="240" w:lineRule="auto"/>
              <w:rPr>
                <w:rFonts w:ascii="Times New Roman" w:hAnsi="Times New Roman"/>
                <w:snapToGrid w:val="0"/>
                <w:color w:val="auto"/>
                <w:kern w:val="21"/>
                <w:szCs w:val="21"/>
              </w:rPr>
            </w:pPr>
          </w:p>
        </w:tc>
        <w:tc>
          <w:tcPr>
            <w:tcW w:w="1417" w:type="dxa"/>
            <w:vAlign w:val="center"/>
          </w:tcPr>
          <w:p>
            <w:pPr>
              <w:pStyle w:val="50"/>
              <w:spacing w:beforeLines="0" w:afterLines="0" w:line="240" w:lineRule="auto"/>
              <w:rPr>
                <w:rFonts w:ascii="Times New Roman" w:hAnsi="Times New Roman"/>
                <w:snapToGrid w:val="0"/>
                <w:color w:val="auto"/>
                <w:kern w:val="21"/>
                <w:szCs w:val="21"/>
              </w:rPr>
            </w:pPr>
            <w:r>
              <w:rPr>
                <w:rFonts w:hint="eastAsia" w:ascii="Times New Roman" w:hAnsi="Times New Roman"/>
                <w:snapToGrid w:val="0"/>
                <w:color w:val="auto"/>
                <w:kern w:val="21"/>
                <w:szCs w:val="21"/>
              </w:rPr>
              <w:t>氨氮</w:t>
            </w: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276" w:type="dxa"/>
            <w:vAlign w:val="center"/>
          </w:tcPr>
          <w:p>
            <w:pPr>
              <w:pStyle w:val="50"/>
              <w:spacing w:beforeLines="0" w:afterLines="0" w:line="240" w:lineRule="auto"/>
              <w:rPr>
                <w:rFonts w:ascii="Times New Roman" w:hAnsi="Times New Roman"/>
                <w:snapToGrid w:val="0"/>
                <w:color w:val="auto"/>
                <w:kern w:val="21"/>
                <w:szCs w:val="21"/>
              </w:rPr>
            </w:pP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559" w:type="dxa"/>
            <w:vAlign w:val="center"/>
          </w:tcPr>
          <w:p>
            <w:pPr>
              <w:pStyle w:val="50"/>
              <w:spacing w:beforeLines="0" w:afterLines="0" w:line="240" w:lineRule="auto"/>
              <w:rPr>
                <w:rFonts w:hint="eastAsia" w:ascii="Times New Roman" w:hAnsi="Times New Roman" w:eastAsia="宋体"/>
                <w:snapToGrid w:val="0"/>
                <w:color w:val="auto"/>
                <w:kern w:val="21"/>
                <w:szCs w:val="21"/>
                <w:lang w:val="en-US" w:eastAsia="zh-CN"/>
              </w:rPr>
            </w:pPr>
            <w:r>
              <w:rPr>
                <w:rFonts w:hint="eastAsia" w:ascii="Times New Roman" w:hAnsi="Times New Roman"/>
                <w:snapToGrid w:val="0"/>
                <w:color w:val="auto"/>
                <w:kern w:val="21"/>
                <w:szCs w:val="21"/>
                <w:lang w:val="en-US" w:eastAsia="zh-CN"/>
              </w:rPr>
              <w:t>0</w:t>
            </w:r>
          </w:p>
        </w:tc>
        <w:tc>
          <w:tcPr>
            <w:tcW w:w="1761" w:type="dxa"/>
            <w:vAlign w:val="center"/>
          </w:tcPr>
          <w:p>
            <w:pPr>
              <w:pStyle w:val="50"/>
              <w:spacing w:beforeLines="0" w:afterLines="0" w:line="240" w:lineRule="auto"/>
              <w:rPr>
                <w:rFonts w:ascii="Times New Roman" w:hAnsi="Times New Roman"/>
                <w:snapToGrid w:val="0"/>
                <w:color w:val="auto"/>
                <w:kern w:val="21"/>
                <w:szCs w:val="21"/>
              </w:rPr>
            </w:pPr>
          </w:p>
        </w:tc>
        <w:tc>
          <w:tcPr>
            <w:tcW w:w="1783" w:type="dxa"/>
            <w:vAlign w:val="center"/>
          </w:tcPr>
          <w:p>
            <w:pPr>
              <w:pStyle w:val="50"/>
              <w:spacing w:beforeLines="0" w:afterLines="0" w:line="240" w:lineRule="auto"/>
              <w:rPr>
                <w:rFonts w:hint="eastAsia" w:ascii="Times New Roman" w:hAnsi="Times New Roman" w:eastAsia="宋体"/>
                <w:snapToGrid w:val="0"/>
                <w:color w:val="auto"/>
                <w:kern w:val="21"/>
                <w:szCs w:val="21"/>
                <w:lang w:val="en-US" w:eastAsia="zh-CN"/>
              </w:rPr>
            </w:pPr>
            <w:r>
              <w:rPr>
                <w:rFonts w:hint="eastAsia" w:ascii="Times New Roman" w:hAnsi="Times New Roman"/>
                <w:snapToGrid w:val="0"/>
                <w:color w:val="auto"/>
                <w:kern w:val="21"/>
                <w:szCs w:val="21"/>
                <w:lang w:val="en-US" w:eastAsia="zh-CN"/>
              </w:rPr>
              <w:t>0</w:t>
            </w:r>
          </w:p>
        </w:tc>
        <w:tc>
          <w:tcPr>
            <w:tcW w:w="1002" w:type="dxa"/>
            <w:vAlign w:val="center"/>
          </w:tcPr>
          <w:p>
            <w:pPr>
              <w:pStyle w:val="50"/>
              <w:spacing w:beforeLines="0" w:afterLines="0" w:line="240" w:lineRule="auto"/>
              <w:rPr>
                <w:rFonts w:hint="eastAsia" w:ascii="Times New Roman" w:hAnsi="Times New Roman" w:eastAsia="宋体"/>
                <w:snapToGrid w:val="0"/>
                <w:color w:val="auto"/>
                <w:kern w:val="21"/>
                <w:szCs w:val="21"/>
                <w:lang w:val="en-US" w:eastAsia="zh-CN"/>
              </w:rPr>
            </w:pPr>
            <w:r>
              <w:rPr>
                <w:rFonts w:hint="eastAsia" w:ascii="Times New Roman" w:hAnsi="Times New Roman"/>
                <w:snapToGrid w:val="0"/>
                <w:color w:val="auto"/>
                <w:kern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50"/>
              <w:spacing w:beforeLines="0" w:afterLines="0" w:line="240" w:lineRule="auto"/>
              <w:rPr>
                <w:rFonts w:ascii="Times New Roman" w:hAnsi="Times New Roman"/>
                <w:snapToGrid w:val="0"/>
                <w:color w:val="auto"/>
                <w:kern w:val="21"/>
                <w:szCs w:val="21"/>
              </w:rPr>
            </w:pPr>
            <w:r>
              <w:rPr>
                <w:rFonts w:ascii="Times New Roman" w:hAnsi="Times New Roman"/>
                <w:snapToGrid w:val="0"/>
                <w:color w:val="auto"/>
                <w:kern w:val="21"/>
                <w:szCs w:val="21"/>
              </w:rPr>
              <w:t>一般工业</w:t>
            </w:r>
          </w:p>
          <w:p>
            <w:pPr>
              <w:pStyle w:val="50"/>
              <w:spacing w:beforeLines="0" w:afterLines="0" w:line="240" w:lineRule="auto"/>
              <w:rPr>
                <w:rFonts w:ascii="Times New Roman" w:hAnsi="Times New Roman"/>
                <w:snapToGrid w:val="0"/>
                <w:color w:val="auto"/>
                <w:kern w:val="21"/>
                <w:szCs w:val="21"/>
              </w:rPr>
            </w:pPr>
            <w:r>
              <w:rPr>
                <w:rFonts w:ascii="Times New Roman" w:hAnsi="Times New Roman"/>
                <w:snapToGrid w:val="0"/>
                <w:color w:val="auto"/>
                <w:kern w:val="21"/>
                <w:szCs w:val="21"/>
              </w:rPr>
              <w:t>固体废物</w:t>
            </w:r>
          </w:p>
        </w:tc>
        <w:tc>
          <w:tcPr>
            <w:tcW w:w="1417" w:type="dxa"/>
            <w:vAlign w:val="center"/>
          </w:tcPr>
          <w:p>
            <w:pPr>
              <w:pStyle w:val="50"/>
              <w:spacing w:beforeLines="0" w:afterLines="0" w:line="240" w:lineRule="auto"/>
              <w:rPr>
                <w:rFonts w:hint="eastAsia" w:ascii="Times New Roman" w:hAnsi="Times New Roman" w:eastAsia="宋体"/>
                <w:snapToGrid w:val="0"/>
                <w:color w:val="auto"/>
                <w:kern w:val="21"/>
                <w:szCs w:val="21"/>
                <w:lang w:eastAsia="zh-CN"/>
              </w:rPr>
            </w:pPr>
            <w:r>
              <w:rPr>
                <w:rFonts w:hint="eastAsia" w:ascii="Times New Roman" w:hAnsi="Times New Roman"/>
                <w:color w:val="auto"/>
                <w:szCs w:val="21"/>
                <w:lang w:eastAsia="zh-CN"/>
              </w:rPr>
              <w:t>废包装袋</w:t>
            </w: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276" w:type="dxa"/>
            <w:vAlign w:val="center"/>
          </w:tcPr>
          <w:p>
            <w:pPr>
              <w:pStyle w:val="50"/>
              <w:spacing w:beforeLines="0" w:afterLines="0" w:line="240" w:lineRule="auto"/>
              <w:rPr>
                <w:rFonts w:ascii="Times New Roman" w:hAnsi="Times New Roman"/>
                <w:snapToGrid w:val="0"/>
                <w:color w:val="auto"/>
                <w:kern w:val="21"/>
                <w:szCs w:val="21"/>
              </w:rPr>
            </w:pP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559" w:type="dxa"/>
            <w:vAlign w:val="center"/>
          </w:tcPr>
          <w:p>
            <w:pPr>
              <w:pStyle w:val="50"/>
              <w:spacing w:beforeLines="0" w:afterLines="0" w:line="240" w:lineRule="auto"/>
              <w:rPr>
                <w:rFonts w:hint="default" w:ascii="Times New Roman" w:hAnsi="Times New Roman" w:eastAsia="宋体"/>
                <w:snapToGrid w:val="0"/>
                <w:color w:val="auto"/>
                <w:kern w:val="21"/>
                <w:szCs w:val="21"/>
                <w:lang w:val="en-US" w:eastAsia="zh-CN"/>
              </w:rPr>
            </w:pPr>
            <w:r>
              <w:rPr>
                <w:rFonts w:hint="eastAsia" w:ascii="Times New Roman" w:hAnsi="Times New Roman"/>
                <w:snapToGrid w:val="0"/>
                <w:color w:val="auto"/>
                <w:kern w:val="21"/>
                <w:szCs w:val="21"/>
                <w:lang w:val="en-US" w:eastAsia="zh-CN"/>
              </w:rPr>
              <w:t>0.2t</w:t>
            </w:r>
          </w:p>
        </w:tc>
        <w:tc>
          <w:tcPr>
            <w:tcW w:w="1761" w:type="dxa"/>
            <w:vAlign w:val="center"/>
          </w:tcPr>
          <w:p>
            <w:pPr>
              <w:pStyle w:val="50"/>
              <w:spacing w:beforeLines="0" w:afterLines="0" w:line="240" w:lineRule="auto"/>
              <w:rPr>
                <w:rFonts w:ascii="Times New Roman" w:hAnsi="Times New Roman"/>
                <w:snapToGrid w:val="0"/>
                <w:color w:val="auto"/>
                <w:kern w:val="21"/>
                <w:szCs w:val="21"/>
              </w:rPr>
            </w:pPr>
          </w:p>
        </w:tc>
        <w:tc>
          <w:tcPr>
            <w:tcW w:w="1783" w:type="dxa"/>
            <w:vAlign w:val="center"/>
          </w:tcPr>
          <w:p>
            <w:pPr>
              <w:pStyle w:val="50"/>
              <w:spacing w:beforeLines="0" w:afterLines="0" w:line="240" w:lineRule="auto"/>
              <w:rPr>
                <w:rFonts w:ascii="Times New Roman" w:hAnsi="Times New Roman"/>
                <w:snapToGrid w:val="0"/>
                <w:color w:val="auto"/>
                <w:kern w:val="21"/>
                <w:szCs w:val="21"/>
              </w:rPr>
            </w:pPr>
            <w:r>
              <w:rPr>
                <w:rFonts w:hint="eastAsia" w:ascii="Times New Roman" w:hAnsi="Times New Roman"/>
                <w:snapToGrid w:val="0"/>
                <w:color w:val="auto"/>
                <w:kern w:val="21"/>
                <w:szCs w:val="21"/>
                <w:lang w:val="en-US" w:eastAsia="zh-CN"/>
              </w:rPr>
              <w:t>0.2t</w:t>
            </w:r>
          </w:p>
        </w:tc>
        <w:tc>
          <w:tcPr>
            <w:tcW w:w="1002" w:type="dxa"/>
            <w:vAlign w:val="center"/>
          </w:tcPr>
          <w:p>
            <w:pPr>
              <w:pStyle w:val="50"/>
              <w:spacing w:beforeLines="0" w:afterLines="0" w:line="240" w:lineRule="auto"/>
              <w:rPr>
                <w:rFonts w:ascii="Times New Roman" w:hAnsi="Times New Roman"/>
                <w:snapToGrid w:val="0"/>
                <w:color w:val="auto"/>
                <w:kern w:val="21"/>
                <w:szCs w:val="21"/>
              </w:rPr>
            </w:pPr>
            <w:r>
              <w:rPr>
                <w:rFonts w:hint="eastAsia" w:ascii="Times New Roman" w:hAnsi="Times New Roman"/>
                <w:snapToGrid w:val="0"/>
                <w:color w:val="auto"/>
                <w:kern w:val="21"/>
                <w:szCs w:val="21"/>
              </w:rPr>
              <w:t>+</w:t>
            </w:r>
            <w:r>
              <w:rPr>
                <w:rFonts w:hint="eastAsia" w:ascii="Times New Roman" w:hAnsi="Times New Roman"/>
                <w:snapToGrid w:val="0"/>
                <w:color w:val="auto"/>
                <w:kern w:val="21"/>
                <w:szCs w:val="21"/>
                <w:lang w:val="en-US" w:eastAsia="zh-CN"/>
              </w:rPr>
              <w:t>0.2t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0"/>
              <w:spacing w:beforeLines="0" w:afterLines="0" w:line="240" w:lineRule="auto"/>
              <w:rPr>
                <w:rFonts w:ascii="Times New Roman" w:hAnsi="Times New Roman"/>
                <w:snapToGrid w:val="0"/>
                <w:color w:val="auto"/>
                <w:kern w:val="21"/>
                <w:szCs w:val="21"/>
              </w:rPr>
            </w:pPr>
          </w:p>
        </w:tc>
        <w:tc>
          <w:tcPr>
            <w:tcW w:w="1417" w:type="dxa"/>
            <w:vAlign w:val="center"/>
          </w:tcPr>
          <w:p>
            <w:pPr>
              <w:pStyle w:val="50"/>
              <w:spacing w:beforeLines="0" w:afterLines="0" w:line="240" w:lineRule="auto"/>
              <w:rPr>
                <w:rFonts w:hint="eastAsia" w:ascii="Times New Roman" w:hAnsi="Times New Roman" w:eastAsia="宋体"/>
                <w:snapToGrid w:val="0"/>
                <w:color w:val="auto"/>
                <w:kern w:val="21"/>
                <w:szCs w:val="21"/>
                <w:lang w:eastAsia="zh-CN"/>
              </w:rPr>
            </w:pPr>
            <w:r>
              <w:rPr>
                <w:rFonts w:hint="eastAsia" w:ascii="Times New Roman" w:hAnsi="Times New Roman"/>
                <w:snapToGrid w:val="0"/>
                <w:color w:val="auto"/>
                <w:kern w:val="21"/>
                <w:szCs w:val="21"/>
                <w:lang w:eastAsia="zh-CN"/>
              </w:rPr>
              <w:t>下脚料</w:t>
            </w: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276" w:type="dxa"/>
            <w:vAlign w:val="center"/>
          </w:tcPr>
          <w:p>
            <w:pPr>
              <w:pStyle w:val="50"/>
              <w:spacing w:beforeLines="0" w:afterLines="0" w:line="240" w:lineRule="auto"/>
              <w:rPr>
                <w:rFonts w:ascii="Times New Roman" w:hAnsi="Times New Roman"/>
                <w:snapToGrid w:val="0"/>
                <w:color w:val="auto"/>
                <w:kern w:val="21"/>
                <w:szCs w:val="21"/>
              </w:rPr>
            </w:pP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559" w:type="dxa"/>
            <w:vAlign w:val="center"/>
          </w:tcPr>
          <w:p>
            <w:pPr>
              <w:pStyle w:val="50"/>
              <w:spacing w:beforeLines="0" w:afterLines="0" w:line="240" w:lineRule="auto"/>
              <w:rPr>
                <w:rFonts w:hint="default" w:ascii="Times New Roman" w:hAnsi="Times New Roman"/>
                <w:snapToGrid w:val="0"/>
                <w:color w:val="auto"/>
                <w:kern w:val="21"/>
                <w:szCs w:val="21"/>
                <w:lang w:val="en-US"/>
              </w:rPr>
            </w:pPr>
            <w:r>
              <w:rPr>
                <w:rFonts w:hint="eastAsia" w:ascii="Times New Roman" w:hAnsi="Times New Roman"/>
                <w:snapToGrid w:val="0"/>
                <w:color w:val="auto"/>
                <w:kern w:val="21"/>
                <w:szCs w:val="21"/>
                <w:lang w:val="en-US" w:eastAsia="zh-CN"/>
              </w:rPr>
              <w:t>3t</w:t>
            </w:r>
          </w:p>
        </w:tc>
        <w:tc>
          <w:tcPr>
            <w:tcW w:w="1761" w:type="dxa"/>
            <w:vAlign w:val="center"/>
          </w:tcPr>
          <w:p>
            <w:pPr>
              <w:pStyle w:val="50"/>
              <w:spacing w:beforeLines="0" w:afterLines="0" w:line="240" w:lineRule="auto"/>
              <w:rPr>
                <w:rFonts w:ascii="Times New Roman" w:hAnsi="Times New Roman"/>
                <w:snapToGrid w:val="0"/>
                <w:color w:val="auto"/>
                <w:kern w:val="21"/>
                <w:szCs w:val="21"/>
              </w:rPr>
            </w:pPr>
          </w:p>
        </w:tc>
        <w:tc>
          <w:tcPr>
            <w:tcW w:w="1783" w:type="dxa"/>
            <w:vAlign w:val="center"/>
          </w:tcPr>
          <w:p>
            <w:pPr>
              <w:pStyle w:val="50"/>
              <w:spacing w:beforeLines="0" w:afterLines="0" w:line="240" w:lineRule="auto"/>
              <w:rPr>
                <w:rFonts w:ascii="Times New Roman" w:hAnsi="Times New Roman"/>
                <w:snapToGrid w:val="0"/>
                <w:color w:val="auto"/>
                <w:kern w:val="21"/>
                <w:szCs w:val="21"/>
              </w:rPr>
            </w:pPr>
            <w:r>
              <w:rPr>
                <w:rFonts w:hint="eastAsia" w:ascii="Times New Roman" w:hAnsi="Times New Roman"/>
                <w:snapToGrid w:val="0"/>
                <w:color w:val="auto"/>
                <w:kern w:val="21"/>
                <w:szCs w:val="21"/>
                <w:lang w:val="en-US" w:eastAsia="zh-CN"/>
              </w:rPr>
              <w:t>3t</w:t>
            </w:r>
          </w:p>
        </w:tc>
        <w:tc>
          <w:tcPr>
            <w:tcW w:w="1002" w:type="dxa"/>
            <w:vAlign w:val="center"/>
          </w:tcPr>
          <w:p>
            <w:pPr>
              <w:pStyle w:val="50"/>
              <w:spacing w:beforeLines="0" w:afterLines="0" w:line="240" w:lineRule="auto"/>
              <w:rPr>
                <w:rFonts w:ascii="Times New Roman" w:hAnsi="Times New Roman"/>
                <w:snapToGrid w:val="0"/>
                <w:color w:val="auto"/>
                <w:kern w:val="21"/>
                <w:szCs w:val="21"/>
              </w:rPr>
            </w:pPr>
            <w:r>
              <w:rPr>
                <w:rFonts w:hint="eastAsia" w:ascii="Times New Roman" w:hAnsi="Times New Roman"/>
                <w:snapToGrid w:val="0"/>
                <w:color w:val="auto"/>
                <w:kern w:val="21"/>
                <w:szCs w:val="21"/>
              </w:rPr>
              <w:t>+</w:t>
            </w:r>
            <w:r>
              <w:rPr>
                <w:rFonts w:hint="eastAsia" w:ascii="Times New Roman" w:hAnsi="Times New Roman"/>
                <w:snapToGrid w:val="0"/>
                <w:color w:val="auto"/>
                <w:kern w:val="21"/>
                <w:szCs w:val="21"/>
                <w:lang w:val="en-US" w:eastAsia="zh-CN"/>
              </w:rPr>
              <w:t>3t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50"/>
              <w:spacing w:beforeLines="0" w:afterLines="0" w:line="240" w:lineRule="auto"/>
              <w:rPr>
                <w:rFonts w:ascii="Times New Roman" w:hAnsi="Times New Roman"/>
                <w:snapToGrid w:val="0"/>
                <w:color w:val="auto"/>
                <w:kern w:val="21"/>
                <w:szCs w:val="21"/>
              </w:rPr>
            </w:pPr>
            <w:r>
              <w:rPr>
                <w:rFonts w:ascii="Times New Roman" w:hAnsi="Times New Roman"/>
                <w:snapToGrid w:val="0"/>
                <w:color w:val="auto"/>
                <w:kern w:val="21"/>
                <w:szCs w:val="21"/>
              </w:rPr>
              <w:t>危险废物</w:t>
            </w:r>
          </w:p>
        </w:tc>
        <w:tc>
          <w:tcPr>
            <w:tcW w:w="1417" w:type="dxa"/>
            <w:vAlign w:val="center"/>
          </w:tcPr>
          <w:p>
            <w:pPr>
              <w:pStyle w:val="50"/>
              <w:spacing w:beforeLines="0" w:afterLines="0" w:line="240" w:lineRule="auto"/>
              <w:rPr>
                <w:rFonts w:hint="eastAsia" w:ascii="Times New Roman" w:hAnsi="Times New Roman" w:eastAsia="宋体"/>
                <w:snapToGrid w:val="0"/>
                <w:color w:val="auto"/>
                <w:kern w:val="21"/>
                <w:szCs w:val="21"/>
                <w:lang w:eastAsia="zh-CN"/>
              </w:rPr>
            </w:pPr>
            <w:r>
              <w:rPr>
                <w:rFonts w:hint="eastAsia" w:ascii="Times New Roman" w:hAnsi="Times New Roman"/>
                <w:snapToGrid w:val="0"/>
                <w:color w:val="auto"/>
                <w:kern w:val="21"/>
                <w:szCs w:val="21"/>
                <w:lang w:eastAsia="zh-CN"/>
              </w:rPr>
              <w:t>废</w:t>
            </w:r>
            <w:r>
              <w:rPr>
                <w:rFonts w:hint="eastAsia" w:ascii="Times New Roman" w:hAnsi="Times New Roman"/>
                <w:snapToGrid w:val="0"/>
                <w:color w:val="auto"/>
                <w:kern w:val="21"/>
                <w:szCs w:val="21"/>
                <w:lang w:val="en-US" w:eastAsia="zh-CN"/>
              </w:rPr>
              <w:t>活性炭</w:t>
            </w: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276" w:type="dxa"/>
            <w:vAlign w:val="center"/>
          </w:tcPr>
          <w:p>
            <w:pPr>
              <w:pStyle w:val="50"/>
              <w:spacing w:beforeLines="0" w:afterLines="0" w:line="240" w:lineRule="auto"/>
              <w:rPr>
                <w:rFonts w:ascii="Times New Roman" w:hAnsi="Times New Roman"/>
                <w:snapToGrid w:val="0"/>
                <w:color w:val="auto"/>
                <w:kern w:val="21"/>
                <w:szCs w:val="21"/>
              </w:rPr>
            </w:pP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559" w:type="dxa"/>
            <w:vAlign w:val="center"/>
          </w:tcPr>
          <w:p>
            <w:pPr>
              <w:pStyle w:val="50"/>
              <w:spacing w:beforeLines="0" w:afterLines="0" w:line="240" w:lineRule="auto"/>
              <w:jc w:val="center"/>
              <w:rPr>
                <w:rFonts w:hint="default" w:ascii="Times New Roman" w:hAnsi="Times New Roman" w:eastAsia="宋体"/>
                <w:snapToGrid w:val="0"/>
                <w:color w:val="auto"/>
                <w:kern w:val="21"/>
                <w:szCs w:val="21"/>
                <w:lang w:val="en-US" w:eastAsia="zh-CN"/>
              </w:rPr>
            </w:pPr>
            <w:r>
              <w:rPr>
                <w:rFonts w:hint="eastAsia" w:ascii="Times New Roman" w:hAnsi="Times New Roman"/>
                <w:snapToGrid w:val="0"/>
                <w:color w:val="auto"/>
                <w:kern w:val="21"/>
                <w:szCs w:val="21"/>
                <w:lang w:val="en-US" w:eastAsia="zh-CN"/>
              </w:rPr>
              <w:t>0.26t</w:t>
            </w:r>
          </w:p>
        </w:tc>
        <w:tc>
          <w:tcPr>
            <w:tcW w:w="1761" w:type="dxa"/>
            <w:vAlign w:val="center"/>
          </w:tcPr>
          <w:p>
            <w:pPr>
              <w:pStyle w:val="50"/>
              <w:spacing w:beforeLines="0" w:afterLines="0" w:line="240" w:lineRule="auto"/>
              <w:jc w:val="center"/>
              <w:rPr>
                <w:rFonts w:ascii="Times New Roman" w:hAnsi="Times New Roman"/>
                <w:snapToGrid w:val="0"/>
                <w:color w:val="auto"/>
                <w:kern w:val="21"/>
                <w:szCs w:val="21"/>
              </w:rPr>
            </w:pPr>
          </w:p>
        </w:tc>
        <w:tc>
          <w:tcPr>
            <w:tcW w:w="1783" w:type="dxa"/>
            <w:vAlign w:val="center"/>
          </w:tcPr>
          <w:p>
            <w:pPr>
              <w:spacing w:beforeLines="0" w:afterLines="0" w:line="240" w:lineRule="auto"/>
              <w:jc w:val="center"/>
              <w:rPr>
                <w:rFonts w:ascii="Times New Roman" w:hAnsi="Times New Roman"/>
                <w:snapToGrid w:val="0"/>
                <w:color w:val="auto"/>
                <w:kern w:val="21"/>
                <w:szCs w:val="21"/>
              </w:rPr>
            </w:pPr>
            <w:r>
              <w:rPr>
                <w:rFonts w:hint="eastAsia"/>
                <w:snapToGrid w:val="0"/>
                <w:color w:val="auto"/>
                <w:kern w:val="21"/>
                <w:szCs w:val="21"/>
                <w:lang w:val="en-US" w:eastAsia="zh-CN"/>
              </w:rPr>
              <w:t>0.26t</w:t>
            </w:r>
          </w:p>
        </w:tc>
        <w:tc>
          <w:tcPr>
            <w:tcW w:w="1002" w:type="dxa"/>
            <w:vAlign w:val="center"/>
          </w:tcPr>
          <w:p>
            <w:pPr>
              <w:spacing w:beforeLines="0" w:afterLines="0" w:line="240" w:lineRule="auto"/>
              <w:jc w:val="center"/>
              <w:rPr>
                <w:rFonts w:ascii="Times New Roman" w:hAnsi="Times New Roman"/>
                <w:snapToGrid w:val="0"/>
                <w:color w:val="auto"/>
                <w:kern w:val="21"/>
                <w:szCs w:val="21"/>
              </w:rPr>
            </w:pPr>
            <w:r>
              <w:rPr>
                <w:rFonts w:hint="eastAsia"/>
                <w:snapToGrid w:val="0"/>
                <w:color w:val="auto"/>
                <w:kern w:val="21"/>
                <w:szCs w:val="21"/>
                <w:lang w:val="en-US" w:eastAsia="zh-CN"/>
              </w:rPr>
              <w:t>+0.26t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0"/>
              <w:spacing w:beforeLines="0" w:afterLines="0" w:line="240" w:lineRule="auto"/>
              <w:rPr>
                <w:rFonts w:ascii="Times New Roman" w:hAnsi="Times New Roman"/>
                <w:snapToGrid w:val="0"/>
                <w:color w:val="auto"/>
                <w:kern w:val="21"/>
                <w:szCs w:val="21"/>
              </w:rPr>
            </w:pPr>
          </w:p>
        </w:tc>
        <w:tc>
          <w:tcPr>
            <w:tcW w:w="1417" w:type="dxa"/>
            <w:vAlign w:val="center"/>
          </w:tcPr>
          <w:p>
            <w:pPr>
              <w:pStyle w:val="50"/>
              <w:spacing w:beforeLines="0" w:afterLines="0" w:line="240" w:lineRule="auto"/>
              <w:rPr>
                <w:rFonts w:hint="default" w:ascii="Times New Roman" w:hAnsi="Times New Roman" w:eastAsia="宋体"/>
                <w:snapToGrid w:val="0"/>
                <w:color w:val="auto"/>
                <w:kern w:val="21"/>
                <w:szCs w:val="21"/>
                <w:lang w:val="en-US" w:eastAsia="zh-CN"/>
              </w:rPr>
            </w:pPr>
            <w:r>
              <w:rPr>
                <w:rFonts w:hint="eastAsia" w:ascii="Times New Roman" w:hAnsi="Times New Roman"/>
                <w:snapToGrid w:val="0"/>
                <w:color w:val="auto"/>
                <w:kern w:val="21"/>
                <w:szCs w:val="21"/>
                <w:lang w:val="en-US" w:eastAsia="zh-CN"/>
              </w:rPr>
              <w:t>废UV灯管</w:t>
            </w: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276" w:type="dxa"/>
            <w:vAlign w:val="center"/>
          </w:tcPr>
          <w:p>
            <w:pPr>
              <w:pStyle w:val="50"/>
              <w:spacing w:beforeLines="0" w:afterLines="0" w:line="240" w:lineRule="auto"/>
              <w:rPr>
                <w:rFonts w:ascii="Times New Roman" w:hAnsi="Times New Roman"/>
                <w:snapToGrid w:val="0"/>
                <w:color w:val="auto"/>
                <w:kern w:val="21"/>
                <w:szCs w:val="21"/>
              </w:rPr>
            </w:pP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559" w:type="dxa"/>
            <w:vAlign w:val="center"/>
          </w:tcPr>
          <w:p>
            <w:pPr>
              <w:pStyle w:val="50"/>
              <w:spacing w:beforeLines="0" w:afterLines="0" w:line="240" w:lineRule="auto"/>
              <w:rPr>
                <w:rFonts w:hint="default" w:ascii="Times New Roman" w:hAnsi="Times New Roman" w:eastAsia="宋体"/>
                <w:snapToGrid w:val="0"/>
                <w:color w:val="auto"/>
                <w:kern w:val="21"/>
                <w:szCs w:val="21"/>
                <w:lang w:val="en-US" w:eastAsia="zh-CN"/>
              </w:rPr>
            </w:pPr>
            <w:r>
              <w:rPr>
                <w:rFonts w:hint="eastAsia" w:ascii="Times New Roman" w:hAnsi="Times New Roman"/>
                <w:snapToGrid w:val="0"/>
                <w:color w:val="auto"/>
                <w:kern w:val="21"/>
                <w:szCs w:val="21"/>
                <w:lang w:val="en-US" w:eastAsia="zh-CN"/>
              </w:rPr>
              <w:t>40支</w:t>
            </w:r>
          </w:p>
        </w:tc>
        <w:tc>
          <w:tcPr>
            <w:tcW w:w="1761" w:type="dxa"/>
            <w:vAlign w:val="center"/>
          </w:tcPr>
          <w:p>
            <w:pPr>
              <w:pStyle w:val="50"/>
              <w:spacing w:beforeLines="0" w:afterLines="0" w:line="240" w:lineRule="auto"/>
              <w:rPr>
                <w:rFonts w:ascii="Times New Roman" w:hAnsi="Times New Roman"/>
                <w:snapToGrid w:val="0"/>
                <w:color w:val="auto"/>
                <w:kern w:val="21"/>
                <w:szCs w:val="21"/>
              </w:rPr>
            </w:pPr>
          </w:p>
        </w:tc>
        <w:tc>
          <w:tcPr>
            <w:tcW w:w="1783" w:type="dxa"/>
            <w:vAlign w:val="center"/>
          </w:tcPr>
          <w:p>
            <w:pPr>
              <w:pStyle w:val="50"/>
              <w:spacing w:beforeLines="0" w:afterLines="0" w:line="240" w:lineRule="auto"/>
              <w:rPr>
                <w:rFonts w:ascii="Times New Roman" w:hAnsi="Times New Roman"/>
                <w:snapToGrid w:val="0"/>
                <w:color w:val="auto"/>
                <w:kern w:val="21"/>
                <w:szCs w:val="21"/>
              </w:rPr>
            </w:pPr>
            <w:r>
              <w:rPr>
                <w:rFonts w:hint="eastAsia" w:ascii="Times New Roman" w:hAnsi="Times New Roman"/>
                <w:snapToGrid w:val="0"/>
                <w:color w:val="auto"/>
                <w:kern w:val="21"/>
                <w:szCs w:val="21"/>
                <w:lang w:val="en-US" w:eastAsia="zh-CN"/>
              </w:rPr>
              <w:t>40支</w:t>
            </w:r>
          </w:p>
        </w:tc>
        <w:tc>
          <w:tcPr>
            <w:tcW w:w="1002" w:type="dxa"/>
            <w:vAlign w:val="center"/>
          </w:tcPr>
          <w:p>
            <w:pPr>
              <w:pStyle w:val="50"/>
              <w:spacing w:beforeLines="0" w:afterLines="0" w:line="240" w:lineRule="auto"/>
              <w:rPr>
                <w:rFonts w:ascii="Times New Roman" w:hAnsi="Times New Roman"/>
                <w:snapToGrid w:val="0"/>
                <w:color w:val="auto"/>
                <w:kern w:val="21"/>
                <w:szCs w:val="21"/>
              </w:rPr>
            </w:pPr>
            <w:r>
              <w:rPr>
                <w:rFonts w:hint="eastAsia" w:ascii="Times New Roman" w:hAnsi="Times New Roman"/>
                <w:snapToGrid w:val="0"/>
                <w:color w:val="auto"/>
                <w:kern w:val="21"/>
                <w:szCs w:val="21"/>
                <w:lang w:val="en-US" w:eastAsia="zh-CN"/>
              </w:rPr>
              <w:t>40支</w:t>
            </w:r>
          </w:p>
        </w:tc>
      </w:tr>
    </w:tbl>
    <w:p>
      <w:pPr>
        <w:pStyle w:val="50"/>
        <w:spacing w:before="192" w:beforeLines="80" w:after="24"/>
        <w:jc w:val="left"/>
        <w:rPr>
          <w:rFonts w:hint="eastAsia" w:ascii="黑体" w:eastAsia="黑体"/>
          <w:b/>
          <w:color w:val="auto"/>
          <w:sz w:val="28"/>
          <w:szCs w:val="28"/>
          <w:lang w:eastAsia="zh-CN"/>
        </w:rPr>
      </w:pPr>
      <w:r>
        <w:rPr>
          <w:rFonts w:ascii="Times New Roman" w:hAnsi="Times New Roman"/>
          <w:snapToGrid w:val="0"/>
          <w:color w:val="auto"/>
          <w:kern w:val="21"/>
          <w:szCs w:val="21"/>
        </w:rPr>
        <w:t>注：</w:t>
      </w:r>
      <w:r>
        <w:rPr>
          <w:rFonts w:ascii="Times New Roman" w:hAnsi="Times New Roman"/>
          <w:snapToGrid w:val="0"/>
          <w:color w:val="auto"/>
          <w:spacing w:val="-16"/>
          <w:kern w:val="21"/>
          <w:szCs w:val="21"/>
        </w:rPr>
        <w:fldChar w:fldCharType="begin"/>
      </w:r>
      <w:r>
        <w:rPr>
          <w:rFonts w:ascii="Times New Roman" w:hAnsi="Times New Roman"/>
          <w:snapToGrid w:val="0"/>
          <w:color w:val="auto"/>
          <w:spacing w:val="-16"/>
          <w:kern w:val="21"/>
          <w:szCs w:val="21"/>
        </w:rPr>
        <w:instrText xml:space="preserve"> = 6 \* GB3 \* MERGEFORMAT </w:instrText>
      </w:r>
      <w:r>
        <w:rPr>
          <w:rFonts w:ascii="Times New Roman" w:hAnsi="Times New Roman"/>
          <w:snapToGrid w:val="0"/>
          <w:color w:val="auto"/>
          <w:spacing w:val="-16"/>
          <w:kern w:val="21"/>
          <w:szCs w:val="21"/>
        </w:rPr>
        <w:fldChar w:fldCharType="separate"/>
      </w:r>
      <w:r>
        <w:rPr>
          <w:rFonts w:ascii="Times New Roman" w:hAnsi="Times New Roman"/>
          <w:color w:val="auto"/>
          <w:szCs w:val="21"/>
        </w:rPr>
        <w:t>⑥</w:t>
      </w:r>
      <w:r>
        <w:rPr>
          <w:rFonts w:ascii="Times New Roman" w:hAnsi="Times New Roman"/>
          <w:snapToGrid w:val="0"/>
          <w:color w:val="auto"/>
          <w:spacing w:val="-16"/>
          <w:kern w:val="21"/>
          <w:szCs w:val="21"/>
        </w:rPr>
        <w:fldChar w:fldCharType="end"/>
      </w:r>
      <w:r>
        <w:rPr>
          <w:rFonts w:ascii="Times New Roman" w:hAnsi="Times New Roman"/>
          <w:snapToGrid w:val="0"/>
          <w:color w:val="auto"/>
          <w:spacing w:val="-16"/>
          <w:kern w:val="21"/>
          <w:szCs w:val="21"/>
        </w:rPr>
        <w:t>=</w:t>
      </w:r>
      <w:r>
        <w:rPr>
          <w:rFonts w:ascii="Times New Roman" w:hAnsi="Times New Roman"/>
          <w:snapToGrid w:val="0"/>
          <w:color w:val="auto"/>
          <w:spacing w:val="-6"/>
          <w:kern w:val="21"/>
          <w:szCs w:val="21"/>
        </w:rPr>
        <w:fldChar w:fldCharType="begin"/>
      </w:r>
      <w:r>
        <w:rPr>
          <w:rFonts w:ascii="Times New Roman" w:hAnsi="Times New Roman"/>
          <w:snapToGrid w:val="0"/>
          <w:color w:val="auto"/>
          <w:spacing w:val="-6"/>
          <w:kern w:val="21"/>
          <w:szCs w:val="21"/>
        </w:rPr>
        <w:instrText xml:space="preserve"> = 1 \* GB3 \* MERGEFORMAT </w:instrText>
      </w:r>
      <w:r>
        <w:rPr>
          <w:rFonts w:ascii="Times New Roman" w:hAnsi="Times New Roman"/>
          <w:snapToGrid w:val="0"/>
          <w:color w:val="auto"/>
          <w:spacing w:val="-6"/>
          <w:kern w:val="21"/>
          <w:szCs w:val="21"/>
        </w:rPr>
        <w:fldChar w:fldCharType="separate"/>
      </w:r>
      <w:r>
        <w:rPr>
          <w:rFonts w:ascii="Times New Roman" w:hAnsi="Times New Roman"/>
          <w:color w:val="auto"/>
          <w:szCs w:val="21"/>
        </w:rPr>
        <w:t>①</w:t>
      </w:r>
      <w:r>
        <w:rPr>
          <w:rFonts w:ascii="Times New Roman" w:hAnsi="Times New Roman"/>
          <w:snapToGrid w:val="0"/>
          <w:color w:val="auto"/>
          <w:spacing w:val="-6"/>
          <w:kern w:val="21"/>
          <w:szCs w:val="21"/>
        </w:rPr>
        <w:fldChar w:fldCharType="end"/>
      </w:r>
      <w:r>
        <w:rPr>
          <w:rFonts w:ascii="Times New Roman" w:hAnsi="Times New Roman"/>
          <w:snapToGrid w:val="0"/>
          <w:color w:val="auto"/>
          <w:spacing w:val="-6"/>
          <w:kern w:val="21"/>
          <w:szCs w:val="21"/>
        </w:rPr>
        <w:t>+</w:t>
      </w:r>
      <w:r>
        <w:rPr>
          <w:rFonts w:ascii="Times New Roman" w:hAnsi="Times New Roman"/>
          <w:snapToGrid w:val="0"/>
          <w:color w:val="auto"/>
          <w:spacing w:val="-6"/>
          <w:kern w:val="21"/>
          <w:szCs w:val="21"/>
        </w:rPr>
        <w:fldChar w:fldCharType="begin"/>
      </w:r>
      <w:r>
        <w:rPr>
          <w:rFonts w:ascii="Times New Roman" w:hAnsi="Times New Roman"/>
          <w:snapToGrid w:val="0"/>
          <w:color w:val="auto"/>
          <w:spacing w:val="-6"/>
          <w:kern w:val="21"/>
          <w:szCs w:val="21"/>
        </w:rPr>
        <w:instrText xml:space="preserve"> = 3 \* GB3 \* MERGEFORMAT </w:instrText>
      </w:r>
      <w:r>
        <w:rPr>
          <w:rFonts w:ascii="Times New Roman" w:hAnsi="Times New Roman"/>
          <w:snapToGrid w:val="0"/>
          <w:color w:val="auto"/>
          <w:spacing w:val="-6"/>
          <w:kern w:val="21"/>
          <w:szCs w:val="21"/>
        </w:rPr>
        <w:fldChar w:fldCharType="separate"/>
      </w:r>
      <w:r>
        <w:rPr>
          <w:rFonts w:ascii="Times New Roman" w:hAnsi="Times New Roman"/>
          <w:color w:val="auto"/>
          <w:szCs w:val="21"/>
        </w:rPr>
        <w:t>③</w:t>
      </w:r>
      <w:r>
        <w:rPr>
          <w:rFonts w:ascii="Times New Roman" w:hAnsi="Times New Roman"/>
          <w:snapToGrid w:val="0"/>
          <w:color w:val="auto"/>
          <w:spacing w:val="-6"/>
          <w:kern w:val="21"/>
          <w:szCs w:val="21"/>
        </w:rPr>
        <w:fldChar w:fldCharType="end"/>
      </w:r>
      <w:r>
        <w:rPr>
          <w:rFonts w:ascii="Times New Roman" w:hAnsi="Times New Roman"/>
          <w:snapToGrid w:val="0"/>
          <w:color w:val="auto"/>
          <w:spacing w:val="-6"/>
          <w:kern w:val="21"/>
          <w:szCs w:val="21"/>
        </w:rPr>
        <w:t>+</w:t>
      </w:r>
      <w:r>
        <w:rPr>
          <w:rFonts w:ascii="Times New Roman" w:hAnsi="Times New Roman"/>
          <w:snapToGrid w:val="0"/>
          <w:color w:val="auto"/>
          <w:spacing w:val="-6"/>
          <w:kern w:val="21"/>
          <w:szCs w:val="21"/>
        </w:rPr>
        <w:fldChar w:fldCharType="begin"/>
      </w:r>
      <w:r>
        <w:rPr>
          <w:rFonts w:ascii="Times New Roman" w:hAnsi="Times New Roman"/>
          <w:snapToGrid w:val="0"/>
          <w:color w:val="auto"/>
          <w:spacing w:val="-6"/>
          <w:kern w:val="21"/>
          <w:szCs w:val="21"/>
        </w:rPr>
        <w:instrText xml:space="preserve"> = 4 \* GB3 \* MERGEFORMAT </w:instrText>
      </w:r>
      <w:r>
        <w:rPr>
          <w:rFonts w:ascii="Times New Roman" w:hAnsi="Times New Roman"/>
          <w:snapToGrid w:val="0"/>
          <w:color w:val="auto"/>
          <w:spacing w:val="-6"/>
          <w:kern w:val="21"/>
          <w:szCs w:val="21"/>
        </w:rPr>
        <w:fldChar w:fldCharType="separate"/>
      </w:r>
      <w:r>
        <w:rPr>
          <w:rFonts w:ascii="Times New Roman" w:hAnsi="Times New Roman"/>
          <w:color w:val="auto"/>
          <w:szCs w:val="21"/>
        </w:rPr>
        <w:t>④</w:t>
      </w:r>
      <w:r>
        <w:rPr>
          <w:rFonts w:ascii="Times New Roman" w:hAnsi="Times New Roman"/>
          <w:snapToGrid w:val="0"/>
          <w:color w:val="auto"/>
          <w:spacing w:val="-6"/>
          <w:kern w:val="21"/>
          <w:szCs w:val="21"/>
        </w:rPr>
        <w:fldChar w:fldCharType="end"/>
      </w:r>
      <w:r>
        <w:rPr>
          <w:rFonts w:ascii="Times New Roman" w:hAnsi="Times New Roman"/>
          <w:snapToGrid w:val="0"/>
          <w:color w:val="auto"/>
          <w:spacing w:val="-6"/>
          <w:kern w:val="21"/>
          <w:szCs w:val="21"/>
        </w:rPr>
        <w:t>-</w:t>
      </w:r>
      <w:r>
        <w:rPr>
          <w:rFonts w:ascii="Times New Roman" w:hAnsi="Times New Roman"/>
          <w:snapToGrid w:val="0"/>
          <w:color w:val="auto"/>
          <w:spacing w:val="-16"/>
          <w:kern w:val="21"/>
          <w:szCs w:val="21"/>
        </w:rPr>
        <w:fldChar w:fldCharType="begin"/>
      </w:r>
      <w:r>
        <w:rPr>
          <w:rFonts w:ascii="Times New Roman" w:hAnsi="Times New Roman"/>
          <w:snapToGrid w:val="0"/>
          <w:color w:val="auto"/>
          <w:spacing w:val="-16"/>
          <w:kern w:val="21"/>
          <w:szCs w:val="21"/>
        </w:rPr>
        <w:instrText xml:space="preserve"> = 5 \* GB3 \* MERGEFORMAT </w:instrText>
      </w:r>
      <w:r>
        <w:rPr>
          <w:rFonts w:ascii="Times New Roman" w:hAnsi="Times New Roman"/>
          <w:snapToGrid w:val="0"/>
          <w:color w:val="auto"/>
          <w:spacing w:val="-16"/>
          <w:kern w:val="21"/>
          <w:szCs w:val="21"/>
        </w:rPr>
        <w:fldChar w:fldCharType="separate"/>
      </w:r>
      <w:r>
        <w:rPr>
          <w:rFonts w:ascii="Times New Roman" w:hAnsi="Times New Roman"/>
          <w:color w:val="auto"/>
          <w:szCs w:val="21"/>
        </w:rPr>
        <w:t>⑤</w:t>
      </w:r>
      <w:r>
        <w:rPr>
          <w:rFonts w:ascii="Times New Roman" w:hAnsi="Times New Roman"/>
          <w:snapToGrid w:val="0"/>
          <w:color w:val="auto"/>
          <w:spacing w:val="-16"/>
          <w:kern w:val="21"/>
          <w:szCs w:val="21"/>
        </w:rPr>
        <w:fldChar w:fldCharType="end"/>
      </w:r>
      <w:r>
        <w:rPr>
          <w:rFonts w:ascii="Times New Roman" w:hAnsi="Times New Roman"/>
          <w:snapToGrid w:val="0"/>
          <w:color w:val="auto"/>
          <w:spacing w:val="-16"/>
          <w:kern w:val="21"/>
          <w:szCs w:val="21"/>
        </w:rPr>
        <w:t>；</w:t>
      </w:r>
      <w:r>
        <w:rPr>
          <w:rFonts w:ascii="Times New Roman" w:hAnsi="Times New Roman"/>
          <w:snapToGrid w:val="0"/>
          <w:color w:val="auto"/>
          <w:spacing w:val="-6"/>
          <w:kern w:val="21"/>
          <w:szCs w:val="21"/>
        </w:rPr>
        <w:fldChar w:fldCharType="begin"/>
      </w:r>
      <w:r>
        <w:rPr>
          <w:rFonts w:ascii="Times New Roman" w:hAnsi="Times New Roman"/>
          <w:snapToGrid w:val="0"/>
          <w:color w:val="auto"/>
          <w:spacing w:val="-6"/>
          <w:kern w:val="21"/>
          <w:szCs w:val="21"/>
        </w:rPr>
        <w:instrText xml:space="preserve"> = 7 \* GB3 \* MERGEFORMAT </w:instrText>
      </w:r>
      <w:r>
        <w:rPr>
          <w:rFonts w:ascii="Times New Roman" w:hAnsi="Times New Roman"/>
          <w:snapToGrid w:val="0"/>
          <w:color w:val="auto"/>
          <w:spacing w:val="-6"/>
          <w:kern w:val="21"/>
          <w:szCs w:val="21"/>
        </w:rPr>
        <w:fldChar w:fldCharType="separate"/>
      </w:r>
      <w:r>
        <w:rPr>
          <w:rFonts w:ascii="Times New Roman" w:hAnsi="Times New Roman"/>
          <w:color w:val="auto"/>
          <w:szCs w:val="21"/>
        </w:rPr>
        <w:t>⑦</w:t>
      </w:r>
      <w:r>
        <w:rPr>
          <w:rFonts w:ascii="Times New Roman" w:hAnsi="Times New Roman"/>
          <w:snapToGrid w:val="0"/>
          <w:color w:val="auto"/>
          <w:spacing w:val="-6"/>
          <w:kern w:val="21"/>
          <w:szCs w:val="21"/>
        </w:rPr>
        <w:fldChar w:fldCharType="end"/>
      </w:r>
      <w:r>
        <w:rPr>
          <w:rFonts w:ascii="Times New Roman" w:hAnsi="Times New Roman"/>
          <w:snapToGrid w:val="0"/>
          <w:color w:val="auto"/>
          <w:spacing w:val="-6"/>
          <w:kern w:val="21"/>
          <w:szCs w:val="21"/>
        </w:rPr>
        <w:t>=</w:t>
      </w:r>
      <w:r>
        <w:rPr>
          <w:rFonts w:ascii="Times New Roman" w:hAnsi="Times New Roman"/>
          <w:snapToGrid w:val="0"/>
          <w:color w:val="auto"/>
          <w:spacing w:val="-16"/>
          <w:kern w:val="21"/>
          <w:szCs w:val="21"/>
        </w:rPr>
        <w:fldChar w:fldCharType="begin"/>
      </w:r>
      <w:r>
        <w:rPr>
          <w:rFonts w:ascii="Times New Roman" w:hAnsi="Times New Roman"/>
          <w:snapToGrid w:val="0"/>
          <w:color w:val="auto"/>
          <w:spacing w:val="-16"/>
          <w:kern w:val="21"/>
          <w:szCs w:val="21"/>
        </w:rPr>
        <w:instrText xml:space="preserve"> = 6 \* GB3 \* MERGEFORMAT </w:instrText>
      </w:r>
      <w:r>
        <w:rPr>
          <w:rFonts w:ascii="Times New Roman" w:hAnsi="Times New Roman"/>
          <w:snapToGrid w:val="0"/>
          <w:color w:val="auto"/>
          <w:spacing w:val="-16"/>
          <w:kern w:val="21"/>
          <w:szCs w:val="21"/>
        </w:rPr>
        <w:fldChar w:fldCharType="separate"/>
      </w:r>
      <w:r>
        <w:rPr>
          <w:rFonts w:ascii="Times New Roman" w:hAnsi="Times New Roman"/>
          <w:color w:val="auto"/>
          <w:szCs w:val="21"/>
        </w:rPr>
        <w:t>⑥</w:t>
      </w:r>
      <w:r>
        <w:rPr>
          <w:rFonts w:ascii="Times New Roman" w:hAnsi="Times New Roman"/>
          <w:snapToGrid w:val="0"/>
          <w:color w:val="auto"/>
          <w:spacing w:val="-16"/>
          <w:kern w:val="21"/>
          <w:szCs w:val="21"/>
        </w:rPr>
        <w:fldChar w:fldCharType="end"/>
      </w:r>
      <w:r>
        <w:rPr>
          <w:rFonts w:ascii="Times New Roman" w:hAnsi="Times New Roman"/>
          <w:snapToGrid w:val="0"/>
          <w:color w:val="auto"/>
          <w:spacing w:val="-16"/>
          <w:kern w:val="21"/>
          <w:szCs w:val="21"/>
        </w:rPr>
        <w:t>-</w:t>
      </w:r>
      <w:r>
        <w:rPr>
          <w:rFonts w:ascii="Times New Roman" w:hAnsi="Times New Roman"/>
          <w:snapToGrid w:val="0"/>
          <w:color w:val="auto"/>
          <w:spacing w:val="-6"/>
          <w:kern w:val="21"/>
          <w:szCs w:val="21"/>
        </w:rPr>
        <w:fldChar w:fldCharType="begin"/>
      </w:r>
      <w:r>
        <w:rPr>
          <w:rFonts w:ascii="Times New Roman" w:hAnsi="Times New Roman"/>
          <w:snapToGrid w:val="0"/>
          <w:color w:val="auto"/>
          <w:spacing w:val="-6"/>
          <w:kern w:val="21"/>
          <w:szCs w:val="21"/>
        </w:rPr>
        <w:instrText xml:space="preserve"> = 1 \* GB3 \* MERGEFORMAT </w:instrText>
      </w:r>
      <w:r>
        <w:rPr>
          <w:rFonts w:ascii="Times New Roman" w:hAnsi="Times New Roman"/>
          <w:snapToGrid w:val="0"/>
          <w:color w:val="auto"/>
          <w:spacing w:val="-6"/>
          <w:kern w:val="21"/>
          <w:szCs w:val="21"/>
        </w:rPr>
        <w:fldChar w:fldCharType="separate"/>
      </w:r>
      <w:r>
        <w:rPr>
          <w:rFonts w:ascii="Times New Roman" w:hAnsi="Times New Roman"/>
          <w:color w:val="auto"/>
          <w:szCs w:val="21"/>
        </w:rPr>
        <w:t>①</w:t>
      </w:r>
      <w:r>
        <w:rPr>
          <w:rFonts w:ascii="Times New Roman" w:hAnsi="Times New Roman"/>
          <w:snapToGrid w:val="0"/>
          <w:color w:val="auto"/>
          <w:spacing w:val="-6"/>
          <w:kern w:val="21"/>
          <w:szCs w:val="21"/>
        </w:rPr>
        <w:fldChar w:fldCharType="end"/>
      </w:r>
      <w:bookmarkStart w:id="18" w:name="_GoBack"/>
      <w:bookmarkEnd w:id="18"/>
    </w:p>
    <w:sectPr>
      <w:headerReference r:id="rId7" w:type="default"/>
      <w:footerReference r:id="rId8" w:type="default"/>
      <w:pgSz w:w="16838" w:h="11906" w:orient="landscape"/>
      <w:pgMar w:top="1531" w:right="1701" w:bottom="1531" w:left="1701" w:header="851" w:footer="850" w:gutter="0"/>
      <w:paperSrc/>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Arial Black">
    <w:panose1 w:val="020B0A04020102020204"/>
    <w:charset w:val="00"/>
    <w:family w:val="swiss"/>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3"/>
      </w:rPr>
    </w:pPr>
    <w:r>
      <w:fldChar w:fldCharType="begin"/>
    </w:r>
    <w:r>
      <w:rPr>
        <w:rStyle w:val="33"/>
      </w:rPr>
      <w:instrText xml:space="preserve">PAGE  </w:instrText>
    </w:r>
    <w:r>
      <w:fldChar w:fldCharType="end"/>
    </w:r>
  </w:p>
  <w:p>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7302088"/>
      <w:docPartObj>
        <w:docPartGallery w:val="autotext"/>
      </w:docPartObj>
    </w:sdtPr>
    <w:sdtContent>
      <w:p>
        <w:pPr>
          <w:pStyle w:val="21"/>
          <w:jc w:val="center"/>
        </w:pPr>
        <w:r>
          <w:fldChar w:fldCharType="begin"/>
        </w:r>
        <w:r>
          <w:instrText xml:space="preserve">PAGE   \* MERGEFORMAT</w:instrText>
        </w:r>
        <w:r>
          <w:fldChar w:fldCharType="separate"/>
        </w:r>
        <w:r>
          <w:rPr>
            <w:lang w:val="zh-CN"/>
          </w:rPr>
          <w:t>2</w:t>
        </w:r>
        <w:r>
          <w:fldChar w:fldCharType="end"/>
        </w:r>
      </w:p>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7302088"/>
      <w:docPartObj>
        <w:docPartGallery w:val="autotext"/>
      </w:docPartObj>
    </w:sdtPr>
    <w:sdtContent>
      <w:p>
        <w:pPr>
          <w:pStyle w:val="21"/>
          <w:jc w:val="center"/>
        </w:pPr>
        <w:r>
          <w:fldChar w:fldCharType="begin"/>
        </w:r>
        <w:r>
          <w:instrText xml:space="preserve">PAGE   \* MERGEFORMAT</w:instrText>
        </w:r>
        <w:r>
          <w:fldChar w:fldCharType="separate"/>
        </w:r>
        <w:r>
          <w:rPr>
            <w:lang w:val="zh-CN"/>
          </w:rPr>
          <w:t>2</w:t>
        </w:r>
        <w:r>
          <w:fldChar w:fldCharType="end"/>
        </w:r>
      </w:p>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4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00111"/>
    <w:multiLevelType w:val="multilevel"/>
    <w:tmpl w:val="33700111"/>
    <w:lvl w:ilvl="0" w:tentative="0">
      <w:start w:val="1"/>
      <w:numFmt w:val="decimal"/>
      <w:lvlText w:val="%1"/>
      <w:lvlJc w:val="left"/>
      <w:pPr>
        <w:ind w:left="425" w:hanging="425"/>
      </w:pPr>
      <w:rPr>
        <w:rFonts w:hint="default" w:ascii="Times New Roman" w:hAnsi="Times New Roman" w:eastAsia="华文中宋"/>
        <w:b/>
        <w:sz w:val="36"/>
      </w:rPr>
    </w:lvl>
    <w:lvl w:ilvl="1" w:tentative="0">
      <w:start w:val="1"/>
      <w:numFmt w:val="decimal"/>
      <w:lvlText w:val="%1.%2"/>
      <w:lvlJc w:val="left"/>
      <w:pPr>
        <w:ind w:left="425" w:hanging="425"/>
      </w:pPr>
      <w:rPr>
        <w:rFonts w:hint="eastAsia"/>
      </w:rPr>
    </w:lvl>
    <w:lvl w:ilvl="2" w:tentative="0">
      <w:start w:val="1"/>
      <w:numFmt w:val="decimal"/>
      <w:lvlText w:val="%1.%2.%3"/>
      <w:lvlJc w:val="left"/>
      <w:pPr>
        <w:ind w:left="425" w:hanging="425"/>
      </w:pPr>
      <w:rPr>
        <w:rFonts w:hint="eastAsia"/>
      </w:rPr>
    </w:lvl>
    <w:lvl w:ilvl="3" w:tentative="0">
      <w:start w:val="1"/>
      <w:numFmt w:val="decimal"/>
      <w:pStyle w:val="59"/>
      <w:lvlText w:val="%1.%2.%3.%4"/>
      <w:lvlJc w:val="left"/>
      <w:pPr>
        <w:ind w:left="425"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A0457F4"/>
    <w:multiLevelType w:val="singleLevel"/>
    <w:tmpl w:val="6A0457F4"/>
    <w:lvl w:ilvl="0" w:tentative="0">
      <w:start w:val="2"/>
      <w:numFmt w:val="decimal"/>
      <w:suff w:val="nothing"/>
      <w:lvlText w:val="（%1）"/>
      <w:lvlJc w:val="left"/>
    </w:lvl>
  </w:abstractNum>
  <w:abstractNum w:abstractNumId="2">
    <w:nsid w:val="75B9A7BE"/>
    <w:multiLevelType w:val="singleLevel"/>
    <w:tmpl w:val="75B9A7BE"/>
    <w:lvl w:ilvl="0" w:tentative="0">
      <w:start w:val="6"/>
      <w:numFmt w:val="decimal"/>
      <w:suff w:val="nothing"/>
      <w:lvlText w:val="（%1）"/>
      <w:lvlJc w:val="left"/>
    </w:lvl>
  </w:abstractNum>
  <w:num w:numId="1">
    <w:abstractNumId w:val="0"/>
    <w:lvlOverride w:ilvl="0">
      <w:lvl w:ilvl="0" w:tentative="1">
        <w:start w:val="1"/>
        <w:numFmt w:val="decimal"/>
        <w:lvlText w:val="%1"/>
        <w:lvlJc w:val="left"/>
        <w:pPr>
          <w:ind w:left="425" w:hanging="425"/>
        </w:pPr>
        <w:rPr>
          <w:rFonts w:hint="default" w:ascii="Times New Roman" w:hAnsi="Times New Roman" w:eastAsia="华文中宋"/>
          <w:b/>
          <w:sz w:val="36"/>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47"/>
    <w:rsid w:val="000001FF"/>
    <w:rsid w:val="000060B3"/>
    <w:rsid w:val="000060BC"/>
    <w:rsid w:val="00015F60"/>
    <w:rsid w:val="0004364B"/>
    <w:rsid w:val="00051D6D"/>
    <w:rsid w:val="00061B1F"/>
    <w:rsid w:val="000733C4"/>
    <w:rsid w:val="00074783"/>
    <w:rsid w:val="0008070B"/>
    <w:rsid w:val="000810AC"/>
    <w:rsid w:val="00081A02"/>
    <w:rsid w:val="00082231"/>
    <w:rsid w:val="00092D38"/>
    <w:rsid w:val="0009377B"/>
    <w:rsid w:val="00097136"/>
    <w:rsid w:val="000A20C9"/>
    <w:rsid w:val="000B058F"/>
    <w:rsid w:val="000B4467"/>
    <w:rsid w:val="000B4DB9"/>
    <w:rsid w:val="000C09AC"/>
    <w:rsid w:val="000C767F"/>
    <w:rsid w:val="000C7DBA"/>
    <w:rsid w:val="000D5A44"/>
    <w:rsid w:val="000E3ED2"/>
    <w:rsid w:val="000E6F32"/>
    <w:rsid w:val="0011169E"/>
    <w:rsid w:val="00120308"/>
    <w:rsid w:val="00121745"/>
    <w:rsid w:val="00122B86"/>
    <w:rsid w:val="00131F42"/>
    <w:rsid w:val="001357F1"/>
    <w:rsid w:val="00140FA8"/>
    <w:rsid w:val="00142FEB"/>
    <w:rsid w:val="00143A2D"/>
    <w:rsid w:val="00145A41"/>
    <w:rsid w:val="00151675"/>
    <w:rsid w:val="001546B6"/>
    <w:rsid w:val="00157435"/>
    <w:rsid w:val="00170AD6"/>
    <w:rsid w:val="001728C5"/>
    <w:rsid w:val="0017504D"/>
    <w:rsid w:val="0017671A"/>
    <w:rsid w:val="00177422"/>
    <w:rsid w:val="00184590"/>
    <w:rsid w:val="001870D1"/>
    <w:rsid w:val="0018781E"/>
    <w:rsid w:val="0019262D"/>
    <w:rsid w:val="001A1B35"/>
    <w:rsid w:val="001A48A2"/>
    <w:rsid w:val="001A6F61"/>
    <w:rsid w:val="001B387D"/>
    <w:rsid w:val="001B72B8"/>
    <w:rsid w:val="001C1DEB"/>
    <w:rsid w:val="001C2F9A"/>
    <w:rsid w:val="001C69B3"/>
    <w:rsid w:val="001D5595"/>
    <w:rsid w:val="001D7874"/>
    <w:rsid w:val="001D7F22"/>
    <w:rsid w:val="001E3AF0"/>
    <w:rsid w:val="001F0F17"/>
    <w:rsid w:val="001F3347"/>
    <w:rsid w:val="001F69E4"/>
    <w:rsid w:val="00201DD3"/>
    <w:rsid w:val="00202C37"/>
    <w:rsid w:val="002125B4"/>
    <w:rsid w:val="002155B8"/>
    <w:rsid w:val="00224839"/>
    <w:rsid w:val="002249B2"/>
    <w:rsid w:val="00226574"/>
    <w:rsid w:val="002278EC"/>
    <w:rsid w:val="0023280E"/>
    <w:rsid w:val="002377D1"/>
    <w:rsid w:val="00242D7A"/>
    <w:rsid w:val="002506BC"/>
    <w:rsid w:val="00254345"/>
    <w:rsid w:val="002552D7"/>
    <w:rsid w:val="00264557"/>
    <w:rsid w:val="002805AB"/>
    <w:rsid w:val="00281753"/>
    <w:rsid w:val="00284204"/>
    <w:rsid w:val="00291773"/>
    <w:rsid w:val="0029665F"/>
    <w:rsid w:val="002A168C"/>
    <w:rsid w:val="002A3DC7"/>
    <w:rsid w:val="002B49E2"/>
    <w:rsid w:val="002B7B00"/>
    <w:rsid w:val="002B7C44"/>
    <w:rsid w:val="002C0804"/>
    <w:rsid w:val="002C2B17"/>
    <w:rsid w:val="002D3DD0"/>
    <w:rsid w:val="002D6270"/>
    <w:rsid w:val="002E1F3A"/>
    <w:rsid w:val="002E298A"/>
    <w:rsid w:val="002F37B7"/>
    <w:rsid w:val="002F57B3"/>
    <w:rsid w:val="00301978"/>
    <w:rsid w:val="00301D9C"/>
    <w:rsid w:val="0030332C"/>
    <w:rsid w:val="003051C2"/>
    <w:rsid w:val="00312296"/>
    <w:rsid w:val="00314F0E"/>
    <w:rsid w:val="00321D8E"/>
    <w:rsid w:val="00323BF6"/>
    <w:rsid w:val="003244C2"/>
    <w:rsid w:val="00325928"/>
    <w:rsid w:val="00332863"/>
    <w:rsid w:val="0033684D"/>
    <w:rsid w:val="00337B42"/>
    <w:rsid w:val="00341B42"/>
    <w:rsid w:val="0034348F"/>
    <w:rsid w:val="00356653"/>
    <w:rsid w:val="00356FBD"/>
    <w:rsid w:val="0035743F"/>
    <w:rsid w:val="00357BE2"/>
    <w:rsid w:val="0036170C"/>
    <w:rsid w:val="00366E0F"/>
    <w:rsid w:val="00381A72"/>
    <w:rsid w:val="00384676"/>
    <w:rsid w:val="003862A4"/>
    <w:rsid w:val="00386F0A"/>
    <w:rsid w:val="00390857"/>
    <w:rsid w:val="00391E5E"/>
    <w:rsid w:val="00397B30"/>
    <w:rsid w:val="003A4BF3"/>
    <w:rsid w:val="003B2487"/>
    <w:rsid w:val="003B420D"/>
    <w:rsid w:val="003C6C16"/>
    <w:rsid w:val="003D735B"/>
    <w:rsid w:val="003D794D"/>
    <w:rsid w:val="003E1360"/>
    <w:rsid w:val="003E3058"/>
    <w:rsid w:val="003E76A9"/>
    <w:rsid w:val="003F0809"/>
    <w:rsid w:val="003F2B5B"/>
    <w:rsid w:val="003F6A8C"/>
    <w:rsid w:val="003F7435"/>
    <w:rsid w:val="003F755C"/>
    <w:rsid w:val="00406F01"/>
    <w:rsid w:val="00407B83"/>
    <w:rsid w:val="00416D50"/>
    <w:rsid w:val="00416FD5"/>
    <w:rsid w:val="00417772"/>
    <w:rsid w:val="00420E6A"/>
    <w:rsid w:val="00425A9E"/>
    <w:rsid w:val="00426D6B"/>
    <w:rsid w:val="00430A1E"/>
    <w:rsid w:val="00431E6C"/>
    <w:rsid w:val="0043292D"/>
    <w:rsid w:val="00433CE7"/>
    <w:rsid w:val="00434F87"/>
    <w:rsid w:val="00435911"/>
    <w:rsid w:val="004476A2"/>
    <w:rsid w:val="00452738"/>
    <w:rsid w:val="00456091"/>
    <w:rsid w:val="00460757"/>
    <w:rsid w:val="00466321"/>
    <w:rsid w:val="00471B89"/>
    <w:rsid w:val="00484B9B"/>
    <w:rsid w:val="004855F6"/>
    <w:rsid w:val="0048661E"/>
    <w:rsid w:val="004922FF"/>
    <w:rsid w:val="00494670"/>
    <w:rsid w:val="004A3823"/>
    <w:rsid w:val="004A7987"/>
    <w:rsid w:val="004C524E"/>
    <w:rsid w:val="004D5267"/>
    <w:rsid w:val="004E6946"/>
    <w:rsid w:val="004F030D"/>
    <w:rsid w:val="004F1AD8"/>
    <w:rsid w:val="00501A69"/>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55EC9"/>
    <w:rsid w:val="0056106A"/>
    <w:rsid w:val="005720AE"/>
    <w:rsid w:val="00585063"/>
    <w:rsid w:val="00594D77"/>
    <w:rsid w:val="005969E4"/>
    <w:rsid w:val="005A06B7"/>
    <w:rsid w:val="005A1759"/>
    <w:rsid w:val="005A2D1F"/>
    <w:rsid w:val="005A592F"/>
    <w:rsid w:val="005A68A7"/>
    <w:rsid w:val="005C09CB"/>
    <w:rsid w:val="005D36AB"/>
    <w:rsid w:val="005D76E3"/>
    <w:rsid w:val="005F78DF"/>
    <w:rsid w:val="00602812"/>
    <w:rsid w:val="00604101"/>
    <w:rsid w:val="00606F83"/>
    <w:rsid w:val="00610BED"/>
    <w:rsid w:val="00617CC3"/>
    <w:rsid w:val="00630F6D"/>
    <w:rsid w:val="006369EF"/>
    <w:rsid w:val="006377A6"/>
    <w:rsid w:val="00637A3D"/>
    <w:rsid w:val="006411EF"/>
    <w:rsid w:val="00674800"/>
    <w:rsid w:val="006748B8"/>
    <w:rsid w:val="006775C3"/>
    <w:rsid w:val="00682CE8"/>
    <w:rsid w:val="0069290A"/>
    <w:rsid w:val="0069775A"/>
    <w:rsid w:val="00697813"/>
    <w:rsid w:val="006A1C9C"/>
    <w:rsid w:val="006A3EE8"/>
    <w:rsid w:val="006A72BF"/>
    <w:rsid w:val="006B03F2"/>
    <w:rsid w:val="006B37DC"/>
    <w:rsid w:val="006B4F68"/>
    <w:rsid w:val="006C0592"/>
    <w:rsid w:val="006C272E"/>
    <w:rsid w:val="006C5479"/>
    <w:rsid w:val="006D13B5"/>
    <w:rsid w:val="006E12FF"/>
    <w:rsid w:val="006E607E"/>
    <w:rsid w:val="006E7A19"/>
    <w:rsid w:val="006F3994"/>
    <w:rsid w:val="006F5BDB"/>
    <w:rsid w:val="00700008"/>
    <w:rsid w:val="00702861"/>
    <w:rsid w:val="00706C5D"/>
    <w:rsid w:val="0071777F"/>
    <w:rsid w:val="00732670"/>
    <w:rsid w:val="00732922"/>
    <w:rsid w:val="0075162E"/>
    <w:rsid w:val="00754034"/>
    <w:rsid w:val="00756556"/>
    <w:rsid w:val="007618C4"/>
    <w:rsid w:val="00767980"/>
    <w:rsid w:val="00770B19"/>
    <w:rsid w:val="00773D0F"/>
    <w:rsid w:val="0077463F"/>
    <w:rsid w:val="007836EA"/>
    <w:rsid w:val="00784892"/>
    <w:rsid w:val="00784CDA"/>
    <w:rsid w:val="007906C4"/>
    <w:rsid w:val="007940EA"/>
    <w:rsid w:val="007967E8"/>
    <w:rsid w:val="007A1D7E"/>
    <w:rsid w:val="007A2170"/>
    <w:rsid w:val="007A22BF"/>
    <w:rsid w:val="007A3323"/>
    <w:rsid w:val="007B72B8"/>
    <w:rsid w:val="007B7A58"/>
    <w:rsid w:val="007C21B5"/>
    <w:rsid w:val="007E4BD2"/>
    <w:rsid w:val="00801393"/>
    <w:rsid w:val="00802F88"/>
    <w:rsid w:val="00805520"/>
    <w:rsid w:val="0081293E"/>
    <w:rsid w:val="00815465"/>
    <w:rsid w:val="00815716"/>
    <w:rsid w:val="00816C0E"/>
    <w:rsid w:val="00817E9A"/>
    <w:rsid w:val="0082775A"/>
    <w:rsid w:val="008306BD"/>
    <w:rsid w:val="00831A80"/>
    <w:rsid w:val="00833743"/>
    <w:rsid w:val="008340A4"/>
    <w:rsid w:val="008461DE"/>
    <w:rsid w:val="0087135F"/>
    <w:rsid w:val="00872D94"/>
    <w:rsid w:val="00880364"/>
    <w:rsid w:val="00881732"/>
    <w:rsid w:val="00887299"/>
    <w:rsid w:val="00891592"/>
    <w:rsid w:val="00891E9E"/>
    <w:rsid w:val="008948EA"/>
    <w:rsid w:val="00895F9D"/>
    <w:rsid w:val="008A2F68"/>
    <w:rsid w:val="008A5A03"/>
    <w:rsid w:val="008B4FA6"/>
    <w:rsid w:val="008B5282"/>
    <w:rsid w:val="008B7C17"/>
    <w:rsid w:val="008C2AA5"/>
    <w:rsid w:val="008C2D01"/>
    <w:rsid w:val="008C40E6"/>
    <w:rsid w:val="008D00D7"/>
    <w:rsid w:val="008D0F7A"/>
    <w:rsid w:val="008D18BF"/>
    <w:rsid w:val="008D4038"/>
    <w:rsid w:val="008D5C76"/>
    <w:rsid w:val="008D68E4"/>
    <w:rsid w:val="008E0506"/>
    <w:rsid w:val="008E0CFF"/>
    <w:rsid w:val="008E165F"/>
    <w:rsid w:val="008E5D6B"/>
    <w:rsid w:val="008E76F0"/>
    <w:rsid w:val="008F15FE"/>
    <w:rsid w:val="008F2D29"/>
    <w:rsid w:val="008F30D9"/>
    <w:rsid w:val="008F5187"/>
    <w:rsid w:val="008F60D8"/>
    <w:rsid w:val="00901DFA"/>
    <w:rsid w:val="00902727"/>
    <w:rsid w:val="0090312B"/>
    <w:rsid w:val="0091736D"/>
    <w:rsid w:val="00921EA6"/>
    <w:rsid w:val="00923017"/>
    <w:rsid w:val="00923D5E"/>
    <w:rsid w:val="0093037A"/>
    <w:rsid w:val="0093563E"/>
    <w:rsid w:val="009362DF"/>
    <w:rsid w:val="0093786C"/>
    <w:rsid w:val="0094154D"/>
    <w:rsid w:val="0095155F"/>
    <w:rsid w:val="0095288F"/>
    <w:rsid w:val="00954429"/>
    <w:rsid w:val="009563CE"/>
    <w:rsid w:val="00961F8A"/>
    <w:rsid w:val="00966894"/>
    <w:rsid w:val="00971A24"/>
    <w:rsid w:val="00976328"/>
    <w:rsid w:val="0097680D"/>
    <w:rsid w:val="00982438"/>
    <w:rsid w:val="0098404C"/>
    <w:rsid w:val="009846A3"/>
    <w:rsid w:val="00985283"/>
    <w:rsid w:val="00986F0E"/>
    <w:rsid w:val="00995992"/>
    <w:rsid w:val="009A03E5"/>
    <w:rsid w:val="009A0F3B"/>
    <w:rsid w:val="009A1BB4"/>
    <w:rsid w:val="009A2628"/>
    <w:rsid w:val="009A3200"/>
    <w:rsid w:val="009A4EDD"/>
    <w:rsid w:val="009B0897"/>
    <w:rsid w:val="009B7BD9"/>
    <w:rsid w:val="009C7DD5"/>
    <w:rsid w:val="009D0557"/>
    <w:rsid w:val="009D3B5E"/>
    <w:rsid w:val="009D6277"/>
    <w:rsid w:val="009D775D"/>
    <w:rsid w:val="009E227D"/>
    <w:rsid w:val="009E33EF"/>
    <w:rsid w:val="009E5019"/>
    <w:rsid w:val="009F2886"/>
    <w:rsid w:val="00A04F1B"/>
    <w:rsid w:val="00A0501B"/>
    <w:rsid w:val="00A12198"/>
    <w:rsid w:val="00A1315B"/>
    <w:rsid w:val="00A14947"/>
    <w:rsid w:val="00A25CA8"/>
    <w:rsid w:val="00A32A83"/>
    <w:rsid w:val="00A368DB"/>
    <w:rsid w:val="00A423AA"/>
    <w:rsid w:val="00A53EC6"/>
    <w:rsid w:val="00A55C0F"/>
    <w:rsid w:val="00A64C36"/>
    <w:rsid w:val="00A8713F"/>
    <w:rsid w:val="00A90BA1"/>
    <w:rsid w:val="00A969AF"/>
    <w:rsid w:val="00A96E7C"/>
    <w:rsid w:val="00A97A9A"/>
    <w:rsid w:val="00AA0671"/>
    <w:rsid w:val="00AA2531"/>
    <w:rsid w:val="00AA559D"/>
    <w:rsid w:val="00AB1E09"/>
    <w:rsid w:val="00AB5330"/>
    <w:rsid w:val="00AB7747"/>
    <w:rsid w:val="00AC126A"/>
    <w:rsid w:val="00AC14CE"/>
    <w:rsid w:val="00AC2A56"/>
    <w:rsid w:val="00AC2FF8"/>
    <w:rsid w:val="00AD055E"/>
    <w:rsid w:val="00AD47A7"/>
    <w:rsid w:val="00AF0CBF"/>
    <w:rsid w:val="00AF257F"/>
    <w:rsid w:val="00AF33CF"/>
    <w:rsid w:val="00AF4D50"/>
    <w:rsid w:val="00AF6179"/>
    <w:rsid w:val="00B07594"/>
    <w:rsid w:val="00B10A34"/>
    <w:rsid w:val="00B1295A"/>
    <w:rsid w:val="00B16541"/>
    <w:rsid w:val="00B20A45"/>
    <w:rsid w:val="00B22C5C"/>
    <w:rsid w:val="00B24F30"/>
    <w:rsid w:val="00B31ABF"/>
    <w:rsid w:val="00B33BE3"/>
    <w:rsid w:val="00B53B5D"/>
    <w:rsid w:val="00B6055E"/>
    <w:rsid w:val="00B6317D"/>
    <w:rsid w:val="00B7723F"/>
    <w:rsid w:val="00B80534"/>
    <w:rsid w:val="00B8433C"/>
    <w:rsid w:val="00B87491"/>
    <w:rsid w:val="00B94ADF"/>
    <w:rsid w:val="00BA17F2"/>
    <w:rsid w:val="00BA29E9"/>
    <w:rsid w:val="00BA7142"/>
    <w:rsid w:val="00BB237C"/>
    <w:rsid w:val="00BB41A3"/>
    <w:rsid w:val="00BC324B"/>
    <w:rsid w:val="00BC32DC"/>
    <w:rsid w:val="00BC35B6"/>
    <w:rsid w:val="00BC4525"/>
    <w:rsid w:val="00BD18CC"/>
    <w:rsid w:val="00BD1B51"/>
    <w:rsid w:val="00BD21CD"/>
    <w:rsid w:val="00BD4596"/>
    <w:rsid w:val="00BD5F42"/>
    <w:rsid w:val="00BE1405"/>
    <w:rsid w:val="00BE312D"/>
    <w:rsid w:val="00BF1C20"/>
    <w:rsid w:val="00C10578"/>
    <w:rsid w:val="00C135BC"/>
    <w:rsid w:val="00C15C95"/>
    <w:rsid w:val="00C2596A"/>
    <w:rsid w:val="00C27537"/>
    <w:rsid w:val="00C328FE"/>
    <w:rsid w:val="00C32D8D"/>
    <w:rsid w:val="00C33507"/>
    <w:rsid w:val="00C4409D"/>
    <w:rsid w:val="00C44E72"/>
    <w:rsid w:val="00C45A06"/>
    <w:rsid w:val="00C47E5B"/>
    <w:rsid w:val="00C55DAC"/>
    <w:rsid w:val="00C5693C"/>
    <w:rsid w:val="00C61E4B"/>
    <w:rsid w:val="00C64BFF"/>
    <w:rsid w:val="00C704E9"/>
    <w:rsid w:val="00C763C9"/>
    <w:rsid w:val="00C76C0E"/>
    <w:rsid w:val="00C77FF6"/>
    <w:rsid w:val="00C80057"/>
    <w:rsid w:val="00C82232"/>
    <w:rsid w:val="00C82913"/>
    <w:rsid w:val="00C91E2D"/>
    <w:rsid w:val="00C972B1"/>
    <w:rsid w:val="00CA286D"/>
    <w:rsid w:val="00CA2CCE"/>
    <w:rsid w:val="00CA43FD"/>
    <w:rsid w:val="00CA7EF8"/>
    <w:rsid w:val="00CC11C1"/>
    <w:rsid w:val="00CC489B"/>
    <w:rsid w:val="00CD2BCD"/>
    <w:rsid w:val="00CD3A4C"/>
    <w:rsid w:val="00CD6B15"/>
    <w:rsid w:val="00CE10E9"/>
    <w:rsid w:val="00CE2910"/>
    <w:rsid w:val="00CE5393"/>
    <w:rsid w:val="00CF0710"/>
    <w:rsid w:val="00CF36BE"/>
    <w:rsid w:val="00CF6000"/>
    <w:rsid w:val="00D003F3"/>
    <w:rsid w:val="00D0364F"/>
    <w:rsid w:val="00D06834"/>
    <w:rsid w:val="00D12E39"/>
    <w:rsid w:val="00D16A9A"/>
    <w:rsid w:val="00D173D8"/>
    <w:rsid w:val="00D237DF"/>
    <w:rsid w:val="00D308ED"/>
    <w:rsid w:val="00D34444"/>
    <w:rsid w:val="00D36D86"/>
    <w:rsid w:val="00D428AA"/>
    <w:rsid w:val="00D477A1"/>
    <w:rsid w:val="00D50A34"/>
    <w:rsid w:val="00D53EFA"/>
    <w:rsid w:val="00D70DD8"/>
    <w:rsid w:val="00D741D6"/>
    <w:rsid w:val="00D84D0E"/>
    <w:rsid w:val="00D9184D"/>
    <w:rsid w:val="00D94A7C"/>
    <w:rsid w:val="00D95896"/>
    <w:rsid w:val="00DA0C49"/>
    <w:rsid w:val="00DA204B"/>
    <w:rsid w:val="00DB2983"/>
    <w:rsid w:val="00DC1257"/>
    <w:rsid w:val="00DC3B1A"/>
    <w:rsid w:val="00DC3DC0"/>
    <w:rsid w:val="00DC5B2B"/>
    <w:rsid w:val="00DD318D"/>
    <w:rsid w:val="00DD31DF"/>
    <w:rsid w:val="00DE415B"/>
    <w:rsid w:val="00DE5C40"/>
    <w:rsid w:val="00DF2E12"/>
    <w:rsid w:val="00DF3947"/>
    <w:rsid w:val="00DF514A"/>
    <w:rsid w:val="00DF6690"/>
    <w:rsid w:val="00DF6804"/>
    <w:rsid w:val="00E0358D"/>
    <w:rsid w:val="00E04323"/>
    <w:rsid w:val="00E070A2"/>
    <w:rsid w:val="00E1214A"/>
    <w:rsid w:val="00E123D4"/>
    <w:rsid w:val="00E22EF5"/>
    <w:rsid w:val="00E2656A"/>
    <w:rsid w:val="00E412D0"/>
    <w:rsid w:val="00E5155A"/>
    <w:rsid w:val="00E5467F"/>
    <w:rsid w:val="00E56322"/>
    <w:rsid w:val="00E60982"/>
    <w:rsid w:val="00E62C62"/>
    <w:rsid w:val="00E64C3B"/>
    <w:rsid w:val="00E654C1"/>
    <w:rsid w:val="00E65D97"/>
    <w:rsid w:val="00E72A5A"/>
    <w:rsid w:val="00E73354"/>
    <w:rsid w:val="00E8737A"/>
    <w:rsid w:val="00E9242D"/>
    <w:rsid w:val="00E96421"/>
    <w:rsid w:val="00E96D8D"/>
    <w:rsid w:val="00EA25AD"/>
    <w:rsid w:val="00EB5255"/>
    <w:rsid w:val="00EB5C47"/>
    <w:rsid w:val="00ED0639"/>
    <w:rsid w:val="00ED08C2"/>
    <w:rsid w:val="00EE59B4"/>
    <w:rsid w:val="00EF4755"/>
    <w:rsid w:val="00EF7135"/>
    <w:rsid w:val="00F027DB"/>
    <w:rsid w:val="00F1022F"/>
    <w:rsid w:val="00F14A7A"/>
    <w:rsid w:val="00F16465"/>
    <w:rsid w:val="00F211B1"/>
    <w:rsid w:val="00F22985"/>
    <w:rsid w:val="00F3383E"/>
    <w:rsid w:val="00F465A7"/>
    <w:rsid w:val="00F50B7C"/>
    <w:rsid w:val="00F550E6"/>
    <w:rsid w:val="00F74345"/>
    <w:rsid w:val="00F80A0A"/>
    <w:rsid w:val="00F82B19"/>
    <w:rsid w:val="00F9212D"/>
    <w:rsid w:val="00F965DA"/>
    <w:rsid w:val="00F96923"/>
    <w:rsid w:val="00FA406A"/>
    <w:rsid w:val="00FB503A"/>
    <w:rsid w:val="00FB516C"/>
    <w:rsid w:val="00FC5DEC"/>
    <w:rsid w:val="00FD0236"/>
    <w:rsid w:val="00FD18F4"/>
    <w:rsid w:val="00FD54DB"/>
    <w:rsid w:val="00FD5B8B"/>
    <w:rsid w:val="00FD619F"/>
    <w:rsid w:val="00FE2B23"/>
    <w:rsid w:val="00FF543F"/>
    <w:rsid w:val="0105533E"/>
    <w:rsid w:val="01160E60"/>
    <w:rsid w:val="01191F90"/>
    <w:rsid w:val="01252AFF"/>
    <w:rsid w:val="0126629C"/>
    <w:rsid w:val="01290F7E"/>
    <w:rsid w:val="0135550E"/>
    <w:rsid w:val="013578B2"/>
    <w:rsid w:val="014A11B9"/>
    <w:rsid w:val="01532619"/>
    <w:rsid w:val="015D1E09"/>
    <w:rsid w:val="015D50B6"/>
    <w:rsid w:val="016F37C7"/>
    <w:rsid w:val="01771648"/>
    <w:rsid w:val="01837AD7"/>
    <w:rsid w:val="0197275E"/>
    <w:rsid w:val="019E7E20"/>
    <w:rsid w:val="01D421EF"/>
    <w:rsid w:val="01E61EEF"/>
    <w:rsid w:val="01F14D98"/>
    <w:rsid w:val="01F5458C"/>
    <w:rsid w:val="023B5D0F"/>
    <w:rsid w:val="023D4FBA"/>
    <w:rsid w:val="023F6D74"/>
    <w:rsid w:val="025B7189"/>
    <w:rsid w:val="02697903"/>
    <w:rsid w:val="02867646"/>
    <w:rsid w:val="02873946"/>
    <w:rsid w:val="02A63DA6"/>
    <w:rsid w:val="02B93AAE"/>
    <w:rsid w:val="02BE4C75"/>
    <w:rsid w:val="02C17D9F"/>
    <w:rsid w:val="02D47050"/>
    <w:rsid w:val="02F764E6"/>
    <w:rsid w:val="02F96569"/>
    <w:rsid w:val="02FF54AB"/>
    <w:rsid w:val="030D1DAA"/>
    <w:rsid w:val="036344A5"/>
    <w:rsid w:val="038A1FF5"/>
    <w:rsid w:val="038E07C0"/>
    <w:rsid w:val="039132F4"/>
    <w:rsid w:val="03B6755C"/>
    <w:rsid w:val="03CE701B"/>
    <w:rsid w:val="03D640B6"/>
    <w:rsid w:val="03EA7B21"/>
    <w:rsid w:val="03F57A21"/>
    <w:rsid w:val="03F86FCD"/>
    <w:rsid w:val="0404498D"/>
    <w:rsid w:val="040F430E"/>
    <w:rsid w:val="04147D9D"/>
    <w:rsid w:val="041E02B4"/>
    <w:rsid w:val="041F6A07"/>
    <w:rsid w:val="04302BB6"/>
    <w:rsid w:val="0445774D"/>
    <w:rsid w:val="044F0935"/>
    <w:rsid w:val="04532AAC"/>
    <w:rsid w:val="046C5668"/>
    <w:rsid w:val="047124FF"/>
    <w:rsid w:val="047B213D"/>
    <w:rsid w:val="047C6AE0"/>
    <w:rsid w:val="047E4075"/>
    <w:rsid w:val="048020CE"/>
    <w:rsid w:val="04C37DD9"/>
    <w:rsid w:val="04CF2AB4"/>
    <w:rsid w:val="04F411CF"/>
    <w:rsid w:val="0511207D"/>
    <w:rsid w:val="051676A5"/>
    <w:rsid w:val="05193A24"/>
    <w:rsid w:val="051C2CA1"/>
    <w:rsid w:val="0523139D"/>
    <w:rsid w:val="05234149"/>
    <w:rsid w:val="05263E56"/>
    <w:rsid w:val="05351486"/>
    <w:rsid w:val="054712F7"/>
    <w:rsid w:val="054E2402"/>
    <w:rsid w:val="056333F6"/>
    <w:rsid w:val="05745E34"/>
    <w:rsid w:val="05754B73"/>
    <w:rsid w:val="057D41B2"/>
    <w:rsid w:val="05836BBF"/>
    <w:rsid w:val="05973611"/>
    <w:rsid w:val="05AC7353"/>
    <w:rsid w:val="05AE675E"/>
    <w:rsid w:val="05B907DD"/>
    <w:rsid w:val="05C34D67"/>
    <w:rsid w:val="05D05F53"/>
    <w:rsid w:val="05DE0384"/>
    <w:rsid w:val="05E85433"/>
    <w:rsid w:val="05F04FE7"/>
    <w:rsid w:val="05F83EAE"/>
    <w:rsid w:val="05FC4EDD"/>
    <w:rsid w:val="060F2051"/>
    <w:rsid w:val="060F6A29"/>
    <w:rsid w:val="061B3E89"/>
    <w:rsid w:val="062E3E0C"/>
    <w:rsid w:val="06306D6C"/>
    <w:rsid w:val="0634265F"/>
    <w:rsid w:val="0638686B"/>
    <w:rsid w:val="063E7D85"/>
    <w:rsid w:val="06545F63"/>
    <w:rsid w:val="067936E7"/>
    <w:rsid w:val="06964EDF"/>
    <w:rsid w:val="06A0683C"/>
    <w:rsid w:val="06B9078C"/>
    <w:rsid w:val="06BC2B18"/>
    <w:rsid w:val="06C6337C"/>
    <w:rsid w:val="06DC644D"/>
    <w:rsid w:val="0702170F"/>
    <w:rsid w:val="070305D5"/>
    <w:rsid w:val="070379CF"/>
    <w:rsid w:val="071321D6"/>
    <w:rsid w:val="071B6159"/>
    <w:rsid w:val="072147A2"/>
    <w:rsid w:val="07224580"/>
    <w:rsid w:val="07293586"/>
    <w:rsid w:val="07295285"/>
    <w:rsid w:val="072C70D4"/>
    <w:rsid w:val="072D00BB"/>
    <w:rsid w:val="07636392"/>
    <w:rsid w:val="077624E6"/>
    <w:rsid w:val="07770C56"/>
    <w:rsid w:val="079D4AAA"/>
    <w:rsid w:val="07A76608"/>
    <w:rsid w:val="07BA7178"/>
    <w:rsid w:val="07CF5197"/>
    <w:rsid w:val="07F52A5A"/>
    <w:rsid w:val="07F678FF"/>
    <w:rsid w:val="081D2ACE"/>
    <w:rsid w:val="0867159C"/>
    <w:rsid w:val="0896790F"/>
    <w:rsid w:val="08BA6DE4"/>
    <w:rsid w:val="08CB57E4"/>
    <w:rsid w:val="08DF5EBE"/>
    <w:rsid w:val="08EF0AF2"/>
    <w:rsid w:val="08F17900"/>
    <w:rsid w:val="08FE7A33"/>
    <w:rsid w:val="090B3D71"/>
    <w:rsid w:val="092217DD"/>
    <w:rsid w:val="093A7294"/>
    <w:rsid w:val="093D7AE7"/>
    <w:rsid w:val="093E52DA"/>
    <w:rsid w:val="09491D70"/>
    <w:rsid w:val="09715F09"/>
    <w:rsid w:val="09755B60"/>
    <w:rsid w:val="0981681B"/>
    <w:rsid w:val="098D79DE"/>
    <w:rsid w:val="09945938"/>
    <w:rsid w:val="09972B61"/>
    <w:rsid w:val="09982C86"/>
    <w:rsid w:val="09C86C14"/>
    <w:rsid w:val="09CE2A89"/>
    <w:rsid w:val="09D73100"/>
    <w:rsid w:val="09EC5ECA"/>
    <w:rsid w:val="09EE2E1B"/>
    <w:rsid w:val="0A263993"/>
    <w:rsid w:val="0A2D3AC2"/>
    <w:rsid w:val="0A2E0FAA"/>
    <w:rsid w:val="0A3B13A2"/>
    <w:rsid w:val="0A583E9C"/>
    <w:rsid w:val="0A6578CB"/>
    <w:rsid w:val="0A702AD9"/>
    <w:rsid w:val="0A7852B8"/>
    <w:rsid w:val="0A7B64B3"/>
    <w:rsid w:val="0AA755DF"/>
    <w:rsid w:val="0AA81837"/>
    <w:rsid w:val="0AAC404F"/>
    <w:rsid w:val="0ABE6A72"/>
    <w:rsid w:val="0ABE7872"/>
    <w:rsid w:val="0AD2561F"/>
    <w:rsid w:val="0AE97EA5"/>
    <w:rsid w:val="0B0C36D2"/>
    <w:rsid w:val="0B114D61"/>
    <w:rsid w:val="0B120D44"/>
    <w:rsid w:val="0B177DDD"/>
    <w:rsid w:val="0B362C1B"/>
    <w:rsid w:val="0B3742A8"/>
    <w:rsid w:val="0B4F0C00"/>
    <w:rsid w:val="0B712D78"/>
    <w:rsid w:val="0B766BFB"/>
    <w:rsid w:val="0B8B6E9A"/>
    <w:rsid w:val="0B9C7014"/>
    <w:rsid w:val="0BB66088"/>
    <w:rsid w:val="0BBE48C4"/>
    <w:rsid w:val="0BC84745"/>
    <w:rsid w:val="0BCF2A7F"/>
    <w:rsid w:val="0BD27BF6"/>
    <w:rsid w:val="0BDA4CC9"/>
    <w:rsid w:val="0C0A048D"/>
    <w:rsid w:val="0C103A3F"/>
    <w:rsid w:val="0C380966"/>
    <w:rsid w:val="0C391CC4"/>
    <w:rsid w:val="0C3B3C7D"/>
    <w:rsid w:val="0C5225D5"/>
    <w:rsid w:val="0C5B348E"/>
    <w:rsid w:val="0C5E0A9B"/>
    <w:rsid w:val="0C7A0E8A"/>
    <w:rsid w:val="0C816873"/>
    <w:rsid w:val="0C8F67F5"/>
    <w:rsid w:val="0CA740FE"/>
    <w:rsid w:val="0CAB2EAE"/>
    <w:rsid w:val="0CC94015"/>
    <w:rsid w:val="0CC95311"/>
    <w:rsid w:val="0CCD4D44"/>
    <w:rsid w:val="0CE06091"/>
    <w:rsid w:val="0CE426D0"/>
    <w:rsid w:val="0D014F54"/>
    <w:rsid w:val="0D02335B"/>
    <w:rsid w:val="0D1E1110"/>
    <w:rsid w:val="0D2B4B99"/>
    <w:rsid w:val="0D340C0D"/>
    <w:rsid w:val="0D3D394E"/>
    <w:rsid w:val="0D3D58CB"/>
    <w:rsid w:val="0D507016"/>
    <w:rsid w:val="0D586B0A"/>
    <w:rsid w:val="0D621C7D"/>
    <w:rsid w:val="0D677EE5"/>
    <w:rsid w:val="0D8F2CAE"/>
    <w:rsid w:val="0DB60A06"/>
    <w:rsid w:val="0DC060E1"/>
    <w:rsid w:val="0DE27DB6"/>
    <w:rsid w:val="0DE97297"/>
    <w:rsid w:val="0DEB77AB"/>
    <w:rsid w:val="0DF114B4"/>
    <w:rsid w:val="0DFC0FAE"/>
    <w:rsid w:val="0E04260F"/>
    <w:rsid w:val="0E047188"/>
    <w:rsid w:val="0E064CBA"/>
    <w:rsid w:val="0E160CE4"/>
    <w:rsid w:val="0E2D3756"/>
    <w:rsid w:val="0E311B46"/>
    <w:rsid w:val="0E73034D"/>
    <w:rsid w:val="0E887759"/>
    <w:rsid w:val="0E8A52AC"/>
    <w:rsid w:val="0E8A740A"/>
    <w:rsid w:val="0E947A72"/>
    <w:rsid w:val="0EAC6AFF"/>
    <w:rsid w:val="0EC14D85"/>
    <w:rsid w:val="0EDC609A"/>
    <w:rsid w:val="0EDE1EA9"/>
    <w:rsid w:val="0EE663A2"/>
    <w:rsid w:val="0F0052B2"/>
    <w:rsid w:val="0F13775A"/>
    <w:rsid w:val="0F4C08DD"/>
    <w:rsid w:val="0F5A1299"/>
    <w:rsid w:val="0F5F45FE"/>
    <w:rsid w:val="0F645FDB"/>
    <w:rsid w:val="0F7D66AA"/>
    <w:rsid w:val="0F856F32"/>
    <w:rsid w:val="0F9068C0"/>
    <w:rsid w:val="0F917478"/>
    <w:rsid w:val="0F9A112B"/>
    <w:rsid w:val="0F9C07D5"/>
    <w:rsid w:val="0FA14732"/>
    <w:rsid w:val="0FB07461"/>
    <w:rsid w:val="0FC84C5C"/>
    <w:rsid w:val="1020560F"/>
    <w:rsid w:val="102B041D"/>
    <w:rsid w:val="10327B05"/>
    <w:rsid w:val="104C0928"/>
    <w:rsid w:val="105C29C8"/>
    <w:rsid w:val="106D2F64"/>
    <w:rsid w:val="107630F7"/>
    <w:rsid w:val="107C1190"/>
    <w:rsid w:val="10931B0F"/>
    <w:rsid w:val="109D4921"/>
    <w:rsid w:val="10B63710"/>
    <w:rsid w:val="10EC0E9A"/>
    <w:rsid w:val="10F10820"/>
    <w:rsid w:val="10F525EB"/>
    <w:rsid w:val="110B1F80"/>
    <w:rsid w:val="1112009E"/>
    <w:rsid w:val="11130C98"/>
    <w:rsid w:val="111C2F7A"/>
    <w:rsid w:val="111D0F5A"/>
    <w:rsid w:val="112756BF"/>
    <w:rsid w:val="113B5AF2"/>
    <w:rsid w:val="11457AD2"/>
    <w:rsid w:val="11470690"/>
    <w:rsid w:val="11477E06"/>
    <w:rsid w:val="114C1FC3"/>
    <w:rsid w:val="11591371"/>
    <w:rsid w:val="11665CA1"/>
    <w:rsid w:val="118E52D1"/>
    <w:rsid w:val="11954A3B"/>
    <w:rsid w:val="119848CB"/>
    <w:rsid w:val="11C36C8B"/>
    <w:rsid w:val="11CA0B96"/>
    <w:rsid w:val="11CC3A2A"/>
    <w:rsid w:val="11DD544B"/>
    <w:rsid w:val="11E271AD"/>
    <w:rsid w:val="11E327B6"/>
    <w:rsid w:val="120B6E19"/>
    <w:rsid w:val="120C2287"/>
    <w:rsid w:val="121A52F2"/>
    <w:rsid w:val="1233783F"/>
    <w:rsid w:val="128A0AC1"/>
    <w:rsid w:val="128A341A"/>
    <w:rsid w:val="128E2044"/>
    <w:rsid w:val="1298779A"/>
    <w:rsid w:val="12A30808"/>
    <w:rsid w:val="12A44C9E"/>
    <w:rsid w:val="12AC1DF1"/>
    <w:rsid w:val="12BF425A"/>
    <w:rsid w:val="12D266D8"/>
    <w:rsid w:val="12D664C4"/>
    <w:rsid w:val="12D7148B"/>
    <w:rsid w:val="12D80154"/>
    <w:rsid w:val="12DF0C1A"/>
    <w:rsid w:val="12E74F01"/>
    <w:rsid w:val="12EE4983"/>
    <w:rsid w:val="134173EF"/>
    <w:rsid w:val="134A37C9"/>
    <w:rsid w:val="137F06FB"/>
    <w:rsid w:val="13910E76"/>
    <w:rsid w:val="13951726"/>
    <w:rsid w:val="13A02F69"/>
    <w:rsid w:val="13C60E07"/>
    <w:rsid w:val="13C97CFB"/>
    <w:rsid w:val="13D40621"/>
    <w:rsid w:val="13E559DB"/>
    <w:rsid w:val="13E83E24"/>
    <w:rsid w:val="13ED4563"/>
    <w:rsid w:val="13F2579D"/>
    <w:rsid w:val="14026DC9"/>
    <w:rsid w:val="140F29D9"/>
    <w:rsid w:val="141076D8"/>
    <w:rsid w:val="1417317C"/>
    <w:rsid w:val="14281871"/>
    <w:rsid w:val="14396509"/>
    <w:rsid w:val="149135CA"/>
    <w:rsid w:val="149C2EE3"/>
    <w:rsid w:val="14AC4380"/>
    <w:rsid w:val="14BB6E99"/>
    <w:rsid w:val="14C5353F"/>
    <w:rsid w:val="14D966DB"/>
    <w:rsid w:val="14DD2C3C"/>
    <w:rsid w:val="14F13F2D"/>
    <w:rsid w:val="14F82DE4"/>
    <w:rsid w:val="15234C6E"/>
    <w:rsid w:val="1534426E"/>
    <w:rsid w:val="15596485"/>
    <w:rsid w:val="15612785"/>
    <w:rsid w:val="1561649E"/>
    <w:rsid w:val="15666092"/>
    <w:rsid w:val="15750BB6"/>
    <w:rsid w:val="15905A3D"/>
    <w:rsid w:val="15AB6F14"/>
    <w:rsid w:val="15BC53C4"/>
    <w:rsid w:val="15DA49B5"/>
    <w:rsid w:val="15F53287"/>
    <w:rsid w:val="16012553"/>
    <w:rsid w:val="16087E1D"/>
    <w:rsid w:val="16204625"/>
    <w:rsid w:val="162A27DD"/>
    <w:rsid w:val="163037C2"/>
    <w:rsid w:val="166B20D2"/>
    <w:rsid w:val="16806CF3"/>
    <w:rsid w:val="16827290"/>
    <w:rsid w:val="169E214C"/>
    <w:rsid w:val="16B4378A"/>
    <w:rsid w:val="16BC4689"/>
    <w:rsid w:val="16FC42C1"/>
    <w:rsid w:val="1731373A"/>
    <w:rsid w:val="17396552"/>
    <w:rsid w:val="173C7CC9"/>
    <w:rsid w:val="174D5A93"/>
    <w:rsid w:val="175E1B14"/>
    <w:rsid w:val="176E3102"/>
    <w:rsid w:val="17701D14"/>
    <w:rsid w:val="17735226"/>
    <w:rsid w:val="17A42C8E"/>
    <w:rsid w:val="17B17E8E"/>
    <w:rsid w:val="17BA4EAD"/>
    <w:rsid w:val="17EF4DF2"/>
    <w:rsid w:val="180057CA"/>
    <w:rsid w:val="18025FB9"/>
    <w:rsid w:val="182D138A"/>
    <w:rsid w:val="18455CC1"/>
    <w:rsid w:val="18582CCC"/>
    <w:rsid w:val="187C1837"/>
    <w:rsid w:val="18912136"/>
    <w:rsid w:val="18943B94"/>
    <w:rsid w:val="189F624C"/>
    <w:rsid w:val="189F753B"/>
    <w:rsid w:val="18B851E2"/>
    <w:rsid w:val="18C1380B"/>
    <w:rsid w:val="18DA7A5B"/>
    <w:rsid w:val="18E17FAA"/>
    <w:rsid w:val="18EE0462"/>
    <w:rsid w:val="18F317F0"/>
    <w:rsid w:val="190D67B4"/>
    <w:rsid w:val="191010DB"/>
    <w:rsid w:val="19196D28"/>
    <w:rsid w:val="19251A89"/>
    <w:rsid w:val="1945254E"/>
    <w:rsid w:val="195B4907"/>
    <w:rsid w:val="19632917"/>
    <w:rsid w:val="199A503A"/>
    <w:rsid w:val="19A253B8"/>
    <w:rsid w:val="19AA404A"/>
    <w:rsid w:val="19C95E82"/>
    <w:rsid w:val="19CE12FB"/>
    <w:rsid w:val="19D35284"/>
    <w:rsid w:val="19D65EF5"/>
    <w:rsid w:val="19DA3143"/>
    <w:rsid w:val="19DD0E67"/>
    <w:rsid w:val="19E06CA3"/>
    <w:rsid w:val="19E6303C"/>
    <w:rsid w:val="19EF2779"/>
    <w:rsid w:val="19F241B0"/>
    <w:rsid w:val="19F425C7"/>
    <w:rsid w:val="1A083057"/>
    <w:rsid w:val="1A1C66C0"/>
    <w:rsid w:val="1A202E3C"/>
    <w:rsid w:val="1A256DA6"/>
    <w:rsid w:val="1A2E3D41"/>
    <w:rsid w:val="1A42393B"/>
    <w:rsid w:val="1A433B22"/>
    <w:rsid w:val="1A6A2D33"/>
    <w:rsid w:val="1A85626F"/>
    <w:rsid w:val="1A8B5B34"/>
    <w:rsid w:val="1A8E4080"/>
    <w:rsid w:val="1AA97807"/>
    <w:rsid w:val="1AAD45DE"/>
    <w:rsid w:val="1AC14C70"/>
    <w:rsid w:val="1ACC3A43"/>
    <w:rsid w:val="1AD44D0C"/>
    <w:rsid w:val="1AD9666A"/>
    <w:rsid w:val="1AFA26BE"/>
    <w:rsid w:val="1B046F80"/>
    <w:rsid w:val="1B0A0D9F"/>
    <w:rsid w:val="1B186FD2"/>
    <w:rsid w:val="1B3045CE"/>
    <w:rsid w:val="1B3267B5"/>
    <w:rsid w:val="1B3576D5"/>
    <w:rsid w:val="1B3C52F9"/>
    <w:rsid w:val="1B40161D"/>
    <w:rsid w:val="1B441859"/>
    <w:rsid w:val="1B5026B1"/>
    <w:rsid w:val="1B551D18"/>
    <w:rsid w:val="1B6606B1"/>
    <w:rsid w:val="1B6F5D2B"/>
    <w:rsid w:val="1B863F30"/>
    <w:rsid w:val="1BA236C2"/>
    <w:rsid w:val="1BAB41C7"/>
    <w:rsid w:val="1BB00E0D"/>
    <w:rsid w:val="1BE47743"/>
    <w:rsid w:val="1C002FD5"/>
    <w:rsid w:val="1C01683C"/>
    <w:rsid w:val="1C0B0A79"/>
    <w:rsid w:val="1C253DE0"/>
    <w:rsid w:val="1C3131F1"/>
    <w:rsid w:val="1C323D21"/>
    <w:rsid w:val="1C3944B6"/>
    <w:rsid w:val="1C3B0031"/>
    <w:rsid w:val="1C51122C"/>
    <w:rsid w:val="1C5E7925"/>
    <w:rsid w:val="1C6005E9"/>
    <w:rsid w:val="1C760D10"/>
    <w:rsid w:val="1C8C1B7E"/>
    <w:rsid w:val="1C8F4147"/>
    <w:rsid w:val="1C9D290D"/>
    <w:rsid w:val="1CBA37A2"/>
    <w:rsid w:val="1CD126E5"/>
    <w:rsid w:val="1CFD070F"/>
    <w:rsid w:val="1D01590E"/>
    <w:rsid w:val="1D0369D5"/>
    <w:rsid w:val="1D11438A"/>
    <w:rsid w:val="1D592E3F"/>
    <w:rsid w:val="1D5F6196"/>
    <w:rsid w:val="1D6132A5"/>
    <w:rsid w:val="1D7D003F"/>
    <w:rsid w:val="1D8254F6"/>
    <w:rsid w:val="1D8E56D5"/>
    <w:rsid w:val="1DB4224E"/>
    <w:rsid w:val="1DCB145F"/>
    <w:rsid w:val="1DCD1B4E"/>
    <w:rsid w:val="1DE26170"/>
    <w:rsid w:val="1DEF0C62"/>
    <w:rsid w:val="1E0E486F"/>
    <w:rsid w:val="1E101FEC"/>
    <w:rsid w:val="1E1D2ABB"/>
    <w:rsid w:val="1E2318C4"/>
    <w:rsid w:val="1E3631AB"/>
    <w:rsid w:val="1E407198"/>
    <w:rsid w:val="1E797C21"/>
    <w:rsid w:val="1E7A43DA"/>
    <w:rsid w:val="1E8135F9"/>
    <w:rsid w:val="1E85043A"/>
    <w:rsid w:val="1E925BD8"/>
    <w:rsid w:val="1EA6790D"/>
    <w:rsid w:val="1EA75828"/>
    <w:rsid w:val="1EBD54DD"/>
    <w:rsid w:val="1ED019A3"/>
    <w:rsid w:val="1ED301B5"/>
    <w:rsid w:val="1F082B43"/>
    <w:rsid w:val="1F134DA3"/>
    <w:rsid w:val="1F2B58DD"/>
    <w:rsid w:val="1F47318F"/>
    <w:rsid w:val="1F541A6C"/>
    <w:rsid w:val="1F6A423D"/>
    <w:rsid w:val="1F757B42"/>
    <w:rsid w:val="1F880B3B"/>
    <w:rsid w:val="1F8F3D1A"/>
    <w:rsid w:val="1FBF5336"/>
    <w:rsid w:val="1FC1254F"/>
    <w:rsid w:val="1FD501DE"/>
    <w:rsid w:val="1FD51704"/>
    <w:rsid w:val="1FE7539E"/>
    <w:rsid w:val="2002650C"/>
    <w:rsid w:val="20081943"/>
    <w:rsid w:val="20165393"/>
    <w:rsid w:val="2026336E"/>
    <w:rsid w:val="202D507A"/>
    <w:rsid w:val="20356622"/>
    <w:rsid w:val="20370048"/>
    <w:rsid w:val="204A2E5C"/>
    <w:rsid w:val="205C1720"/>
    <w:rsid w:val="20671BE0"/>
    <w:rsid w:val="20722804"/>
    <w:rsid w:val="207A5ACF"/>
    <w:rsid w:val="207C396E"/>
    <w:rsid w:val="207F3C7F"/>
    <w:rsid w:val="207F7433"/>
    <w:rsid w:val="20963CB8"/>
    <w:rsid w:val="20A81A1B"/>
    <w:rsid w:val="20B07FB6"/>
    <w:rsid w:val="20B646FB"/>
    <w:rsid w:val="20CC1A17"/>
    <w:rsid w:val="20D12CE9"/>
    <w:rsid w:val="20D3449D"/>
    <w:rsid w:val="20D34D09"/>
    <w:rsid w:val="20D53644"/>
    <w:rsid w:val="20DB71F9"/>
    <w:rsid w:val="20E71C1F"/>
    <w:rsid w:val="20ED57C5"/>
    <w:rsid w:val="20F51C50"/>
    <w:rsid w:val="210070F3"/>
    <w:rsid w:val="21163520"/>
    <w:rsid w:val="211E6AE7"/>
    <w:rsid w:val="213956CB"/>
    <w:rsid w:val="213B74B1"/>
    <w:rsid w:val="21551337"/>
    <w:rsid w:val="215A2310"/>
    <w:rsid w:val="215F042A"/>
    <w:rsid w:val="215F5B8D"/>
    <w:rsid w:val="21702646"/>
    <w:rsid w:val="218B7CDA"/>
    <w:rsid w:val="21B42E98"/>
    <w:rsid w:val="21C84ADA"/>
    <w:rsid w:val="21D75083"/>
    <w:rsid w:val="21DE318A"/>
    <w:rsid w:val="21EF3D24"/>
    <w:rsid w:val="21EF5B80"/>
    <w:rsid w:val="21EF64E6"/>
    <w:rsid w:val="220B2BF8"/>
    <w:rsid w:val="22576990"/>
    <w:rsid w:val="22663AE1"/>
    <w:rsid w:val="22691EC4"/>
    <w:rsid w:val="22943D23"/>
    <w:rsid w:val="22D219B2"/>
    <w:rsid w:val="22DF2757"/>
    <w:rsid w:val="22F47480"/>
    <w:rsid w:val="22F52BB2"/>
    <w:rsid w:val="2316176A"/>
    <w:rsid w:val="234324D8"/>
    <w:rsid w:val="234E57F3"/>
    <w:rsid w:val="23511166"/>
    <w:rsid w:val="2359473C"/>
    <w:rsid w:val="237738EE"/>
    <w:rsid w:val="23AF084C"/>
    <w:rsid w:val="23B44672"/>
    <w:rsid w:val="23C14A92"/>
    <w:rsid w:val="23DD2FA9"/>
    <w:rsid w:val="23DE00B5"/>
    <w:rsid w:val="23DE1C48"/>
    <w:rsid w:val="23F21B76"/>
    <w:rsid w:val="240210CD"/>
    <w:rsid w:val="241011D0"/>
    <w:rsid w:val="24186818"/>
    <w:rsid w:val="2432445B"/>
    <w:rsid w:val="244A4A8C"/>
    <w:rsid w:val="24593CDD"/>
    <w:rsid w:val="245C09FD"/>
    <w:rsid w:val="245F25C7"/>
    <w:rsid w:val="246331F0"/>
    <w:rsid w:val="247B1E73"/>
    <w:rsid w:val="248D229B"/>
    <w:rsid w:val="24A11200"/>
    <w:rsid w:val="24B814B6"/>
    <w:rsid w:val="24BF09F7"/>
    <w:rsid w:val="24F6292C"/>
    <w:rsid w:val="250A194B"/>
    <w:rsid w:val="25100A0B"/>
    <w:rsid w:val="252257E6"/>
    <w:rsid w:val="252916AD"/>
    <w:rsid w:val="252D53FE"/>
    <w:rsid w:val="2565708E"/>
    <w:rsid w:val="25746859"/>
    <w:rsid w:val="258453FD"/>
    <w:rsid w:val="25C20894"/>
    <w:rsid w:val="25DF0E57"/>
    <w:rsid w:val="25EC2D81"/>
    <w:rsid w:val="25FB00D3"/>
    <w:rsid w:val="2602717F"/>
    <w:rsid w:val="261015E3"/>
    <w:rsid w:val="26125F65"/>
    <w:rsid w:val="26137DC4"/>
    <w:rsid w:val="261948BD"/>
    <w:rsid w:val="264038B3"/>
    <w:rsid w:val="265309FE"/>
    <w:rsid w:val="267862F0"/>
    <w:rsid w:val="267E1516"/>
    <w:rsid w:val="26860B61"/>
    <w:rsid w:val="269E7B56"/>
    <w:rsid w:val="26A84B71"/>
    <w:rsid w:val="26B31F61"/>
    <w:rsid w:val="26BC539D"/>
    <w:rsid w:val="26C6643D"/>
    <w:rsid w:val="26D703A7"/>
    <w:rsid w:val="26DA1CC3"/>
    <w:rsid w:val="26E17354"/>
    <w:rsid w:val="26E2211C"/>
    <w:rsid w:val="270654D6"/>
    <w:rsid w:val="273712C3"/>
    <w:rsid w:val="27384EC9"/>
    <w:rsid w:val="274555B0"/>
    <w:rsid w:val="27483879"/>
    <w:rsid w:val="275F3670"/>
    <w:rsid w:val="276503A1"/>
    <w:rsid w:val="277057A2"/>
    <w:rsid w:val="277D5D0F"/>
    <w:rsid w:val="27863F30"/>
    <w:rsid w:val="278B58DA"/>
    <w:rsid w:val="279F2F82"/>
    <w:rsid w:val="27BC5653"/>
    <w:rsid w:val="27BE7572"/>
    <w:rsid w:val="27F27F4F"/>
    <w:rsid w:val="280620C5"/>
    <w:rsid w:val="28085B5F"/>
    <w:rsid w:val="283221E5"/>
    <w:rsid w:val="283F58E2"/>
    <w:rsid w:val="28605258"/>
    <w:rsid w:val="28671046"/>
    <w:rsid w:val="28681030"/>
    <w:rsid w:val="28733BCE"/>
    <w:rsid w:val="28777930"/>
    <w:rsid w:val="287D74E7"/>
    <w:rsid w:val="28873B69"/>
    <w:rsid w:val="288C0FCF"/>
    <w:rsid w:val="28E44D94"/>
    <w:rsid w:val="28E71C2E"/>
    <w:rsid w:val="28F23768"/>
    <w:rsid w:val="2910099B"/>
    <w:rsid w:val="29161140"/>
    <w:rsid w:val="291C1FA9"/>
    <w:rsid w:val="29206EB8"/>
    <w:rsid w:val="29282D6F"/>
    <w:rsid w:val="29595666"/>
    <w:rsid w:val="295C42FC"/>
    <w:rsid w:val="296D6882"/>
    <w:rsid w:val="297B2311"/>
    <w:rsid w:val="298625FD"/>
    <w:rsid w:val="29874881"/>
    <w:rsid w:val="29987347"/>
    <w:rsid w:val="29A2042F"/>
    <w:rsid w:val="29A33B7C"/>
    <w:rsid w:val="29A56F92"/>
    <w:rsid w:val="29DF7363"/>
    <w:rsid w:val="29E325E0"/>
    <w:rsid w:val="2A015A68"/>
    <w:rsid w:val="2A056672"/>
    <w:rsid w:val="2A067B3A"/>
    <w:rsid w:val="2A095C1D"/>
    <w:rsid w:val="2A350D60"/>
    <w:rsid w:val="2A411ADC"/>
    <w:rsid w:val="2A452503"/>
    <w:rsid w:val="2A5245A8"/>
    <w:rsid w:val="2A58237F"/>
    <w:rsid w:val="2A587257"/>
    <w:rsid w:val="2A76508B"/>
    <w:rsid w:val="2A9A4BC2"/>
    <w:rsid w:val="2A9B7628"/>
    <w:rsid w:val="2AA1055A"/>
    <w:rsid w:val="2AAE4219"/>
    <w:rsid w:val="2AB65AA1"/>
    <w:rsid w:val="2ACB6DF0"/>
    <w:rsid w:val="2AE03280"/>
    <w:rsid w:val="2B095D04"/>
    <w:rsid w:val="2B0A3400"/>
    <w:rsid w:val="2B3623B5"/>
    <w:rsid w:val="2B547D10"/>
    <w:rsid w:val="2B686509"/>
    <w:rsid w:val="2B783B58"/>
    <w:rsid w:val="2BA936A8"/>
    <w:rsid w:val="2BB22049"/>
    <w:rsid w:val="2BB56166"/>
    <w:rsid w:val="2BB83C7D"/>
    <w:rsid w:val="2BDC1C79"/>
    <w:rsid w:val="2BE62250"/>
    <w:rsid w:val="2BF546B1"/>
    <w:rsid w:val="2C0A5EA1"/>
    <w:rsid w:val="2C1D3E52"/>
    <w:rsid w:val="2C315A5A"/>
    <w:rsid w:val="2C340A76"/>
    <w:rsid w:val="2C347030"/>
    <w:rsid w:val="2C355818"/>
    <w:rsid w:val="2C47636C"/>
    <w:rsid w:val="2C4B1C25"/>
    <w:rsid w:val="2C5201AB"/>
    <w:rsid w:val="2C554BD7"/>
    <w:rsid w:val="2C5D416C"/>
    <w:rsid w:val="2C5F02EE"/>
    <w:rsid w:val="2C77558C"/>
    <w:rsid w:val="2CA06AA6"/>
    <w:rsid w:val="2CA35075"/>
    <w:rsid w:val="2CBF471A"/>
    <w:rsid w:val="2CC4650E"/>
    <w:rsid w:val="2CC87181"/>
    <w:rsid w:val="2CD326BD"/>
    <w:rsid w:val="2CD379ED"/>
    <w:rsid w:val="2CD732A1"/>
    <w:rsid w:val="2CE55A00"/>
    <w:rsid w:val="2CEB56C8"/>
    <w:rsid w:val="2D072C50"/>
    <w:rsid w:val="2D0C28EF"/>
    <w:rsid w:val="2D0D1DA6"/>
    <w:rsid w:val="2D1E099B"/>
    <w:rsid w:val="2D2C7E38"/>
    <w:rsid w:val="2D3F4C1F"/>
    <w:rsid w:val="2D443F5B"/>
    <w:rsid w:val="2D74227E"/>
    <w:rsid w:val="2D81538E"/>
    <w:rsid w:val="2D9669D2"/>
    <w:rsid w:val="2D9E20F4"/>
    <w:rsid w:val="2D9E56F5"/>
    <w:rsid w:val="2DA44080"/>
    <w:rsid w:val="2DB47354"/>
    <w:rsid w:val="2DC16BE6"/>
    <w:rsid w:val="2DD24099"/>
    <w:rsid w:val="2DD24655"/>
    <w:rsid w:val="2DE64227"/>
    <w:rsid w:val="2DE872D8"/>
    <w:rsid w:val="2DF34E18"/>
    <w:rsid w:val="2DF37289"/>
    <w:rsid w:val="2DF82FD5"/>
    <w:rsid w:val="2DFC1C52"/>
    <w:rsid w:val="2E051023"/>
    <w:rsid w:val="2E19133F"/>
    <w:rsid w:val="2E1A7E09"/>
    <w:rsid w:val="2E237E7E"/>
    <w:rsid w:val="2E2C06CF"/>
    <w:rsid w:val="2E3529D4"/>
    <w:rsid w:val="2E527120"/>
    <w:rsid w:val="2E540893"/>
    <w:rsid w:val="2E667F96"/>
    <w:rsid w:val="2E7C20B1"/>
    <w:rsid w:val="2E8226AB"/>
    <w:rsid w:val="2E963988"/>
    <w:rsid w:val="2E984D7E"/>
    <w:rsid w:val="2EA130D2"/>
    <w:rsid w:val="2EA83D83"/>
    <w:rsid w:val="2ECA0058"/>
    <w:rsid w:val="2ECE6C13"/>
    <w:rsid w:val="2EE36814"/>
    <w:rsid w:val="2EF00D8C"/>
    <w:rsid w:val="2EF97148"/>
    <w:rsid w:val="2EFF4836"/>
    <w:rsid w:val="2F1369A1"/>
    <w:rsid w:val="2F2355BB"/>
    <w:rsid w:val="2F344C79"/>
    <w:rsid w:val="2F3A2097"/>
    <w:rsid w:val="2F5547A4"/>
    <w:rsid w:val="2F56001B"/>
    <w:rsid w:val="2F5C016A"/>
    <w:rsid w:val="2F8B4B46"/>
    <w:rsid w:val="2F8D13AC"/>
    <w:rsid w:val="2FA60E0F"/>
    <w:rsid w:val="2FCC693B"/>
    <w:rsid w:val="2FD065E6"/>
    <w:rsid w:val="2FD96870"/>
    <w:rsid w:val="2FDC3120"/>
    <w:rsid w:val="300B1CCD"/>
    <w:rsid w:val="303008BA"/>
    <w:rsid w:val="30350C58"/>
    <w:rsid w:val="304C29C0"/>
    <w:rsid w:val="30560C91"/>
    <w:rsid w:val="30580BC9"/>
    <w:rsid w:val="3082475E"/>
    <w:rsid w:val="308C231D"/>
    <w:rsid w:val="308F430F"/>
    <w:rsid w:val="309F57CF"/>
    <w:rsid w:val="30A1026E"/>
    <w:rsid w:val="30A17A71"/>
    <w:rsid w:val="30B057E5"/>
    <w:rsid w:val="30B967DC"/>
    <w:rsid w:val="30DF4A3C"/>
    <w:rsid w:val="30EA751E"/>
    <w:rsid w:val="30FB1E7A"/>
    <w:rsid w:val="310B0A43"/>
    <w:rsid w:val="311E2ED7"/>
    <w:rsid w:val="312806E4"/>
    <w:rsid w:val="315619EE"/>
    <w:rsid w:val="315C449C"/>
    <w:rsid w:val="31724B14"/>
    <w:rsid w:val="317C4ED3"/>
    <w:rsid w:val="317D3AEA"/>
    <w:rsid w:val="317F3E3C"/>
    <w:rsid w:val="31845BBD"/>
    <w:rsid w:val="318D4F78"/>
    <w:rsid w:val="31953464"/>
    <w:rsid w:val="319E0CD5"/>
    <w:rsid w:val="31B26644"/>
    <w:rsid w:val="31B82709"/>
    <w:rsid w:val="31D05482"/>
    <w:rsid w:val="31D6051C"/>
    <w:rsid w:val="32400B34"/>
    <w:rsid w:val="32745800"/>
    <w:rsid w:val="328D7E23"/>
    <w:rsid w:val="329B5D01"/>
    <w:rsid w:val="329E6876"/>
    <w:rsid w:val="32A753AF"/>
    <w:rsid w:val="32BD4E30"/>
    <w:rsid w:val="32C40523"/>
    <w:rsid w:val="32F651BC"/>
    <w:rsid w:val="3309316C"/>
    <w:rsid w:val="330E21D4"/>
    <w:rsid w:val="33183E0C"/>
    <w:rsid w:val="33234305"/>
    <w:rsid w:val="333015F2"/>
    <w:rsid w:val="334623AB"/>
    <w:rsid w:val="334A5E42"/>
    <w:rsid w:val="334B6229"/>
    <w:rsid w:val="334B6320"/>
    <w:rsid w:val="334C2231"/>
    <w:rsid w:val="334F3C22"/>
    <w:rsid w:val="33564E3D"/>
    <w:rsid w:val="33791207"/>
    <w:rsid w:val="337C3E6B"/>
    <w:rsid w:val="33861AED"/>
    <w:rsid w:val="33A37BF6"/>
    <w:rsid w:val="33D21C44"/>
    <w:rsid w:val="33D50AAD"/>
    <w:rsid w:val="33D934D4"/>
    <w:rsid w:val="33DC16E1"/>
    <w:rsid w:val="33FE2F6A"/>
    <w:rsid w:val="3402331D"/>
    <w:rsid w:val="340E07E5"/>
    <w:rsid w:val="341C1E65"/>
    <w:rsid w:val="341C7E07"/>
    <w:rsid w:val="34235BF7"/>
    <w:rsid w:val="342367C4"/>
    <w:rsid w:val="342D4C47"/>
    <w:rsid w:val="346028F8"/>
    <w:rsid w:val="34611714"/>
    <w:rsid w:val="34621E3D"/>
    <w:rsid w:val="34705A2C"/>
    <w:rsid w:val="34752511"/>
    <w:rsid w:val="347B0287"/>
    <w:rsid w:val="347D4810"/>
    <w:rsid w:val="348403E1"/>
    <w:rsid w:val="34857837"/>
    <w:rsid w:val="348D0EF1"/>
    <w:rsid w:val="348F3D0E"/>
    <w:rsid w:val="34961E71"/>
    <w:rsid w:val="34965966"/>
    <w:rsid w:val="34A837D5"/>
    <w:rsid w:val="34BC4871"/>
    <w:rsid w:val="34BF0D6C"/>
    <w:rsid w:val="34DF43E1"/>
    <w:rsid w:val="34F262C9"/>
    <w:rsid w:val="34F363A3"/>
    <w:rsid w:val="34F4181B"/>
    <w:rsid w:val="350E3232"/>
    <w:rsid w:val="35125BEA"/>
    <w:rsid w:val="35213E7A"/>
    <w:rsid w:val="352E1E21"/>
    <w:rsid w:val="35345027"/>
    <w:rsid w:val="35525164"/>
    <w:rsid w:val="355B4579"/>
    <w:rsid w:val="35637EBC"/>
    <w:rsid w:val="35657B2A"/>
    <w:rsid w:val="35883C42"/>
    <w:rsid w:val="3589252C"/>
    <w:rsid w:val="358C5FA8"/>
    <w:rsid w:val="35B12CF1"/>
    <w:rsid w:val="35C15DF1"/>
    <w:rsid w:val="35D00762"/>
    <w:rsid w:val="35D20DDB"/>
    <w:rsid w:val="35DA13C8"/>
    <w:rsid w:val="35F87D36"/>
    <w:rsid w:val="35FB63AE"/>
    <w:rsid w:val="35FD4723"/>
    <w:rsid w:val="36074A7F"/>
    <w:rsid w:val="3629686E"/>
    <w:rsid w:val="36487F4D"/>
    <w:rsid w:val="3655350C"/>
    <w:rsid w:val="365F321D"/>
    <w:rsid w:val="365F3EE0"/>
    <w:rsid w:val="36923549"/>
    <w:rsid w:val="369A19AD"/>
    <w:rsid w:val="36A071A5"/>
    <w:rsid w:val="36B75FBF"/>
    <w:rsid w:val="36BD0C45"/>
    <w:rsid w:val="36CF2AC2"/>
    <w:rsid w:val="36E20639"/>
    <w:rsid w:val="37186C1D"/>
    <w:rsid w:val="37291EC8"/>
    <w:rsid w:val="372F597E"/>
    <w:rsid w:val="372F7379"/>
    <w:rsid w:val="37445FB9"/>
    <w:rsid w:val="374C257A"/>
    <w:rsid w:val="374C36D1"/>
    <w:rsid w:val="376C29DF"/>
    <w:rsid w:val="3779589D"/>
    <w:rsid w:val="377A7029"/>
    <w:rsid w:val="37BF5C15"/>
    <w:rsid w:val="37D050F3"/>
    <w:rsid w:val="37DF2223"/>
    <w:rsid w:val="37E00298"/>
    <w:rsid w:val="37E14C4F"/>
    <w:rsid w:val="37EA3512"/>
    <w:rsid w:val="37EE2C48"/>
    <w:rsid w:val="37F2691E"/>
    <w:rsid w:val="37FC6C70"/>
    <w:rsid w:val="38003C7E"/>
    <w:rsid w:val="380A32B0"/>
    <w:rsid w:val="38125792"/>
    <w:rsid w:val="38216B84"/>
    <w:rsid w:val="382357DB"/>
    <w:rsid w:val="382858DB"/>
    <w:rsid w:val="383A5E06"/>
    <w:rsid w:val="383F05C9"/>
    <w:rsid w:val="384F6A52"/>
    <w:rsid w:val="385B5D34"/>
    <w:rsid w:val="38794F9A"/>
    <w:rsid w:val="38A45B9B"/>
    <w:rsid w:val="38B302F9"/>
    <w:rsid w:val="38BD1BB0"/>
    <w:rsid w:val="38C42855"/>
    <w:rsid w:val="38C93C64"/>
    <w:rsid w:val="38CB46FC"/>
    <w:rsid w:val="38DC15B5"/>
    <w:rsid w:val="38EC5BDF"/>
    <w:rsid w:val="38F12CD3"/>
    <w:rsid w:val="38F94775"/>
    <w:rsid w:val="390A14BE"/>
    <w:rsid w:val="39134562"/>
    <w:rsid w:val="392971ED"/>
    <w:rsid w:val="3931229C"/>
    <w:rsid w:val="39325651"/>
    <w:rsid w:val="39622946"/>
    <w:rsid w:val="39812E8C"/>
    <w:rsid w:val="39822C77"/>
    <w:rsid w:val="398D02FA"/>
    <w:rsid w:val="39C502C8"/>
    <w:rsid w:val="39C6423F"/>
    <w:rsid w:val="39D103B5"/>
    <w:rsid w:val="39D40164"/>
    <w:rsid w:val="39D47DAD"/>
    <w:rsid w:val="39E61A20"/>
    <w:rsid w:val="39EF33B2"/>
    <w:rsid w:val="39F40EEF"/>
    <w:rsid w:val="3A0A523E"/>
    <w:rsid w:val="3A12149C"/>
    <w:rsid w:val="3A485D32"/>
    <w:rsid w:val="3A544D25"/>
    <w:rsid w:val="3A5D0BC2"/>
    <w:rsid w:val="3A872856"/>
    <w:rsid w:val="3AAB7501"/>
    <w:rsid w:val="3ABC269C"/>
    <w:rsid w:val="3B232871"/>
    <w:rsid w:val="3B295BF7"/>
    <w:rsid w:val="3B355D82"/>
    <w:rsid w:val="3B3763D1"/>
    <w:rsid w:val="3B686EDA"/>
    <w:rsid w:val="3B6A2462"/>
    <w:rsid w:val="3B7B74A9"/>
    <w:rsid w:val="3B8F3F31"/>
    <w:rsid w:val="3BAE43CC"/>
    <w:rsid w:val="3BB4097F"/>
    <w:rsid w:val="3BB43E93"/>
    <w:rsid w:val="3BB97ACF"/>
    <w:rsid w:val="3BCA5A0F"/>
    <w:rsid w:val="3BE26A37"/>
    <w:rsid w:val="3BE9444A"/>
    <w:rsid w:val="3BE94A34"/>
    <w:rsid w:val="3BF52D34"/>
    <w:rsid w:val="3BFB60EE"/>
    <w:rsid w:val="3C092215"/>
    <w:rsid w:val="3C1C528A"/>
    <w:rsid w:val="3C1F43B8"/>
    <w:rsid w:val="3C2F3163"/>
    <w:rsid w:val="3C2F6E1E"/>
    <w:rsid w:val="3C4F64BA"/>
    <w:rsid w:val="3C522ADD"/>
    <w:rsid w:val="3C554CC3"/>
    <w:rsid w:val="3C631651"/>
    <w:rsid w:val="3C64582A"/>
    <w:rsid w:val="3CA56752"/>
    <w:rsid w:val="3CAC60C9"/>
    <w:rsid w:val="3CD8535C"/>
    <w:rsid w:val="3CDA245A"/>
    <w:rsid w:val="3CEC2569"/>
    <w:rsid w:val="3CFC67B0"/>
    <w:rsid w:val="3CFE3A7F"/>
    <w:rsid w:val="3D0114B0"/>
    <w:rsid w:val="3D1E06B7"/>
    <w:rsid w:val="3D216DAF"/>
    <w:rsid w:val="3D363158"/>
    <w:rsid w:val="3D384CF6"/>
    <w:rsid w:val="3D4B461C"/>
    <w:rsid w:val="3D520EA0"/>
    <w:rsid w:val="3D533563"/>
    <w:rsid w:val="3D7B6D71"/>
    <w:rsid w:val="3D891F1B"/>
    <w:rsid w:val="3D8D1906"/>
    <w:rsid w:val="3DB96A9B"/>
    <w:rsid w:val="3DC23292"/>
    <w:rsid w:val="3DC47627"/>
    <w:rsid w:val="3DC76CF2"/>
    <w:rsid w:val="3DDB59B2"/>
    <w:rsid w:val="3DDF7B5D"/>
    <w:rsid w:val="3DF74DA9"/>
    <w:rsid w:val="3E161975"/>
    <w:rsid w:val="3E2569F1"/>
    <w:rsid w:val="3E281DF1"/>
    <w:rsid w:val="3E30185E"/>
    <w:rsid w:val="3E4C4223"/>
    <w:rsid w:val="3E5A7DAF"/>
    <w:rsid w:val="3E803318"/>
    <w:rsid w:val="3E8573B1"/>
    <w:rsid w:val="3E8C28A5"/>
    <w:rsid w:val="3EB806BA"/>
    <w:rsid w:val="3ED2264B"/>
    <w:rsid w:val="3ED505F3"/>
    <w:rsid w:val="3EDA0523"/>
    <w:rsid w:val="3EEA093D"/>
    <w:rsid w:val="3EEF2F6D"/>
    <w:rsid w:val="3EFE7FA6"/>
    <w:rsid w:val="3F0761B3"/>
    <w:rsid w:val="3F353230"/>
    <w:rsid w:val="3F520217"/>
    <w:rsid w:val="3F5F49B6"/>
    <w:rsid w:val="3F624F39"/>
    <w:rsid w:val="3F9065BB"/>
    <w:rsid w:val="3F945BA5"/>
    <w:rsid w:val="3FD70102"/>
    <w:rsid w:val="3FD92849"/>
    <w:rsid w:val="3FE13C4F"/>
    <w:rsid w:val="3FE4091D"/>
    <w:rsid w:val="3FE82E2C"/>
    <w:rsid w:val="3FFD4CDA"/>
    <w:rsid w:val="40050233"/>
    <w:rsid w:val="402E7DA0"/>
    <w:rsid w:val="402F0FD2"/>
    <w:rsid w:val="403E3F00"/>
    <w:rsid w:val="40503D6B"/>
    <w:rsid w:val="406F3263"/>
    <w:rsid w:val="407A6407"/>
    <w:rsid w:val="409F442F"/>
    <w:rsid w:val="40A43D9A"/>
    <w:rsid w:val="40C320DF"/>
    <w:rsid w:val="40C74A08"/>
    <w:rsid w:val="40D023F6"/>
    <w:rsid w:val="41047192"/>
    <w:rsid w:val="4131270D"/>
    <w:rsid w:val="413D357D"/>
    <w:rsid w:val="41614204"/>
    <w:rsid w:val="4164171E"/>
    <w:rsid w:val="41661B42"/>
    <w:rsid w:val="41686F0E"/>
    <w:rsid w:val="41773A76"/>
    <w:rsid w:val="41874AD3"/>
    <w:rsid w:val="41A055A8"/>
    <w:rsid w:val="41A644B9"/>
    <w:rsid w:val="41BA3AA0"/>
    <w:rsid w:val="41C60F48"/>
    <w:rsid w:val="41ED6FDC"/>
    <w:rsid w:val="41EF764E"/>
    <w:rsid w:val="4200449D"/>
    <w:rsid w:val="42030E13"/>
    <w:rsid w:val="420D0C5A"/>
    <w:rsid w:val="42113415"/>
    <w:rsid w:val="421536C2"/>
    <w:rsid w:val="421B23A8"/>
    <w:rsid w:val="423A3BCC"/>
    <w:rsid w:val="423D00F5"/>
    <w:rsid w:val="424E57D2"/>
    <w:rsid w:val="425C2309"/>
    <w:rsid w:val="42716BA8"/>
    <w:rsid w:val="42721F90"/>
    <w:rsid w:val="427C1C04"/>
    <w:rsid w:val="428F2E84"/>
    <w:rsid w:val="4290667F"/>
    <w:rsid w:val="42B26C49"/>
    <w:rsid w:val="42D40176"/>
    <w:rsid w:val="42E90211"/>
    <w:rsid w:val="42EC7274"/>
    <w:rsid w:val="42F70523"/>
    <w:rsid w:val="42FA3F50"/>
    <w:rsid w:val="43220D86"/>
    <w:rsid w:val="432E057C"/>
    <w:rsid w:val="433A6FE6"/>
    <w:rsid w:val="433F1802"/>
    <w:rsid w:val="43423FA2"/>
    <w:rsid w:val="43480868"/>
    <w:rsid w:val="4350713C"/>
    <w:rsid w:val="435B65F1"/>
    <w:rsid w:val="436052E8"/>
    <w:rsid w:val="43613DBC"/>
    <w:rsid w:val="43652060"/>
    <w:rsid w:val="436653E0"/>
    <w:rsid w:val="436A0C70"/>
    <w:rsid w:val="436F0586"/>
    <w:rsid w:val="437859F5"/>
    <w:rsid w:val="437B2966"/>
    <w:rsid w:val="437F6ED5"/>
    <w:rsid w:val="43B94C21"/>
    <w:rsid w:val="43C4431A"/>
    <w:rsid w:val="43EE5254"/>
    <w:rsid w:val="43FB2382"/>
    <w:rsid w:val="43FE5AA1"/>
    <w:rsid w:val="440B1C16"/>
    <w:rsid w:val="440B655E"/>
    <w:rsid w:val="441032D4"/>
    <w:rsid w:val="441637EB"/>
    <w:rsid w:val="44250906"/>
    <w:rsid w:val="442C1C68"/>
    <w:rsid w:val="44327D97"/>
    <w:rsid w:val="444C2D3E"/>
    <w:rsid w:val="44581B7A"/>
    <w:rsid w:val="445C2C94"/>
    <w:rsid w:val="446B35D0"/>
    <w:rsid w:val="446E178D"/>
    <w:rsid w:val="448A7184"/>
    <w:rsid w:val="44A63856"/>
    <w:rsid w:val="44B951CC"/>
    <w:rsid w:val="44BC35A7"/>
    <w:rsid w:val="44BE3157"/>
    <w:rsid w:val="44C512A4"/>
    <w:rsid w:val="44CD14E0"/>
    <w:rsid w:val="44CF719A"/>
    <w:rsid w:val="44E87A3C"/>
    <w:rsid w:val="44F20B0B"/>
    <w:rsid w:val="450D2577"/>
    <w:rsid w:val="45125377"/>
    <w:rsid w:val="45173128"/>
    <w:rsid w:val="451B70AF"/>
    <w:rsid w:val="452B6CCA"/>
    <w:rsid w:val="452E5F4C"/>
    <w:rsid w:val="45314252"/>
    <w:rsid w:val="45363015"/>
    <w:rsid w:val="45421857"/>
    <w:rsid w:val="45485EB6"/>
    <w:rsid w:val="45492F04"/>
    <w:rsid w:val="454B3B3B"/>
    <w:rsid w:val="455D0EFE"/>
    <w:rsid w:val="455E77E1"/>
    <w:rsid w:val="45610513"/>
    <w:rsid w:val="45612018"/>
    <w:rsid w:val="45823A48"/>
    <w:rsid w:val="458946E9"/>
    <w:rsid w:val="459A60C4"/>
    <w:rsid w:val="45A14A3F"/>
    <w:rsid w:val="45A47C0E"/>
    <w:rsid w:val="45B74470"/>
    <w:rsid w:val="45DF4778"/>
    <w:rsid w:val="45F54EF3"/>
    <w:rsid w:val="45F631AF"/>
    <w:rsid w:val="4601507A"/>
    <w:rsid w:val="461C648C"/>
    <w:rsid w:val="463B0106"/>
    <w:rsid w:val="463B5BB8"/>
    <w:rsid w:val="463F30E9"/>
    <w:rsid w:val="464C2762"/>
    <w:rsid w:val="464D23FB"/>
    <w:rsid w:val="46500FD5"/>
    <w:rsid w:val="46577FD6"/>
    <w:rsid w:val="465F56CC"/>
    <w:rsid w:val="46673643"/>
    <w:rsid w:val="46676A1A"/>
    <w:rsid w:val="46761E79"/>
    <w:rsid w:val="46784EE5"/>
    <w:rsid w:val="46AD296C"/>
    <w:rsid w:val="46CA3300"/>
    <w:rsid w:val="46D14F2A"/>
    <w:rsid w:val="46D955A7"/>
    <w:rsid w:val="46E119A9"/>
    <w:rsid w:val="47110A51"/>
    <w:rsid w:val="47133957"/>
    <w:rsid w:val="471E79B3"/>
    <w:rsid w:val="472B76BD"/>
    <w:rsid w:val="472D0BC8"/>
    <w:rsid w:val="472E243C"/>
    <w:rsid w:val="473567F9"/>
    <w:rsid w:val="47365EB3"/>
    <w:rsid w:val="47450A9A"/>
    <w:rsid w:val="474E25DB"/>
    <w:rsid w:val="474F1931"/>
    <w:rsid w:val="475B2A3D"/>
    <w:rsid w:val="47687BBF"/>
    <w:rsid w:val="47875A96"/>
    <w:rsid w:val="478A1D96"/>
    <w:rsid w:val="47990AD4"/>
    <w:rsid w:val="47A07E0C"/>
    <w:rsid w:val="47A12B26"/>
    <w:rsid w:val="47A92863"/>
    <w:rsid w:val="47B1350B"/>
    <w:rsid w:val="47B27BA6"/>
    <w:rsid w:val="47BA204A"/>
    <w:rsid w:val="47C37729"/>
    <w:rsid w:val="47D3382B"/>
    <w:rsid w:val="47D61565"/>
    <w:rsid w:val="47D81500"/>
    <w:rsid w:val="47E41ECE"/>
    <w:rsid w:val="47F13361"/>
    <w:rsid w:val="47F5574D"/>
    <w:rsid w:val="47FB036F"/>
    <w:rsid w:val="480233B6"/>
    <w:rsid w:val="48153861"/>
    <w:rsid w:val="48295040"/>
    <w:rsid w:val="482B5853"/>
    <w:rsid w:val="48335654"/>
    <w:rsid w:val="483D0610"/>
    <w:rsid w:val="483F0A49"/>
    <w:rsid w:val="48415CB3"/>
    <w:rsid w:val="484E2622"/>
    <w:rsid w:val="485631CB"/>
    <w:rsid w:val="4870272E"/>
    <w:rsid w:val="4875595C"/>
    <w:rsid w:val="487F6479"/>
    <w:rsid w:val="48801162"/>
    <w:rsid w:val="48983FEC"/>
    <w:rsid w:val="489C79F9"/>
    <w:rsid w:val="48A47046"/>
    <w:rsid w:val="48A879B7"/>
    <w:rsid w:val="48C469F8"/>
    <w:rsid w:val="48CF1C72"/>
    <w:rsid w:val="48E0037A"/>
    <w:rsid w:val="48F60985"/>
    <w:rsid w:val="48FF3205"/>
    <w:rsid w:val="49032719"/>
    <w:rsid w:val="490E4155"/>
    <w:rsid w:val="493179EA"/>
    <w:rsid w:val="49351359"/>
    <w:rsid w:val="493B0D10"/>
    <w:rsid w:val="494B66DC"/>
    <w:rsid w:val="495971A2"/>
    <w:rsid w:val="496715BE"/>
    <w:rsid w:val="49862FA0"/>
    <w:rsid w:val="49A0535F"/>
    <w:rsid w:val="49AA31F8"/>
    <w:rsid w:val="49D276F3"/>
    <w:rsid w:val="49DC7715"/>
    <w:rsid w:val="4A023139"/>
    <w:rsid w:val="4A135F66"/>
    <w:rsid w:val="4A1D68D3"/>
    <w:rsid w:val="4A1E7A9B"/>
    <w:rsid w:val="4A2E3D30"/>
    <w:rsid w:val="4A411E05"/>
    <w:rsid w:val="4A4124F6"/>
    <w:rsid w:val="4A496CB6"/>
    <w:rsid w:val="4A6A7279"/>
    <w:rsid w:val="4A7B576F"/>
    <w:rsid w:val="4A987169"/>
    <w:rsid w:val="4AA158F4"/>
    <w:rsid w:val="4ADE5BDE"/>
    <w:rsid w:val="4AF561A9"/>
    <w:rsid w:val="4AFD4603"/>
    <w:rsid w:val="4B210706"/>
    <w:rsid w:val="4B2A1D09"/>
    <w:rsid w:val="4B337A5B"/>
    <w:rsid w:val="4B425D6D"/>
    <w:rsid w:val="4B5765EE"/>
    <w:rsid w:val="4B693371"/>
    <w:rsid w:val="4B73506D"/>
    <w:rsid w:val="4B793136"/>
    <w:rsid w:val="4B8044BA"/>
    <w:rsid w:val="4B8B47EE"/>
    <w:rsid w:val="4B923955"/>
    <w:rsid w:val="4B9268F4"/>
    <w:rsid w:val="4BAE158A"/>
    <w:rsid w:val="4BCA172B"/>
    <w:rsid w:val="4BEE5657"/>
    <w:rsid w:val="4C035CDC"/>
    <w:rsid w:val="4C0C40EC"/>
    <w:rsid w:val="4C1023A9"/>
    <w:rsid w:val="4C1636EA"/>
    <w:rsid w:val="4C2509A1"/>
    <w:rsid w:val="4C3C28C6"/>
    <w:rsid w:val="4C453FFA"/>
    <w:rsid w:val="4C4A0649"/>
    <w:rsid w:val="4C4A6292"/>
    <w:rsid w:val="4C4D001D"/>
    <w:rsid w:val="4C4D1751"/>
    <w:rsid w:val="4C57463C"/>
    <w:rsid w:val="4C6F75E4"/>
    <w:rsid w:val="4C7E5ECA"/>
    <w:rsid w:val="4C876AA5"/>
    <w:rsid w:val="4C8A0DCD"/>
    <w:rsid w:val="4CA6209C"/>
    <w:rsid w:val="4CAA6709"/>
    <w:rsid w:val="4CB50D4E"/>
    <w:rsid w:val="4CC63C42"/>
    <w:rsid w:val="4CD46FCF"/>
    <w:rsid w:val="4CF11A89"/>
    <w:rsid w:val="4CF44EC9"/>
    <w:rsid w:val="4CFB3214"/>
    <w:rsid w:val="4D041D9D"/>
    <w:rsid w:val="4D0E00FB"/>
    <w:rsid w:val="4D176606"/>
    <w:rsid w:val="4D233534"/>
    <w:rsid w:val="4D436F0D"/>
    <w:rsid w:val="4D9F15DB"/>
    <w:rsid w:val="4DAC5097"/>
    <w:rsid w:val="4DAD2494"/>
    <w:rsid w:val="4DBA592C"/>
    <w:rsid w:val="4DC90E0A"/>
    <w:rsid w:val="4DCF06EC"/>
    <w:rsid w:val="4DD23C39"/>
    <w:rsid w:val="4DE40264"/>
    <w:rsid w:val="4DEC4FB0"/>
    <w:rsid w:val="4E075D8A"/>
    <w:rsid w:val="4E2273D8"/>
    <w:rsid w:val="4E3331C5"/>
    <w:rsid w:val="4E431142"/>
    <w:rsid w:val="4E5B51D9"/>
    <w:rsid w:val="4E613FF3"/>
    <w:rsid w:val="4E6464AF"/>
    <w:rsid w:val="4E742EC4"/>
    <w:rsid w:val="4E884B33"/>
    <w:rsid w:val="4EA72920"/>
    <w:rsid w:val="4EB40478"/>
    <w:rsid w:val="4EB75949"/>
    <w:rsid w:val="4EBB205B"/>
    <w:rsid w:val="4EC00FAD"/>
    <w:rsid w:val="4ECA685B"/>
    <w:rsid w:val="4ECC79AF"/>
    <w:rsid w:val="4ED86D28"/>
    <w:rsid w:val="4EF93621"/>
    <w:rsid w:val="4F103EE0"/>
    <w:rsid w:val="4F14642D"/>
    <w:rsid w:val="4F187591"/>
    <w:rsid w:val="4F287A2F"/>
    <w:rsid w:val="4F316C39"/>
    <w:rsid w:val="4F5067E2"/>
    <w:rsid w:val="4F9843DC"/>
    <w:rsid w:val="4F9F19D7"/>
    <w:rsid w:val="4FC62A8C"/>
    <w:rsid w:val="4FDD7643"/>
    <w:rsid w:val="4FE20F0D"/>
    <w:rsid w:val="4FE51552"/>
    <w:rsid w:val="50132E5D"/>
    <w:rsid w:val="501E66DC"/>
    <w:rsid w:val="50297B1D"/>
    <w:rsid w:val="502E780B"/>
    <w:rsid w:val="50504C4B"/>
    <w:rsid w:val="506015B3"/>
    <w:rsid w:val="506B1BA5"/>
    <w:rsid w:val="506E42E3"/>
    <w:rsid w:val="50760CC7"/>
    <w:rsid w:val="507C7EF6"/>
    <w:rsid w:val="509C6E7C"/>
    <w:rsid w:val="50A42F27"/>
    <w:rsid w:val="50B06A05"/>
    <w:rsid w:val="50C0286C"/>
    <w:rsid w:val="50C84498"/>
    <w:rsid w:val="50CE6726"/>
    <w:rsid w:val="50DD3C42"/>
    <w:rsid w:val="50F04171"/>
    <w:rsid w:val="5114346C"/>
    <w:rsid w:val="511A11DD"/>
    <w:rsid w:val="511F39A3"/>
    <w:rsid w:val="513B38C9"/>
    <w:rsid w:val="514639B3"/>
    <w:rsid w:val="515F667A"/>
    <w:rsid w:val="5162104E"/>
    <w:rsid w:val="5162425D"/>
    <w:rsid w:val="518704B7"/>
    <w:rsid w:val="518F536F"/>
    <w:rsid w:val="51C8643E"/>
    <w:rsid w:val="51C96D3A"/>
    <w:rsid w:val="51D45ED9"/>
    <w:rsid w:val="51E93B0A"/>
    <w:rsid w:val="51F54B9F"/>
    <w:rsid w:val="51FB16C8"/>
    <w:rsid w:val="522878D7"/>
    <w:rsid w:val="52321CB1"/>
    <w:rsid w:val="525614D3"/>
    <w:rsid w:val="525904D2"/>
    <w:rsid w:val="525D61CE"/>
    <w:rsid w:val="525F0E7C"/>
    <w:rsid w:val="528230F2"/>
    <w:rsid w:val="52972543"/>
    <w:rsid w:val="52A579F1"/>
    <w:rsid w:val="52B13862"/>
    <w:rsid w:val="52CE10A2"/>
    <w:rsid w:val="52D52C62"/>
    <w:rsid w:val="53074F0A"/>
    <w:rsid w:val="531838E0"/>
    <w:rsid w:val="53237C88"/>
    <w:rsid w:val="534323A4"/>
    <w:rsid w:val="534432B5"/>
    <w:rsid w:val="536618DB"/>
    <w:rsid w:val="53903ED9"/>
    <w:rsid w:val="53A039CC"/>
    <w:rsid w:val="53A1505A"/>
    <w:rsid w:val="53A97954"/>
    <w:rsid w:val="53B60FFA"/>
    <w:rsid w:val="53BB12BC"/>
    <w:rsid w:val="53BD6D0A"/>
    <w:rsid w:val="53D3340A"/>
    <w:rsid w:val="53DD3F2D"/>
    <w:rsid w:val="54063E08"/>
    <w:rsid w:val="541D1B41"/>
    <w:rsid w:val="541F72D6"/>
    <w:rsid w:val="542D7D2F"/>
    <w:rsid w:val="543437E8"/>
    <w:rsid w:val="543A1EDB"/>
    <w:rsid w:val="543C0725"/>
    <w:rsid w:val="54481302"/>
    <w:rsid w:val="544D4516"/>
    <w:rsid w:val="546C0EBD"/>
    <w:rsid w:val="54871BC4"/>
    <w:rsid w:val="5487758A"/>
    <w:rsid w:val="54A55E90"/>
    <w:rsid w:val="54B70CEE"/>
    <w:rsid w:val="54BA1FFE"/>
    <w:rsid w:val="54BA7674"/>
    <w:rsid w:val="54D02F8A"/>
    <w:rsid w:val="54D40A87"/>
    <w:rsid w:val="54D45081"/>
    <w:rsid w:val="54DB2ABF"/>
    <w:rsid w:val="54F73313"/>
    <w:rsid w:val="54F80955"/>
    <w:rsid w:val="54F92E6F"/>
    <w:rsid w:val="54FA5B8C"/>
    <w:rsid w:val="550732B2"/>
    <w:rsid w:val="550A4E46"/>
    <w:rsid w:val="550D5AED"/>
    <w:rsid w:val="551C6BF4"/>
    <w:rsid w:val="555170A7"/>
    <w:rsid w:val="555A0030"/>
    <w:rsid w:val="555A5A9C"/>
    <w:rsid w:val="55620488"/>
    <w:rsid w:val="5587536D"/>
    <w:rsid w:val="55947D58"/>
    <w:rsid w:val="559B174B"/>
    <w:rsid w:val="55AC0244"/>
    <w:rsid w:val="55AF197B"/>
    <w:rsid w:val="55B00BBF"/>
    <w:rsid w:val="55B54582"/>
    <w:rsid w:val="55CC5D14"/>
    <w:rsid w:val="55CE0CF4"/>
    <w:rsid w:val="55D402A3"/>
    <w:rsid w:val="56091181"/>
    <w:rsid w:val="560C1115"/>
    <w:rsid w:val="560C4F0A"/>
    <w:rsid w:val="56276E91"/>
    <w:rsid w:val="562C431F"/>
    <w:rsid w:val="56365E93"/>
    <w:rsid w:val="56390023"/>
    <w:rsid w:val="564554D2"/>
    <w:rsid w:val="564971F5"/>
    <w:rsid w:val="56661080"/>
    <w:rsid w:val="56933116"/>
    <w:rsid w:val="569557B9"/>
    <w:rsid w:val="5697482D"/>
    <w:rsid w:val="56B22A9C"/>
    <w:rsid w:val="56BB49A8"/>
    <w:rsid w:val="56BB61FA"/>
    <w:rsid w:val="56BD29B0"/>
    <w:rsid w:val="56C70098"/>
    <w:rsid w:val="56D135C6"/>
    <w:rsid w:val="57001229"/>
    <w:rsid w:val="57024D24"/>
    <w:rsid w:val="570A28F8"/>
    <w:rsid w:val="570C4600"/>
    <w:rsid w:val="571420D3"/>
    <w:rsid w:val="57227F08"/>
    <w:rsid w:val="57700FEE"/>
    <w:rsid w:val="57704FDF"/>
    <w:rsid w:val="5782746D"/>
    <w:rsid w:val="579E529A"/>
    <w:rsid w:val="57B72A76"/>
    <w:rsid w:val="57BF40B1"/>
    <w:rsid w:val="57C329A0"/>
    <w:rsid w:val="57C3426C"/>
    <w:rsid w:val="57CE1F93"/>
    <w:rsid w:val="57E808F3"/>
    <w:rsid w:val="57FC1607"/>
    <w:rsid w:val="581B0D4D"/>
    <w:rsid w:val="585979A0"/>
    <w:rsid w:val="585B06FD"/>
    <w:rsid w:val="5861034B"/>
    <w:rsid w:val="58637791"/>
    <w:rsid w:val="58743763"/>
    <w:rsid w:val="587F3C9E"/>
    <w:rsid w:val="588743D1"/>
    <w:rsid w:val="5887701A"/>
    <w:rsid w:val="589D7EEC"/>
    <w:rsid w:val="58C47E79"/>
    <w:rsid w:val="58DE15BE"/>
    <w:rsid w:val="58E2451F"/>
    <w:rsid w:val="590B2A11"/>
    <w:rsid w:val="59203813"/>
    <w:rsid w:val="592C7824"/>
    <w:rsid w:val="59323023"/>
    <w:rsid w:val="59391DC5"/>
    <w:rsid w:val="59473A99"/>
    <w:rsid w:val="59603350"/>
    <w:rsid w:val="5968459F"/>
    <w:rsid w:val="597357F5"/>
    <w:rsid w:val="597B2BF5"/>
    <w:rsid w:val="59823EF3"/>
    <w:rsid w:val="599601CF"/>
    <w:rsid w:val="59A7671F"/>
    <w:rsid w:val="59C0439F"/>
    <w:rsid w:val="59C71612"/>
    <w:rsid w:val="59DB1F4D"/>
    <w:rsid w:val="5A090808"/>
    <w:rsid w:val="5A782E5C"/>
    <w:rsid w:val="5A7B7B7F"/>
    <w:rsid w:val="5A8B4204"/>
    <w:rsid w:val="5A913F85"/>
    <w:rsid w:val="5AAD7CB9"/>
    <w:rsid w:val="5AB0321C"/>
    <w:rsid w:val="5ABE2233"/>
    <w:rsid w:val="5ADA027C"/>
    <w:rsid w:val="5ADF2ED6"/>
    <w:rsid w:val="5AE308ED"/>
    <w:rsid w:val="5AEB0C6F"/>
    <w:rsid w:val="5AF009E7"/>
    <w:rsid w:val="5AF67380"/>
    <w:rsid w:val="5AFD4B81"/>
    <w:rsid w:val="5B004A3D"/>
    <w:rsid w:val="5B040A0C"/>
    <w:rsid w:val="5B044931"/>
    <w:rsid w:val="5B1A4E6B"/>
    <w:rsid w:val="5B297E48"/>
    <w:rsid w:val="5B4A4A80"/>
    <w:rsid w:val="5B7E5101"/>
    <w:rsid w:val="5B7F2115"/>
    <w:rsid w:val="5B9F1607"/>
    <w:rsid w:val="5BA33D6C"/>
    <w:rsid w:val="5BB1381E"/>
    <w:rsid w:val="5BDF5D95"/>
    <w:rsid w:val="5BFE7528"/>
    <w:rsid w:val="5C043451"/>
    <w:rsid w:val="5C0833FB"/>
    <w:rsid w:val="5C1F10A6"/>
    <w:rsid w:val="5C235D9D"/>
    <w:rsid w:val="5C291FD7"/>
    <w:rsid w:val="5C310379"/>
    <w:rsid w:val="5C3F0105"/>
    <w:rsid w:val="5C411673"/>
    <w:rsid w:val="5C562EC5"/>
    <w:rsid w:val="5C8F56C6"/>
    <w:rsid w:val="5C935CDD"/>
    <w:rsid w:val="5CBB4091"/>
    <w:rsid w:val="5CE438BC"/>
    <w:rsid w:val="5CFD53E3"/>
    <w:rsid w:val="5D15700B"/>
    <w:rsid w:val="5D580D58"/>
    <w:rsid w:val="5D5B15A2"/>
    <w:rsid w:val="5D677B49"/>
    <w:rsid w:val="5D6A2545"/>
    <w:rsid w:val="5D8B29D9"/>
    <w:rsid w:val="5DAD74B1"/>
    <w:rsid w:val="5DB16183"/>
    <w:rsid w:val="5DBA17D4"/>
    <w:rsid w:val="5E0F4505"/>
    <w:rsid w:val="5E1D0B25"/>
    <w:rsid w:val="5E2467F1"/>
    <w:rsid w:val="5E50155E"/>
    <w:rsid w:val="5E6222F7"/>
    <w:rsid w:val="5EA26699"/>
    <w:rsid w:val="5EB37632"/>
    <w:rsid w:val="5EBD3CCB"/>
    <w:rsid w:val="5ED527B9"/>
    <w:rsid w:val="5EEE6124"/>
    <w:rsid w:val="5F1A2B43"/>
    <w:rsid w:val="5F2B724B"/>
    <w:rsid w:val="5F4A2DCC"/>
    <w:rsid w:val="5F4A6315"/>
    <w:rsid w:val="5F737CC8"/>
    <w:rsid w:val="5F843A4D"/>
    <w:rsid w:val="5F8637E9"/>
    <w:rsid w:val="5F9777B0"/>
    <w:rsid w:val="5F9931FB"/>
    <w:rsid w:val="5FB837BB"/>
    <w:rsid w:val="5FDE4125"/>
    <w:rsid w:val="5FEC63E2"/>
    <w:rsid w:val="5FFD2762"/>
    <w:rsid w:val="60012544"/>
    <w:rsid w:val="60037751"/>
    <w:rsid w:val="600673A9"/>
    <w:rsid w:val="6027253D"/>
    <w:rsid w:val="602B276C"/>
    <w:rsid w:val="60330211"/>
    <w:rsid w:val="606A0E94"/>
    <w:rsid w:val="608161C1"/>
    <w:rsid w:val="608D54E2"/>
    <w:rsid w:val="60B25613"/>
    <w:rsid w:val="60B84925"/>
    <w:rsid w:val="60CC405A"/>
    <w:rsid w:val="60CF40BA"/>
    <w:rsid w:val="60FA1F91"/>
    <w:rsid w:val="60FF101A"/>
    <w:rsid w:val="61015235"/>
    <w:rsid w:val="61114453"/>
    <w:rsid w:val="611C2520"/>
    <w:rsid w:val="61374220"/>
    <w:rsid w:val="61387AFF"/>
    <w:rsid w:val="613A041A"/>
    <w:rsid w:val="61422E18"/>
    <w:rsid w:val="614B17CF"/>
    <w:rsid w:val="614C3485"/>
    <w:rsid w:val="61543FF8"/>
    <w:rsid w:val="616C4617"/>
    <w:rsid w:val="617958F6"/>
    <w:rsid w:val="61CE6FD4"/>
    <w:rsid w:val="61D76A9B"/>
    <w:rsid w:val="61E215D8"/>
    <w:rsid w:val="61EF2918"/>
    <w:rsid w:val="61F06E0B"/>
    <w:rsid w:val="61F362FB"/>
    <w:rsid w:val="61FF6B08"/>
    <w:rsid w:val="62097E11"/>
    <w:rsid w:val="621B3775"/>
    <w:rsid w:val="622D7BDE"/>
    <w:rsid w:val="623477E6"/>
    <w:rsid w:val="62364782"/>
    <w:rsid w:val="624505A5"/>
    <w:rsid w:val="62587DB9"/>
    <w:rsid w:val="62747162"/>
    <w:rsid w:val="62811A3D"/>
    <w:rsid w:val="628257D1"/>
    <w:rsid w:val="628D7BAE"/>
    <w:rsid w:val="62986897"/>
    <w:rsid w:val="62B656AA"/>
    <w:rsid w:val="62B72D57"/>
    <w:rsid w:val="62E406BF"/>
    <w:rsid w:val="632773E8"/>
    <w:rsid w:val="63277E09"/>
    <w:rsid w:val="63346732"/>
    <w:rsid w:val="633A4156"/>
    <w:rsid w:val="6351305C"/>
    <w:rsid w:val="63861BC8"/>
    <w:rsid w:val="63914F41"/>
    <w:rsid w:val="6394356A"/>
    <w:rsid w:val="639C3AC3"/>
    <w:rsid w:val="639E4977"/>
    <w:rsid w:val="63A81ED6"/>
    <w:rsid w:val="63B9251B"/>
    <w:rsid w:val="63BE2210"/>
    <w:rsid w:val="63C25103"/>
    <w:rsid w:val="63C61B2C"/>
    <w:rsid w:val="63D40BE9"/>
    <w:rsid w:val="63D82E46"/>
    <w:rsid w:val="63DA4341"/>
    <w:rsid w:val="64044C73"/>
    <w:rsid w:val="640B0EE2"/>
    <w:rsid w:val="640C53C9"/>
    <w:rsid w:val="64102431"/>
    <w:rsid w:val="641B1C10"/>
    <w:rsid w:val="64257A8F"/>
    <w:rsid w:val="642E0E1B"/>
    <w:rsid w:val="64303971"/>
    <w:rsid w:val="64321798"/>
    <w:rsid w:val="6434798F"/>
    <w:rsid w:val="643D3646"/>
    <w:rsid w:val="645935CB"/>
    <w:rsid w:val="646E69C5"/>
    <w:rsid w:val="647679C3"/>
    <w:rsid w:val="64826DFA"/>
    <w:rsid w:val="648B53D8"/>
    <w:rsid w:val="64913189"/>
    <w:rsid w:val="649B6580"/>
    <w:rsid w:val="649C430B"/>
    <w:rsid w:val="64A5243A"/>
    <w:rsid w:val="64AB2BA7"/>
    <w:rsid w:val="64B85AD9"/>
    <w:rsid w:val="64BC4C69"/>
    <w:rsid w:val="64E8393D"/>
    <w:rsid w:val="64E922E4"/>
    <w:rsid w:val="64EA0B1D"/>
    <w:rsid w:val="64F531DE"/>
    <w:rsid w:val="65142414"/>
    <w:rsid w:val="65373578"/>
    <w:rsid w:val="6542440A"/>
    <w:rsid w:val="655A5155"/>
    <w:rsid w:val="65733FBC"/>
    <w:rsid w:val="657A3520"/>
    <w:rsid w:val="65974A17"/>
    <w:rsid w:val="659F3BF9"/>
    <w:rsid w:val="65A47839"/>
    <w:rsid w:val="65AD10A9"/>
    <w:rsid w:val="65BF7008"/>
    <w:rsid w:val="65CE5714"/>
    <w:rsid w:val="65DC09D2"/>
    <w:rsid w:val="65FE3F04"/>
    <w:rsid w:val="661902DD"/>
    <w:rsid w:val="662516AC"/>
    <w:rsid w:val="662929A8"/>
    <w:rsid w:val="665910DA"/>
    <w:rsid w:val="66687549"/>
    <w:rsid w:val="667B7D60"/>
    <w:rsid w:val="668C2043"/>
    <w:rsid w:val="669410C6"/>
    <w:rsid w:val="669A5D9C"/>
    <w:rsid w:val="669A754E"/>
    <w:rsid w:val="669F50E5"/>
    <w:rsid w:val="66A059FC"/>
    <w:rsid w:val="66B52E9B"/>
    <w:rsid w:val="66CC6887"/>
    <w:rsid w:val="66D67028"/>
    <w:rsid w:val="66EE1789"/>
    <w:rsid w:val="6708103C"/>
    <w:rsid w:val="671470A3"/>
    <w:rsid w:val="671F124A"/>
    <w:rsid w:val="6733608D"/>
    <w:rsid w:val="674A1CA4"/>
    <w:rsid w:val="675C61A3"/>
    <w:rsid w:val="677A33C6"/>
    <w:rsid w:val="677F0FD0"/>
    <w:rsid w:val="67842400"/>
    <w:rsid w:val="678A46F7"/>
    <w:rsid w:val="67C41CBA"/>
    <w:rsid w:val="67F43876"/>
    <w:rsid w:val="67FC1F7D"/>
    <w:rsid w:val="681A5224"/>
    <w:rsid w:val="681F6961"/>
    <w:rsid w:val="68213A9C"/>
    <w:rsid w:val="684225C3"/>
    <w:rsid w:val="684670FA"/>
    <w:rsid w:val="6847118A"/>
    <w:rsid w:val="684B1F71"/>
    <w:rsid w:val="685308F8"/>
    <w:rsid w:val="68610A2F"/>
    <w:rsid w:val="687840DB"/>
    <w:rsid w:val="687E62AE"/>
    <w:rsid w:val="68805514"/>
    <w:rsid w:val="688F770A"/>
    <w:rsid w:val="68B36185"/>
    <w:rsid w:val="68D372AF"/>
    <w:rsid w:val="68D4367D"/>
    <w:rsid w:val="68D577E6"/>
    <w:rsid w:val="68DB5359"/>
    <w:rsid w:val="68E05AB6"/>
    <w:rsid w:val="68E149B1"/>
    <w:rsid w:val="68EF0B5B"/>
    <w:rsid w:val="68FF09E0"/>
    <w:rsid w:val="690B3121"/>
    <w:rsid w:val="6926751B"/>
    <w:rsid w:val="69316E2F"/>
    <w:rsid w:val="69365071"/>
    <w:rsid w:val="69460E27"/>
    <w:rsid w:val="694E2071"/>
    <w:rsid w:val="695D12F7"/>
    <w:rsid w:val="69687F69"/>
    <w:rsid w:val="69766163"/>
    <w:rsid w:val="697A3B33"/>
    <w:rsid w:val="698642DF"/>
    <w:rsid w:val="698C6F67"/>
    <w:rsid w:val="69961737"/>
    <w:rsid w:val="699D3163"/>
    <w:rsid w:val="69C04704"/>
    <w:rsid w:val="69C502D5"/>
    <w:rsid w:val="69C554B6"/>
    <w:rsid w:val="69C57F03"/>
    <w:rsid w:val="69CA0D7A"/>
    <w:rsid w:val="69D44760"/>
    <w:rsid w:val="69D8516B"/>
    <w:rsid w:val="69DD3B2D"/>
    <w:rsid w:val="69E9319B"/>
    <w:rsid w:val="69F66EF9"/>
    <w:rsid w:val="69F95884"/>
    <w:rsid w:val="6A017A83"/>
    <w:rsid w:val="6A213053"/>
    <w:rsid w:val="6A335D06"/>
    <w:rsid w:val="6A3D41A5"/>
    <w:rsid w:val="6A3D48DE"/>
    <w:rsid w:val="6A520EC7"/>
    <w:rsid w:val="6A5940D3"/>
    <w:rsid w:val="6A8F0F3E"/>
    <w:rsid w:val="6A9148CD"/>
    <w:rsid w:val="6A96655E"/>
    <w:rsid w:val="6AA935E2"/>
    <w:rsid w:val="6AB027C3"/>
    <w:rsid w:val="6AB74152"/>
    <w:rsid w:val="6AB832EC"/>
    <w:rsid w:val="6ABC4521"/>
    <w:rsid w:val="6AF87E20"/>
    <w:rsid w:val="6B0B3A28"/>
    <w:rsid w:val="6B16274D"/>
    <w:rsid w:val="6B1F090C"/>
    <w:rsid w:val="6B2B30AA"/>
    <w:rsid w:val="6B322639"/>
    <w:rsid w:val="6B403494"/>
    <w:rsid w:val="6B4109E4"/>
    <w:rsid w:val="6B4F3243"/>
    <w:rsid w:val="6B664AC4"/>
    <w:rsid w:val="6B73465B"/>
    <w:rsid w:val="6B8722CB"/>
    <w:rsid w:val="6BA77226"/>
    <w:rsid w:val="6BA93F66"/>
    <w:rsid w:val="6BAA1565"/>
    <w:rsid w:val="6BD53B88"/>
    <w:rsid w:val="6BD95370"/>
    <w:rsid w:val="6BE91C61"/>
    <w:rsid w:val="6BEB72E6"/>
    <w:rsid w:val="6BEC4188"/>
    <w:rsid w:val="6C29025B"/>
    <w:rsid w:val="6C2D6F6C"/>
    <w:rsid w:val="6C2E62F3"/>
    <w:rsid w:val="6C361D27"/>
    <w:rsid w:val="6C3C0D7B"/>
    <w:rsid w:val="6C611F41"/>
    <w:rsid w:val="6C636C38"/>
    <w:rsid w:val="6C6C423E"/>
    <w:rsid w:val="6C6D7750"/>
    <w:rsid w:val="6C783D0E"/>
    <w:rsid w:val="6C7F39CC"/>
    <w:rsid w:val="6C8219DD"/>
    <w:rsid w:val="6C8368E0"/>
    <w:rsid w:val="6C9C2EB5"/>
    <w:rsid w:val="6C9E506C"/>
    <w:rsid w:val="6CBE6A7C"/>
    <w:rsid w:val="6CCA2ABB"/>
    <w:rsid w:val="6CD027AA"/>
    <w:rsid w:val="6CD5760F"/>
    <w:rsid w:val="6CE84139"/>
    <w:rsid w:val="6CEE0E19"/>
    <w:rsid w:val="6D1372C8"/>
    <w:rsid w:val="6D36256C"/>
    <w:rsid w:val="6D3F60F2"/>
    <w:rsid w:val="6D496E8F"/>
    <w:rsid w:val="6D4C789D"/>
    <w:rsid w:val="6D6830B0"/>
    <w:rsid w:val="6D865300"/>
    <w:rsid w:val="6D916AE4"/>
    <w:rsid w:val="6DB34098"/>
    <w:rsid w:val="6DB545B6"/>
    <w:rsid w:val="6DC40E15"/>
    <w:rsid w:val="6DCE2698"/>
    <w:rsid w:val="6DD47978"/>
    <w:rsid w:val="6DE02FB4"/>
    <w:rsid w:val="6DE4177C"/>
    <w:rsid w:val="6DFA139E"/>
    <w:rsid w:val="6E0153FA"/>
    <w:rsid w:val="6E015C61"/>
    <w:rsid w:val="6E310A7C"/>
    <w:rsid w:val="6E417636"/>
    <w:rsid w:val="6E4E27F7"/>
    <w:rsid w:val="6E514CED"/>
    <w:rsid w:val="6E6C0590"/>
    <w:rsid w:val="6E774E32"/>
    <w:rsid w:val="6E796098"/>
    <w:rsid w:val="6E7A58C9"/>
    <w:rsid w:val="6E7D51A5"/>
    <w:rsid w:val="6E8C13F6"/>
    <w:rsid w:val="6E9A6DBB"/>
    <w:rsid w:val="6EB563D5"/>
    <w:rsid w:val="6ED651FE"/>
    <w:rsid w:val="6ED92677"/>
    <w:rsid w:val="6EE11ECB"/>
    <w:rsid w:val="6F051659"/>
    <w:rsid w:val="6F225983"/>
    <w:rsid w:val="6F290C38"/>
    <w:rsid w:val="6F4700D0"/>
    <w:rsid w:val="6F5C479A"/>
    <w:rsid w:val="6F6125D3"/>
    <w:rsid w:val="6F62323E"/>
    <w:rsid w:val="6F7D7F8E"/>
    <w:rsid w:val="6F7F4E14"/>
    <w:rsid w:val="6F8624AA"/>
    <w:rsid w:val="6F865362"/>
    <w:rsid w:val="6FBF33C8"/>
    <w:rsid w:val="6FE768B8"/>
    <w:rsid w:val="6FFC5590"/>
    <w:rsid w:val="70125292"/>
    <w:rsid w:val="70131865"/>
    <w:rsid w:val="701550E3"/>
    <w:rsid w:val="70160B8D"/>
    <w:rsid w:val="701C2440"/>
    <w:rsid w:val="701F4285"/>
    <w:rsid w:val="70253C52"/>
    <w:rsid w:val="703036E8"/>
    <w:rsid w:val="70411EC8"/>
    <w:rsid w:val="7045553E"/>
    <w:rsid w:val="704648E3"/>
    <w:rsid w:val="706D1DD0"/>
    <w:rsid w:val="707B1EF8"/>
    <w:rsid w:val="70841959"/>
    <w:rsid w:val="70856B87"/>
    <w:rsid w:val="70866C95"/>
    <w:rsid w:val="708C0BC2"/>
    <w:rsid w:val="70935177"/>
    <w:rsid w:val="70995B73"/>
    <w:rsid w:val="70A70008"/>
    <w:rsid w:val="70AB46D0"/>
    <w:rsid w:val="70B279D1"/>
    <w:rsid w:val="70BB3AC4"/>
    <w:rsid w:val="70D2593C"/>
    <w:rsid w:val="70D527EE"/>
    <w:rsid w:val="70F6540C"/>
    <w:rsid w:val="70FD56AA"/>
    <w:rsid w:val="71136971"/>
    <w:rsid w:val="711A7673"/>
    <w:rsid w:val="712348A1"/>
    <w:rsid w:val="715B5300"/>
    <w:rsid w:val="7167034D"/>
    <w:rsid w:val="71807F66"/>
    <w:rsid w:val="718E0049"/>
    <w:rsid w:val="71A374FC"/>
    <w:rsid w:val="71A474A9"/>
    <w:rsid w:val="71A94A15"/>
    <w:rsid w:val="71B4780C"/>
    <w:rsid w:val="71D27F8A"/>
    <w:rsid w:val="71D81F0B"/>
    <w:rsid w:val="71E005C5"/>
    <w:rsid w:val="71E70508"/>
    <w:rsid w:val="71F3479D"/>
    <w:rsid w:val="7249669B"/>
    <w:rsid w:val="725513D0"/>
    <w:rsid w:val="72553024"/>
    <w:rsid w:val="72596C1D"/>
    <w:rsid w:val="727809E6"/>
    <w:rsid w:val="72780F55"/>
    <w:rsid w:val="727A6F20"/>
    <w:rsid w:val="727F5C20"/>
    <w:rsid w:val="72815D56"/>
    <w:rsid w:val="72864C23"/>
    <w:rsid w:val="72912ED8"/>
    <w:rsid w:val="7291489F"/>
    <w:rsid w:val="72986F9D"/>
    <w:rsid w:val="72A52880"/>
    <w:rsid w:val="72B366F4"/>
    <w:rsid w:val="72C274AE"/>
    <w:rsid w:val="72CE2080"/>
    <w:rsid w:val="72CF579C"/>
    <w:rsid w:val="72D36CAE"/>
    <w:rsid w:val="72D77BAE"/>
    <w:rsid w:val="72DC4E02"/>
    <w:rsid w:val="72EB2AAC"/>
    <w:rsid w:val="72F12EAF"/>
    <w:rsid w:val="72FE0D65"/>
    <w:rsid w:val="73016F70"/>
    <w:rsid w:val="73043843"/>
    <w:rsid w:val="73122968"/>
    <w:rsid w:val="731B7099"/>
    <w:rsid w:val="731F5D5E"/>
    <w:rsid w:val="732E6D91"/>
    <w:rsid w:val="73351330"/>
    <w:rsid w:val="733B749C"/>
    <w:rsid w:val="7374621B"/>
    <w:rsid w:val="738234A9"/>
    <w:rsid w:val="73892CCE"/>
    <w:rsid w:val="739D2D40"/>
    <w:rsid w:val="73C51AD5"/>
    <w:rsid w:val="73D422CB"/>
    <w:rsid w:val="73D87695"/>
    <w:rsid w:val="73E0022B"/>
    <w:rsid w:val="73E165EA"/>
    <w:rsid w:val="73F86F09"/>
    <w:rsid w:val="73FB336F"/>
    <w:rsid w:val="73FC65B7"/>
    <w:rsid w:val="740162E0"/>
    <w:rsid w:val="741E793C"/>
    <w:rsid w:val="744230C6"/>
    <w:rsid w:val="74495108"/>
    <w:rsid w:val="744E45D1"/>
    <w:rsid w:val="745D13E1"/>
    <w:rsid w:val="745E3944"/>
    <w:rsid w:val="74B802A7"/>
    <w:rsid w:val="74BE0575"/>
    <w:rsid w:val="74D50B1D"/>
    <w:rsid w:val="74D77280"/>
    <w:rsid w:val="74E24954"/>
    <w:rsid w:val="74F97665"/>
    <w:rsid w:val="753120BD"/>
    <w:rsid w:val="758B3669"/>
    <w:rsid w:val="75954F0D"/>
    <w:rsid w:val="75C707EB"/>
    <w:rsid w:val="75CE658D"/>
    <w:rsid w:val="760E646D"/>
    <w:rsid w:val="76194D4B"/>
    <w:rsid w:val="76221C84"/>
    <w:rsid w:val="7635099D"/>
    <w:rsid w:val="763A00A5"/>
    <w:rsid w:val="76436EAC"/>
    <w:rsid w:val="766709E9"/>
    <w:rsid w:val="766B5D2B"/>
    <w:rsid w:val="76762C64"/>
    <w:rsid w:val="76892A22"/>
    <w:rsid w:val="768D3D86"/>
    <w:rsid w:val="76AB3AE5"/>
    <w:rsid w:val="76B018C4"/>
    <w:rsid w:val="76B57383"/>
    <w:rsid w:val="76B836DA"/>
    <w:rsid w:val="76DB3220"/>
    <w:rsid w:val="76DD526C"/>
    <w:rsid w:val="76DE1739"/>
    <w:rsid w:val="76EB12BD"/>
    <w:rsid w:val="76EF62C7"/>
    <w:rsid w:val="76FB5496"/>
    <w:rsid w:val="7701101A"/>
    <w:rsid w:val="77121340"/>
    <w:rsid w:val="772135B1"/>
    <w:rsid w:val="772C639F"/>
    <w:rsid w:val="77326202"/>
    <w:rsid w:val="77396CD8"/>
    <w:rsid w:val="774E0179"/>
    <w:rsid w:val="774E7553"/>
    <w:rsid w:val="77503B5B"/>
    <w:rsid w:val="7754789B"/>
    <w:rsid w:val="77762421"/>
    <w:rsid w:val="777723EA"/>
    <w:rsid w:val="7788268E"/>
    <w:rsid w:val="778A00D4"/>
    <w:rsid w:val="779E4BDC"/>
    <w:rsid w:val="77A57E99"/>
    <w:rsid w:val="77B56B1F"/>
    <w:rsid w:val="77B62664"/>
    <w:rsid w:val="77C02FEA"/>
    <w:rsid w:val="77C17BFC"/>
    <w:rsid w:val="77CA3D56"/>
    <w:rsid w:val="77D87B79"/>
    <w:rsid w:val="77DC58E3"/>
    <w:rsid w:val="780642C2"/>
    <w:rsid w:val="780F09F4"/>
    <w:rsid w:val="781F223A"/>
    <w:rsid w:val="782515A2"/>
    <w:rsid w:val="782E5971"/>
    <w:rsid w:val="782F3920"/>
    <w:rsid w:val="78302D06"/>
    <w:rsid w:val="78706794"/>
    <w:rsid w:val="78723381"/>
    <w:rsid w:val="78796E72"/>
    <w:rsid w:val="789648AD"/>
    <w:rsid w:val="78976F84"/>
    <w:rsid w:val="78A37FD4"/>
    <w:rsid w:val="78A90480"/>
    <w:rsid w:val="78C36785"/>
    <w:rsid w:val="78C403E2"/>
    <w:rsid w:val="78F12113"/>
    <w:rsid w:val="78F84099"/>
    <w:rsid w:val="78F8512C"/>
    <w:rsid w:val="78FF4B03"/>
    <w:rsid w:val="79054CF1"/>
    <w:rsid w:val="790910DF"/>
    <w:rsid w:val="79244C1A"/>
    <w:rsid w:val="792F33DE"/>
    <w:rsid w:val="79367DD8"/>
    <w:rsid w:val="7976450C"/>
    <w:rsid w:val="798D175A"/>
    <w:rsid w:val="7995421D"/>
    <w:rsid w:val="799B2481"/>
    <w:rsid w:val="79A15740"/>
    <w:rsid w:val="79A541B5"/>
    <w:rsid w:val="79AE5663"/>
    <w:rsid w:val="79DC5021"/>
    <w:rsid w:val="7A126621"/>
    <w:rsid w:val="7A364017"/>
    <w:rsid w:val="7A50630F"/>
    <w:rsid w:val="7A643D24"/>
    <w:rsid w:val="7A796D3E"/>
    <w:rsid w:val="7A8265E1"/>
    <w:rsid w:val="7A8A1690"/>
    <w:rsid w:val="7A9144E9"/>
    <w:rsid w:val="7A967146"/>
    <w:rsid w:val="7A98070E"/>
    <w:rsid w:val="7AAB6DB5"/>
    <w:rsid w:val="7AB950B2"/>
    <w:rsid w:val="7ADC2056"/>
    <w:rsid w:val="7AE71152"/>
    <w:rsid w:val="7AF75DC2"/>
    <w:rsid w:val="7B03732C"/>
    <w:rsid w:val="7B05795F"/>
    <w:rsid w:val="7B13269D"/>
    <w:rsid w:val="7B3D22F3"/>
    <w:rsid w:val="7B4C4D33"/>
    <w:rsid w:val="7B677A47"/>
    <w:rsid w:val="7B686D42"/>
    <w:rsid w:val="7B795484"/>
    <w:rsid w:val="7B7D49BB"/>
    <w:rsid w:val="7B841746"/>
    <w:rsid w:val="7B9F4746"/>
    <w:rsid w:val="7BB6755F"/>
    <w:rsid w:val="7BC45576"/>
    <w:rsid w:val="7BC94709"/>
    <w:rsid w:val="7BD54A1B"/>
    <w:rsid w:val="7BDD70E5"/>
    <w:rsid w:val="7C050C5D"/>
    <w:rsid w:val="7C05471F"/>
    <w:rsid w:val="7C1B32FE"/>
    <w:rsid w:val="7C236C55"/>
    <w:rsid w:val="7C257735"/>
    <w:rsid w:val="7C2A7D38"/>
    <w:rsid w:val="7C38319F"/>
    <w:rsid w:val="7C645C96"/>
    <w:rsid w:val="7C6C5AC7"/>
    <w:rsid w:val="7C827C2E"/>
    <w:rsid w:val="7C951866"/>
    <w:rsid w:val="7CA77ABC"/>
    <w:rsid w:val="7CAC79C3"/>
    <w:rsid w:val="7CC6544B"/>
    <w:rsid w:val="7CCE680E"/>
    <w:rsid w:val="7CD1226E"/>
    <w:rsid w:val="7CF3683B"/>
    <w:rsid w:val="7D0239FF"/>
    <w:rsid w:val="7D0460B9"/>
    <w:rsid w:val="7D1639A3"/>
    <w:rsid w:val="7D2D40CE"/>
    <w:rsid w:val="7D414152"/>
    <w:rsid w:val="7D5965B3"/>
    <w:rsid w:val="7D5E40CD"/>
    <w:rsid w:val="7D5F713F"/>
    <w:rsid w:val="7D7D31FD"/>
    <w:rsid w:val="7D8121F1"/>
    <w:rsid w:val="7D851D67"/>
    <w:rsid w:val="7D903560"/>
    <w:rsid w:val="7D926F60"/>
    <w:rsid w:val="7D981060"/>
    <w:rsid w:val="7DA60CEF"/>
    <w:rsid w:val="7DC75E7D"/>
    <w:rsid w:val="7DCD56F2"/>
    <w:rsid w:val="7DE76E8F"/>
    <w:rsid w:val="7E017B96"/>
    <w:rsid w:val="7E24288B"/>
    <w:rsid w:val="7E3017CD"/>
    <w:rsid w:val="7E465507"/>
    <w:rsid w:val="7E5876C4"/>
    <w:rsid w:val="7E6927AD"/>
    <w:rsid w:val="7E734562"/>
    <w:rsid w:val="7E7443D7"/>
    <w:rsid w:val="7E7827B2"/>
    <w:rsid w:val="7E801446"/>
    <w:rsid w:val="7E99504C"/>
    <w:rsid w:val="7EAF6507"/>
    <w:rsid w:val="7ED37C60"/>
    <w:rsid w:val="7EED19DC"/>
    <w:rsid w:val="7EFC393F"/>
    <w:rsid w:val="7F001CE7"/>
    <w:rsid w:val="7F0B1638"/>
    <w:rsid w:val="7F0B3441"/>
    <w:rsid w:val="7F14234B"/>
    <w:rsid w:val="7F1956A7"/>
    <w:rsid w:val="7F1D328B"/>
    <w:rsid w:val="7F301C52"/>
    <w:rsid w:val="7F4A3E82"/>
    <w:rsid w:val="7F5C5800"/>
    <w:rsid w:val="7F5F3392"/>
    <w:rsid w:val="7F8A676A"/>
    <w:rsid w:val="7FA12E2C"/>
    <w:rsid w:val="7FA366A6"/>
    <w:rsid w:val="7FC52436"/>
    <w:rsid w:val="7FD76683"/>
    <w:rsid w:val="7FE47E50"/>
    <w:rsid w:val="7FF70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qFormat="1"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38"/>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1"/>
    <w:next w:val="1"/>
    <w:link w:val="86"/>
    <w:qFormat/>
    <w:locked/>
    <w:uiPriority w:val="0"/>
    <w:pPr>
      <w:keepNext/>
      <w:keepLines/>
      <w:tabs>
        <w:tab w:val="left" w:pos="360"/>
        <w:tab w:val="left" w:pos="432"/>
      </w:tabs>
      <w:spacing w:line="360" w:lineRule="auto"/>
      <w:outlineLvl w:val="1"/>
    </w:pPr>
    <w:rPr>
      <w:rFonts w:ascii="Arial" w:hAnsi="Arial"/>
      <w:sz w:val="24"/>
      <w:szCs w:val="32"/>
    </w:rPr>
  </w:style>
  <w:style w:type="paragraph" w:styleId="2">
    <w:name w:val="heading 3"/>
    <w:basedOn w:val="1"/>
    <w:next w:val="1"/>
    <w:link w:val="88"/>
    <w:qFormat/>
    <w:locked/>
    <w:uiPriority w:val="0"/>
    <w:pPr>
      <w:keepNext/>
      <w:keepLines/>
      <w:spacing w:before="20" w:after="20"/>
      <w:jc w:val="left"/>
      <w:outlineLvl w:val="2"/>
    </w:pPr>
    <w:rPr>
      <w:rFonts w:ascii="Calibri" w:hAnsi="Calibri"/>
      <w:b/>
      <w:sz w:val="24"/>
    </w:rPr>
  </w:style>
  <w:style w:type="paragraph" w:styleId="6">
    <w:name w:val="heading 4"/>
    <w:basedOn w:val="1"/>
    <w:next w:val="1"/>
    <w:link w:val="87"/>
    <w:unhideWhenUsed/>
    <w:qFormat/>
    <w:locked/>
    <w:uiPriority w:val="9"/>
    <w:pPr>
      <w:keepNext/>
      <w:keepLines/>
      <w:spacing w:before="280" w:after="290" w:line="376" w:lineRule="auto"/>
      <w:outlineLvl w:val="3"/>
    </w:pPr>
    <w:rPr>
      <w:rFonts w:ascii="等线 Light" w:hAnsi="等线 Light" w:eastAsia="等线 Light"/>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4">
    <w:name w:val="君邦正文"/>
    <w:qFormat/>
    <w:uiPriority w:val="0"/>
    <w:pPr>
      <w:spacing w:after="60" w:line="360" w:lineRule="auto"/>
      <w:ind w:firstLine="480" w:firstLineChars="200"/>
      <w:jc w:val="both"/>
    </w:pPr>
    <w:rPr>
      <w:rFonts w:ascii="Times New Roman" w:hAnsi="Times New Roman" w:eastAsia="宋体" w:cs="Times New Roman"/>
      <w:bCs/>
      <w:snapToGrid w:val="0"/>
      <w:sz w:val="24"/>
      <w:szCs w:val="22"/>
      <w:lang w:val="en-US" w:eastAsia="zh-CN" w:bidi="ar-SA"/>
    </w:rPr>
  </w:style>
  <w:style w:type="paragraph" w:styleId="7">
    <w:name w:val="List 3"/>
    <w:basedOn w:val="1"/>
    <w:qFormat/>
    <w:locked/>
    <w:uiPriority w:val="0"/>
    <w:pPr>
      <w:autoSpaceDE w:val="0"/>
      <w:autoSpaceDN w:val="0"/>
      <w:adjustRightInd w:val="0"/>
      <w:jc w:val="center"/>
      <w:textAlignment w:val="baseline"/>
    </w:pPr>
    <w:rPr>
      <w:kern w:val="0"/>
      <w:szCs w:val="20"/>
    </w:rPr>
  </w:style>
  <w:style w:type="paragraph" w:styleId="8">
    <w:name w:val="Normal Indent"/>
    <w:basedOn w:val="1"/>
    <w:next w:val="1"/>
    <w:qFormat/>
    <w:locked/>
    <w:uiPriority w:val="0"/>
    <w:pPr>
      <w:spacing w:line="480" w:lineRule="atLeast"/>
      <w:ind w:firstLine="595"/>
    </w:pPr>
    <w:rPr>
      <w:sz w:val="28"/>
    </w:rPr>
  </w:style>
  <w:style w:type="paragraph" w:styleId="9">
    <w:name w:val="caption"/>
    <w:basedOn w:val="1"/>
    <w:next w:val="1"/>
    <w:qFormat/>
    <w:locked/>
    <w:uiPriority w:val="0"/>
    <w:pPr>
      <w:keepNext/>
      <w:spacing w:beforeLines="50"/>
      <w:jc w:val="center"/>
    </w:pPr>
    <w:rPr>
      <w:rFonts w:ascii="宋体" w:hAnsi="宋体"/>
      <w:b/>
      <w:sz w:val="24"/>
      <w:szCs w:val="21"/>
    </w:rPr>
  </w:style>
  <w:style w:type="paragraph" w:styleId="10">
    <w:name w:val="annotation text"/>
    <w:basedOn w:val="1"/>
    <w:link w:val="42"/>
    <w:semiHidden/>
    <w:qFormat/>
    <w:uiPriority w:val="0"/>
    <w:pPr>
      <w:jc w:val="left"/>
    </w:pPr>
    <w:rPr>
      <w:kern w:val="0"/>
      <w:sz w:val="24"/>
      <w:szCs w:val="20"/>
    </w:rPr>
  </w:style>
  <w:style w:type="paragraph" w:styleId="11">
    <w:name w:val="Body Text"/>
    <w:basedOn w:val="1"/>
    <w:next w:val="12"/>
    <w:link w:val="45"/>
    <w:qFormat/>
    <w:uiPriority w:val="0"/>
    <w:pPr>
      <w:widowControl/>
      <w:snapToGrid w:val="0"/>
      <w:spacing w:before="60" w:after="160" w:line="259" w:lineRule="auto"/>
      <w:ind w:right="113"/>
    </w:pPr>
    <w:rPr>
      <w:kern w:val="0"/>
      <w:sz w:val="18"/>
      <w:szCs w:val="20"/>
    </w:rPr>
  </w:style>
  <w:style w:type="paragraph" w:customStyle="1" w:styleId="12">
    <w:name w:val="xl27"/>
    <w:basedOn w:val="1"/>
    <w:qFormat/>
    <w:uiPriority w:val="0"/>
    <w:pPr>
      <w:widowControl/>
      <w:pBdr>
        <w:bottom w:val="single" w:color="auto" w:sz="12" w:space="0"/>
      </w:pBdr>
      <w:spacing w:before="100" w:after="100"/>
      <w:jc w:val="center"/>
    </w:pPr>
    <w:rPr>
      <w:rFonts w:ascii="宋体" w:hAnsi="宋体"/>
      <w:kern w:val="0"/>
      <w:szCs w:val="20"/>
    </w:rPr>
  </w:style>
  <w:style w:type="paragraph" w:styleId="13">
    <w:name w:val="Body Text Indent"/>
    <w:basedOn w:val="1"/>
    <w:next w:val="14"/>
    <w:link w:val="41"/>
    <w:qFormat/>
    <w:uiPriority w:val="0"/>
    <w:pPr>
      <w:spacing w:after="120"/>
      <w:ind w:left="420" w:leftChars="200"/>
    </w:pPr>
    <w:rPr>
      <w:kern w:val="0"/>
      <w:sz w:val="24"/>
      <w:szCs w:val="20"/>
    </w:rPr>
  </w:style>
  <w:style w:type="paragraph" w:styleId="14">
    <w:name w:val="header"/>
    <w:basedOn w:val="1"/>
    <w:next w:val="15"/>
    <w:link w:val="39"/>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5">
    <w:name w:val="样式5"/>
    <w:basedOn w:val="16"/>
    <w:qFormat/>
    <w:uiPriority w:val="0"/>
    <w:pPr>
      <w:spacing w:line="360" w:lineRule="auto"/>
      <w:ind w:firstLine="510"/>
    </w:pPr>
  </w:style>
  <w:style w:type="paragraph" w:customStyle="1" w:styleId="16">
    <w:name w:val="正文1"/>
    <w:basedOn w:val="1"/>
    <w:qFormat/>
    <w:uiPriority w:val="0"/>
    <w:pPr>
      <w:snapToGrid w:val="0"/>
      <w:spacing w:beforeLines="20" w:afterLines="20" w:line="312" w:lineRule="auto"/>
      <w:ind w:firstLine="475" w:firstLineChars="198"/>
    </w:pPr>
    <w:rPr>
      <w:rFonts w:ascii="宋体" w:hAnsi="宋体"/>
      <w:color w:val="000000"/>
      <w:szCs w:val="20"/>
    </w:rPr>
  </w:style>
  <w:style w:type="paragraph" w:styleId="17">
    <w:name w:val="Plain Text"/>
    <w:basedOn w:val="1"/>
    <w:qFormat/>
    <w:locked/>
    <w:uiPriority w:val="0"/>
    <w:rPr>
      <w:rFonts w:ascii="宋体" w:hAnsi="Courier New"/>
    </w:rPr>
  </w:style>
  <w:style w:type="paragraph" w:styleId="18">
    <w:name w:val="Date"/>
    <w:basedOn w:val="1"/>
    <w:next w:val="1"/>
    <w:link w:val="46"/>
    <w:qFormat/>
    <w:uiPriority w:val="0"/>
    <w:pPr>
      <w:ind w:left="100" w:leftChars="2500"/>
    </w:pPr>
    <w:rPr>
      <w:kern w:val="0"/>
      <w:sz w:val="24"/>
      <w:szCs w:val="20"/>
    </w:rPr>
  </w:style>
  <w:style w:type="paragraph" w:styleId="19">
    <w:name w:val="Body Text Indent 2"/>
    <w:basedOn w:val="1"/>
    <w:qFormat/>
    <w:locked/>
    <w:uiPriority w:val="0"/>
    <w:pPr>
      <w:spacing w:after="120" w:line="480" w:lineRule="auto"/>
      <w:ind w:left="420" w:leftChars="200"/>
    </w:pPr>
  </w:style>
  <w:style w:type="paragraph" w:styleId="20">
    <w:name w:val="Balloon Text"/>
    <w:basedOn w:val="1"/>
    <w:link w:val="47"/>
    <w:semiHidden/>
    <w:qFormat/>
    <w:uiPriority w:val="0"/>
    <w:rPr>
      <w:kern w:val="0"/>
      <w:sz w:val="18"/>
      <w:szCs w:val="20"/>
    </w:rPr>
  </w:style>
  <w:style w:type="paragraph" w:styleId="21">
    <w:name w:val="footer"/>
    <w:basedOn w:val="1"/>
    <w:link w:val="48"/>
    <w:qFormat/>
    <w:uiPriority w:val="99"/>
    <w:pPr>
      <w:tabs>
        <w:tab w:val="center" w:pos="4153"/>
        <w:tab w:val="right" w:pos="8306"/>
      </w:tabs>
      <w:snapToGrid w:val="0"/>
      <w:jc w:val="left"/>
    </w:pPr>
    <w:rPr>
      <w:kern w:val="0"/>
      <w:sz w:val="18"/>
      <w:szCs w:val="20"/>
    </w:rPr>
  </w:style>
  <w:style w:type="paragraph" w:styleId="22">
    <w:name w:val="toc 1"/>
    <w:basedOn w:val="1"/>
    <w:next w:val="1"/>
    <w:qFormat/>
    <w:locked/>
    <w:uiPriority w:val="39"/>
  </w:style>
  <w:style w:type="paragraph" w:styleId="23">
    <w:name w:val="toc 2"/>
    <w:basedOn w:val="1"/>
    <w:next w:val="1"/>
    <w:qFormat/>
    <w:locked/>
    <w:uiPriority w:val="0"/>
    <w:pPr>
      <w:ind w:left="420" w:leftChars="200"/>
    </w:pPr>
  </w:style>
  <w:style w:type="paragraph" w:styleId="24">
    <w:name w:val="Normal (Web)"/>
    <w:basedOn w:val="1"/>
    <w:link w:val="37"/>
    <w:qFormat/>
    <w:uiPriority w:val="0"/>
    <w:pPr>
      <w:widowControl/>
      <w:spacing w:before="100" w:beforeAutospacing="1" w:after="100" w:afterAutospacing="1"/>
      <w:jc w:val="left"/>
    </w:pPr>
    <w:rPr>
      <w:rFonts w:ascii="宋体" w:hAnsi="宋体"/>
      <w:kern w:val="0"/>
      <w:sz w:val="24"/>
      <w:szCs w:val="20"/>
    </w:rPr>
  </w:style>
  <w:style w:type="paragraph" w:styleId="25">
    <w:name w:val="annotation subject"/>
    <w:basedOn w:val="10"/>
    <w:next w:val="10"/>
    <w:link w:val="43"/>
    <w:semiHidden/>
    <w:qFormat/>
    <w:uiPriority w:val="0"/>
    <w:rPr>
      <w:b/>
    </w:rPr>
  </w:style>
  <w:style w:type="paragraph" w:styleId="26">
    <w:name w:val="Body Text First Indent"/>
    <w:basedOn w:val="11"/>
    <w:next w:val="27"/>
    <w:qFormat/>
    <w:locked/>
    <w:uiPriority w:val="0"/>
    <w:pPr>
      <w:ind w:firstLine="420" w:firstLineChars="100"/>
    </w:pPr>
  </w:style>
  <w:style w:type="paragraph" w:customStyle="1" w:styleId="27">
    <w:name w:val="正文文字（首行缩进2字）"/>
    <w:basedOn w:val="1"/>
    <w:qFormat/>
    <w:uiPriority w:val="0"/>
    <w:pPr>
      <w:spacing w:line="360" w:lineRule="auto"/>
      <w:ind w:firstLine="200" w:firstLineChars="200"/>
    </w:pPr>
    <w:rPr>
      <w:rFonts w:ascii="Arial" w:hAnsi="Arial"/>
      <w:position w:val="-30"/>
      <w:sz w:val="24"/>
    </w:rPr>
  </w:style>
  <w:style w:type="paragraph" w:styleId="28">
    <w:name w:val="Body Text First Indent 2"/>
    <w:basedOn w:val="13"/>
    <w:next w:val="1"/>
    <w:link w:val="85"/>
    <w:qFormat/>
    <w:locked/>
    <w:uiPriority w:val="0"/>
    <w:pPr>
      <w:spacing w:line="480" w:lineRule="exact"/>
      <w:ind w:left="0" w:leftChars="0"/>
    </w:p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locked/>
    <w:uiPriority w:val="0"/>
    <w:rPr>
      <w:b/>
      <w:sz w:val="21"/>
      <w:szCs w:val="20"/>
    </w:rPr>
  </w:style>
  <w:style w:type="character" w:styleId="33">
    <w:name w:val="page number"/>
    <w:basedOn w:val="31"/>
    <w:qFormat/>
    <w:locked/>
    <w:uiPriority w:val="0"/>
  </w:style>
  <w:style w:type="character" w:styleId="34">
    <w:name w:val="Hyperlink"/>
    <w:qFormat/>
    <w:locked/>
    <w:uiPriority w:val="99"/>
    <w:rPr>
      <w:color w:val="0000FF"/>
      <w:u w:val="single"/>
    </w:rPr>
  </w:style>
  <w:style w:type="character" w:styleId="35">
    <w:name w:val="annotation reference"/>
    <w:semiHidden/>
    <w:qFormat/>
    <w:uiPriority w:val="0"/>
    <w:rPr>
      <w:sz w:val="21"/>
    </w:rPr>
  </w:style>
  <w:style w:type="paragraph" w:customStyle="1" w:styleId="36">
    <w:name w:val="一级条标题"/>
    <w:basedOn w:val="3"/>
    <w:next w:val="1"/>
    <w:qFormat/>
    <w:uiPriority w:val="0"/>
    <w:pPr>
      <w:keepNext w:val="0"/>
      <w:widowControl/>
      <w:tabs>
        <w:tab w:val="left" w:pos="360"/>
        <w:tab w:val="left" w:pos="432"/>
      </w:tabs>
      <w:spacing w:line="240" w:lineRule="auto"/>
      <w:ind w:firstLine="0" w:firstLineChars="0"/>
      <w:outlineLvl w:val="2"/>
    </w:pPr>
    <w:rPr>
      <w:rFonts w:ascii="黑体" w:eastAsia="黑体"/>
      <w:kern w:val="0"/>
      <w:sz w:val="21"/>
    </w:rPr>
  </w:style>
  <w:style w:type="character" w:customStyle="1" w:styleId="37">
    <w:name w:val="普通(网站) 字符"/>
    <w:link w:val="24"/>
    <w:qFormat/>
    <w:locked/>
    <w:uiPriority w:val="0"/>
    <w:rPr>
      <w:rFonts w:ascii="宋体" w:hAnsi="宋体" w:eastAsia="宋体"/>
      <w:sz w:val="24"/>
    </w:rPr>
  </w:style>
  <w:style w:type="character" w:customStyle="1" w:styleId="38">
    <w:name w:val="标题 1 字符"/>
    <w:link w:val="3"/>
    <w:qFormat/>
    <w:uiPriority w:val="99"/>
    <w:rPr>
      <w:rFonts w:eastAsia="黑体"/>
      <w:b/>
      <w:bCs/>
      <w:color w:val="000000"/>
      <w:kern w:val="44"/>
      <w:sz w:val="30"/>
      <w:szCs w:val="30"/>
    </w:rPr>
  </w:style>
  <w:style w:type="character" w:customStyle="1" w:styleId="39">
    <w:name w:val="页眉 字符"/>
    <w:link w:val="14"/>
    <w:qFormat/>
    <w:locked/>
    <w:uiPriority w:val="0"/>
    <w:rPr>
      <w:sz w:val="18"/>
    </w:rPr>
  </w:style>
  <w:style w:type="character" w:customStyle="1" w:styleId="40">
    <w:name w:val="页脚 字符"/>
    <w:basedOn w:val="31"/>
    <w:qFormat/>
    <w:uiPriority w:val="99"/>
  </w:style>
  <w:style w:type="character" w:customStyle="1" w:styleId="41">
    <w:name w:val="正文文本缩进 字符"/>
    <w:link w:val="13"/>
    <w:semiHidden/>
    <w:qFormat/>
    <w:locked/>
    <w:uiPriority w:val="0"/>
    <w:rPr>
      <w:rFonts w:ascii="Times New Roman" w:hAnsi="Times New Roman" w:eastAsia="宋体"/>
      <w:sz w:val="24"/>
    </w:rPr>
  </w:style>
  <w:style w:type="character" w:customStyle="1" w:styleId="42">
    <w:name w:val="批注文字 字符"/>
    <w:link w:val="10"/>
    <w:qFormat/>
    <w:locked/>
    <w:uiPriority w:val="0"/>
    <w:rPr>
      <w:rFonts w:ascii="Times New Roman" w:hAnsi="Times New Roman" w:eastAsia="宋体"/>
      <w:sz w:val="24"/>
    </w:rPr>
  </w:style>
  <w:style w:type="character" w:customStyle="1" w:styleId="43">
    <w:name w:val="批注主题 字符"/>
    <w:link w:val="25"/>
    <w:semiHidden/>
    <w:qFormat/>
    <w:locked/>
    <w:uiPriority w:val="0"/>
    <w:rPr>
      <w:rFonts w:ascii="Times New Roman" w:hAnsi="Times New Roman" w:eastAsia="宋体"/>
      <w:b/>
      <w:kern w:val="2"/>
      <w:sz w:val="24"/>
    </w:rPr>
  </w:style>
  <w:style w:type="character" w:customStyle="1" w:styleId="44">
    <w:name w:val="正文文本 字符1"/>
    <w:semiHidden/>
    <w:qFormat/>
    <w:uiPriority w:val="0"/>
    <w:rPr>
      <w:rFonts w:ascii="Times New Roman" w:hAnsi="Times New Roman" w:eastAsia="宋体"/>
      <w:sz w:val="24"/>
    </w:rPr>
  </w:style>
  <w:style w:type="character" w:customStyle="1" w:styleId="45">
    <w:name w:val="正文文本 字符"/>
    <w:link w:val="11"/>
    <w:qFormat/>
    <w:locked/>
    <w:uiPriority w:val="0"/>
    <w:rPr>
      <w:sz w:val="18"/>
    </w:rPr>
  </w:style>
  <w:style w:type="character" w:customStyle="1" w:styleId="46">
    <w:name w:val="日期 字符1"/>
    <w:link w:val="18"/>
    <w:qFormat/>
    <w:locked/>
    <w:uiPriority w:val="0"/>
    <w:rPr>
      <w:rFonts w:ascii="Times New Roman" w:hAnsi="Times New Roman" w:eastAsia="宋体"/>
      <w:sz w:val="24"/>
    </w:rPr>
  </w:style>
  <w:style w:type="character" w:customStyle="1" w:styleId="47">
    <w:name w:val="批注框文本 字符"/>
    <w:link w:val="20"/>
    <w:semiHidden/>
    <w:qFormat/>
    <w:locked/>
    <w:uiPriority w:val="0"/>
    <w:rPr>
      <w:rFonts w:ascii="Times New Roman" w:hAnsi="Times New Roman" w:eastAsia="宋体"/>
      <w:sz w:val="18"/>
    </w:rPr>
  </w:style>
  <w:style w:type="character" w:customStyle="1" w:styleId="48">
    <w:name w:val="页脚 字符1"/>
    <w:link w:val="21"/>
    <w:qFormat/>
    <w:locked/>
    <w:uiPriority w:val="99"/>
    <w:rPr>
      <w:sz w:val="18"/>
    </w:rPr>
  </w:style>
  <w:style w:type="character" w:customStyle="1" w:styleId="49">
    <w:name w:val="表格 Char"/>
    <w:link w:val="50"/>
    <w:qFormat/>
    <w:locked/>
    <w:uiPriority w:val="0"/>
    <w:rPr>
      <w:rFonts w:ascii="宋体"/>
      <w:sz w:val="21"/>
    </w:rPr>
  </w:style>
  <w:style w:type="paragraph" w:customStyle="1" w:styleId="50">
    <w:name w:val="表格"/>
    <w:basedOn w:val="17"/>
    <w:next w:val="1"/>
    <w:link w:val="49"/>
    <w:qFormat/>
    <w:uiPriority w:val="0"/>
    <w:pPr>
      <w:adjustRightInd w:val="0"/>
      <w:snapToGrid w:val="0"/>
      <w:spacing w:beforeLines="10" w:afterLines="10" w:line="259" w:lineRule="auto"/>
      <w:jc w:val="center"/>
    </w:pPr>
    <w:rPr>
      <w:kern w:val="0"/>
      <w:szCs w:val="20"/>
    </w:rPr>
  </w:style>
  <w:style w:type="character" w:customStyle="1" w:styleId="51">
    <w:name w:val="日期 字符"/>
    <w:semiHidden/>
    <w:qFormat/>
    <w:uiPriority w:val="0"/>
    <w:rPr>
      <w:rFonts w:ascii="Times New Roman" w:hAnsi="Times New Roman" w:eastAsia="宋体"/>
      <w:sz w:val="24"/>
    </w:rPr>
  </w:style>
  <w:style w:type="character" w:customStyle="1" w:styleId="52">
    <w:name w:val="样式 正文01 + Times New Roman Char"/>
    <w:basedOn w:val="31"/>
    <w:link w:val="53"/>
    <w:qFormat/>
    <w:uiPriority w:val="0"/>
    <w:rPr>
      <w:bCs/>
      <w:kern w:val="0"/>
      <w:sz w:val="20"/>
      <w:szCs w:val="20"/>
    </w:rPr>
  </w:style>
  <w:style w:type="paragraph" w:customStyle="1" w:styleId="53">
    <w:name w:val="样式 正文01 + Times New Roman"/>
    <w:basedOn w:val="54"/>
    <w:link w:val="52"/>
    <w:qFormat/>
    <w:uiPriority w:val="0"/>
    <w:pPr>
      <w:ind w:firstLine="0" w:firstLineChars="0"/>
    </w:pPr>
    <w:rPr>
      <w:bCs/>
      <w:kern w:val="0"/>
      <w:sz w:val="20"/>
      <w:szCs w:val="20"/>
    </w:rPr>
  </w:style>
  <w:style w:type="paragraph" w:customStyle="1" w:styleId="54">
    <w:name w:val="正文01"/>
    <w:basedOn w:val="8"/>
    <w:qFormat/>
    <w:uiPriority w:val="0"/>
    <w:pPr>
      <w:ind w:firstLine="480" w:firstLineChars="200"/>
    </w:pPr>
  </w:style>
  <w:style w:type="character" w:customStyle="1" w:styleId="55">
    <w:name w:val="批注文字 字符1"/>
    <w:semiHidden/>
    <w:qFormat/>
    <w:uiPriority w:val="0"/>
    <w:rPr>
      <w:rFonts w:ascii="Times New Roman" w:hAnsi="Times New Roman" w:eastAsia="宋体"/>
      <w:sz w:val="24"/>
    </w:rPr>
  </w:style>
  <w:style w:type="character" w:customStyle="1" w:styleId="56">
    <w:name w:val="font11"/>
    <w:qFormat/>
    <w:uiPriority w:val="0"/>
    <w:rPr>
      <w:rFonts w:hint="eastAsia" w:ascii="宋体" w:hAnsi="宋体" w:eastAsia="宋体" w:cs="宋体"/>
      <w:color w:val="000000"/>
      <w:sz w:val="20"/>
      <w:szCs w:val="20"/>
      <w:u w:val="none"/>
    </w:rPr>
  </w:style>
  <w:style w:type="character" w:customStyle="1" w:styleId="57">
    <w:name w:val="font21"/>
    <w:qFormat/>
    <w:uiPriority w:val="0"/>
    <w:rPr>
      <w:rFonts w:hint="default" w:ascii="Times New Roman" w:hAnsi="Times New Roman" w:cs="Times New Roman"/>
      <w:color w:val="000000"/>
      <w:sz w:val="20"/>
      <w:szCs w:val="20"/>
      <w:u w:val="none"/>
    </w:rPr>
  </w:style>
  <w:style w:type="paragraph" w:customStyle="1" w:styleId="58">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9">
    <w:name w:val="国投标题4"/>
    <w:basedOn w:val="1"/>
    <w:qFormat/>
    <w:uiPriority w:val="0"/>
    <w:pPr>
      <w:numPr>
        <w:ilvl w:val="3"/>
        <w:numId w:val="1"/>
      </w:numPr>
      <w:spacing w:line="420" w:lineRule="exact"/>
      <w:outlineLvl w:val="3"/>
    </w:pPr>
    <w:rPr>
      <w:sz w:val="24"/>
    </w:rPr>
  </w:style>
  <w:style w:type="paragraph" w:customStyle="1" w:styleId="60">
    <w:name w:val="样式9"/>
    <w:basedOn w:val="1"/>
    <w:qFormat/>
    <w:uiPriority w:val="0"/>
    <w:pPr>
      <w:adjustRightInd w:val="0"/>
      <w:snapToGrid w:val="0"/>
      <w:spacing w:line="460" w:lineRule="exact"/>
      <w:ind w:firstLine="520" w:firstLineChars="200"/>
    </w:pPr>
    <w:rPr>
      <w:sz w:val="26"/>
      <w:szCs w:val="26"/>
    </w:rPr>
  </w:style>
  <w:style w:type="paragraph" w:customStyle="1" w:styleId="61">
    <w:name w:val="表文字"/>
    <w:basedOn w:val="1"/>
    <w:qFormat/>
    <w:uiPriority w:val="0"/>
    <w:pPr>
      <w:overflowPunct w:val="0"/>
      <w:autoSpaceDE w:val="0"/>
      <w:autoSpaceDN w:val="0"/>
      <w:adjustRightInd w:val="0"/>
      <w:spacing w:line="240" w:lineRule="atLeast"/>
      <w:textAlignment w:val="baseline"/>
    </w:pPr>
  </w:style>
  <w:style w:type="paragraph" w:customStyle="1" w:styleId="62">
    <w:name w:val="Default"/>
    <w:basedOn w:val="11"/>
    <w:next w:val="63"/>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3">
    <w:name w:val="表格文字"/>
    <w:basedOn w:val="26"/>
    <w:next w:val="1"/>
    <w:qFormat/>
    <w:uiPriority w:val="0"/>
    <w:pPr>
      <w:widowControl w:val="0"/>
      <w:autoSpaceDE w:val="0"/>
      <w:autoSpaceDN w:val="0"/>
      <w:adjustRightInd w:val="0"/>
      <w:textAlignment w:val="baseline"/>
    </w:pPr>
    <w:rPr>
      <w:rFonts w:ascii="宋体" w:hAnsi="Times New Roman" w:eastAsia="宋体" w:cs="Times New Roman"/>
      <w:color w:val="000000"/>
      <w:sz w:val="24"/>
      <w:szCs w:val="22"/>
      <w:lang w:val="en-US" w:eastAsia="zh-CN" w:bidi="ar-SA"/>
    </w:rPr>
  </w:style>
  <w:style w:type="paragraph" w:customStyle="1" w:styleId="64">
    <w:name w:val="表"/>
    <w:basedOn w:val="1"/>
    <w:qFormat/>
    <w:uiPriority w:val="0"/>
    <w:pPr>
      <w:keepNext/>
      <w:keepLines/>
      <w:autoSpaceDE w:val="0"/>
      <w:autoSpaceDN w:val="0"/>
      <w:adjustRightInd w:val="0"/>
      <w:spacing w:before="40" w:after="40" w:line="240" w:lineRule="exact"/>
      <w:jc w:val="center"/>
    </w:pPr>
    <w:rPr>
      <w:kern w:val="21"/>
    </w:rPr>
  </w:style>
  <w:style w:type="paragraph" w:customStyle="1" w:styleId="65">
    <w:name w:val="样式11"/>
    <w:basedOn w:val="22"/>
    <w:qFormat/>
    <w:uiPriority w:val="0"/>
    <w:pPr>
      <w:spacing w:before="100" w:beforeAutospacing="1"/>
    </w:pPr>
  </w:style>
  <w:style w:type="paragraph" w:customStyle="1" w:styleId="66">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Table Paragraph"/>
    <w:basedOn w:val="1"/>
    <w:qFormat/>
    <w:uiPriority w:val="1"/>
    <w:pPr>
      <w:autoSpaceDE w:val="0"/>
      <w:autoSpaceDN w:val="0"/>
      <w:adjustRightInd w:val="0"/>
      <w:jc w:val="left"/>
    </w:pPr>
    <w:rPr>
      <w:kern w:val="0"/>
      <w:sz w:val="24"/>
    </w:rPr>
  </w:style>
  <w:style w:type="paragraph" w:customStyle="1" w:styleId="68">
    <w:name w:val="表样式2"/>
    <w:basedOn w:val="1"/>
    <w:qFormat/>
    <w:uiPriority w:val="0"/>
    <w:pPr>
      <w:adjustRightInd w:val="0"/>
      <w:snapToGrid w:val="0"/>
      <w:jc w:val="center"/>
    </w:pPr>
    <w:rPr>
      <w:rFonts w:hAnsi="宋体"/>
      <w:szCs w:val="21"/>
    </w:rPr>
  </w:style>
  <w:style w:type="paragraph" w:customStyle="1" w:styleId="69">
    <w:name w:val="表格内"/>
    <w:qFormat/>
    <w:uiPriority w:val="99"/>
    <w:pPr>
      <w:jc w:val="center"/>
    </w:pPr>
    <w:rPr>
      <w:rFonts w:ascii="宋体" w:hAnsi="宋体" w:eastAsia="宋体" w:cs="Times New Roman"/>
      <w:sz w:val="24"/>
      <w:szCs w:val="22"/>
      <w:lang w:val="en-US" w:eastAsia="zh-CN" w:bidi="ar-SA"/>
    </w:rPr>
  </w:style>
  <w:style w:type="paragraph" w:customStyle="1" w:styleId="70">
    <w:name w:val="正文文本2"/>
    <w:basedOn w:val="11"/>
    <w:qFormat/>
    <w:uiPriority w:val="0"/>
    <w:pPr>
      <w:spacing w:line="360" w:lineRule="auto"/>
      <w:ind w:firstLine="480" w:firstLineChars="200"/>
    </w:pPr>
    <w:rPr>
      <w:rFonts w:ascii="宋体" w:cs="宋体"/>
    </w:rPr>
  </w:style>
  <w:style w:type="paragraph" w:customStyle="1" w:styleId="71">
    <w:name w:val="表头2"/>
    <w:basedOn w:val="1"/>
    <w:qFormat/>
    <w:uiPriority w:val="0"/>
    <w:pPr>
      <w:spacing w:beforeLines="50" w:afterLines="50"/>
      <w:jc w:val="center"/>
    </w:pPr>
    <w:rPr>
      <w:b/>
      <w:bCs/>
      <w:kern w:val="0"/>
      <w:sz w:val="20"/>
      <w:szCs w:val="21"/>
    </w:rPr>
  </w:style>
  <w:style w:type="paragraph" w:customStyle="1" w:styleId="72">
    <w:name w:val="朔电正文"/>
    <w:basedOn w:val="1"/>
    <w:qFormat/>
    <w:uiPriority w:val="0"/>
    <w:pPr>
      <w:adjustRightInd w:val="0"/>
      <w:snapToGrid w:val="0"/>
      <w:spacing w:beforeLines="25" w:line="440" w:lineRule="exact"/>
      <w:ind w:firstLine="200" w:firstLineChars="200"/>
    </w:pPr>
    <w:rPr>
      <w:color w:val="000000"/>
      <w:kern w:val="32"/>
      <w:sz w:val="24"/>
    </w:rPr>
  </w:style>
  <w:style w:type="paragraph" w:customStyle="1" w:styleId="73">
    <w:name w:val="A常用文字"/>
    <w:basedOn w:val="1"/>
    <w:qFormat/>
    <w:uiPriority w:val="0"/>
    <w:pPr>
      <w:adjustRightInd w:val="0"/>
      <w:snapToGrid w:val="0"/>
      <w:spacing w:line="440" w:lineRule="exact"/>
      <w:ind w:firstLine="567"/>
    </w:pPr>
    <w:rPr>
      <w:sz w:val="24"/>
    </w:rPr>
  </w:style>
  <w:style w:type="paragraph" w:customStyle="1" w:styleId="74">
    <w:name w:val="中文报告书样式"/>
    <w:basedOn w:val="1"/>
    <w:qFormat/>
    <w:uiPriority w:val="0"/>
    <w:pPr>
      <w:adjustRightInd w:val="0"/>
      <w:spacing w:line="480" w:lineRule="atLeast"/>
      <w:ind w:firstLine="482"/>
      <w:textAlignment w:val="baseline"/>
    </w:pPr>
    <w:rPr>
      <w:kern w:val="24"/>
    </w:rPr>
  </w:style>
  <w:style w:type="paragraph" w:customStyle="1" w:styleId="75">
    <w:name w:val="样式1"/>
    <w:basedOn w:val="8"/>
    <w:qFormat/>
    <w:uiPriority w:val="0"/>
    <w:pPr>
      <w:spacing w:line="240" w:lineRule="auto"/>
      <w:jc w:val="center"/>
    </w:pPr>
    <w:rPr>
      <w:color w:val="000000"/>
      <w:sz w:val="24"/>
    </w:rPr>
  </w:style>
  <w:style w:type="paragraph" w:customStyle="1" w:styleId="76">
    <w:name w:val="样式35"/>
    <w:basedOn w:val="1"/>
    <w:next w:val="1"/>
    <w:qFormat/>
    <w:uiPriority w:val="0"/>
    <w:pPr>
      <w:spacing w:line="312" w:lineRule="auto"/>
      <w:ind w:firstLine="567"/>
    </w:pPr>
    <w:rPr>
      <w:rFonts w:ascii="宋体"/>
      <w:sz w:val="28"/>
    </w:rPr>
  </w:style>
  <w:style w:type="paragraph" w:customStyle="1" w:styleId="77">
    <w:name w:val="样式10"/>
    <w:basedOn w:val="3"/>
    <w:next w:val="1"/>
    <w:qFormat/>
    <w:uiPriority w:val="0"/>
    <w:pPr>
      <w:spacing w:before="100" w:beforeAutospacing="1"/>
    </w:pPr>
  </w:style>
  <w:style w:type="paragraph" w:customStyle="1" w:styleId="78">
    <w:name w:val="_Style 2"/>
    <w:basedOn w:val="1"/>
    <w:qFormat/>
    <w:uiPriority w:val="34"/>
    <w:pPr>
      <w:ind w:firstLine="420" w:firstLineChars="200"/>
    </w:pPr>
  </w:style>
  <w:style w:type="paragraph" w:customStyle="1" w:styleId="79">
    <w:name w:val="正文 首行缩进:  2 字符"/>
    <w:basedOn w:val="1"/>
    <w:qFormat/>
    <w:uiPriority w:val="0"/>
    <w:pPr>
      <w:adjustRightInd w:val="0"/>
      <w:snapToGrid w:val="0"/>
      <w:spacing w:line="500" w:lineRule="exact"/>
      <w:ind w:firstLine="200" w:firstLineChars="200"/>
      <w:jc w:val="left"/>
    </w:pPr>
    <w:rPr>
      <w:rFonts w:cs="宋体"/>
      <w:szCs w:val="20"/>
    </w:rPr>
  </w:style>
  <w:style w:type="paragraph" w:customStyle="1" w:styleId="80">
    <w:name w:val="表中"/>
    <w:basedOn w:val="1"/>
    <w:qFormat/>
    <w:uiPriority w:val="0"/>
    <w:pPr>
      <w:spacing w:line="360" w:lineRule="exact"/>
      <w:jc w:val="center"/>
    </w:pPr>
    <w:rPr>
      <w:szCs w:val="21"/>
      <w:lang w:val="de-DE"/>
    </w:rPr>
  </w:style>
  <w:style w:type="paragraph" w:customStyle="1" w:styleId="81">
    <w:name w:val="defaultfont"/>
    <w:basedOn w:val="1"/>
    <w:qFormat/>
    <w:uiPriority w:val="0"/>
    <w:pPr>
      <w:widowControl/>
      <w:spacing w:before="100" w:beforeAutospacing="1" w:after="100" w:afterAutospacing="1"/>
      <w:jc w:val="left"/>
    </w:pPr>
    <w:rPr>
      <w:rFonts w:ascii="宋体" w:hAnsi="宋体" w:cs="宋体"/>
      <w:kern w:val="0"/>
    </w:rPr>
  </w:style>
  <w:style w:type="paragraph" w:customStyle="1" w:styleId="82">
    <w:name w:val="表内容"/>
    <w:basedOn w:val="1"/>
    <w:next w:val="1"/>
    <w:qFormat/>
    <w:uiPriority w:val="0"/>
    <w:pPr>
      <w:spacing w:line="320" w:lineRule="exact"/>
      <w:jc w:val="center"/>
    </w:pPr>
  </w:style>
  <w:style w:type="paragraph" w:customStyle="1" w:styleId="83">
    <w:name w:val="黄酒表格标题"/>
    <w:qFormat/>
    <w:uiPriority w:val="0"/>
    <w:pPr>
      <w:tabs>
        <w:tab w:val="left" w:pos="-2848"/>
      </w:tabs>
      <w:jc w:val="center"/>
    </w:pPr>
    <w:rPr>
      <w:rFonts w:ascii="Times New Roman" w:hAnsi="Times New Roman" w:eastAsia="宋体" w:cs="宋体"/>
      <w:b/>
      <w:sz w:val="21"/>
      <w:szCs w:val="21"/>
      <w:lang w:val="en-US" w:eastAsia="zh-CN" w:bidi="ar-SA"/>
    </w:rPr>
  </w:style>
  <w:style w:type="paragraph" w:customStyle="1" w:styleId="84">
    <w:name w:val="正文首行缩进2个字"/>
    <w:basedOn w:val="1"/>
    <w:qFormat/>
    <w:uiPriority w:val="0"/>
    <w:pPr>
      <w:spacing w:line="480" w:lineRule="exact"/>
      <w:ind w:firstLine="600" w:firstLineChars="200"/>
    </w:pPr>
    <w:rPr>
      <w:spacing w:val="3"/>
      <w:sz w:val="24"/>
    </w:rPr>
  </w:style>
  <w:style w:type="character" w:customStyle="1" w:styleId="85">
    <w:name w:val="正文文本首行缩进 2 字符"/>
    <w:link w:val="28"/>
    <w:qFormat/>
    <w:uiPriority w:val="0"/>
    <w:rPr>
      <w:sz w:val="24"/>
    </w:rPr>
  </w:style>
  <w:style w:type="character" w:customStyle="1" w:styleId="86">
    <w:name w:val="标题 2 字符"/>
    <w:link w:val="5"/>
    <w:qFormat/>
    <w:uiPriority w:val="0"/>
    <w:rPr>
      <w:rFonts w:ascii="Arial" w:hAnsi="Arial"/>
      <w:b/>
      <w:bCs/>
      <w:kern w:val="2"/>
      <w:sz w:val="24"/>
      <w:szCs w:val="32"/>
    </w:rPr>
  </w:style>
  <w:style w:type="character" w:customStyle="1" w:styleId="87">
    <w:name w:val="标题 4 字符"/>
    <w:link w:val="6"/>
    <w:qFormat/>
    <w:uiPriority w:val="9"/>
    <w:rPr>
      <w:rFonts w:ascii="等线 Light" w:hAnsi="等线 Light" w:eastAsia="等线 Light"/>
      <w:b/>
      <w:bCs/>
      <w:kern w:val="2"/>
      <w:sz w:val="28"/>
      <w:szCs w:val="28"/>
    </w:rPr>
  </w:style>
  <w:style w:type="character" w:customStyle="1" w:styleId="88">
    <w:name w:val="标题 3 字符"/>
    <w:basedOn w:val="31"/>
    <w:link w:val="2"/>
    <w:qFormat/>
    <w:uiPriority w:val="0"/>
    <w:rPr>
      <w:rFonts w:ascii="Calibri" w:hAnsi="Calibri"/>
      <w:b/>
      <w:kern w:val="2"/>
      <w:sz w:val="24"/>
      <w:szCs w:val="24"/>
    </w:rPr>
  </w:style>
  <w:style w:type="paragraph" w:customStyle="1" w:styleId="89">
    <w:name w:val="表格内容"/>
    <w:basedOn w:val="1"/>
    <w:qFormat/>
    <w:uiPriority w:val="0"/>
    <w:pPr>
      <w:jc w:val="center"/>
    </w:pPr>
    <w:rPr>
      <w:szCs w:val="21"/>
    </w:rPr>
  </w:style>
  <w:style w:type="paragraph" w:customStyle="1" w:styleId="90">
    <w:name w:val="表格标题--中祥"/>
    <w:basedOn w:val="1"/>
    <w:qFormat/>
    <w:uiPriority w:val="0"/>
    <w:pPr>
      <w:spacing w:line="320" w:lineRule="exact"/>
      <w:ind w:firstLine="482"/>
      <w:jc w:val="center"/>
    </w:pPr>
    <w:rPr>
      <w:rFonts w:ascii="宋体" w:hAnsi="宋体"/>
      <w:b/>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61</Pages>
  <Words>23320</Words>
  <Characters>26118</Characters>
  <Lines>179</Lines>
  <Paragraphs>50</Paragraphs>
  <TotalTime>8</TotalTime>
  <ScaleCrop>false</ScaleCrop>
  <LinksUpToDate>false</LinksUpToDate>
  <CharactersWithSpaces>26684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2021-06-01T15:21:00Z</dcterms:created>
  <dc:creator>lhj</dc:creator>
  <cp:lastModifiedBy>huren</cp:lastModifiedBy>
  <cp:lastPrinted>2020-12-29T02:43:00Z</cp:lastPrinted>
  <dcterms:modified xsi:type="dcterms:W3CDTF">2021-10-08T10:25:17Z</dcterms:modified>
  <dc:title>附件2</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2768109E51414440B1924BFA70F90D95</vt:lpwstr>
  </property>
</Properties>
</file>