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3" w:firstLineChars="2500"/>
        <w:jc w:val="left"/>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eastAsia="zh-CN"/>
        </w:rPr>
      </w:pPr>
    </w:p>
    <w:p>
      <w:pPr>
        <w:ind w:firstLine="5783" w:firstLineChars="24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eastAsia="zh-CN"/>
        </w:rPr>
      </w:pPr>
    </w:p>
    <w:p>
      <w:pPr>
        <w:ind w:firstLine="5542" w:firstLineChars="23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74号</w:t>
      </w:r>
      <w:r>
        <w:rPr>
          <w:rFonts w:hint="default" w:ascii="Times New Roman" w:hAnsi="Times New Roman" w:cs="Times New Roman"/>
          <w:b/>
          <w:bCs/>
          <w:sz w:val="24"/>
          <w:szCs w:val="24"/>
          <w:lang w:val="en-US" w:eastAsia="zh-CN"/>
        </w:rPr>
        <w:t xml:space="preserve"> </w:t>
      </w:r>
    </w:p>
    <w:p>
      <w:pPr>
        <w:ind w:firstLine="5783" w:firstLineChars="2400"/>
        <w:jc w:val="left"/>
        <w:rPr>
          <w:rFonts w:hint="default" w:ascii="Times New Roman" w:hAnsi="Times New Roman" w:cs="Times New Roman"/>
          <w:b/>
          <w:bCs/>
          <w:sz w:val="24"/>
          <w:szCs w:val="24"/>
          <w:lang w:val="en-US" w:eastAsia="zh-CN"/>
        </w:rPr>
      </w:pPr>
    </w:p>
    <w:p>
      <w:pPr>
        <w:ind w:left="1084" w:hanging="1084" w:hangingChars="3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eastAsia" w:ascii="宋体" w:hAnsi="宋体" w:eastAsia="宋体" w:cs="宋体"/>
          <w:b/>
          <w:bCs/>
          <w:sz w:val="36"/>
          <w:szCs w:val="36"/>
          <w:lang w:val="en-US" w:eastAsia="zh-CN"/>
        </w:rPr>
        <w:t>邵东勇博商贸有限公司年产100吨珍珠棉生产线建设项目环境影响报告表的批复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邵东勇博商贸有限公司</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邵东勇博商贸有限公司年产100吨珍珠棉生产线建设项目环境影响报告表</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万元在</w:t>
      </w:r>
      <w:r>
        <w:rPr>
          <w:rFonts w:hint="eastAsia" w:ascii="Times New Roman" w:hAnsi="Times New Roman" w:cs="Times New Roman"/>
          <w:sz w:val="24"/>
          <w:szCs w:val="24"/>
          <w:lang w:eastAsia="zh-CN"/>
        </w:rPr>
        <w:t>湖南省邵阳市</w:t>
      </w:r>
      <w:r>
        <w:rPr>
          <w:rFonts w:hint="eastAsia"/>
          <w:color w:val="auto"/>
          <w:sz w:val="24"/>
          <w:lang w:eastAsia="zh-CN"/>
        </w:rPr>
        <w:t>邵东市牛马司镇湾泥乡工农村</w:t>
      </w:r>
      <w:r>
        <w:rPr>
          <w:rFonts w:hint="eastAsia"/>
          <w:color w:val="auto"/>
          <w:sz w:val="24"/>
          <w:lang w:val="en-US" w:eastAsia="zh-CN"/>
        </w:rPr>
        <w:t>01栋</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北纬</w:t>
      </w:r>
      <w:r>
        <w:rPr>
          <w:rFonts w:hint="eastAsia"/>
          <w:color w:val="auto"/>
          <w:sz w:val="24"/>
          <w:lang w:eastAsia="zh-CN"/>
        </w:rPr>
        <w:t>27度15分16.85秒</w:t>
      </w:r>
      <w:r>
        <w:rPr>
          <w:rFonts w:hint="eastAsia" w:ascii="Times New Roman" w:hAnsi="Times New Roman" w:cs="Times New Roman"/>
          <w:sz w:val="24"/>
          <w:szCs w:val="24"/>
          <w:lang w:val="en-US" w:eastAsia="zh-CN"/>
        </w:rPr>
        <w:t>、东经</w:t>
      </w:r>
      <w:r>
        <w:rPr>
          <w:rFonts w:hint="eastAsia"/>
          <w:color w:val="auto"/>
          <w:sz w:val="24"/>
          <w:lang w:eastAsia="zh-CN"/>
        </w:rPr>
        <w:t>111度39分21.73秒</w:t>
      </w:r>
      <w:r>
        <w:rPr>
          <w:rFonts w:hint="eastAsia" w:ascii="Times New Roman" w:hAnsi="Times New Roman" w:cs="Times New Roman"/>
          <w:sz w:val="24"/>
          <w:szCs w:val="24"/>
          <w:lang w:val="en-US" w:eastAsia="zh-CN"/>
        </w:rPr>
        <w:t>）租用湖南省巧大娘食品有限公司的老厂房</w:t>
      </w:r>
      <w:r>
        <w:rPr>
          <w:rFonts w:hint="eastAsia" w:ascii="Times New Roman" w:hAnsi="Times New Roman" w:eastAsia="宋体" w:cs="Times New Roman"/>
          <w:b w:val="0"/>
          <w:bCs w:val="0"/>
          <w:sz w:val="24"/>
          <w:szCs w:val="24"/>
          <w:lang w:val="en-US" w:eastAsia="zh-CN"/>
        </w:rPr>
        <w:t>建设</w:t>
      </w:r>
      <w:r>
        <w:rPr>
          <w:rFonts w:hint="eastAsia" w:ascii="Times New Roman" w:hAnsi="Times New Roman" w:eastAsia="宋体" w:cs="Times New Roman"/>
          <w:b w:val="0"/>
          <w:bCs w:val="0"/>
          <w:sz w:val="24"/>
          <w:szCs w:val="24"/>
          <w:lang w:val="en-US" w:eastAsia="zh-CN"/>
        </w:rPr>
        <w:t>年产100吨</w:t>
      </w:r>
      <w:r>
        <w:rPr>
          <w:rFonts w:hint="eastAsia" w:ascii="Times New Roman" w:hAnsi="Times New Roman" w:eastAsia="宋体" w:cs="Times New Roman"/>
          <w:b w:val="0"/>
          <w:bCs w:val="0"/>
          <w:sz w:val="24"/>
          <w:szCs w:val="24"/>
          <w:lang w:val="en-US" w:eastAsia="zh-CN"/>
        </w:rPr>
        <w:t>珍珠棉生产线项目，主要建设内容有</w:t>
      </w:r>
      <w:r>
        <w:rPr>
          <w:rFonts w:hint="default" w:ascii="Times New Roman" w:hAnsi="Times New Roman" w:eastAsia="宋体" w:cs="Times New Roman"/>
          <w:b w:val="0"/>
          <w:bCs w:val="0"/>
          <w:sz w:val="24"/>
          <w:szCs w:val="24"/>
          <w:lang w:val="en-US" w:eastAsia="zh-CN"/>
        </w:rPr>
        <w:t>生产车间</w:t>
      </w:r>
      <w:r>
        <w:rPr>
          <w:rFonts w:hint="eastAsia" w:ascii="Times New Roman" w:hAnsi="Times New Roman" w:eastAsia="宋体" w:cs="Times New Roman"/>
          <w:b w:val="0"/>
          <w:bCs w:val="0"/>
          <w:sz w:val="24"/>
          <w:szCs w:val="24"/>
          <w:lang w:val="en-US" w:eastAsia="zh-CN"/>
        </w:rPr>
        <w:t>、办公室、原料仓库、成品仓库等</w:t>
      </w:r>
      <w:r>
        <w:rPr>
          <w:rFonts w:hint="eastAsia" w:ascii="Times New Roman" w:hAnsi="Times New Roman" w:eastAsia="宋体" w:cs="Times New Roman"/>
          <w:color w:val="auto"/>
          <w:sz w:val="24"/>
          <w:szCs w:val="24"/>
          <w:highlight w:val="none"/>
          <w:lang w:val="en-US" w:eastAsia="zh-CN"/>
        </w:rPr>
        <w:t>主体工程，同</w:t>
      </w:r>
      <w:r>
        <w:rPr>
          <w:rFonts w:hint="eastAsia" w:ascii="Times New Roman" w:hAnsi="Times New Roman" w:eastAsia="宋体" w:cs="Times New Roman"/>
          <w:b w:val="0"/>
          <w:bCs w:val="0"/>
          <w:sz w:val="24"/>
          <w:szCs w:val="24"/>
          <w:lang w:val="en-US" w:eastAsia="zh-CN"/>
        </w:rPr>
        <w:t>时配套建设活性炭吸附装置</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b w:val="0"/>
          <w:bCs w:val="0"/>
          <w:sz w:val="24"/>
          <w:szCs w:val="24"/>
          <w:lang w:val="en-US" w:eastAsia="zh-CN"/>
        </w:rPr>
        <w:t>化粪池</w:t>
      </w:r>
      <w:r>
        <w:rPr>
          <w:rFonts w:hint="eastAsia" w:ascii="Times New Roman" w:hAnsi="Times New Roman" w:eastAsia="宋体" w:cs="Times New Roman"/>
          <w:color w:val="auto"/>
          <w:sz w:val="24"/>
          <w:szCs w:val="24"/>
          <w:highlight w:val="none"/>
          <w:lang w:val="en-US" w:eastAsia="zh-CN"/>
        </w:rPr>
        <w:t>等环保设施。</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w:t>
      </w:r>
      <w:r>
        <w:rPr>
          <w:rFonts w:hint="eastAsia" w:ascii="宋体" w:hAnsi="宋体"/>
          <w:sz w:val="24"/>
          <w:szCs w:val="24"/>
          <w:lang w:eastAsia="zh-CN"/>
        </w:rPr>
        <w:t>你单位在没有报批</w:t>
      </w:r>
      <w:r>
        <w:rPr>
          <w:rFonts w:hint="eastAsia" w:ascii="宋体" w:hAnsi="宋体"/>
          <w:sz w:val="24"/>
          <w:szCs w:val="24"/>
        </w:rPr>
        <w:t>环评</w:t>
      </w:r>
      <w:r>
        <w:rPr>
          <w:rFonts w:hint="eastAsia" w:ascii="宋体" w:hAnsi="宋体"/>
          <w:sz w:val="24"/>
          <w:szCs w:val="24"/>
          <w:lang w:eastAsia="zh-CN"/>
        </w:rPr>
        <w:t>文件的情况下擅自动工建设并投入生产，</w:t>
      </w:r>
      <w:r>
        <w:rPr>
          <w:rFonts w:hint="eastAsia" w:ascii="宋体" w:hAnsi="宋体"/>
          <w:sz w:val="24"/>
          <w:szCs w:val="24"/>
        </w:rPr>
        <w:t>我局已对此予以了查处</w:t>
      </w:r>
      <w:r>
        <w:rPr>
          <w:rFonts w:hint="eastAsia"/>
          <w:sz w:val="28"/>
          <w:szCs w:val="28"/>
        </w:rPr>
        <w:t>。</w:t>
      </w:r>
      <w:r>
        <w:rPr>
          <w:rFonts w:hint="eastAsia" w:ascii="Times New Roman" w:hAnsi="Times New Roman" w:eastAsia="宋体" w:cs="Times New Roman"/>
          <w:color w:val="auto"/>
          <w:sz w:val="24"/>
          <w:szCs w:val="24"/>
          <w:highlight w:val="none"/>
          <w:lang w:val="en-US" w:eastAsia="zh-CN"/>
        </w:rPr>
        <w:t>根据湖南智盛翰海环保科技有限公司编制的建设项目环境影响报告表的分析结论</w:t>
      </w:r>
      <w:r>
        <w:rPr>
          <w:rFonts w:hint="eastAsia" w:ascii="Times New Roman" w:hAnsi="Times New Roman" w:eastAsia="宋体" w:cs="Times New Roman"/>
          <w:color w:val="auto"/>
          <w:sz w:val="24"/>
          <w:szCs w:val="24"/>
          <w:highlight w:val="none"/>
          <w:lang w:val="en-US" w:eastAsia="zh-CN"/>
        </w:rPr>
        <w:t>和邵东市人民政府常务会议纪要（</w:t>
      </w:r>
      <w:r>
        <w:rPr>
          <w:rFonts w:hint="default" w:ascii="Times New Roman" w:hAnsi="Times New Roman" w:cs="Times New Roman"/>
          <w:b w:val="0"/>
          <w:bCs w:val="0"/>
          <w:sz w:val="24"/>
          <w:szCs w:val="24"/>
          <w:lang w:val="en-US" w:eastAsia="zh-CN"/>
        </w:rPr>
        <w:t>[</w:t>
      </w:r>
      <w:r>
        <w:rPr>
          <w:rFonts w:hint="eastAsia" w:ascii="Times New Roman" w:hAnsi="Times New Roman" w:eastAsia="宋体" w:cs="Times New Roman"/>
          <w:color w:val="auto"/>
          <w:sz w:val="24"/>
          <w:szCs w:val="24"/>
          <w:highlight w:val="none"/>
          <w:lang w:val="en-US" w:eastAsia="zh-CN"/>
        </w:rPr>
        <w:t>2020</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第20次）精神</w:t>
      </w:r>
      <w:r>
        <w:rPr>
          <w:rFonts w:hint="eastAsia" w:ascii="Times New Roman" w:hAnsi="Times New Roman" w:eastAsia="宋体" w:cs="Times New Roman"/>
          <w:color w:val="auto"/>
          <w:sz w:val="24"/>
          <w:szCs w:val="24"/>
          <w:highlight w:val="none"/>
          <w:lang w:val="en-US" w:eastAsia="zh-CN"/>
        </w:rPr>
        <w:t>，在你单位认真落实环评报告表提出的环保措施，确保外排污染物达标的前提下，从环境保护的角度，同意你单位按照报告表确定的地点、规模、工艺、污染防治措施实施该项目。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1、控制废水污染物排放。</w:t>
      </w:r>
      <w:r>
        <w:rPr>
          <w:rFonts w:hint="eastAsia" w:ascii="宋体" w:hAnsi="宋体" w:eastAsia="宋体" w:cs="宋体"/>
          <w:color w:val="auto"/>
          <w:sz w:val="24"/>
          <w:szCs w:val="24"/>
          <w:lang w:val="en-US" w:eastAsia="zh-CN"/>
        </w:rPr>
        <w:t>生活污水经化粪池处理后由周边农户清运，</w:t>
      </w:r>
      <w:r>
        <w:rPr>
          <w:rFonts w:ascii="Times New Roman" w:hAnsi="Times New Roman"/>
          <w:sz w:val="24"/>
          <w:szCs w:val="24"/>
        </w:rPr>
        <w:t>用作农肥</w:t>
      </w:r>
      <w:r>
        <w:rPr>
          <w:rFonts w:hint="eastAsia" w:ascii="Times New Roman" w:hAnsi="Times New Roman"/>
          <w:sz w:val="24"/>
          <w:szCs w:val="24"/>
          <w:lang w:eastAsia="zh-CN"/>
        </w:rPr>
        <w:t>；冷却水循环使用，</w:t>
      </w:r>
      <w:r>
        <w:rPr>
          <w:rFonts w:ascii="Times New Roman" w:hAnsi="Times New Roman"/>
          <w:sz w:val="24"/>
          <w:szCs w:val="24"/>
        </w:rPr>
        <w:t>不外排</w:t>
      </w:r>
      <w:r>
        <w:rPr>
          <w:rFonts w:hint="eastAsia" w:ascii="宋体" w:hAnsi="宋体" w:eastAsia="宋体" w:cs="宋体"/>
          <w:color w:val="auto"/>
          <w:sz w:val="24"/>
          <w:szCs w:val="24"/>
          <w:lang w:val="en-US" w:eastAsia="zh-CN"/>
        </w:rPr>
        <w:t>。</w:t>
      </w:r>
    </w:p>
    <w:p>
      <w:pPr>
        <w:keepNext w:val="0"/>
        <w:keepLines w:val="0"/>
        <w:pageBreakBefore w:val="0"/>
        <w:numPr>
          <w:numId w:val="0"/>
        </w:numPr>
        <w:kinsoku/>
        <w:wordWrap/>
        <w:overflowPunct/>
        <w:topLinePunct w:val="0"/>
        <w:autoSpaceDE/>
        <w:autoSpaceDN/>
        <w:bidi w:val="0"/>
        <w:adjustRightInd/>
        <w:snapToGrid/>
        <w:spacing w:line="480" w:lineRule="exact"/>
        <w:ind w:firstLine="420" w:firstLineChars="0"/>
        <w:jc w:val="lef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eastAsia="宋体" w:cs="Times New Roman"/>
          <w:color w:val="auto"/>
          <w:sz w:val="24"/>
          <w:szCs w:val="24"/>
          <w:highlight w:val="none"/>
          <w:lang w:val="en-US" w:eastAsia="zh-CN"/>
        </w:rPr>
        <w:t>2、强化废气污染防治。上料搅拌工序粉尘通过加强车间通风、设备封闭的措施后无组织排放，外排颗粒物须满足</w:t>
      </w:r>
      <w:r>
        <w:rPr>
          <w:rFonts w:hint="default" w:ascii="Times New Roman" w:hAnsi="Times New Roman" w:eastAsia="宋体" w:cs="Times New Roman"/>
          <w:kern w:val="24"/>
          <w:sz w:val="24"/>
          <w:szCs w:val="24"/>
          <w:lang w:val="en-US" w:eastAsia="zh-CN"/>
        </w:rPr>
        <w:t>《</w:t>
      </w:r>
      <w:r>
        <w:rPr>
          <w:rFonts w:hint="eastAsia" w:ascii="Times New Roman" w:hAnsi="Times New Roman" w:eastAsia="宋体" w:cs="Times New Roman"/>
          <w:kern w:val="24"/>
          <w:sz w:val="24"/>
          <w:szCs w:val="24"/>
          <w:lang w:val="en-US" w:eastAsia="zh-CN"/>
        </w:rPr>
        <w:t>合成树脂工业污染物排放标准</w:t>
      </w:r>
      <w:r>
        <w:rPr>
          <w:rFonts w:hint="default" w:ascii="Times New Roman" w:hAnsi="Times New Roman" w:eastAsia="宋体" w:cs="Times New Roman"/>
          <w:kern w:val="24"/>
          <w:sz w:val="24"/>
          <w:szCs w:val="24"/>
          <w:lang w:val="en-US" w:eastAsia="zh-CN"/>
        </w:rPr>
        <w:t>》</w:t>
      </w:r>
      <w:r>
        <w:rPr>
          <w:rFonts w:hint="eastAsia" w:ascii="Times New Roman" w:hAnsi="Times New Roman" w:eastAsia="宋体" w:cs="Times New Roman"/>
          <w:kern w:val="24"/>
          <w:sz w:val="24"/>
          <w:szCs w:val="24"/>
          <w:lang w:val="en-US" w:eastAsia="zh-CN"/>
        </w:rPr>
        <w:t>（GB31572-2015）表9浓度限值要求；</w:t>
      </w:r>
      <w:r>
        <w:rPr>
          <w:rFonts w:hint="eastAsia" w:ascii="Times New Roman" w:hAnsi="Times New Roman" w:eastAsia="宋体" w:cs="Times New Roman"/>
          <w:kern w:val="24"/>
          <w:sz w:val="24"/>
          <w:szCs w:val="24"/>
          <w:lang w:val="en-US" w:eastAsia="zh-CN"/>
        </w:rPr>
        <w:t>塑化</w:t>
      </w:r>
      <w:r>
        <w:rPr>
          <w:rFonts w:hint="default" w:ascii="Times New Roman" w:hAnsi="Times New Roman" w:eastAsia="宋体" w:cs="Times New Roman"/>
          <w:kern w:val="24"/>
          <w:sz w:val="24"/>
          <w:szCs w:val="24"/>
          <w:lang w:val="en-US" w:eastAsia="zh-CN"/>
        </w:rPr>
        <w:t>、发泡、挤出和复合工序</w:t>
      </w:r>
      <w:r>
        <w:rPr>
          <w:rFonts w:hint="eastAsia" w:ascii="Times New Roman" w:hAnsi="Times New Roman" w:eastAsia="宋体" w:cs="Times New Roman"/>
          <w:kern w:val="24"/>
          <w:sz w:val="24"/>
          <w:szCs w:val="24"/>
          <w:lang w:val="en-US" w:eastAsia="zh-CN"/>
        </w:rPr>
        <w:t>废气经“</w:t>
      </w:r>
      <w:r>
        <w:rPr>
          <w:rFonts w:hint="default" w:ascii="Times New Roman" w:hAnsi="Times New Roman" w:eastAsia="宋体" w:cs="Times New Roman"/>
          <w:kern w:val="24"/>
          <w:sz w:val="24"/>
          <w:szCs w:val="24"/>
          <w:lang w:val="en-US" w:eastAsia="zh-CN"/>
        </w:rPr>
        <w:t>集气罩+</w:t>
      </w:r>
      <w:r>
        <w:rPr>
          <w:rFonts w:hint="eastAsia" w:ascii="Times New Roman" w:hAnsi="Times New Roman" w:eastAsia="宋体" w:cs="Times New Roman"/>
          <w:kern w:val="24"/>
          <w:sz w:val="24"/>
          <w:szCs w:val="24"/>
          <w:lang w:val="en-US" w:eastAsia="zh-CN"/>
        </w:rPr>
        <w:t>UV光解+活性炭吸附装置”</w:t>
      </w:r>
      <w:r>
        <w:rPr>
          <w:rFonts w:hint="eastAsia" w:ascii="Times New Roman" w:hAnsi="Times New Roman" w:eastAsia="宋体" w:cs="Times New Roman"/>
          <w:b w:val="0"/>
          <w:bCs w:val="0"/>
          <w:sz w:val="24"/>
          <w:szCs w:val="24"/>
          <w:lang w:val="en-US" w:eastAsia="zh-CN"/>
        </w:rPr>
        <w:t>处理后通过15米高的排气筒排放，外排非甲烷总烃须达到</w:t>
      </w:r>
      <w:r>
        <w:rPr>
          <w:rFonts w:hint="default" w:ascii="Times New Roman" w:hAnsi="Times New Roman" w:eastAsia="宋体" w:cs="Times New Roman"/>
          <w:kern w:val="24"/>
          <w:sz w:val="24"/>
          <w:szCs w:val="24"/>
          <w:lang w:val="en-US" w:eastAsia="zh-CN"/>
        </w:rPr>
        <w:t>《</w:t>
      </w:r>
      <w:r>
        <w:rPr>
          <w:rFonts w:hint="eastAsia" w:ascii="Times New Roman" w:hAnsi="Times New Roman" w:eastAsia="宋体" w:cs="Times New Roman"/>
          <w:kern w:val="24"/>
          <w:sz w:val="24"/>
          <w:szCs w:val="24"/>
          <w:lang w:val="en-US" w:eastAsia="zh-CN"/>
        </w:rPr>
        <w:t>合成树脂工业污染物排放标准</w:t>
      </w:r>
      <w:r>
        <w:rPr>
          <w:rFonts w:hint="default" w:ascii="Times New Roman" w:hAnsi="Times New Roman" w:eastAsia="宋体" w:cs="Times New Roman"/>
          <w:kern w:val="24"/>
          <w:sz w:val="24"/>
          <w:szCs w:val="24"/>
          <w:lang w:val="en-US" w:eastAsia="zh-CN"/>
        </w:rPr>
        <w:t>》</w:t>
      </w:r>
      <w:r>
        <w:rPr>
          <w:rFonts w:hint="eastAsia" w:ascii="Times New Roman" w:hAnsi="Times New Roman" w:eastAsia="宋体" w:cs="Times New Roman"/>
          <w:kern w:val="24"/>
          <w:sz w:val="24"/>
          <w:szCs w:val="24"/>
          <w:lang w:val="en-US" w:eastAsia="zh-CN"/>
        </w:rPr>
        <w:t>（GB31572-2015）表4 标准，</w:t>
      </w:r>
      <w:r>
        <w:rPr>
          <w:rFonts w:hint="eastAsia" w:ascii="Times New Roman" w:hAnsi="Times New Roman" w:eastAsia="宋体" w:cs="Times New Roman"/>
          <w:b w:val="0"/>
          <w:bCs w:val="0"/>
          <w:sz w:val="24"/>
          <w:szCs w:val="24"/>
          <w:lang w:val="en-US" w:eastAsia="zh-CN"/>
        </w:rPr>
        <w:t>未经收集的有机废气采取密闭生产车间、加强管理的措施，外排非甲烷总烃须达到</w:t>
      </w:r>
      <w:r>
        <w:rPr>
          <w:rFonts w:hint="default" w:ascii="Times New Roman" w:hAnsi="Times New Roman" w:eastAsia="宋体" w:cs="Times New Roman"/>
          <w:kern w:val="24"/>
          <w:sz w:val="24"/>
          <w:szCs w:val="24"/>
          <w:lang w:val="en-US" w:eastAsia="zh-CN"/>
        </w:rPr>
        <w:t>《</w:t>
      </w:r>
      <w:r>
        <w:rPr>
          <w:rFonts w:hint="eastAsia" w:ascii="Times New Roman" w:hAnsi="Times New Roman" w:eastAsia="宋体" w:cs="Times New Roman"/>
          <w:kern w:val="24"/>
          <w:sz w:val="24"/>
          <w:szCs w:val="24"/>
          <w:lang w:val="en-US" w:eastAsia="zh-CN"/>
        </w:rPr>
        <w:t>合成树脂工业污染物排放标准</w:t>
      </w:r>
      <w:r>
        <w:rPr>
          <w:rFonts w:hint="default" w:ascii="Times New Roman" w:hAnsi="Times New Roman" w:eastAsia="宋体" w:cs="Times New Roman"/>
          <w:kern w:val="24"/>
          <w:sz w:val="24"/>
          <w:szCs w:val="24"/>
          <w:lang w:val="en-US" w:eastAsia="zh-CN"/>
        </w:rPr>
        <w:t>》</w:t>
      </w:r>
      <w:r>
        <w:rPr>
          <w:rFonts w:hint="eastAsia" w:ascii="Times New Roman" w:hAnsi="Times New Roman" w:eastAsia="宋体" w:cs="Times New Roman"/>
          <w:kern w:val="24"/>
          <w:sz w:val="24"/>
          <w:szCs w:val="24"/>
          <w:lang w:val="en-US" w:eastAsia="zh-CN"/>
        </w:rPr>
        <w:t>（GB31572-2015）表9浓度限值要求</w:t>
      </w:r>
      <w:r>
        <w:rPr>
          <w:rFonts w:hint="eastAsia" w:ascii="Times New Roman" w:hAnsi="Times New Roman"/>
          <w:snapToGrid w:val="0"/>
          <w:color w:val="000000"/>
          <w:sz w:val="24"/>
          <w:u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3、加强噪声控制管理。选用先进的低噪声设备，对高噪声设备采取减振、消音、</w:t>
      </w:r>
      <w:r>
        <w:rPr>
          <w:rFonts w:hint="eastAsia" w:ascii="Times New Roman" w:hAnsi="Times New Roman" w:eastAsia="宋体" w:cs="Times New Roman"/>
          <w:color w:val="000000"/>
          <w:sz w:val="24"/>
          <w:szCs w:val="24"/>
          <w:lang w:val="en-US" w:eastAsia="zh-CN"/>
        </w:rPr>
        <w:t>隔声等措施，确保厂界噪声达到《工业企业厂界环境噪声排放标准》（GB12348-2008）2类标准。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4、妥善处置固体废物。按照“减量化、资源化、无害化”原则妥善处置固体废物。废包装袋、下脚料</w:t>
      </w:r>
      <w:r>
        <w:rPr>
          <w:rFonts w:hint="default" w:ascii="Times New Roman" w:hAnsi="Times New Roman" w:cs="Times New Roman"/>
          <w:kern w:val="0"/>
          <w:sz w:val="24"/>
          <w:lang w:eastAsia="zh-CN"/>
        </w:rPr>
        <w:t>收集</w:t>
      </w:r>
      <w:r>
        <w:rPr>
          <w:rFonts w:hint="eastAsia" w:ascii="Times New Roman" w:hAnsi="Times New Roman" w:cs="Times New Roman"/>
          <w:kern w:val="0"/>
          <w:sz w:val="24"/>
          <w:lang w:eastAsia="zh-CN"/>
        </w:rPr>
        <w:t>于一般固体废物间，定期</w:t>
      </w:r>
      <w:r>
        <w:rPr>
          <w:rFonts w:hint="default" w:ascii="Times New Roman" w:hAnsi="Times New Roman" w:cs="Times New Roman"/>
          <w:kern w:val="0"/>
          <w:sz w:val="24"/>
          <w:lang w:eastAsia="zh-CN"/>
        </w:rPr>
        <w:t>外售</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00"/>
          <w:sz w:val="24"/>
          <w:szCs w:val="24"/>
          <w:lang w:val="en-US" w:eastAsia="zh-CN"/>
        </w:rPr>
        <w:t>生活垃圾统一收集后交由环卫部门处理；废活性炭、废UV灯管</w:t>
      </w:r>
      <w:r>
        <w:rPr>
          <w:rFonts w:hint="eastAsia" w:ascii="Times New Roman" w:hAnsi="Times New Roman" w:eastAsia="宋体" w:cs="Times New Roman"/>
          <w:color w:val="000000"/>
          <w:sz w:val="24"/>
          <w:szCs w:val="24"/>
          <w:lang w:val="en-US" w:eastAsia="zh-CN"/>
        </w:rPr>
        <w:t>收集于危废暂存间，定期交由有资质的单位处理，危废暂存间须满足《危险废物贮存污染控制标准》（GB18597-2001）及其修改单要求。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eastAsia="宋体" w:cs="Times New Roman"/>
          <w:color w:val="000000"/>
          <w:sz w:val="24"/>
          <w:szCs w:val="24"/>
          <w:lang w:val="en-US" w:eastAsia="zh-CN"/>
        </w:rPr>
        <w:t>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ind w:firstLine="480" w:firstLineChars="200"/>
        <w:jc w:val="left"/>
        <w:rPr>
          <w:rFonts w:hint="eastAsia"/>
          <w:sz w:val="24"/>
          <w:szCs w:val="24"/>
        </w:rPr>
      </w:pPr>
      <w:r>
        <w:rPr>
          <w:rFonts w:hint="eastAsia" w:ascii="Times New Roman" w:hAnsi="Times New Roman" w:eastAsia="宋体" w:cs="Times New Roman"/>
          <w:color w:val="000000"/>
          <w:sz w:val="24"/>
          <w:szCs w:val="24"/>
          <w:lang w:val="en-US" w:eastAsia="zh-CN"/>
        </w:rPr>
        <w:t>三、</w:t>
      </w:r>
      <w:r>
        <w:rPr>
          <w:rFonts w:hint="eastAsia"/>
          <w:sz w:val="24"/>
          <w:szCs w:val="24"/>
          <w:lang w:eastAsia="zh-CN"/>
        </w:rPr>
        <w:t>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10</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22</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p>
    <w:p/>
    <w:p/>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pPr>
      <w:r>
        <w:rPr>
          <w:rFonts w:hint="eastAsia" w:ascii="Times New Roman" w:hAnsi="Times New Roman" w:eastAsia="宋体" w:cs="Times New Roman"/>
          <w:color w:val="000000"/>
          <w:sz w:val="24"/>
          <w:szCs w:val="24"/>
          <w:lang w:val="en-US" w:eastAsia="zh-CN"/>
        </w:rPr>
        <w:t>抄送：牛马司</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Times New Roman" w:hAnsi="Times New Roman" w:eastAsia="宋体" w:cs="Times New Roman"/>
          <w:color w:val="auto"/>
          <w:sz w:val="24"/>
          <w:szCs w:val="24"/>
          <w:highlight w:val="none"/>
          <w:lang w:val="en-US" w:eastAsia="zh-CN"/>
        </w:rPr>
        <w:t>湖南智盛翰海环保科技有限公司</w:t>
      </w:r>
      <w:r>
        <w:rPr>
          <w:rFonts w:hint="eastAsia" w:ascii="Times New Roman" w:hAnsi="Times New Roman" w:eastAsia="宋体" w:cs="Times New Roman"/>
          <w:b w:val="0"/>
          <w:bCs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783DA"/>
    <w:multiLevelType w:val="singleLevel"/>
    <w:tmpl w:val="69C783D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B013C"/>
    <w:rsid w:val="169561F6"/>
    <w:rsid w:val="292B013C"/>
    <w:rsid w:val="6BED58A4"/>
    <w:rsid w:val="7B8F5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0" w:after="20"/>
      <w:jc w:val="left"/>
      <w:outlineLvl w:val="2"/>
    </w:pPr>
    <w:rPr>
      <w:rFonts w:ascii="Calibri" w:hAnsi="Calibri"/>
      <w:b/>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snapToGrid w:val="0"/>
      <w:spacing w:before="60" w:after="160" w:line="259" w:lineRule="auto"/>
      <w:ind w:right="113"/>
    </w:pPr>
    <w:rPr>
      <w:kern w:val="0"/>
      <w:sz w:val="18"/>
      <w:szCs w:val="20"/>
    </w:rPr>
  </w:style>
  <w:style w:type="paragraph" w:customStyle="1" w:styleId="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2021-10-11T05:20:00Z</dcterms:created>
  <dc:creator>演示人</dc:creator>
  <cp:lastModifiedBy>演示人</cp:lastModifiedBy>
  <cp:lastPrinted>2021-10-11T07:09:08Z</cp:lastPrinted>
  <dcterms:modified xsi:type="dcterms:W3CDTF">2021-10-11T07:24:18Z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BC021DC0D9B548D2A1E4149CC65D75FA</vt:lpwstr>
  </property>
</Properties>
</file>