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77号</w:t>
      </w:r>
      <w:r>
        <w:rPr>
          <w:rFonts w:hint="default" w:ascii="Times New Roman" w:hAnsi="Times New Roman" w:cs="Times New Roman"/>
          <w:b/>
          <w:bCs/>
          <w:sz w:val="24"/>
          <w:szCs w:val="24"/>
          <w:lang w:val="en-US" w:eastAsia="zh-CN"/>
        </w:rPr>
        <w:t xml:space="preserve"> </w:t>
      </w:r>
    </w:p>
    <w:p>
      <w:pPr>
        <w:adjustRightInd w:val="0"/>
        <w:snapToGrid w:val="0"/>
        <w:spacing w:line="288"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关于湖南小铁牛智造科技有限公司年产300万把梅花扳手建设项目环境影响报告表的批复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cs="Times New Roman"/>
          <w:sz w:val="24"/>
          <w:lang w:val="en-US" w:eastAsia="zh-CN"/>
        </w:rPr>
        <w:t>湖南小铁牛智造科技有限公司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你单位报送的《</w:t>
      </w:r>
      <w:r>
        <w:rPr>
          <w:rFonts w:hint="eastAsia" w:ascii="Times New Roman" w:hAnsi="Times New Roman" w:cs="Times New Roman"/>
          <w:sz w:val="24"/>
          <w:lang w:val="en-US" w:eastAsia="zh-CN"/>
        </w:rPr>
        <w:t>湖南小铁牛智造科技有限公司年产300万把梅花扳手建设项目环境影响报告表</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以及项目申请批复的报告</w:t>
      </w:r>
      <w:r>
        <w:rPr>
          <w:rFonts w:hint="default" w:ascii="Times New Roman" w:hAnsi="Times New Roman" w:cs="Times New Roman"/>
          <w:sz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cs="Times New Roman"/>
          <w:sz w:val="24"/>
          <w:lang w:val="en-US" w:eastAsia="zh-CN"/>
        </w:rPr>
        <w:t>一、</w:t>
      </w:r>
      <w:r>
        <w:rPr>
          <w:rFonts w:hint="default" w:ascii="Times New Roman" w:hAnsi="Times New Roman" w:cs="Times New Roman"/>
          <w:sz w:val="24"/>
          <w:lang w:val="en-US" w:eastAsia="zh-CN"/>
        </w:rPr>
        <w:t>你单位投资</w:t>
      </w:r>
      <w:r>
        <w:rPr>
          <w:rFonts w:hint="eastAsia" w:ascii="Times New Roman" w:hAnsi="Times New Roman" w:cs="Times New Roman"/>
          <w:sz w:val="24"/>
          <w:lang w:val="en-US" w:eastAsia="zh-CN"/>
        </w:rPr>
        <w:t>20</w:t>
      </w:r>
      <w:r>
        <w:rPr>
          <w:rFonts w:hint="default" w:ascii="Times New Roman" w:hAnsi="Times New Roman" w:cs="Times New Roman"/>
          <w:sz w:val="24"/>
        </w:rPr>
        <w:t>0</w:t>
      </w:r>
      <w:r>
        <w:rPr>
          <w:rFonts w:hint="default" w:ascii="Times New Roman" w:hAnsi="Times New Roman" w:cs="Times New Roman"/>
          <w:sz w:val="24"/>
          <w:lang w:val="en-US" w:eastAsia="zh-CN"/>
        </w:rPr>
        <w:t>万元</w:t>
      </w:r>
      <w:r>
        <w:rPr>
          <w:rFonts w:hint="eastAsia"/>
          <w:sz w:val="24"/>
          <w:lang w:val="en-US" w:eastAsia="zh-CN"/>
        </w:rPr>
        <w:t>在湖南省（自治区）邵阳市</w:t>
      </w:r>
      <w:bookmarkStart w:id="0" w:name="_GoBack"/>
      <w:bookmarkEnd w:id="0"/>
      <w:r>
        <w:rPr>
          <w:rFonts w:hint="eastAsia"/>
          <w:sz w:val="24"/>
          <w:lang w:val="en-US" w:eastAsia="zh-CN"/>
        </w:rPr>
        <w:t>邵东市五金工业园租赁扬武五金工具厂房（E111°42′57.467″， N27°10′27.225″）建设</w:t>
      </w:r>
      <w:r>
        <w:rPr>
          <w:rFonts w:hint="default"/>
          <w:sz w:val="24"/>
          <w:lang w:val="en-US" w:eastAsia="zh-CN"/>
        </w:rPr>
        <w:t>年</w:t>
      </w:r>
      <w:r>
        <w:rPr>
          <w:rFonts w:hint="eastAsia"/>
          <w:sz w:val="24"/>
          <w:lang w:val="en-US" w:eastAsia="zh-CN"/>
        </w:rPr>
        <w:t>产</w:t>
      </w:r>
      <w:r>
        <w:rPr>
          <w:rFonts w:hint="eastAsia" w:ascii="Times New Roman" w:hAnsi="Times New Roman" w:cs="Times New Roman"/>
          <w:sz w:val="24"/>
          <w:lang w:val="en-US" w:eastAsia="zh-CN"/>
        </w:rPr>
        <w:t>300万把梅花扳手</w:t>
      </w:r>
      <w:r>
        <w:rPr>
          <w:rFonts w:hint="eastAsia" w:ascii="Times New Roman" w:hAnsi="Times New Roman" w:eastAsia="宋体" w:cs="Times New Roman"/>
          <w:b w:val="0"/>
          <w:bCs w:val="0"/>
          <w:sz w:val="24"/>
          <w:szCs w:val="24"/>
          <w:lang w:val="en-US" w:eastAsia="zh-CN"/>
        </w:rPr>
        <w:t>项目</w:t>
      </w:r>
      <w:r>
        <w:rPr>
          <w:rFonts w:hint="eastAsia"/>
          <w:sz w:val="24"/>
          <w:lang w:eastAsia="zh-CN"/>
        </w:rPr>
        <w:t>，</w:t>
      </w:r>
      <w:r>
        <w:rPr>
          <w:rFonts w:hint="eastAsia" w:ascii="Times New Roman" w:hAnsi="Times New Roman" w:eastAsia="宋体" w:cs="Times New Roman"/>
          <w:color w:val="auto"/>
          <w:sz w:val="24"/>
          <w:szCs w:val="24"/>
          <w:highlight w:val="none"/>
          <w:lang w:val="en-US" w:eastAsia="zh-CN"/>
        </w:rPr>
        <w:t>主要建设内</w:t>
      </w:r>
      <w:r>
        <w:rPr>
          <w:rFonts w:hint="eastAsia" w:ascii="Times New Roman" w:hAnsi="Times New Roman" w:eastAsia="宋体" w:cs="Times New Roman"/>
          <w:b w:val="0"/>
          <w:bCs w:val="0"/>
          <w:sz w:val="24"/>
          <w:szCs w:val="24"/>
          <w:lang w:val="en-US" w:eastAsia="zh-CN"/>
        </w:rPr>
        <w:t>容包括生产车间、原料</w:t>
      </w:r>
      <w:r>
        <w:rPr>
          <w:rFonts w:hint="eastAsia" w:ascii="Times New Roman" w:hAnsi="Times New Roman" w:eastAsia="宋体" w:cs="Times New Roman"/>
          <w:b w:val="0"/>
          <w:bCs w:val="0"/>
          <w:sz w:val="24"/>
          <w:szCs w:val="24"/>
          <w:u w:val="none"/>
          <w:lang w:val="en-US" w:eastAsia="zh-CN"/>
        </w:rPr>
        <w:t>仓库、成品仓库</w:t>
      </w:r>
      <w:r>
        <w:rPr>
          <w:rFonts w:hint="eastAsia" w:ascii="Times New Roman" w:hAnsi="Times New Roman"/>
          <w:sz w:val="24"/>
          <w:u w:val="none"/>
          <w:lang w:eastAsia="zh-CN"/>
        </w:rPr>
        <w:t>、办公区等</w:t>
      </w:r>
      <w:r>
        <w:rPr>
          <w:rFonts w:hint="eastAsia" w:ascii="Times New Roman" w:hAnsi="Times New Roman" w:eastAsia="宋体" w:cs="Times New Roman"/>
          <w:b w:val="0"/>
          <w:bCs w:val="0"/>
          <w:sz w:val="24"/>
          <w:szCs w:val="24"/>
          <w:lang w:val="en-US" w:eastAsia="zh-CN"/>
        </w:rPr>
        <w:t>主体</w:t>
      </w:r>
      <w:r>
        <w:rPr>
          <w:rFonts w:hint="eastAsia" w:ascii="Times New Roman" w:hAnsi="Times New Roman" w:eastAsia="宋体" w:cs="Times New Roman"/>
          <w:color w:val="auto"/>
          <w:sz w:val="24"/>
          <w:szCs w:val="24"/>
          <w:highlight w:val="none"/>
          <w:lang w:val="en-US" w:eastAsia="zh-CN"/>
        </w:rPr>
        <w:t>工程，同时</w:t>
      </w:r>
      <w:r>
        <w:rPr>
          <w:rFonts w:hint="eastAsia" w:ascii="Times New Roman" w:hAnsi="Times New Roman" w:eastAsia="宋体" w:cs="Times New Roman"/>
          <w:b w:val="0"/>
          <w:bCs w:val="0"/>
          <w:sz w:val="24"/>
          <w:szCs w:val="24"/>
          <w:lang w:val="en-US" w:eastAsia="zh-CN"/>
        </w:rPr>
        <w:t>配套建设水喷淋装置、化粪池等环保设施。根据国家发展改革委第29号令《产业结构调整指导目录（2019年本）》，该项目符合国家产业政策要求。根据湖南应画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宋体" w:hAnsi="宋体" w:eastAsia="宋体" w:cs="宋体"/>
          <w:sz w:val="24"/>
          <w:szCs w:val="24"/>
          <w:lang w:eastAsia="zh-CN"/>
        </w:rPr>
        <w:t>。</w:t>
      </w:r>
      <w:r>
        <w:rPr>
          <w:sz w:val="24"/>
        </w:rPr>
        <w:t>生活污水</w:t>
      </w:r>
      <w:r>
        <w:rPr>
          <w:rFonts w:hint="eastAsia"/>
          <w:sz w:val="24"/>
          <w:lang w:eastAsia="zh-CN"/>
        </w:rPr>
        <w:t>经</w:t>
      </w:r>
      <w:r>
        <w:rPr>
          <w:rFonts w:hint="eastAsia"/>
          <w:sz w:val="24"/>
        </w:rPr>
        <w:t>化粪池</w:t>
      </w:r>
      <w:r>
        <w:rPr>
          <w:rFonts w:hint="eastAsia"/>
          <w:sz w:val="24"/>
          <w:lang w:eastAsia="zh-CN"/>
        </w:rPr>
        <w:t>预</w:t>
      </w:r>
      <w:r>
        <w:rPr>
          <w:rFonts w:hint="eastAsia" w:hAnsi="宋体"/>
          <w:sz w:val="24"/>
        </w:rPr>
        <w:t>处理</w:t>
      </w:r>
      <w:r>
        <w:rPr>
          <w:rFonts w:hint="eastAsia" w:hAnsi="宋体"/>
          <w:sz w:val="24"/>
          <w:lang w:eastAsia="zh-CN"/>
        </w:rPr>
        <w:t>后</w:t>
      </w:r>
      <w:r>
        <w:rPr>
          <w:rFonts w:hint="eastAsia" w:ascii="宋体" w:hAnsi="宋体" w:eastAsia="宋体" w:cs="宋体"/>
          <w:color w:val="auto"/>
          <w:sz w:val="24"/>
          <w:szCs w:val="24"/>
          <w:lang w:val="en-US" w:eastAsia="zh-CN"/>
        </w:rPr>
        <w:t>排入园区管网，入网污水须达到《污水综合排放标准》（GB8978-1996）及《污水排入城镇下水</w:t>
      </w:r>
      <w:r>
        <w:rPr>
          <w:rFonts w:hint="eastAsia" w:ascii="Times New Roman" w:hAnsi="Times New Roman" w:eastAsia="宋体" w:cs="Times New Roman"/>
          <w:color w:val="auto"/>
          <w:sz w:val="24"/>
          <w:szCs w:val="24"/>
          <w:highlight w:val="none"/>
          <w:lang w:val="en-US" w:eastAsia="zh-CN"/>
        </w:rPr>
        <w:t>道水质标准》（GB/T31962-2015）；研磨废水经隔油沉淀池处理后循环使用，不外排；冷却水循环使用，不外排。</w:t>
      </w:r>
    </w:p>
    <w:p>
      <w:pPr>
        <w:spacing w:line="480" w:lineRule="exact"/>
        <w:ind w:firstLine="480" w:firstLineChars="200"/>
        <w:rPr>
          <w:rFonts w:hint="eastAsia" w:ascii="Times New Roman" w:hAnsi="Times New Roman" w:cs="Times New Roman" w:eastAsiaTheme="minorEastAsia"/>
          <w:sz w:val="24"/>
          <w:lang w:eastAsia="zh-CN"/>
        </w:rPr>
      </w:pPr>
      <w:r>
        <w:rPr>
          <w:rFonts w:hint="eastAsia" w:ascii="Times New Roman" w:hAnsi="Times New Roman" w:eastAsia="宋体" w:cs="Times New Roman"/>
          <w:color w:val="auto"/>
          <w:sz w:val="24"/>
          <w:szCs w:val="24"/>
          <w:highlight w:val="none"/>
          <w:lang w:val="en-US" w:eastAsia="zh-CN"/>
        </w:rPr>
        <w:t>2、强化废气污染防治。高频淬火工序烟尘经水喷淋装置处理后无组织排放，外排颗粒物须达到《工业炉窑大气污染物排放标准》（GB9078-1996）；磨具修复打磨工序粉尘采取封闭设备、加强通风的措施处理后无组织排放，外排颗粒物须满足</w:t>
      </w:r>
      <w:r>
        <w:rPr>
          <w:rFonts w:ascii="Times New Roman" w:hAnsi="Times New Roman"/>
          <w:color w:val="auto"/>
          <w:sz w:val="24"/>
        </w:rPr>
        <w:t>《大气污染物综合排放标准》（GB16297-1996）</w:t>
      </w:r>
      <w:r>
        <w:rPr>
          <w:rFonts w:hint="eastAsia" w:ascii="Times New Roman" w:hAnsi="Times New Roman"/>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3、加强噪声控制管理。选用先进的低噪声设备，对高噪声设备采取减振、消音、隔声等措施，确保厂界噪声达到《工业企业厂界环境噪声排放标准》（GB12348-2008）3类标准。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体废物。</w:t>
      </w:r>
      <w:r>
        <w:rPr>
          <w:rFonts w:hint="default" w:ascii="Times New Roman" w:hAnsi="Times New Roman" w:eastAsia="宋体" w:cs="Times New Roman"/>
          <w:color w:val="000000"/>
          <w:sz w:val="24"/>
          <w:szCs w:val="24"/>
          <w:lang w:val="en-US" w:eastAsia="zh-CN"/>
        </w:rPr>
        <w:t>废</w:t>
      </w:r>
      <w:r>
        <w:rPr>
          <w:rFonts w:hint="eastAsia" w:ascii="Times New Roman" w:hAnsi="Times New Roman" w:eastAsia="宋体" w:cs="Times New Roman"/>
          <w:color w:val="000000"/>
          <w:sz w:val="24"/>
          <w:szCs w:val="24"/>
          <w:lang w:val="en-US" w:eastAsia="zh-CN"/>
        </w:rPr>
        <w:t>金属边角料、不合格产品、废石头、废磨具</w:t>
      </w:r>
      <w:r>
        <w:rPr>
          <w:rFonts w:hint="default" w:ascii="Times New Roman" w:hAnsi="Times New Roman" w:eastAsia="宋体" w:cs="Times New Roman"/>
          <w:color w:val="000000"/>
          <w:sz w:val="24"/>
          <w:szCs w:val="24"/>
          <w:lang w:val="en-US" w:eastAsia="zh-CN"/>
        </w:rPr>
        <w:t>收集后</w:t>
      </w:r>
      <w:r>
        <w:rPr>
          <w:rFonts w:hint="eastAsia" w:ascii="Times New Roman" w:hAnsi="Times New Roman" w:eastAsia="宋体" w:cs="Times New Roman"/>
          <w:color w:val="000000"/>
          <w:sz w:val="24"/>
          <w:szCs w:val="24"/>
          <w:lang w:val="en-US" w:eastAsia="zh-CN"/>
        </w:rPr>
        <w:t>定期外售；生活垃圾集中收集后交由环卫部门统一清运填埋；废润滑油、</w:t>
      </w:r>
      <w:r>
        <w:rPr>
          <w:rFonts w:hint="default" w:ascii="Times New Roman" w:hAnsi="Times New Roman" w:eastAsia="宋体" w:cs="Times New Roman"/>
          <w:color w:val="000000"/>
          <w:sz w:val="24"/>
          <w:szCs w:val="24"/>
          <w:lang w:val="en-US" w:eastAsia="zh-CN"/>
        </w:rPr>
        <w:t>废</w:t>
      </w:r>
      <w:r>
        <w:rPr>
          <w:rFonts w:hint="eastAsia" w:ascii="Times New Roman" w:hAnsi="Times New Roman" w:eastAsia="宋体" w:cs="Times New Roman"/>
          <w:color w:val="000000"/>
          <w:sz w:val="24"/>
          <w:szCs w:val="24"/>
          <w:lang w:val="en-US" w:eastAsia="zh-CN"/>
        </w:rPr>
        <w:t>液压油、废油泥、</w:t>
      </w:r>
      <w:r>
        <w:rPr>
          <w:rFonts w:hint="default" w:ascii="Times New Roman" w:hAnsi="Times New Roman" w:eastAsia="宋体" w:cs="Times New Roman"/>
          <w:color w:val="000000"/>
          <w:sz w:val="24"/>
          <w:szCs w:val="24"/>
          <w:lang w:val="en-US" w:eastAsia="zh-CN"/>
        </w:rPr>
        <w:t>废</w:t>
      </w:r>
      <w:r>
        <w:rPr>
          <w:rFonts w:hint="eastAsia" w:ascii="Times New Roman" w:hAnsi="Times New Roman" w:eastAsia="宋体" w:cs="Times New Roman"/>
          <w:color w:val="000000"/>
          <w:sz w:val="24"/>
          <w:szCs w:val="24"/>
          <w:lang w:val="en-US" w:eastAsia="zh-CN"/>
        </w:rPr>
        <w:t>液压油桶、废润滑油桶、含油废手套收集于危废暂存间，定期交由有资质的单位处理，危废暂存间须满足《危险废物贮存污染控制标准》（GB18597-2001）及其修改单要求。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5、加强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w:t>
      </w:r>
      <w:r>
        <w:rPr>
          <w:rFonts w:hint="eastAsia" w:ascii="Times New Roman" w:hAnsi="Times New Roman" w:eastAsia="宋体" w:cs="Times New Roman"/>
          <w:color w:val="000000"/>
          <w:sz w:val="24"/>
          <w:szCs w:val="24"/>
          <w:lang w:val="en-US" w:eastAsia="zh-CN"/>
        </w:rPr>
        <w:t>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三、项目建成后，在启动生产设施或实际排污之前须申请排污许可证或完成排污许可信息登记。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10月29</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抄送：仙槎桥</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人民政府  湖南应画环保科技有限公司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F1018"/>
    <w:rsid w:val="056C342A"/>
    <w:rsid w:val="0B0F1018"/>
    <w:rsid w:val="103E59AF"/>
    <w:rsid w:val="24BC562F"/>
    <w:rsid w:val="321723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2021-10-18T02:09:00Z</dcterms:created>
  <dc:creator>演示人</dc:creator>
  <cp:lastModifiedBy>演示人</cp:lastModifiedBy>
  <cp:lastPrinted>2021-10-18T03:12:00Z</cp:lastPrinted>
  <dcterms:modified xsi:type="dcterms:W3CDTF">2021-10-29T01:46:28Z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BABFE522B8874C92871C11AE55149682</vt:lpwstr>
  </property>
</Properties>
</file>