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71号</w:t>
      </w:r>
      <w:r>
        <w:rPr>
          <w:rFonts w:hint="default" w:ascii="Times New Roman" w:hAnsi="Times New Roman"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1600" w:hanging="1807" w:hangingChars="500"/>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关于邵东市羊牯老一号油茶有限公司茶籽油生产线</w:t>
      </w:r>
    </w:p>
    <w:p>
      <w:pPr>
        <w:keepNext w:val="0"/>
        <w:keepLines w:val="0"/>
        <w:pageBreakBefore w:val="0"/>
        <w:widowControl w:val="0"/>
        <w:kinsoku/>
        <w:wordWrap/>
        <w:overflowPunct/>
        <w:topLinePunct w:val="0"/>
        <w:autoSpaceDE/>
        <w:autoSpaceDN/>
        <w:bidi w:val="0"/>
        <w:adjustRightInd w:val="0"/>
        <w:snapToGrid w:val="0"/>
        <w:spacing w:line="360" w:lineRule="auto"/>
        <w:ind w:left="1600" w:hanging="1807" w:hangingChars="5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改建项目环境影响报告表的批复</w:t>
      </w:r>
    </w:p>
    <w:p>
      <w:pPr>
        <w:keepNext w:val="0"/>
        <w:keepLines w:val="0"/>
        <w:pageBreakBefore w:val="0"/>
        <w:widowControl w:val="0"/>
        <w:kinsoku/>
        <w:wordWrap/>
        <w:overflowPunct/>
        <w:topLinePunct w:val="0"/>
        <w:autoSpaceDE/>
        <w:autoSpaceDN/>
        <w:bidi w:val="0"/>
        <w:adjustRightInd w:val="0"/>
        <w:snapToGrid w:val="0"/>
        <w:spacing w:line="360" w:lineRule="auto"/>
        <w:ind w:left="1600" w:hanging="1807" w:hangingChars="500"/>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1600" w:hanging="1200" w:hangingChars="5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邵东市羊牯老一号油茶有限公司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邵东市羊牯老一号油茶有限公司茶籽油生产线改建项目环境影响报告表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400</w:t>
      </w:r>
      <w:r>
        <w:rPr>
          <w:rFonts w:hint="default" w:ascii="Times New Roman" w:hAnsi="Times New Roman" w:eastAsia="宋体" w:cs="Times New Roman"/>
          <w:b w:val="0"/>
          <w:bCs w:val="0"/>
          <w:sz w:val="24"/>
          <w:szCs w:val="24"/>
          <w:lang w:val="en-US" w:eastAsia="zh-CN"/>
        </w:rPr>
        <w:t>万元</w:t>
      </w:r>
      <w:r>
        <w:rPr>
          <w:rFonts w:hint="eastAsia" w:ascii="Times New Roman" w:hAnsi="Times New Roman" w:eastAsia="宋体" w:cs="Times New Roman"/>
          <w:b w:val="0"/>
          <w:bCs w:val="0"/>
          <w:sz w:val="24"/>
          <w:szCs w:val="24"/>
          <w:lang w:val="en-US" w:eastAsia="zh-CN"/>
        </w:rPr>
        <w:t>在</w:t>
      </w:r>
      <w:r>
        <w:rPr>
          <w:rFonts w:hint="eastAsia" w:hAnsi="宋体" w:cs="宋体"/>
          <w:color w:val="auto"/>
          <w:sz w:val="24"/>
        </w:rPr>
        <w:t>湖南省</w:t>
      </w:r>
      <w:r>
        <w:rPr>
          <w:rFonts w:hint="eastAsia" w:hAnsi="宋体" w:cs="宋体"/>
          <w:color w:val="auto"/>
          <w:sz w:val="24"/>
          <w:lang w:eastAsia="zh-CN"/>
        </w:rPr>
        <w:t>邵阳市邵东市九龙镇黄草坪</w:t>
      </w:r>
      <w:r>
        <w:rPr>
          <w:rFonts w:hint="eastAsia" w:hAnsi="宋体" w:cs="宋体"/>
          <w:color w:val="auto"/>
          <w:sz w:val="24"/>
          <w:lang w:val="en-US" w:eastAsia="zh-CN"/>
        </w:rPr>
        <w:t>村</w:t>
      </w:r>
      <w:r>
        <w:rPr>
          <w:rFonts w:hint="eastAsia"/>
          <w:sz w:val="24"/>
          <w:u w:val="none"/>
          <w:lang w:eastAsia="zh-CN"/>
        </w:rPr>
        <w:t>（</w:t>
      </w:r>
      <w:r>
        <w:rPr>
          <w:rFonts w:hint="eastAsia"/>
          <w:sz w:val="24"/>
          <w:u w:val="none"/>
          <w:lang w:val="en-US" w:eastAsia="zh-CN"/>
        </w:rPr>
        <w:t>E</w:t>
      </w:r>
      <w:r>
        <w:rPr>
          <w:rFonts w:hint="eastAsia"/>
          <w:sz w:val="24"/>
          <w:u w:val="none"/>
        </w:rPr>
        <w:t>111</w:t>
      </w:r>
      <w:r>
        <w:rPr>
          <w:rFonts w:hint="eastAsia" w:ascii="微软雅黑" w:hAnsi="微软雅黑" w:eastAsia="微软雅黑" w:cs="微软雅黑"/>
          <w:sz w:val="24"/>
          <w:u w:val="none"/>
        </w:rPr>
        <w:t>°</w:t>
      </w:r>
      <w:r>
        <w:rPr>
          <w:rFonts w:hint="eastAsia"/>
          <w:sz w:val="24"/>
          <w:u w:val="none"/>
          <w:lang w:val="en-US" w:eastAsia="zh-CN"/>
        </w:rPr>
        <w:t>35</w:t>
      </w:r>
      <w:r>
        <w:rPr>
          <w:rFonts w:hint="eastAsia"/>
          <w:sz w:val="24"/>
          <w:u w:val="none"/>
        </w:rPr>
        <w:t>′</w:t>
      </w:r>
      <w:r>
        <w:rPr>
          <w:rFonts w:hint="eastAsia" w:ascii="Times New Roman" w:hAnsi="Times New Roman" w:cs="Times New Roman"/>
          <w:color w:val="auto"/>
          <w:sz w:val="24"/>
          <w:lang w:val="en-US" w:eastAsia="zh-CN"/>
        </w:rPr>
        <w:t>31.943</w:t>
      </w:r>
      <w:r>
        <w:rPr>
          <w:rFonts w:hint="eastAsia"/>
          <w:sz w:val="24"/>
          <w:u w:val="none"/>
        </w:rPr>
        <w:t xml:space="preserve">″， </w:t>
      </w:r>
      <w:r>
        <w:rPr>
          <w:rFonts w:hint="eastAsia"/>
          <w:sz w:val="24"/>
          <w:u w:val="none"/>
          <w:lang w:val="en-US" w:eastAsia="zh-CN"/>
        </w:rPr>
        <w:t>N</w:t>
      </w:r>
      <w:r>
        <w:rPr>
          <w:rFonts w:hint="eastAsia"/>
          <w:sz w:val="24"/>
          <w:u w:val="none"/>
        </w:rPr>
        <w:t>27°</w:t>
      </w:r>
      <w:r>
        <w:rPr>
          <w:rFonts w:hint="eastAsia"/>
          <w:sz w:val="24"/>
          <w:u w:val="none"/>
          <w:lang w:val="en-US" w:eastAsia="zh-CN"/>
        </w:rPr>
        <w:t>6</w:t>
      </w:r>
      <w:r>
        <w:rPr>
          <w:rFonts w:hint="eastAsia"/>
          <w:sz w:val="24"/>
          <w:u w:val="none"/>
        </w:rPr>
        <w:t>′</w:t>
      </w:r>
      <w:r>
        <w:rPr>
          <w:rFonts w:hint="eastAsia" w:ascii="Times New Roman" w:hAnsi="Times New Roman" w:cs="Times New Roman"/>
          <w:color w:val="auto"/>
          <w:sz w:val="24"/>
          <w:lang w:val="en-US" w:eastAsia="zh-CN"/>
        </w:rPr>
        <w:t>40.315</w:t>
      </w:r>
      <w:r>
        <w:rPr>
          <w:rFonts w:hint="eastAsia"/>
          <w:sz w:val="24"/>
          <w:u w:val="none"/>
        </w:rPr>
        <w:t>″</w:t>
      </w:r>
      <w:r>
        <w:rPr>
          <w:sz w:val="24"/>
        </w:rPr>
        <w:t>）</w:t>
      </w:r>
      <w:r>
        <w:rPr>
          <w:rFonts w:hint="eastAsia"/>
          <w:sz w:val="24"/>
          <w:lang w:val="en-US" w:eastAsia="zh-CN"/>
        </w:rPr>
        <w:t>建设</w:t>
      </w:r>
      <w:r>
        <w:rPr>
          <w:rFonts w:hint="eastAsia" w:ascii="Times New Roman" w:hAnsi="Times New Roman" w:eastAsia="宋体" w:cs="Times New Roman"/>
          <w:b w:val="0"/>
          <w:bCs w:val="0"/>
          <w:sz w:val="24"/>
          <w:szCs w:val="24"/>
          <w:lang w:val="en-US" w:eastAsia="zh-CN"/>
        </w:rPr>
        <w:t>茶籽油生产线改造</w:t>
      </w:r>
      <w:r>
        <w:rPr>
          <w:rFonts w:hint="eastAsia"/>
          <w:color w:val="auto"/>
          <w:sz w:val="24"/>
          <w:lang w:val="en-US" w:eastAsia="zh-CN"/>
        </w:rPr>
        <w:t>项目</w:t>
      </w:r>
      <w:r>
        <w:rPr>
          <w:rFonts w:hint="eastAsia"/>
          <w:color w:val="auto"/>
          <w:sz w:val="24"/>
          <w:lang w:eastAsia="zh-CN"/>
        </w:rPr>
        <w:t>，</w:t>
      </w:r>
      <w:r>
        <w:rPr>
          <w:rFonts w:hint="eastAsia"/>
          <w:color w:val="auto"/>
          <w:sz w:val="24"/>
          <w:lang w:val="en-US" w:eastAsia="zh-CN"/>
        </w:rPr>
        <w:t>主要建设内容是</w:t>
      </w:r>
      <w:r>
        <w:rPr>
          <w:rFonts w:hint="eastAsia" w:ascii="Times New Roman" w:eastAsia="宋体"/>
          <w:color w:val="auto"/>
          <w:sz w:val="24"/>
          <w:szCs w:val="24"/>
          <w:highlight w:val="none"/>
          <w:lang w:val="en-US" w:eastAsia="zh-CN"/>
        </w:rPr>
        <w:t>将</w:t>
      </w:r>
      <w:r>
        <w:rPr>
          <w:rFonts w:hint="eastAsia" w:ascii="Times New Roman" w:eastAsia="宋体"/>
          <w:color w:val="auto"/>
          <w:sz w:val="24"/>
          <w:szCs w:val="24"/>
          <w:highlight w:val="none"/>
          <w:lang w:eastAsia="zh-CN"/>
        </w:rPr>
        <w:t>原有的土法榨油生产线全部拆除，</w:t>
      </w:r>
      <w:r>
        <w:rPr>
          <w:rFonts w:hint="eastAsia" w:ascii="Times New Roman" w:eastAsia="宋体"/>
          <w:color w:val="auto"/>
          <w:sz w:val="24"/>
          <w:szCs w:val="24"/>
          <w:highlight w:val="none"/>
          <w:lang w:val="en-US" w:eastAsia="zh-CN"/>
        </w:rPr>
        <w:t>利用原有生产车间</w:t>
      </w:r>
      <w:r>
        <w:rPr>
          <w:rFonts w:hint="eastAsia" w:ascii="Times New Roman" w:eastAsia="宋体"/>
          <w:color w:val="auto"/>
          <w:sz w:val="24"/>
          <w:szCs w:val="24"/>
          <w:highlight w:val="none"/>
          <w:lang w:eastAsia="zh-CN"/>
        </w:rPr>
        <w:t>重新建设一条茶籽油全自动生产线</w:t>
      </w:r>
      <w:r>
        <w:rPr>
          <w:rFonts w:hint="eastAsia" w:ascii="Times New Roman" w:hAnsi="Times New Roman" w:eastAsia="宋体" w:cs="Times New Roman"/>
          <w:color w:val="auto"/>
          <w:sz w:val="24"/>
          <w:szCs w:val="24"/>
          <w:highlight w:val="none"/>
          <w:lang w:val="en-US" w:eastAsia="zh-CN"/>
        </w:rPr>
        <w:t>，同时</w:t>
      </w:r>
      <w:r>
        <w:rPr>
          <w:rFonts w:hint="eastAsia" w:ascii="Times New Roman" w:hAnsi="Times New Roman" w:eastAsia="宋体" w:cs="Times New Roman"/>
          <w:b w:val="0"/>
          <w:bCs w:val="0"/>
          <w:sz w:val="24"/>
          <w:szCs w:val="24"/>
          <w:lang w:val="en-US" w:eastAsia="zh-CN"/>
        </w:rPr>
        <w:t>配套建设除尘器、隔油池等环保设施。根据国家发展改革委第29号令《产业结构调整指导目录（2019年本）》，该项目符合国家产业政策要求。根据湖南鑫时予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hAnsi="宋体" w:eastAsia="宋体"/>
          <w:sz w:val="24"/>
          <w:lang w:val="en-US" w:eastAsia="zh-CN"/>
        </w:rPr>
      </w:pPr>
      <w:r>
        <w:rPr>
          <w:rFonts w:hint="eastAsia" w:ascii="Times New Roman" w:hAnsi="Times New Roman" w:eastAsia="宋体" w:cs="Times New Roman"/>
          <w:color w:val="auto"/>
          <w:sz w:val="24"/>
          <w:szCs w:val="24"/>
          <w:highlight w:val="none"/>
          <w:lang w:val="en-US" w:eastAsia="zh-CN"/>
        </w:rPr>
        <w:t>1、控制废水污染物排放。脱胶、脱酸和脱臭等工序的精炼废水、设备清洗废水和地面拖洗废水经隔油池处置后与生活污水一起排入化粪池，处理后须达到《农田灌溉水质标准》（GB5048-2021）旱作标准，回用于油茶农场的灌溉。</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color w:val="auto"/>
          <w:sz w:val="24"/>
          <w:szCs w:val="24"/>
          <w:highlight w:val="none"/>
          <w:lang w:val="en-US" w:eastAsia="zh-CN"/>
        </w:rPr>
        <w:t>2、强化废气污染防治。</w:t>
      </w:r>
      <w:r>
        <w:rPr>
          <w:rFonts w:hint="eastAsia" w:ascii="Times New Roman" w:hAnsi="Times New Roman" w:eastAsia="宋体" w:cs="Times New Roman"/>
          <w:b w:val="0"/>
          <w:bCs w:val="0"/>
          <w:sz w:val="24"/>
          <w:szCs w:val="24"/>
          <w:lang w:val="en-US" w:eastAsia="zh-CN"/>
        </w:rPr>
        <w:t>清理除杂、脱壳粉尘经“集气罩+袋式除尘器”处理后无组织排放，外排颗粒物须达到《大气污染物综合排放标准》（GB16297-1996）表2中无组织排放监控浓度限值；蒸炒、压榨、过滤、脱水、脱色工序中产生的异味和压榨、精制车间油品挥发产生的香味采取加强厂区通风的措施，外排臭气浓度须满足《恶臭污染物排放标准》（GB14554-93）中二级标准，外排VOCS须达到《工业企业挥发性有机物排放标准》（DB12/524-2014）表2其他行业标准限值要求；锅炉燃烧废气（燃料为液化石油气）经集气罩收集后通过23米高的排气筒排放，外排污染物须达到《锅炉大气污染物排放标准》（GB13271-2014）中的燃气锅炉污染浓度排放限值。</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3、加强噪声控制管理。选用先进的低噪声设备，对高噪声设备采取减振、消音、隔声等措施，确保厂界噪声达到《工业企业厂界环境噪声排放标准》（GB12348-2008）1类标准。</w:t>
      </w:r>
    </w:p>
    <w:p>
      <w:pPr>
        <w:keepNext w:val="0"/>
        <w:keepLines w:val="0"/>
        <w:pageBreakBefore w:val="0"/>
        <w:widowControl w:val="0"/>
        <w:kinsoku/>
        <w:wordWrap/>
        <w:overflowPunct/>
        <w:topLinePunct w:val="0"/>
        <w:autoSpaceDE w:val="0"/>
        <w:autoSpaceDN w:val="0"/>
        <w:bidi w:val="0"/>
        <w:adjustRightInd w:val="0"/>
        <w:spacing w:line="480" w:lineRule="exact"/>
        <w:ind w:firstLine="420" w:firstLineChars="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4、妥善处置固体废物。按照“减量化、资源化、无害化”原则妥善处置固</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体废物。茶籽壳、除尘器收集粉尘、磷脂、皂角、茶粕、蜡脂收集于一般固废暂存间定期外售；隔油池油渣、废导热油收集于危废暂存间，定期交与有资质的单位处理，危废暂存间须满足《危险废物贮存污染控制标准》（GB18597-2001）及其修改单要求；生活垃圾、清理除杂产生粉尘和石子、废白土、废活性炭、废包装材料统一收集后交由环卫部门统一清运。</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w:t>
      </w:r>
      <w:bookmarkStart w:id="0" w:name="_GoBack"/>
      <w:bookmarkEnd w:id="0"/>
      <w:r>
        <w:rPr>
          <w:rFonts w:hint="eastAsia" w:ascii="Times New Roman" w:hAnsi="Times New Roman" w:eastAsia="宋体" w:cs="Times New Roman"/>
          <w:b w:val="0"/>
          <w:bCs w:val="0"/>
          <w:sz w:val="24"/>
          <w:szCs w:val="24"/>
          <w:lang w:val="en-US" w:eastAsia="zh-CN"/>
        </w:rPr>
        <w:t>加强企业环境管理</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三、项目建成后，在启动生产设施或实际排污之前须申请排污许可证或完成排污许可信息登记。</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四、按规定办理项目竣工环境保护验收手续，经验收合格后方可投入运营。</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09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24</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抄送：九龙岭</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ascii="Times New Roman" w:hAnsi="Times New Roman" w:eastAsia="宋体" w:cs="Times New Roman"/>
          <w:b w:val="0"/>
          <w:bCs w:val="0"/>
          <w:sz w:val="24"/>
          <w:szCs w:val="24"/>
          <w:lang w:val="en-US" w:eastAsia="zh-CN"/>
        </w:rPr>
        <w:t>湖南鑫时予环保科技有限公司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4450B"/>
    <w:rsid w:val="03530626"/>
    <w:rsid w:val="134E1F03"/>
    <w:rsid w:val="4992282D"/>
    <w:rsid w:val="57442433"/>
    <w:rsid w:val="725E40B5"/>
    <w:rsid w:val="73783E31"/>
    <w:rsid w:val="73A02E7D"/>
    <w:rsid w:val="7E27056A"/>
    <w:rsid w:val="7FF44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basedOn w:val="6"/>
    <w:next w:val="1"/>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customStyle="1" w:styleId="6">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2021-09-13T03:34:00Z</dcterms:created>
  <dc:creator>幸运草</dc:creator>
  <cp:lastModifiedBy>幸运草</cp:lastModifiedBy>
  <dcterms:modified xsi:type="dcterms:W3CDTF">2021-09-15T03:53:10Z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AB8E1794179045F58C9A53537DC4DD35</vt:lpwstr>
  </property>
</Properties>
</file>