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sz w:val="36"/>
          <w:szCs w:val="36"/>
        </w:rPr>
      </w:pPr>
    </w:p>
    <w:p>
      <w:pPr>
        <w:rPr>
          <w:rFonts w:ascii="Times New Roman" w:hAnsi="Times New Roman" w:eastAsia="仿宋_GB2312"/>
          <w:sz w:val="36"/>
          <w:szCs w:val="36"/>
        </w:rPr>
      </w:pPr>
    </w:p>
    <w:p>
      <w:pPr>
        <w:rPr>
          <w:rFonts w:ascii="Times New Roman" w:hAnsi="Times New Roman" w:eastAsia="仿宋_GB2312"/>
          <w:sz w:val="36"/>
          <w:szCs w:val="36"/>
        </w:rPr>
      </w:pPr>
    </w:p>
    <w:p>
      <w:pPr>
        <w:rPr>
          <w:rFonts w:ascii="Times New Roman" w:hAnsi="Times New Roman" w:eastAsia="仿宋_GB2312"/>
          <w:sz w:val="36"/>
          <w:szCs w:val="36"/>
        </w:rPr>
      </w:pPr>
    </w:p>
    <w:p>
      <w:pPr>
        <w:rPr>
          <w:rFonts w:ascii="Times New Roman" w:hAnsi="Times New Roman" w:eastAsia="仿宋_GB2312"/>
          <w:sz w:val="36"/>
          <w:szCs w:val="36"/>
        </w:rPr>
      </w:pPr>
    </w:p>
    <w:p>
      <w:pPr>
        <w:adjustRightInd w:val="0"/>
        <w:snapToGrid w:val="0"/>
        <w:jc w:val="center"/>
        <w:rPr>
          <w:rFonts w:ascii="Times New Roman" w:hAnsi="Times New Roman" w:eastAsia="方正小标宋_GBK"/>
          <w:bCs/>
          <w:sz w:val="72"/>
          <w:szCs w:val="72"/>
        </w:rPr>
      </w:pPr>
      <w:r>
        <w:rPr>
          <w:rFonts w:ascii="Times New Roman" w:hAnsi="Times New Roman" w:eastAsia="方正小标宋_GBK"/>
          <w:bCs/>
          <w:sz w:val="72"/>
          <w:szCs w:val="72"/>
        </w:rPr>
        <w:t>建设项目环境影响报告表</w:t>
      </w:r>
    </w:p>
    <w:p>
      <w:pPr>
        <w:adjustRightInd w:val="0"/>
        <w:snapToGrid w:val="0"/>
        <w:spacing w:before="192" w:beforeLines="80"/>
        <w:jc w:val="center"/>
        <w:rPr>
          <w:rFonts w:ascii="Times New Roman" w:hAnsi="Times New Roman" w:eastAsia="楷体_GB2312"/>
          <w:bCs/>
          <w:sz w:val="48"/>
          <w:szCs w:val="48"/>
        </w:rPr>
      </w:pPr>
      <w:r>
        <w:rPr>
          <w:rFonts w:ascii="Times New Roman" w:hAnsi="Times New Roman" w:eastAsia="楷体_GB2312"/>
          <w:bCs/>
          <w:sz w:val="48"/>
          <w:szCs w:val="48"/>
        </w:rPr>
        <w:t>（污染影响类）</w:t>
      </w:r>
    </w:p>
    <w:p>
      <w:pPr>
        <w:adjustRightInd w:val="0"/>
        <w:snapToGrid w:val="0"/>
        <w:spacing w:line="288" w:lineRule="auto"/>
        <w:jc w:val="center"/>
        <w:rPr>
          <w:rFonts w:ascii="Times New Roman" w:hAnsi="Times New Roman" w:eastAsia="华文仿宋"/>
          <w:color w:val="000000"/>
          <w:kern w:val="44"/>
          <w:sz w:val="44"/>
          <w:szCs w:val="44"/>
        </w:rPr>
      </w:pPr>
      <w:r>
        <w:rPr>
          <w:rFonts w:hint="eastAsia" w:ascii="Times New Roman" w:hAnsi="Times New Roman" w:eastAsia="华文仿宋"/>
          <w:color w:val="000000"/>
          <w:kern w:val="44"/>
          <w:sz w:val="44"/>
          <w:szCs w:val="44"/>
        </w:rPr>
        <w:t>（报批稿）</w:t>
      </w:r>
    </w:p>
    <w:p>
      <w:pPr>
        <w:jc w:val="center"/>
        <w:rPr>
          <w:rFonts w:ascii="Times New Roman" w:hAnsi="Times New Roman" w:eastAsia="仿宋"/>
          <w:sz w:val="52"/>
          <w:szCs w:val="52"/>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adjustRightInd w:val="0"/>
        <w:snapToGrid w:val="0"/>
        <w:spacing w:line="288" w:lineRule="auto"/>
        <w:ind w:left="210" w:leftChars="100" w:firstLine="630" w:firstLineChars="175"/>
        <w:rPr>
          <w:rFonts w:eastAsia="仿宋_GB2312"/>
          <w:sz w:val="36"/>
          <w:szCs w:val="36"/>
          <w:u w:val="single"/>
        </w:rPr>
      </w:pPr>
      <w:bookmarkStart w:id="0" w:name="_Hlk57884087"/>
      <w:r>
        <w:rPr>
          <w:rFonts w:eastAsia="仿宋_GB2312"/>
          <w:sz w:val="36"/>
          <w:szCs w:val="36"/>
        </w:rPr>
        <w:t>项目名称：</w:t>
      </w:r>
      <w:r>
        <w:rPr>
          <w:rFonts w:eastAsia="仿宋_GB2312"/>
          <w:sz w:val="36"/>
          <w:szCs w:val="36"/>
          <w:u w:val="single"/>
        </w:rPr>
        <w:t>年</w:t>
      </w:r>
      <w:r>
        <w:rPr>
          <w:rFonts w:hint="eastAsia" w:eastAsia="仿宋_GB2312"/>
          <w:sz w:val="36"/>
          <w:szCs w:val="36"/>
          <w:u w:val="single"/>
        </w:rPr>
        <w:t>产</w:t>
      </w:r>
      <w:r>
        <w:rPr>
          <w:rFonts w:ascii="Times New Roman" w:hAnsi="Times New Roman" w:eastAsia="仿宋_GB2312"/>
          <w:sz w:val="36"/>
          <w:szCs w:val="36"/>
          <w:u w:val="single"/>
        </w:rPr>
        <w:t>100万</w:t>
      </w:r>
      <w:r>
        <w:rPr>
          <w:rFonts w:hint="eastAsia" w:eastAsia="仿宋_GB2312"/>
          <w:sz w:val="36"/>
          <w:szCs w:val="36"/>
          <w:u w:val="single"/>
        </w:rPr>
        <w:t>支两用扳手</w:t>
      </w:r>
      <w:r>
        <w:rPr>
          <w:rFonts w:eastAsia="仿宋_GB2312"/>
          <w:sz w:val="36"/>
          <w:szCs w:val="36"/>
          <w:u w:val="single"/>
        </w:rPr>
        <w:t>建设项目</w:t>
      </w:r>
    </w:p>
    <w:p>
      <w:pPr>
        <w:adjustRightInd w:val="0"/>
        <w:snapToGrid w:val="0"/>
        <w:spacing w:line="288" w:lineRule="auto"/>
        <w:ind w:left="210" w:leftChars="100" w:firstLine="630" w:firstLineChars="175"/>
        <w:rPr>
          <w:rFonts w:eastAsia="仿宋_GB2312"/>
          <w:sz w:val="36"/>
          <w:szCs w:val="36"/>
          <w:u w:val="single"/>
        </w:rPr>
      </w:pPr>
      <w:r>
        <w:rPr>
          <w:rFonts w:eastAsia="仿宋_GB2312"/>
          <w:sz w:val="36"/>
          <w:szCs w:val="36"/>
        </w:rPr>
        <w:t>建设单位（盖章）：</w:t>
      </w:r>
      <w:r>
        <w:rPr>
          <w:rFonts w:eastAsia="仿宋_GB2312"/>
          <w:snapToGrid w:val="0"/>
          <w:spacing w:val="-20"/>
          <w:kern w:val="0"/>
          <w:sz w:val="36"/>
          <w:szCs w:val="36"/>
          <w:u w:val="single"/>
        </w:rPr>
        <w:t>邵东</w:t>
      </w:r>
      <w:r>
        <w:rPr>
          <w:rFonts w:hint="eastAsia" w:eastAsia="仿宋_GB2312"/>
          <w:snapToGrid w:val="0"/>
          <w:spacing w:val="-20"/>
          <w:kern w:val="0"/>
          <w:sz w:val="36"/>
          <w:szCs w:val="36"/>
          <w:u w:val="single"/>
        </w:rPr>
        <w:t>县仙槎桥爱力狮五金工具厂</w:t>
      </w:r>
      <w:r>
        <w:rPr>
          <w:rFonts w:eastAsia="仿宋_GB2312"/>
          <w:snapToGrid w:val="0"/>
          <w:spacing w:val="-20"/>
          <w:kern w:val="0"/>
          <w:sz w:val="36"/>
          <w:szCs w:val="36"/>
          <w:u w:val="single"/>
        </w:rPr>
        <w:t xml:space="preserve"> </w:t>
      </w:r>
    </w:p>
    <w:p>
      <w:pPr>
        <w:adjustRightInd w:val="0"/>
        <w:snapToGrid w:val="0"/>
        <w:spacing w:line="288" w:lineRule="auto"/>
        <w:ind w:left="210" w:leftChars="100" w:firstLine="630" w:firstLineChars="175"/>
        <w:rPr>
          <w:rFonts w:eastAsia="仿宋_GB2312"/>
          <w:sz w:val="36"/>
          <w:szCs w:val="36"/>
          <w:u w:val="single"/>
        </w:rPr>
      </w:pPr>
      <w:r>
        <w:rPr>
          <w:rFonts w:eastAsia="仿宋_GB2312"/>
          <w:sz w:val="36"/>
          <w:szCs w:val="36"/>
        </w:rPr>
        <w:t>编制日期：</w:t>
      </w:r>
      <w:r>
        <w:rPr>
          <w:rFonts w:eastAsia="仿宋_GB2312"/>
          <w:sz w:val="36"/>
          <w:szCs w:val="36"/>
          <w:u w:val="single"/>
        </w:rPr>
        <w:t xml:space="preserve">        二零二一年</w:t>
      </w:r>
      <w:r>
        <w:rPr>
          <w:rFonts w:hint="eastAsia" w:eastAsia="仿宋_GB2312"/>
          <w:sz w:val="36"/>
          <w:szCs w:val="36"/>
          <w:u w:val="single"/>
        </w:rPr>
        <w:t>六月</w:t>
      </w:r>
      <w:r>
        <w:rPr>
          <w:rFonts w:eastAsia="仿宋_GB2312"/>
          <w:sz w:val="36"/>
          <w:szCs w:val="36"/>
          <w:u w:val="single"/>
        </w:rPr>
        <w:t xml:space="preserve">          </w:t>
      </w:r>
    </w:p>
    <w:p>
      <w:pPr>
        <w:adjustRightInd w:val="0"/>
        <w:snapToGrid w:val="0"/>
        <w:spacing w:line="288" w:lineRule="auto"/>
        <w:ind w:firstLine="1040"/>
        <w:rPr>
          <w:rFonts w:ascii="Times New Roman" w:hAnsi="Times New Roman" w:eastAsia="仿宋_GB2312"/>
          <w:sz w:val="36"/>
          <w:szCs w:val="36"/>
          <w:u w:val="single"/>
        </w:rPr>
      </w:pPr>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bookmarkEnd w:id="0"/>
    <w:p>
      <w:pPr>
        <w:adjustRightInd w:val="0"/>
        <w:snapToGrid w:val="0"/>
        <w:spacing w:line="288" w:lineRule="auto"/>
        <w:jc w:val="center"/>
        <w:rPr>
          <w:rFonts w:ascii="Times New Roman" w:hAnsi="Times New Roman" w:eastAsia="楷体_GB2312"/>
          <w:sz w:val="36"/>
          <w:szCs w:val="36"/>
        </w:rPr>
      </w:pPr>
      <w:r>
        <w:rPr>
          <w:rFonts w:ascii="Times New Roman" w:hAnsi="Times New Roman" w:eastAsia="楷体_GB2312"/>
          <w:sz w:val="36"/>
          <w:szCs w:val="36"/>
        </w:rPr>
        <w:t>中华人民共和国生态环境部制</w:t>
      </w:r>
    </w:p>
    <w:p>
      <w:pPr>
        <w:adjustRightInd w:val="0"/>
        <w:snapToGrid w:val="0"/>
        <w:spacing w:line="288" w:lineRule="auto"/>
        <w:rPr>
          <w:rFonts w:ascii="Times New Roman" w:hAnsi="Times New Roman"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drawing>
          <wp:inline distT="0" distB="0" distL="114300" distR="114300">
            <wp:extent cx="5613400" cy="7706360"/>
            <wp:effectExtent l="0" t="0" r="6350" b="889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5613400" cy="7706360"/>
                    </a:xfrm>
                    <a:prstGeom prst="rect">
                      <a:avLst/>
                    </a:prstGeom>
                    <a:noFill/>
                    <a:ln>
                      <a:noFill/>
                    </a:ln>
                  </pic:spPr>
                </pic:pic>
              </a:graphicData>
            </a:graphic>
          </wp:inline>
        </w:drawing>
      </w:r>
      <w:r>
        <w:drawing>
          <wp:inline distT="0" distB="0" distL="114300" distR="114300">
            <wp:extent cx="5612765" cy="7725410"/>
            <wp:effectExtent l="0" t="0" r="6985"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612765" cy="7725410"/>
                    </a:xfrm>
                    <a:prstGeom prst="rect">
                      <a:avLst/>
                    </a:prstGeom>
                    <a:noFill/>
                    <a:ln>
                      <a:noFill/>
                    </a:ln>
                  </pic:spPr>
                </pic:pic>
              </a:graphicData>
            </a:graphic>
          </wp:inline>
        </w:drawing>
      </w:r>
      <w:r>
        <w:drawing>
          <wp:inline distT="0" distB="0" distL="114300" distR="114300">
            <wp:extent cx="8122285" cy="5628640"/>
            <wp:effectExtent l="0" t="0" r="1016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rot="16200000">
                      <a:off x="0" y="0"/>
                      <a:ext cx="8122285" cy="5628640"/>
                    </a:xfrm>
                    <a:prstGeom prst="rect">
                      <a:avLst/>
                    </a:prstGeom>
                    <a:noFill/>
                    <a:ln>
                      <a:noFill/>
                    </a:ln>
                  </pic:spPr>
                </pic:pic>
              </a:graphicData>
            </a:graphic>
          </wp:inline>
        </w:drawing>
      </w:r>
      <w:r>
        <w:drawing>
          <wp:inline distT="0" distB="0" distL="114300" distR="114300">
            <wp:extent cx="8429625" cy="5505450"/>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rot="16200000">
                      <a:off x="0" y="0"/>
                      <a:ext cx="8429625" cy="5505450"/>
                    </a:xfrm>
                    <a:prstGeom prst="rect">
                      <a:avLst/>
                    </a:prstGeom>
                    <a:noFill/>
                    <a:ln>
                      <a:noFill/>
                    </a:ln>
                  </pic:spPr>
                </pic:pic>
              </a:graphicData>
            </a:graphic>
          </wp:inline>
        </w:drawing>
      </w:r>
      <w:r>
        <w:drawing>
          <wp:inline distT="0" distB="0" distL="114300" distR="114300">
            <wp:extent cx="7870190" cy="5576570"/>
            <wp:effectExtent l="0" t="0" r="5080" b="165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rot="16200000">
                      <a:off x="0" y="0"/>
                      <a:ext cx="7870190" cy="5576570"/>
                    </a:xfrm>
                    <a:prstGeom prst="rect">
                      <a:avLst/>
                    </a:prstGeom>
                    <a:noFill/>
                    <a:ln>
                      <a:noFill/>
                    </a:ln>
                  </pic:spPr>
                </pic:pic>
              </a:graphicData>
            </a:graphic>
          </wp:inline>
        </w:drawing>
      </w:r>
      <w:r>
        <w:drawing>
          <wp:inline distT="0" distB="0" distL="114300" distR="114300">
            <wp:extent cx="5610225" cy="7724775"/>
            <wp:effectExtent l="0" t="0" r="952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610225" cy="7724775"/>
                    </a:xfrm>
                    <a:prstGeom prst="rect">
                      <a:avLst/>
                    </a:prstGeom>
                    <a:noFill/>
                    <a:ln>
                      <a:noFill/>
                    </a:ln>
                  </pic:spPr>
                </pic:pic>
              </a:graphicData>
            </a:graphic>
          </wp:inline>
        </w:drawing>
      </w:r>
      <w:bookmarkStart w:id="11" w:name="_GoBack"/>
      <w:bookmarkEnd w:id="11"/>
    </w:p>
    <w:p>
      <w:pPr>
        <w:jc w:val="center"/>
        <w:rPr>
          <w:rFonts w:ascii="Times New Roman" w:hAnsi="Times New Roman"/>
          <w:b/>
          <w:bCs/>
          <w:sz w:val="28"/>
          <w:szCs w:val="36"/>
        </w:rPr>
      </w:pPr>
      <w:r>
        <w:rPr>
          <w:rFonts w:ascii="Times New Roman" w:hAnsi="Times New Roman"/>
          <w:b/>
          <w:bCs/>
          <w:sz w:val="28"/>
          <w:szCs w:val="36"/>
        </w:rPr>
        <w:t>年产100万支两用扳手建设项目环境影响报告</w:t>
      </w:r>
      <w:r>
        <w:rPr>
          <w:rFonts w:hint="eastAsia" w:ascii="Times New Roman" w:hAnsi="Times New Roman"/>
          <w:b/>
          <w:bCs/>
          <w:sz w:val="28"/>
          <w:szCs w:val="36"/>
        </w:rPr>
        <w:t>表</w:t>
      </w:r>
      <w:r>
        <w:rPr>
          <w:rFonts w:ascii="Times New Roman" w:hAnsi="Times New Roman"/>
          <w:b/>
          <w:bCs/>
          <w:sz w:val="28"/>
          <w:szCs w:val="36"/>
        </w:rPr>
        <w:t>修改清单</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741"/>
        <w:gridCol w:w="3803"/>
        <w:gridCol w:w="1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noWrap w:val="0"/>
            <w:vAlign w:val="center"/>
          </w:tcPr>
          <w:p>
            <w:pPr>
              <w:jc w:val="center"/>
              <w:rPr>
                <w:rFonts w:ascii="Times New Roman" w:hAnsi="Times New Roman"/>
                <w:b/>
                <w:bCs/>
                <w:szCs w:val="21"/>
              </w:rPr>
            </w:pPr>
            <w:r>
              <w:rPr>
                <w:rFonts w:ascii="Times New Roman" w:hAnsi="Times New Roman"/>
                <w:b/>
                <w:bCs/>
                <w:szCs w:val="21"/>
              </w:rPr>
              <w:t>序号</w:t>
            </w:r>
          </w:p>
        </w:tc>
        <w:tc>
          <w:tcPr>
            <w:tcW w:w="2065" w:type="pct"/>
            <w:noWrap w:val="0"/>
            <w:vAlign w:val="center"/>
          </w:tcPr>
          <w:p>
            <w:pPr>
              <w:jc w:val="center"/>
              <w:rPr>
                <w:rFonts w:ascii="Times New Roman" w:hAnsi="Times New Roman"/>
                <w:b/>
                <w:bCs/>
                <w:szCs w:val="21"/>
              </w:rPr>
            </w:pPr>
            <w:r>
              <w:rPr>
                <w:rFonts w:ascii="Times New Roman" w:hAnsi="Times New Roman"/>
                <w:b/>
                <w:bCs/>
                <w:szCs w:val="21"/>
              </w:rPr>
              <w:t>专家意见</w:t>
            </w:r>
          </w:p>
        </w:tc>
        <w:tc>
          <w:tcPr>
            <w:tcW w:w="2099" w:type="pct"/>
            <w:noWrap w:val="0"/>
            <w:vAlign w:val="center"/>
          </w:tcPr>
          <w:p>
            <w:pPr>
              <w:jc w:val="center"/>
              <w:rPr>
                <w:rFonts w:ascii="Times New Roman" w:hAnsi="Times New Roman"/>
                <w:b/>
                <w:bCs/>
                <w:szCs w:val="21"/>
              </w:rPr>
            </w:pPr>
            <w:r>
              <w:rPr>
                <w:rFonts w:ascii="Times New Roman" w:hAnsi="Times New Roman"/>
                <w:b/>
                <w:bCs/>
                <w:szCs w:val="21"/>
              </w:rPr>
              <w:t>修改内容</w:t>
            </w:r>
          </w:p>
        </w:tc>
        <w:tc>
          <w:tcPr>
            <w:tcW w:w="627" w:type="pct"/>
            <w:noWrap w:val="0"/>
            <w:vAlign w:val="center"/>
          </w:tcPr>
          <w:p>
            <w:pPr>
              <w:jc w:val="center"/>
              <w:rPr>
                <w:rFonts w:ascii="Times New Roman" w:hAnsi="Times New Roman"/>
                <w:b/>
                <w:bCs/>
                <w:szCs w:val="21"/>
              </w:rPr>
            </w:pPr>
            <w:r>
              <w:rPr>
                <w:rFonts w:ascii="Times New Roman" w:hAnsi="Times New Roman"/>
                <w:b/>
                <w:bCs/>
                <w:szCs w:val="21"/>
              </w:rPr>
              <w:t>页面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restart"/>
            <w:noWrap w:val="0"/>
            <w:vAlign w:val="center"/>
          </w:tcPr>
          <w:p>
            <w:pPr>
              <w:jc w:val="center"/>
              <w:rPr>
                <w:rFonts w:ascii="Times New Roman" w:hAnsi="Times New Roman"/>
                <w:szCs w:val="21"/>
              </w:rPr>
            </w:pPr>
            <w:r>
              <w:rPr>
                <w:rFonts w:ascii="Times New Roman" w:hAnsi="Times New Roman"/>
                <w:szCs w:val="21"/>
              </w:rPr>
              <w:t>1</w:t>
            </w:r>
          </w:p>
        </w:tc>
        <w:tc>
          <w:tcPr>
            <w:tcW w:w="2065" w:type="pct"/>
            <w:vMerge w:val="restart"/>
            <w:noWrap w:val="0"/>
            <w:vAlign w:val="center"/>
          </w:tcPr>
          <w:p>
            <w:pPr>
              <w:jc w:val="center"/>
              <w:rPr>
                <w:rFonts w:ascii="Times New Roman" w:hAnsi="Times New Roman"/>
                <w:szCs w:val="21"/>
              </w:rPr>
            </w:pPr>
            <w:r>
              <w:rPr>
                <w:rFonts w:ascii="Times New Roman" w:hAnsi="Times New Roman"/>
                <w:bCs/>
                <w:szCs w:val="21"/>
              </w:rPr>
              <w:t>核实项目建设内容，完善项目组成一览表。核实产品方案、设备情况、原辅材料一览表。核实平面布局、排水去向。核实项目总投资、环保投资。细化工程现有污染防治设施、存在的环境问题及整改措施。</w:t>
            </w:r>
          </w:p>
        </w:tc>
        <w:tc>
          <w:tcPr>
            <w:tcW w:w="2099" w:type="pct"/>
            <w:noWrap w:val="0"/>
            <w:vAlign w:val="center"/>
          </w:tcPr>
          <w:p>
            <w:pPr>
              <w:jc w:val="center"/>
              <w:rPr>
                <w:rFonts w:ascii="Times New Roman" w:hAnsi="Times New Roman"/>
                <w:szCs w:val="21"/>
              </w:rPr>
            </w:pPr>
            <w:r>
              <w:rPr>
                <w:rFonts w:ascii="Times New Roman" w:hAnsi="Times New Roman"/>
                <w:szCs w:val="21"/>
              </w:rPr>
              <w:t>已</w:t>
            </w:r>
            <w:r>
              <w:rPr>
                <w:rFonts w:hint="eastAsia" w:ascii="Times New Roman" w:hAnsi="Times New Roman"/>
                <w:szCs w:val="21"/>
              </w:rPr>
              <w:t>核实项目建设内容并完善项目组成一览表</w:t>
            </w:r>
            <w:r>
              <w:rPr>
                <w:rFonts w:ascii="Times New Roman" w:hAnsi="Times New Roman"/>
                <w:szCs w:val="21"/>
              </w:rPr>
              <w:t>。</w:t>
            </w:r>
          </w:p>
        </w:tc>
        <w:tc>
          <w:tcPr>
            <w:tcW w:w="627" w:type="pct"/>
            <w:noWrap w:val="0"/>
            <w:vAlign w:val="center"/>
          </w:tcPr>
          <w:p>
            <w:pPr>
              <w:jc w:val="center"/>
              <w:rPr>
                <w:rFonts w:ascii="Times New Roman" w:hAnsi="Times New Roman"/>
                <w:szCs w:val="21"/>
              </w:rPr>
            </w:pPr>
            <w:r>
              <w:rPr>
                <w:rFonts w:hint="eastAsia" w:ascii="Times New Roman" w:hAnsi="Times New Roman"/>
                <w:szCs w:val="21"/>
              </w:rPr>
              <w:t>P8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continue"/>
            <w:noWrap w:val="0"/>
            <w:vAlign w:val="center"/>
          </w:tcPr>
          <w:p>
            <w:pPr>
              <w:jc w:val="center"/>
              <w:rPr>
                <w:rFonts w:ascii="Times New Roman" w:hAnsi="Times New Roman"/>
                <w:szCs w:val="21"/>
              </w:rPr>
            </w:pPr>
          </w:p>
        </w:tc>
        <w:tc>
          <w:tcPr>
            <w:tcW w:w="2065" w:type="pct"/>
            <w:vMerge w:val="continue"/>
            <w:noWrap w:val="0"/>
            <w:vAlign w:val="center"/>
          </w:tcPr>
          <w:p>
            <w:pPr>
              <w:jc w:val="center"/>
              <w:rPr>
                <w:rFonts w:ascii="Times New Roman" w:hAnsi="Times New Roman"/>
                <w:szCs w:val="21"/>
              </w:rPr>
            </w:pPr>
          </w:p>
        </w:tc>
        <w:tc>
          <w:tcPr>
            <w:tcW w:w="2099" w:type="pct"/>
            <w:noWrap w:val="0"/>
            <w:vAlign w:val="center"/>
          </w:tcPr>
          <w:p>
            <w:pPr>
              <w:jc w:val="center"/>
              <w:rPr>
                <w:rFonts w:ascii="Times New Roman" w:hAnsi="Times New Roman"/>
                <w:color w:val="FF0000"/>
                <w:szCs w:val="21"/>
              </w:rPr>
            </w:pPr>
            <w:r>
              <w:rPr>
                <w:rFonts w:ascii="Times New Roman" w:hAnsi="Times New Roman"/>
                <w:szCs w:val="21"/>
              </w:rPr>
              <w:t>已核实项目建设内容，细化平面布局，完善项目组成、主要生产设备表；已核实项目生产规模、主要原辅材料和能源消耗情况及来源、项目总投资和环保投资并细化产品方案。</w:t>
            </w:r>
          </w:p>
        </w:tc>
        <w:tc>
          <w:tcPr>
            <w:tcW w:w="627" w:type="pct"/>
            <w:noWrap w:val="0"/>
            <w:vAlign w:val="center"/>
          </w:tcPr>
          <w:p>
            <w:pPr>
              <w:jc w:val="center"/>
              <w:rPr>
                <w:rFonts w:ascii="Times New Roman" w:hAnsi="Times New Roman"/>
                <w:szCs w:val="21"/>
              </w:rPr>
            </w:pPr>
            <w:r>
              <w:rPr>
                <w:rFonts w:ascii="Times New Roman" w:hAnsi="Times New Roman"/>
                <w:szCs w:val="21"/>
              </w:rPr>
              <w:t>P8-9</w:t>
            </w:r>
            <w:r>
              <w:rPr>
                <w:rFonts w:hint="eastAsia" w:ascii="宋体" w:hAnsi="宋体" w:cs="宋体"/>
                <w:szCs w:val="21"/>
              </w:rPr>
              <w:t>,</w:t>
            </w:r>
            <w:r>
              <w:rPr>
                <w:rFonts w:ascii="Times New Roman" w:hAnsi="Times New Roman"/>
                <w:szCs w:val="21"/>
              </w:rPr>
              <w:t>P32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restart"/>
            <w:noWrap w:val="0"/>
            <w:vAlign w:val="center"/>
          </w:tcPr>
          <w:p>
            <w:pPr>
              <w:jc w:val="center"/>
              <w:rPr>
                <w:rFonts w:ascii="Times New Roman" w:hAnsi="Times New Roman"/>
                <w:szCs w:val="21"/>
              </w:rPr>
            </w:pPr>
            <w:r>
              <w:rPr>
                <w:rFonts w:ascii="Times New Roman" w:hAnsi="Times New Roman"/>
                <w:szCs w:val="21"/>
              </w:rPr>
              <w:t>2</w:t>
            </w:r>
          </w:p>
        </w:tc>
        <w:tc>
          <w:tcPr>
            <w:tcW w:w="2065" w:type="pct"/>
            <w:vMerge w:val="restart"/>
            <w:noWrap w:val="0"/>
            <w:vAlign w:val="center"/>
          </w:tcPr>
          <w:p>
            <w:pPr>
              <w:jc w:val="center"/>
              <w:rPr>
                <w:rFonts w:ascii="Times New Roman" w:hAnsi="Times New Roman"/>
                <w:szCs w:val="21"/>
              </w:rPr>
            </w:pPr>
            <w:r>
              <w:rPr>
                <w:rFonts w:ascii="Times New Roman" w:hAnsi="Times New Roman"/>
                <w:bCs/>
                <w:szCs w:val="21"/>
              </w:rPr>
              <w:t>完善周边环境及区域污染源调查，核实评价标准、环境保护目标。核实环境质量现状监测数据的代表性、有效性、准确性。</w:t>
            </w:r>
          </w:p>
        </w:tc>
        <w:tc>
          <w:tcPr>
            <w:tcW w:w="2099" w:type="pct"/>
            <w:noWrap w:val="0"/>
            <w:vAlign w:val="center"/>
          </w:tcPr>
          <w:p>
            <w:pPr>
              <w:jc w:val="center"/>
              <w:rPr>
                <w:rFonts w:ascii="Times New Roman" w:hAnsi="Times New Roman"/>
                <w:color w:val="FF0000"/>
                <w:szCs w:val="21"/>
              </w:rPr>
            </w:pPr>
            <w:r>
              <w:rPr>
                <w:rFonts w:hint="eastAsia" w:ascii="Times New Roman" w:hAnsi="Times New Roman"/>
                <w:szCs w:val="21"/>
              </w:rPr>
              <w:t>已完善并</w:t>
            </w:r>
            <w:r>
              <w:rPr>
                <w:rFonts w:ascii="Times New Roman" w:hAnsi="Times New Roman"/>
                <w:szCs w:val="21"/>
              </w:rPr>
              <w:t>补充周边污染源分布情况。</w:t>
            </w:r>
          </w:p>
        </w:tc>
        <w:tc>
          <w:tcPr>
            <w:tcW w:w="627" w:type="pct"/>
            <w:noWrap w:val="0"/>
            <w:vAlign w:val="center"/>
          </w:tcPr>
          <w:p>
            <w:pPr>
              <w:jc w:val="center"/>
              <w:rPr>
                <w:rFonts w:ascii="Times New Roman" w:hAnsi="Times New Roman"/>
                <w:szCs w:val="21"/>
              </w:rPr>
            </w:pPr>
            <w:r>
              <w:rPr>
                <w:rFonts w:hint="eastAsia" w:ascii="Times New Roman" w:hAnsi="Times New Roman"/>
                <w:szCs w:val="21"/>
              </w:rPr>
              <w:t>P19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continue"/>
            <w:noWrap w:val="0"/>
            <w:vAlign w:val="center"/>
          </w:tcPr>
          <w:p>
            <w:pPr>
              <w:jc w:val="center"/>
              <w:rPr>
                <w:rFonts w:ascii="Times New Roman" w:hAnsi="Times New Roman"/>
                <w:szCs w:val="21"/>
              </w:rPr>
            </w:pPr>
          </w:p>
        </w:tc>
        <w:tc>
          <w:tcPr>
            <w:tcW w:w="2065" w:type="pct"/>
            <w:vMerge w:val="continue"/>
            <w:noWrap w:val="0"/>
            <w:vAlign w:val="center"/>
          </w:tcPr>
          <w:p>
            <w:pPr>
              <w:jc w:val="center"/>
              <w:rPr>
                <w:rFonts w:ascii="Times New Roman" w:hAnsi="Times New Roman"/>
                <w:szCs w:val="21"/>
              </w:rPr>
            </w:pPr>
          </w:p>
        </w:tc>
        <w:tc>
          <w:tcPr>
            <w:tcW w:w="2099" w:type="pct"/>
            <w:noWrap w:val="0"/>
            <w:vAlign w:val="center"/>
          </w:tcPr>
          <w:p>
            <w:pPr>
              <w:jc w:val="center"/>
              <w:rPr>
                <w:rFonts w:ascii="Times New Roman" w:hAnsi="Times New Roman"/>
                <w:color w:val="FF0000"/>
                <w:szCs w:val="21"/>
              </w:rPr>
            </w:pPr>
            <w:r>
              <w:rPr>
                <w:rFonts w:ascii="Times New Roman" w:hAnsi="Times New Roman"/>
                <w:szCs w:val="21"/>
              </w:rPr>
              <w:t>已完善环境质量现状调查和评价，并核实现状监测数据，进一步论证监测数据的代表性。</w:t>
            </w:r>
          </w:p>
        </w:tc>
        <w:tc>
          <w:tcPr>
            <w:tcW w:w="627" w:type="pct"/>
            <w:noWrap w:val="0"/>
            <w:vAlign w:val="center"/>
          </w:tcPr>
          <w:p>
            <w:pPr>
              <w:jc w:val="center"/>
              <w:rPr>
                <w:rFonts w:ascii="Times New Roman" w:hAnsi="Times New Roman"/>
                <w:szCs w:val="21"/>
              </w:rPr>
            </w:pPr>
            <w:r>
              <w:rPr>
                <w:rFonts w:hint="eastAsia" w:ascii="Times New Roman" w:hAnsi="Times New Roman"/>
                <w:szCs w:val="21"/>
              </w:rPr>
              <w:t>P17-19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noWrap w:val="0"/>
            <w:vAlign w:val="center"/>
          </w:tcPr>
          <w:p>
            <w:pPr>
              <w:jc w:val="center"/>
              <w:rPr>
                <w:rFonts w:ascii="Times New Roman" w:hAnsi="Times New Roman"/>
                <w:szCs w:val="21"/>
              </w:rPr>
            </w:pPr>
            <w:r>
              <w:rPr>
                <w:rFonts w:ascii="Times New Roman" w:hAnsi="Times New Roman"/>
                <w:szCs w:val="21"/>
              </w:rPr>
              <w:t>3</w:t>
            </w:r>
          </w:p>
        </w:tc>
        <w:tc>
          <w:tcPr>
            <w:tcW w:w="2065" w:type="pct"/>
            <w:noWrap w:val="0"/>
            <w:vAlign w:val="center"/>
          </w:tcPr>
          <w:p>
            <w:pPr>
              <w:jc w:val="center"/>
              <w:rPr>
                <w:rFonts w:ascii="Times New Roman" w:hAnsi="Times New Roman"/>
                <w:szCs w:val="21"/>
              </w:rPr>
            </w:pPr>
            <w:r>
              <w:rPr>
                <w:rFonts w:ascii="Times New Roman" w:hAnsi="Times New Roman"/>
                <w:bCs/>
                <w:szCs w:val="21"/>
              </w:rPr>
              <w:t>完善工艺流程及简介、核实产污节点：补充电炉电磁辐射情况、扳手表面处理情况；说明机加工工序是否需要切削液；说明去毛刺工艺原理、操作方法及打磨工序磨料、打磨原理。补充物料平衡。</w:t>
            </w:r>
          </w:p>
        </w:tc>
        <w:tc>
          <w:tcPr>
            <w:tcW w:w="2099" w:type="pct"/>
            <w:noWrap w:val="0"/>
            <w:vAlign w:val="center"/>
          </w:tcPr>
          <w:p>
            <w:pPr>
              <w:jc w:val="center"/>
              <w:rPr>
                <w:rFonts w:ascii="Times New Roman" w:hAnsi="Times New Roman"/>
                <w:szCs w:val="21"/>
              </w:rPr>
            </w:pPr>
            <w:r>
              <w:rPr>
                <w:rFonts w:hint="eastAsia" w:ascii="Times New Roman" w:hAnsi="Times New Roman"/>
                <w:bCs/>
                <w:szCs w:val="21"/>
              </w:rPr>
              <w:t>已经</w:t>
            </w:r>
            <w:r>
              <w:rPr>
                <w:rFonts w:ascii="Times New Roman" w:hAnsi="Times New Roman"/>
                <w:bCs/>
                <w:szCs w:val="21"/>
              </w:rPr>
              <w:t>完善工艺流程及简介、核实产污节点</w:t>
            </w:r>
            <w:r>
              <w:rPr>
                <w:rFonts w:hint="eastAsia" w:ascii="Times New Roman" w:hAnsi="Times New Roman"/>
                <w:bCs/>
                <w:szCs w:val="21"/>
              </w:rPr>
              <w:t>，</w:t>
            </w:r>
            <w:r>
              <w:rPr>
                <w:rFonts w:hint="eastAsia" w:ascii="Times New Roman" w:hAnsi="Times New Roman"/>
                <w:szCs w:val="21"/>
              </w:rPr>
              <w:t>经过核实，项目加热设备为中频感应加热设备，节能环保，且一</w:t>
            </w:r>
            <w:r>
              <w:rPr>
                <w:rFonts w:ascii="Times New Roman" w:hAnsi="Times New Roman"/>
                <w:szCs w:val="21"/>
              </w:rPr>
              <w:t>般</w:t>
            </w:r>
            <w:r>
              <w:rPr>
                <w:rFonts w:ascii="Times New Roman" w:hAnsi="Times New Roman"/>
                <w:szCs w:val="21"/>
                <w:shd w:val="clear" w:color="auto" w:fill="FFFFFF"/>
              </w:rPr>
              <w:t>能对人体产生伤害的辐射频率要在ghz级，而中频加热炉的频率为1-10khz，远远低于这个值</w:t>
            </w:r>
            <w:r>
              <w:rPr>
                <w:rFonts w:hint="eastAsia" w:ascii="Times New Roman" w:hAnsi="Times New Roman"/>
                <w:szCs w:val="21"/>
                <w:shd w:val="clear" w:color="auto" w:fill="FFFFFF"/>
              </w:rPr>
              <w:t>，故不考虑此设备的电磁辐射影响，</w:t>
            </w:r>
            <w:r>
              <w:rPr>
                <w:rFonts w:ascii="Times New Roman" w:hAnsi="Times New Roman"/>
                <w:bCs/>
                <w:szCs w:val="21"/>
              </w:rPr>
              <w:t>扳手表面处理</w:t>
            </w:r>
            <w:r>
              <w:rPr>
                <w:rFonts w:hint="eastAsia" w:ascii="Times New Roman" w:hAnsi="Times New Roman"/>
                <w:bCs/>
                <w:szCs w:val="21"/>
              </w:rPr>
              <w:t>为外委，并补充</w:t>
            </w:r>
            <w:r>
              <w:rPr>
                <w:rFonts w:ascii="Times New Roman" w:hAnsi="Times New Roman"/>
                <w:bCs/>
                <w:szCs w:val="21"/>
              </w:rPr>
              <w:t>说明去毛刺工艺原理、操作方法及打磨工序磨料、打磨原理。</w:t>
            </w:r>
            <w:r>
              <w:rPr>
                <w:rFonts w:hint="eastAsia" w:ascii="Times New Roman" w:hAnsi="Times New Roman"/>
                <w:bCs/>
                <w:szCs w:val="21"/>
              </w:rPr>
              <w:t>项目不使用切削液，已补充物料平衡图。</w:t>
            </w:r>
          </w:p>
        </w:tc>
        <w:tc>
          <w:tcPr>
            <w:tcW w:w="627" w:type="pct"/>
            <w:noWrap w:val="0"/>
            <w:vAlign w:val="center"/>
          </w:tcPr>
          <w:p>
            <w:pPr>
              <w:jc w:val="center"/>
              <w:rPr>
                <w:rFonts w:ascii="Times New Roman" w:hAnsi="Times New Roman"/>
                <w:szCs w:val="21"/>
              </w:rPr>
            </w:pPr>
            <w:r>
              <w:rPr>
                <w:rFonts w:hint="eastAsia" w:ascii="Times New Roman" w:hAnsi="Times New Roman"/>
                <w:szCs w:val="21"/>
              </w:rPr>
              <w:t>P11-14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noWrap w:val="0"/>
            <w:vAlign w:val="center"/>
          </w:tcPr>
          <w:p>
            <w:pPr>
              <w:jc w:val="center"/>
              <w:rPr>
                <w:rFonts w:ascii="Times New Roman" w:hAnsi="Times New Roman"/>
                <w:szCs w:val="21"/>
              </w:rPr>
            </w:pPr>
            <w:r>
              <w:rPr>
                <w:rFonts w:ascii="Times New Roman" w:hAnsi="Times New Roman"/>
                <w:szCs w:val="21"/>
              </w:rPr>
              <w:t>4</w:t>
            </w:r>
          </w:p>
        </w:tc>
        <w:tc>
          <w:tcPr>
            <w:tcW w:w="2065" w:type="pct"/>
            <w:noWrap w:val="0"/>
            <w:vAlign w:val="center"/>
          </w:tcPr>
          <w:p>
            <w:pPr>
              <w:jc w:val="center"/>
              <w:rPr>
                <w:rFonts w:ascii="Times New Roman" w:hAnsi="Times New Roman"/>
                <w:szCs w:val="21"/>
              </w:rPr>
            </w:pPr>
            <w:r>
              <w:rPr>
                <w:rFonts w:ascii="Times New Roman" w:hAnsi="Times New Roman"/>
                <w:bCs/>
                <w:szCs w:val="21"/>
              </w:rPr>
              <w:t>补充电炉废气、核实打磨和喷砂粉尘产排情况，完善废气防治措施、核实其预测结果和影响分析内容。</w:t>
            </w:r>
          </w:p>
        </w:tc>
        <w:tc>
          <w:tcPr>
            <w:tcW w:w="2099" w:type="pct"/>
            <w:noWrap w:val="0"/>
            <w:vAlign w:val="center"/>
          </w:tcPr>
          <w:p>
            <w:pPr>
              <w:jc w:val="center"/>
              <w:rPr>
                <w:rFonts w:ascii="Times New Roman" w:hAnsi="Times New Roman"/>
                <w:color w:val="FF0000"/>
                <w:szCs w:val="21"/>
              </w:rPr>
            </w:pPr>
            <w:r>
              <w:rPr>
                <w:rFonts w:hint="eastAsia" w:ascii="Times New Roman" w:hAnsi="Times New Roman"/>
                <w:szCs w:val="21"/>
              </w:rPr>
              <w:t>经过核实，项目</w:t>
            </w:r>
            <w:r>
              <w:rPr>
                <w:rFonts w:hint="eastAsia" w:ascii="Times New Roman" w:hAnsi="Times New Roman"/>
                <w:szCs w:val="21"/>
                <w:lang w:eastAsia="zh-CN"/>
              </w:rPr>
              <w:t>电炉为</w:t>
            </w:r>
            <w:r>
              <w:rPr>
                <w:rFonts w:hint="eastAsia" w:ascii="Times New Roman" w:hAnsi="Times New Roman"/>
                <w:szCs w:val="21"/>
              </w:rPr>
              <w:t>加热设备为中频感应加热设备，节能环保</w:t>
            </w:r>
            <w:r>
              <w:rPr>
                <w:rFonts w:hint="eastAsia" w:ascii="Times New Roman" w:hAnsi="Times New Roman"/>
                <w:color w:val="000000"/>
                <w:sz w:val="21"/>
                <w:szCs w:val="21"/>
                <w:u w:val="none"/>
              </w:rPr>
              <w:t>，</w:t>
            </w:r>
            <w:r>
              <w:rPr>
                <w:rFonts w:hint="eastAsia" w:ascii="Times New Roman" w:hAnsi="Times New Roman" w:eastAsia="宋体"/>
                <w:color w:val="000000"/>
                <w:sz w:val="21"/>
                <w:szCs w:val="21"/>
                <w:u w:val="none"/>
                <w:shd w:val="clear" w:color="auto" w:fill="FFFFFF"/>
              </w:rPr>
              <w:t>出炉冷却时产生的热空气，热空气除热污染外，无其他污染因子</w:t>
            </w:r>
            <w:r>
              <w:rPr>
                <w:rFonts w:hint="eastAsia" w:ascii="Times New Roman" w:hAnsi="Times New Roman" w:eastAsia="宋体"/>
                <w:color w:val="000000"/>
                <w:sz w:val="21"/>
                <w:szCs w:val="21"/>
                <w:u w:val="none"/>
                <w:shd w:val="clear" w:color="auto" w:fill="FFFFFF"/>
                <w:lang w:eastAsia="zh-CN"/>
              </w:rPr>
              <w:t>，</w:t>
            </w:r>
            <w:r>
              <w:rPr>
                <w:rFonts w:hint="eastAsia" w:ascii="Times New Roman" w:hAnsi="Times New Roman"/>
                <w:szCs w:val="21"/>
                <w:shd w:val="clear" w:color="auto" w:fill="FFFFFF"/>
              </w:rPr>
              <w:t>故不考虑此设备的废气影响，同时核实</w:t>
            </w:r>
            <w:r>
              <w:rPr>
                <w:rFonts w:ascii="Times New Roman" w:hAnsi="Times New Roman"/>
                <w:szCs w:val="21"/>
                <w:shd w:val="clear" w:color="auto" w:fill="FFFFFF"/>
              </w:rPr>
              <w:t>完善了</w:t>
            </w:r>
            <w:r>
              <w:rPr>
                <w:rFonts w:hint="eastAsia" w:ascii="Times New Roman" w:hAnsi="Times New Roman"/>
                <w:szCs w:val="21"/>
                <w:shd w:val="clear" w:color="auto" w:fill="FFFFFF"/>
              </w:rPr>
              <w:t>打磨机喷砂</w:t>
            </w:r>
            <w:r>
              <w:rPr>
                <w:rFonts w:ascii="Times New Roman" w:hAnsi="Times New Roman"/>
                <w:szCs w:val="21"/>
                <w:shd w:val="clear" w:color="auto" w:fill="FFFFFF"/>
              </w:rPr>
              <w:t>废气的</w:t>
            </w:r>
            <w:r>
              <w:rPr>
                <w:rFonts w:hint="eastAsia" w:ascii="Times New Roman" w:hAnsi="Times New Roman"/>
                <w:szCs w:val="21"/>
                <w:shd w:val="clear" w:color="auto" w:fill="FFFFFF"/>
              </w:rPr>
              <w:t>污染</w:t>
            </w:r>
            <w:r>
              <w:rPr>
                <w:rFonts w:ascii="Times New Roman" w:hAnsi="Times New Roman"/>
                <w:szCs w:val="21"/>
                <w:shd w:val="clear" w:color="auto" w:fill="FFFFFF"/>
              </w:rPr>
              <w:t>防治</w:t>
            </w:r>
            <w:r>
              <w:rPr>
                <w:rFonts w:hint="eastAsia" w:ascii="Times New Roman" w:hAnsi="Times New Roman"/>
                <w:szCs w:val="21"/>
                <w:shd w:val="clear" w:color="auto" w:fill="FFFFFF"/>
              </w:rPr>
              <w:t>措施</w:t>
            </w:r>
            <w:r>
              <w:rPr>
                <w:rFonts w:ascii="Times New Roman" w:hAnsi="Times New Roman"/>
                <w:szCs w:val="21"/>
                <w:shd w:val="clear" w:color="auto" w:fill="FFFFFF"/>
              </w:rPr>
              <w:t>及</w:t>
            </w:r>
            <w:r>
              <w:rPr>
                <w:rFonts w:hint="eastAsia" w:ascii="Times New Roman" w:hAnsi="Times New Roman"/>
                <w:szCs w:val="21"/>
                <w:shd w:val="clear" w:color="auto" w:fill="FFFFFF"/>
              </w:rPr>
              <w:t>影响分析内容。</w:t>
            </w:r>
          </w:p>
        </w:tc>
        <w:tc>
          <w:tcPr>
            <w:tcW w:w="627" w:type="pct"/>
            <w:noWrap w:val="0"/>
            <w:vAlign w:val="center"/>
          </w:tcPr>
          <w:p>
            <w:pPr>
              <w:jc w:val="center"/>
              <w:rPr>
                <w:rFonts w:hint="eastAsia" w:ascii="Times New Roman" w:hAnsi="Times New Roman" w:eastAsia="宋体"/>
                <w:szCs w:val="21"/>
                <w:lang w:eastAsia="zh-CN"/>
              </w:rPr>
            </w:pPr>
            <w:r>
              <w:rPr>
                <w:rFonts w:ascii="Times New Roman" w:hAnsi="Times New Roman"/>
                <w:szCs w:val="21"/>
              </w:rPr>
              <w:t>P</w:t>
            </w:r>
            <w:r>
              <w:rPr>
                <w:rFonts w:hint="eastAsia" w:ascii="Times New Roman" w:hAnsi="Times New Roman"/>
                <w:szCs w:val="21"/>
              </w:rPr>
              <w:t>11-13</w:t>
            </w:r>
            <w:r>
              <w:rPr>
                <w:rFonts w:hint="eastAsia" w:ascii="Times New Roman" w:hAnsi="Times New Roman"/>
                <w:szCs w:val="21"/>
                <w:lang w:eastAsia="zh-CN"/>
              </w:rPr>
              <w:t>，</w:t>
            </w:r>
            <w:r>
              <w:rPr>
                <w:rFonts w:ascii="Times New Roman" w:hAnsi="Times New Roman"/>
                <w:szCs w:val="21"/>
              </w:rPr>
              <w:t>P2</w:t>
            </w:r>
            <w:r>
              <w:rPr>
                <w:rFonts w:hint="eastAsia" w:ascii="Times New Roman" w:hAnsi="Times New Roman"/>
                <w:szCs w:val="21"/>
                <w:lang w:val="en-US" w:eastAsia="zh-CN"/>
              </w:rPr>
              <w:t>3</w:t>
            </w:r>
            <w:r>
              <w:rPr>
                <w:rFonts w:ascii="Times New Roman" w:hAnsi="Times New Roman"/>
                <w:szCs w:val="21"/>
              </w:rPr>
              <w:t>-2</w:t>
            </w:r>
            <w:r>
              <w:rPr>
                <w:rFonts w:hint="eastAsia" w:ascii="Times New Roman" w:hAnsi="Times New Roman"/>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restart"/>
            <w:noWrap w:val="0"/>
            <w:vAlign w:val="center"/>
          </w:tcPr>
          <w:p>
            <w:pPr>
              <w:jc w:val="center"/>
              <w:rPr>
                <w:rFonts w:ascii="Times New Roman" w:hAnsi="Times New Roman"/>
                <w:szCs w:val="21"/>
              </w:rPr>
            </w:pPr>
            <w:r>
              <w:rPr>
                <w:rFonts w:ascii="Times New Roman" w:hAnsi="Times New Roman"/>
                <w:szCs w:val="21"/>
              </w:rPr>
              <w:t>5</w:t>
            </w:r>
          </w:p>
        </w:tc>
        <w:tc>
          <w:tcPr>
            <w:tcW w:w="2065" w:type="pct"/>
            <w:vMerge w:val="restart"/>
            <w:noWrap w:val="0"/>
            <w:vAlign w:val="center"/>
          </w:tcPr>
          <w:p>
            <w:pPr>
              <w:jc w:val="center"/>
              <w:rPr>
                <w:rFonts w:ascii="Times New Roman" w:hAnsi="Times New Roman"/>
                <w:bCs/>
                <w:szCs w:val="21"/>
              </w:rPr>
            </w:pPr>
            <w:r>
              <w:rPr>
                <w:rFonts w:ascii="Times New Roman" w:hAnsi="Times New Roman"/>
                <w:bCs/>
                <w:szCs w:val="21"/>
              </w:rPr>
              <w:t>核实营运期淬火冷却水产排情况，根据项目食宿方案，核实生活用水量、生活污水量、污染物排放情况及总量控制指标，论证废水防治措施的可行性，说明仙槎桥污水处理厂建设时间、运行时间、运行现状及项目地污水管网建设情况，进一步分析项目污水进入污水处理厂的可行性分析。完善地表水环境影响分析。核实固废属性、产生量、暂存及处置措施。明确项目整改后生产设备的更新情况、噪声源变化情况，核实降噪措施的降噪量，补充噪声预测，完善声环境影响分析。核实风险物质、Q值，细化各类风险事故风险分析，完善风险防范措施。</w:t>
            </w:r>
          </w:p>
        </w:tc>
        <w:tc>
          <w:tcPr>
            <w:tcW w:w="2099" w:type="pct"/>
            <w:noWrap w:val="0"/>
            <w:vAlign w:val="center"/>
          </w:tcPr>
          <w:p>
            <w:pPr>
              <w:jc w:val="center"/>
              <w:rPr>
                <w:rFonts w:ascii="Times New Roman" w:hAnsi="Times New Roman"/>
                <w:color w:val="FF0000"/>
                <w:szCs w:val="21"/>
              </w:rPr>
            </w:pPr>
            <w:r>
              <w:rPr>
                <w:rFonts w:ascii="Times New Roman" w:hAnsi="Times New Roman"/>
                <w:bCs/>
                <w:szCs w:val="21"/>
              </w:rPr>
              <w:t>实营运期淬火冷却水产排情况，根据项目食宿方案，核实生活用水量、生活污水量、污染物排放情况及总量控制指标，论证废水防治措施的可行性，说明仙槎桥污水处理厂建设时间、运行时间、运行现状及项目地污水管网建设情况，进一步分析项目污水进入污水处理厂的可行性分析。</w:t>
            </w:r>
          </w:p>
        </w:tc>
        <w:tc>
          <w:tcPr>
            <w:tcW w:w="627" w:type="pct"/>
            <w:noWrap w:val="0"/>
            <w:vAlign w:val="center"/>
          </w:tcPr>
          <w:p>
            <w:pPr>
              <w:jc w:val="center"/>
              <w:rPr>
                <w:rFonts w:hint="eastAsia" w:ascii="Times New Roman" w:hAnsi="Times New Roman" w:eastAsia="宋体"/>
                <w:szCs w:val="21"/>
                <w:lang w:eastAsia="zh-CN"/>
              </w:rPr>
            </w:pPr>
            <w:r>
              <w:rPr>
                <w:rFonts w:ascii="Times New Roman" w:hAnsi="Times New Roman"/>
                <w:szCs w:val="21"/>
              </w:rPr>
              <w:t>P</w:t>
            </w:r>
            <w:r>
              <w:rPr>
                <w:rFonts w:hint="eastAsia" w:ascii="Times New Roman" w:hAnsi="Times New Roman"/>
                <w:szCs w:val="21"/>
              </w:rPr>
              <w:t>8</w:t>
            </w:r>
            <w:r>
              <w:rPr>
                <w:rFonts w:ascii="Times New Roman" w:hAnsi="Times New Roman"/>
                <w:szCs w:val="21"/>
              </w:rPr>
              <w:t>，</w:t>
            </w:r>
            <w:r>
              <w:rPr>
                <w:rFonts w:hint="eastAsia" w:ascii="Times New Roman" w:hAnsi="Times New Roman"/>
                <w:szCs w:val="21"/>
              </w:rPr>
              <w:t>P1</w:t>
            </w:r>
            <w:r>
              <w:rPr>
                <w:rFonts w:hint="eastAsia" w:ascii="Times New Roman" w:hAnsi="Times New Roman"/>
                <w:szCs w:val="21"/>
                <w:lang w:val="en-US" w:eastAsia="zh-CN"/>
              </w:rPr>
              <w:t>0-11，</w:t>
            </w:r>
            <w:r>
              <w:rPr>
                <w:rFonts w:hint="eastAsia" w:ascii="Times New Roman" w:hAnsi="Times New Roman"/>
                <w:szCs w:val="21"/>
              </w:rPr>
              <w:t>P2</w:t>
            </w:r>
            <w:r>
              <w:rPr>
                <w:rFonts w:hint="eastAsia" w:ascii="Times New Roman" w:hAnsi="Times New Roman"/>
                <w:szCs w:val="21"/>
                <w:lang w:val="en-US" w:eastAsia="zh-CN"/>
              </w:rPr>
              <w:t>4-</w:t>
            </w:r>
            <w:r>
              <w:rPr>
                <w:rFonts w:hint="eastAsia" w:ascii="Times New Roman" w:hAnsi="Times New Roman"/>
                <w:szCs w:val="21"/>
              </w:rPr>
              <w:t>2</w:t>
            </w:r>
            <w:r>
              <w:rPr>
                <w:rFonts w:hint="eastAsia" w:ascii="Times New Roman" w:hAnsi="Times New Roman"/>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continue"/>
            <w:noWrap w:val="0"/>
            <w:vAlign w:val="center"/>
          </w:tcPr>
          <w:p>
            <w:pPr>
              <w:jc w:val="center"/>
            </w:pPr>
          </w:p>
        </w:tc>
        <w:tc>
          <w:tcPr>
            <w:tcW w:w="2065" w:type="pct"/>
            <w:vMerge w:val="continue"/>
            <w:noWrap w:val="0"/>
            <w:vAlign w:val="center"/>
          </w:tcPr>
          <w:p>
            <w:pPr>
              <w:jc w:val="center"/>
            </w:pPr>
          </w:p>
        </w:tc>
        <w:tc>
          <w:tcPr>
            <w:tcW w:w="2099" w:type="pct"/>
            <w:noWrap w:val="0"/>
            <w:vAlign w:val="center"/>
          </w:tcPr>
          <w:p>
            <w:pPr>
              <w:jc w:val="center"/>
              <w:rPr>
                <w:rFonts w:ascii="Times New Roman" w:hAnsi="Times New Roman"/>
                <w:szCs w:val="21"/>
              </w:rPr>
            </w:pPr>
            <w:r>
              <w:rPr>
                <w:rFonts w:ascii="Times New Roman" w:hAnsi="Times New Roman"/>
                <w:szCs w:val="21"/>
              </w:rPr>
              <w:t>已核实各类固体废物种类、属性、处置去向、暂存措施，进一步论证固体废物污染防治措施可靠性，完善项目固体废物环境影响分析，补充原料、固废暂存措施和设置要求；已补充结合环保目标的分布情况、噪声源布设情况，</w:t>
            </w:r>
            <w:r>
              <w:rPr>
                <w:rFonts w:hint="eastAsia" w:ascii="Times New Roman" w:hAnsi="Times New Roman"/>
                <w:szCs w:val="21"/>
              </w:rPr>
              <w:t>项目已进行现状监测，未进行预测</w:t>
            </w:r>
            <w:r>
              <w:rPr>
                <w:rFonts w:ascii="Times New Roman" w:hAnsi="Times New Roman"/>
                <w:szCs w:val="21"/>
              </w:rPr>
              <w:t>。</w:t>
            </w:r>
            <w:r>
              <w:rPr>
                <w:rFonts w:ascii="Times New Roman" w:hAnsi="Times New Roman"/>
                <w:bCs/>
                <w:szCs w:val="21"/>
              </w:rPr>
              <w:t>已核实风险物质、Q值，细化各类风险事故风险分析，完善风险防范措施。</w:t>
            </w:r>
          </w:p>
        </w:tc>
        <w:tc>
          <w:tcPr>
            <w:tcW w:w="627" w:type="pct"/>
            <w:noWrap w:val="0"/>
            <w:vAlign w:val="center"/>
          </w:tcPr>
          <w:p>
            <w:pPr>
              <w:jc w:val="center"/>
              <w:rPr>
                <w:rFonts w:hint="default" w:ascii="Times New Roman" w:hAnsi="Times New Roman" w:eastAsia="宋体"/>
                <w:szCs w:val="21"/>
                <w:lang w:val="en-US" w:eastAsia="zh-CN"/>
              </w:rPr>
            </w:pPr>
            <w:r>
              <w:rPr>
                <w:rFonts w:hint="eastAsia" w:ascii="Times New Roman" w:hAnsi="Times New Roman"/>
                <w:szCs w:val="21"/>
              </w:rPr>
              <w:t>P2</w:t>
            </w:r>
            <w:r>
              <w:rPr>
                <w:rFonts w:hint="eastAsia" w:ascii="Times New Roman" w:hAnsi="Times New Roman"/>
                <w:szCs w:val="21"/>
                <w:lang w:val="en-US" w:eastAsia="zh-CN"/>
              </w:rPr>
              <w:t>7</w:t>
            </w:r>
            <w:r>
              <w:rPr>
                <w:rFonts w:hint="eastAsia" w:ascii="Times New Roman" w:hAnsi="Times New Roman"/>
                <w:szCs w:val="21"/>
              </w:rPr>
              <w:t>-2</w:t>
            </w:r>
            <w:r>
              <w:rPr>
                <w:rFonts w:hint="eastAsia" w:ascii="Times New Roman" w:hAnsi="Times New Roman"/>
                <w:szCs w:val="21"/>
                <w:lang w:val="en-US" w:eastAsia="zh-CN"/>
              </w:rPr>
              <w:t>9，</w:t>
            </w:r>
            <w:r>
              <w:rPr>
                <w:rFonts w:hint="eastAsia" w:ascii="Times New Roman" w:hAnsi="Times New Roman"/>
                <w:szCs w:val="21"/>
              </w:rPr>
              <w:t>P3</w:t>
            </w:r>
            <w:r>
              <w:rPr>
                <w:rFonts w:hint="eastAsia" w:ascii="Times New Roman" w:hAnsi="Times New Roman"/>
                <w:szCs w:val="21"/>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noWrap w:val="0"/>
            <w:vAlign w:val="center"/>
          </w:tcPr>
          <w:p>
            <w:pPr>
              <w:jc w:val="center"/>
              <w:rPr>
                <w:rFonts w:ascii="Times New Roman" w:hAnsi="Times New Roman"/>
                <w:szCs w:val="21"/>
              </w:rPr>
            </w:pPr>
            <w:r>
              <w:rPr>
                <w:rFonts w:ascii="Times New Roman" w:hAnsi="Times New Roman"/>
                <w:szCs w:val="21"/>
              </w:rPr>
              <w:t>6</w:t>
            </w:r>
          </w:p>
        </w:tc>
        <w:tc>
          <w:tcPr>
            <w:tcW w:w="2065" w:type="pct"/>
            <w:noWrap w:val="0"/>
            <w:vAlign w:val="center"/>
          </w:tcPr>
          <w:p>
            <w:pPr>
              <w:jc w:val="center"/>
              <w:rPr>
                <w:rFonts w:ascii="Times New Roman" w:hAnsi="Times New Roman"/>
                <w:szCs w:val="21"/>
              </w:rPr>
            </w:pPr>
            <w:r>
              <w:rPr>
                <w:rFonts w:ascii="Times New Roman" w:hAnsi="Times New Roman"/>
                <w:bCs/>
                <w:szCs w:val="21"/>
              </w:rPr>
              <w:t>完善</w:t>
            </w:r>
            <w:r>
              <w:rPr>
                <w:rFonts w:hint="eastAsia" w:ascii="Times New Roman" w:hAnsi="Times New Roman"/>
                <w:bCs/>
                <w:szCs w:val="21"/>
              </w:rPr>
              <w:t>“</w:t>
            </w:r>
            <w:r>
              <w:rPr>
                <w:rFonts w:ascii="Times New Roman" w:hAnsi="Times New Roman"/>
                <w:bCs/>
                <w:szCs w:val="21"/>
              </w:rPr>
              <w:t>三线一单</w:t>
            </w:r>
            <w:r>
              <w:rPr>
                <w:rFonts w:hint="eastAsia" w:ascii="Times New Roman" w:hAnsi="Times New Roman"/>
                <w:bCs/>
                <w:szCs w:val="21"/>
              </w:rPr>
              <w:t>”</w:t>
            </w:r>
            <w:r>
              <w:rPr>
                <w:rFonts w:ascii="Times New Roman" w:hAnsi="Times New Roman"/>
                <w:bCs/>
                <w:szCs w:val="21"/>
              </w:rPr>
              <w:t>符合性分析</w:t>
            </w:r>
          </w:p>
        </w:tc>
        <w:tc>
          <w:tcPr>
            <w:tcW w:w="2099" w:type="pct"/>
            <w:noWrap w:val="0"/>
            <w:vAlign w:val="center"/>
          </w:tcPr>
          <w:p>
            <w:pPr>
              <w:jc w:val="center"/>
              <w:rPr>
                <w:rFonts w:ascii="Times New Roman" w:hAnsi="Times New Roman"/>
                <w:szCs w:val="21"/>
              </w:rPr>
            </w:pPr>
            <w:r>
              <w:rPr>
                <w:rFonts w:ascii="Times New Roman" w:hAnsi="Times New Roman"/>
                <w:szCs w:val="21"/>
              </w:rPr>
              <w:t>根据邵市政发[2020]10号文件，完善</w:t>
            </w:r>
            <w:r>
              <w:rPr>
                <w:rFonts w:hint="eastAsia" w:ascii="Times New Roman" w:hAnsi="Times New Roman"/>
                <w:szCs w:val="21"/>
              </w:rPr>
              <w:t>“</w:t>
            </w:r>
            <w:r>
              <w:rPr>
                <w:rFonts w:ascii="Times New Roman" w:hAnsi="Times New Roman"/>
                <w:szCs w:val="21"/>
              </w:rPr>
              <w:t>三线一单</w:t>
            </w:r>
            <w:r>
              <w:rPr>
                <w:rFonts w:hint="eastAsia" w:ascii="Times New Roman" w:hAnsi="Times New Roman"/>
                <w:szCs w:val="21"/>
              </w:rPr>
              <w:t>”</w:t>
            </w:r>
            <w:r>
              <w:rPr>
                <w:rFonts w:ascii="Times New Roman" w:hAnsi="Times New Roman"/>
                <w:szCs w:val="21"/>
              </w:rPr>
              <w:t>相符性分析</w:t>
            </w:r>
          </w:p>
        </w:tc>
        <w:tc>
          <w:tcPr>
            <w:tcW w:w="627" w:type="pct"/>
            <w:noWrap w:val="0"/>
            <w:vAlign w:val="center"/>
          </w:tcPr>
          <w:p>
            <w:pPr>
              <w:jc w:val="center"/>
              <w:rPr>
                <w:rFonts w:ascii="Times New Roman" w:hAnsi="Times New Roman"/>
                <w:szCs w:val="21"/>
              </w:rPr>
            </w:pPr>
            <w:r>
              <w:rPr>
                <w:rFonts w:hint="eastAsia" w:ascii="Times New Roman" w:hAnsi="Times New Roman"/>
                <w:szCs w:val="21"/>
              </w:rPr>
              <w:t>P3-6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noWrap w:val="0"/>
            <w:vAlign w:val="center"/>
          </w:tcPr>
          <w:p>
            <w:pPr>
              <w:jc w:val="center"/>
              <w:rPr>
                <w:rFonts w:ascii="Times New Roman" w:hAnsi="Times New Roman"/>
                <w:szCs w:val="21"/>
              </w:rPr>
            </w:pPr>
            <w:r>
              <w:rPr>
                <w:rFonts w:ascii="Times New Roman" w:hAnsi="Times New Roman"/>
                <w:szCs w:val="21"/>
              </w:rPr>
              <w:t>7</w:t>
            </w:r>
          </w:p>
        </w:tc>
        <w:tc>
          <w:tcPr>
            <w:tcW w:w="2065" w:type="pct"/>
            <w:noWrap w:val="0"/>
            <w:vAlign w:val="center"/>
          </w:tcPr>
          <w:p>
            <w:pPr>
              <w:jc w:val="center"/>
              <w:rPr>
                <w:rFonts w:ascii="Times New Roman" w:hAnsi="Times New Roman"/>
                <w:szCs w:val="21"/>
              </w:rPr>
            </w:pPr>
            <w:r>
              <w:rPr>
                <w:rFonts w:ascii="Times New Roman" w:hAnsi="Times New Roman"/>
                <w:bCs/>
                <w:szCs w:val="21"/>
              </w:rPr>
              <w:t>核实环境保护措施监督检查清单，</w:t>
            </w:r>
            <w:r>
              <w:rPr>
                <w:rFonts w:ascii="Times New Roman" w:hAnsi="Times New Roman"/>
                <w:bCs/>
                <w:szCs w:val="21"/>
                <w:lang w:val="zh-CN"/>
              </w:rPr>
              <w:t>完善营运期环境监测计划</w:t>
            </w:r>
            <w:r>
              <w:rPr>
                <w:rFonts w:ascii="Times New Roman" w:hAnsi="Times New Roman"/>
                <w:bCs/>
                <w:szCs w:val="21"/>
              </w:rPr>
              <w:t>。完善附图附件</w:t>
            </w:r>
          </w:p>
        </w:tc>
        <w:tc>
          <w:tcPr>
            <w:tcW w:w="2099" w:type="pct"/>
            <w:noWrap w:val="0"/>
            <w:vAlign w:val="center"/>
          </w:tcPr>
          <w:p>
            <w:pPr>
              <w:jc w:val="center"/>
              <w:rPr>
                <w:rFonts w:ascii="Times New Roman" w:hAnsi="Times New Roman"/>
                <w:color w:val="FF0000"/>
                <w:szCs w:val="21"/>
              </w:rPr>
            </w:pPr>
            <w:r>
              <w:rPr>
                <w:rFonts w:ascii="Times New Roman" w:hAnsi="Times New Roman"/>
                <w:szCs w:val="21"/>
              </w:rPr>
              <w:t>已核实并完善运营期监测计划、环境保护措施监督检查清单</w:t>
            </w:r>
            <w:r>
              <w:rPr>
                <w:rFonts w:hint="eastAsia" w:ascii="Times New Roman" w:hAnsi="Times New Roman"/>
                <w:szCs w:val="21"/>
              </w:rPr>
              <w:t>，并完善附图附件</w:t>
            </w:r>
          </w:p>
        </w:tc>
        <w:tc>
          <w:tcPr>
            <w:tcW w:w="627" w:type="pct"/>
            <w:noWrap w:val="0"/>
            <w:vAlign w:val="center"/>
          </w:tcPr>
          <w:p>
            <w:pPr>
              <w:jc w:val="center"/>
              <w:rPr>
                <w:rFonts w:hint="eastAsia"/>
                <w:lang w:eastAsia="zh-CN"/>
              </w:rPr>
            </w:pPr>
            <w:r>
              <w:rPr>
                <w:rFonts w:hint="eastAsia" w:ascii="Times New Roman" w:hAnsi="Times New Roman"/>
                <w:szCs w:val="21"/>
              </w:rPr>
              <w:t>P2</w:t>
            </w:r>
            <w:r>
              <w:rPr>
                <w:rFonts w:hint="eastAsia" w:ascii="Times New Roman" w:hAnsi="Times New Roman"/>
                <w:szCs w:val="21"/>
                <w:lang w:val="en-US" w:eastAsia="zh-CN"/>
              </w:rPr>
              <w:t>4-26</w:t>
            </w:r>
          </w:p>
          <w:p>
            <w:pPr>
              <w:jc w:val="center"/>
              <w:rPr>
                <w:rStyle w:val="30"/>
                <w:rFonts w:hint="eastAsia"/>
                <w:lang w:val="en-US" w:eastAsia="zh-CN"/>
              </w:rPr>
            </w:pPr>
            <w:r>
              <w:rPr>
                <w:rStyle w:val="30"/>
                <w:rFonts w:hint="eastAsia"/>
                <w:lang w:eastAsia="zh-CN"/>
              </w:rPr>
              <w:t>附图</w:t>
            </w:r>
            <w:r>
              <w:rPr>
                <w:rStyle w:val="30"/>
                <w:rFonts w:hint="eastAsia"/>
                <w:lang w:val="en-US" w:eastAsia="zh-CN"/>
              </w:rPr>
              <w:t>二</w:t>
            </w:r>
          </w:p>
          <w:p>
            <w:pPr>
              <w:jc w:val="center"/>
              <w:rPr>
                <w:rFonts w:hint="default" w:ascii="Times New Roman" w:hAnsi="Times New Roman" w:eastAsia="宋体"/>
                <w:szCs w:val="21"/>
                <w:lang w:val="en-US" w:eastAsia="zh-CN"/>
              </w:rPr>
            </w:pPr>
            <w:r>
              <w:rPr>
                <w:rStyle w:val="30"/>
                <w:rFonts w:hint="eastAsia"/>
                <w:lang w:val="en-US" w:eastAsia="zh-CN"/>
              </w:rPr>
              <w:t>附图三</w:t>
            </w:r>
          </w:p>
        </w:tc>
      </w:tr>
    </w:tbl>
    <w:p>
      <w:pPr>
        <w:rPr>
          <w:rFonts w:hint="eastAsia" w:ascii="宋体" w:hAnsi="宋体" w:eastAsia="宋体"/>
          <w:color w:val="000000" w:themeColor="text1"/>
          <w:sz w:val="36"/>
          <w:szCs w:val="36"/>
          <w:lang w:eastAsia="zh-CN"/>
          <w14:textFill>
            <w14:solidFill>
              <w14:schemeClr w14:val="tx1"/>
            </w14:solidFill>
          </w14:textFill>
        </w:rPr>
      </w:pPr>
      <w:r>
        <w:rPr>
          <w:rFonts w:ascii="宋体" w:hAnsi="宋体"/>
          <w:color w:val="000000" w:themeColor="text1"/>
          <w:sz w:val="36"/>
          <w:szCs w:val="36"/>
          <w14:textFill>
            <w14:solidFill>
              <w14:schemeClr w14:val="tx1"/>
            </w14:solidFill>
          </w14:textFill>
        </w:rPr>
        <w:br w:type="page"/>
      </w:r>
      <w:r>
        <w:rPr>
          <w:rFonts w:hint="eastAsia" w:ascii="宋体" w:hAnsi="宋体" w:eastAsia="宋体"/>
          <w:color w:val="000000" w:themeColor="text1"/>
          <w:sz w:val="36"/>
          <w:szCs w:val="36"/>
          <w:lang w:eastAsia="zh-CN"/>
          <w14:textFill>
            <w14:solidFill>
              <w14:schemeClr w14:val="tx1"/>
            </w14:solidFill>
          </w14:textFill>
        </w:rPr>
        <w:drawing>
          <wp:inline distT="0" distB="0" distL="114300" distR="114300">
            <wp:extent cx="5833745" cy="7643495"/>
            <wp:effectExtent l="0" t="0" r="14605" b="14605"/>
            <wp:docPr id="2" name="图片 2" descr="06fac338214575950469c65715c87e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fac338214575950469c65715c87e91_"/>
                    <pic:cNvPicPr>
                      <a:picLocks noChangeAspect="1"/>
                    </pic:cNvPicPr>
                  </pic:nvPicPr>
                  <pic:blipFill>
                    <a:blip r:embed="rId14">
                      <a:lum bright="6000" contrast="36000"/>
                    </a:blip>
                    <a:srcRect l="6152" t="11279" r="4564" b="22893"/>
                    <a:stretch>
                      <a:fillRect/>
                    </a:stretch>
                  </pic:blipFill>
                  <pic:spPr>
                    <a:xfrm>
                      <a:off x="0" y="0"/>
                      <a:ext cx="5833745" cy="7643495"/>
                    </a:xfrm>
                    <a:prstGeom prst="rect">
                      <a:avLst/>
                    </a:prstGeom>
                  </pic:spPr>
                </pic:pic>
              </a:graphicData>
            </a:graphic>
          </wp:inline>
        </w:drawing>
      </w:r>
    </w:p>
    <w:p>
      <w:pPr>
        <w:rPr>
          <w:rFonts w:hint="eastAsia" w:ascii="宋体" w:hAnsi="宋体" w:eastAsia="宋体"/>
          <w:color w:val="000000" w:themeColor="text1"/>
          <w:sz w:val="36"/>
          <w:szCs w:val="36"/>
          <w:lang w:eastAsia="zh-CN"/>
          <w14:textFill>
            <w14:solidFill>
              <w14:schemeClr w14:val="tx1"/>
            </w14:solidFill>
          </w14:textFill>
        </w:rPr>
      </w:pPr>
      <w:r>
        <w:rPr>
          <w:rFonts w:hint="eastAsia" w:ascii="宋体" w:hAnsi="宋体" w:eastAsia="宋体"/>
          <w:color w:val="000000" w:themeColor="text1"/>
          <w:sz w:val="36"/>
          <w:szCs w:val="36"/>
          <w:lang w:eastAsia="zh-CN"/>
          <w14:textFill>
            <w14:solidFill>
              <w14:schemeClr w14:val="tx1"/>
            </w14:solidFill>
          </w14:textFill>
        </w:rPr>
        <w:br w:type="page"/>
      </w:r>
    </w:p>
    <w:p>
      <w:pPr>
        <w:pStyle w:val="2"/>
        <w:rPr>
          <w:rFonts w:hint="eastAsia"/>
          <w:lang w:eastAsia="zh-CN"/>
        </w:rPr>
      </w:pPr>
    </w:p>
    <w:p>
      <w:pPr>
        <w:jc w:val="center"/>
        <w:rPr>
          <w:color w:val="000000" w:themeColor="text1"/>
          <w:sz w:val="36"/>
          <w:szCs w:val="36"/>
          <w14:textFill>
            <w14:solidFill>
              <w14:schemeClr w14:val="tx1"/>
            </w14:solidFill>
          </w14:textFill>
        </w:rPr>
      </w:pPr>
      <w:r>
        <w:rPr>
          <w:rFonts w:ascii="宋体" w:hAnsi="宋体"/>
          <w:color w:val="000000" w:themeColor="text1"/>
          <w:sz w:val="36"/>
          <w:szCs w:val="36"/>
          <w14:textFill>
            <w14:solidFill>
              <w14:schemeClr w14:val="tx1"/>
            </w14:solidFill>
          </w14:textFill>
        </w:rPr>
        <w:t>目</w:t>
      </w:r>
      <w:r>
        <w:rPr>
          <w:rFonts w:hint="eastAsia" w:ascii="宋体" w:hAnsi="宋体"/>
          <w:color w:val="000000" w:themeColor="text1"/>
          <w:sz w:val="36"/>
          <w:szCs w:val="36"/>
          <w14:textFill>
            <w14:solidFill>
              <w14:schemeClr w14:val="tx1"/>
            </w14:solidFill>
          </w14:textFill>
        </w:rPr>
        <w:t xml:space="preserve"> </w:t>
      </w:r>
      <w:r>
        <w:rPr>
          <w:rFonts w:ascii="宋体" w:hAnsi="宋体"/>
          <w:color w:val="000000" w:themeColor="text1"/>
          <w:sz w:val="36"/>
          <w:szCs w:val="36"/>
          <w14:textFill>
            <w14:solidFill>
              <w14:schemeClr w14:val="tx1"/>
            </w14:solidFill>
          </w14:textFill>
        </w:rPr>
        <w:t>录</w:t>
      </w:r>
    </w:p>
    <w:p>
      <w:pPr>
        <w:pStyle w:val="51"/>
        <w:tabs>
          <w:tab w:val="right" w:leader="dot" w:pos="8844"/>
        </w:tabs>
        <w:spacing w:line="360" w:lineRule="auto"/>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"1-1" \h \u </w:instrText>
      </w:r>
      <w:r>
        <w:rPr>
          <w:color w:val="000000" w:themeColor="text1"/>
          <w14:textFill>
            <w14:solidFill>
              <w14:schemeClr w14:val="tx1"/>
            </w14:solidFill>
          </w14:textFill>
        </w:rPr>
        <w:fldChar w:fldCharType="separate"/>
      </w:r>
      <w:r>
        <w:fldChar w:fldCharType="begin"/>
      </w:r>
      <w:r>
        <w:instrText xml:space="preserve"> HYPERLINK \l "_Toc22568" </w:instrText>
      </w:r>
      <w:r>
        <w:fldChar w:fldCharType="separate"/>
      </w:r>
      <w:r>
        <w:rPr>
          <w:snapToGrid w:val="0"/>
          <w:color w:val="000000" w:themeColor="text1"/>
          <w:sz w:val="24"/>
          <w:szCs w:val="24"/>
          <w14:textFill>
            <w14:solidFill>
              <w14:schemeClr w14:val="tx1"/>
            </w14:solidFill>
          </w14:textFill>
        </w:rPr>
        <w:t>一、建设项目基本情况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_Toc22568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"_Toc29863" </w:instrText>
      </w:r>
      <w:r>
        <w:fldChar w:fldCharType="separate"/>
      </w:r>
      <w:r>
        <w:rPr>
          <w:snapToGrid w:val="0"/>
          <w:color w:val="000000" w:themeColor="text1"/>
          <w:sz w:val="24"/>
          <w:szCs w:val="24"/>
          <w14:textFill>
            <w14:solidFill>
              <w14:schemeClr w14:val="tx1"/>
            </w14:solidFill>
          </w14:textFill>
        </w:rPr>
        <w:t>二、建设项目工程分析</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7</w:t>
      </w:r>
      <w:r>
        <w:rPr>
          <w:rFonts w:hint="eastAsia"/>
          <w:color w:val="000000" w:themeColor="text1"/>
          <w:sz w:val="24"/>
          <w:szCs w:val="24"/>
          <w14:textFill>
            <w14:solidFill>
              <w14:schemeClr w14:val="tx1"/>
            </w14:solidFill>
          </w14:textFill>
        </w:rPr>
        <w:fldChar w:fldCharType="end"/>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"_Toc14729" </w:instrText>
      </w:r>
      <w:r>
        <w:fldChar w:fldCharType="separate"/>
      </w:r>
      <w:r>
        <w:rPr>
          <w:snapToGrid w:val="0"/>
          <w:color w:val="000000" w:themeColor="text1"/>
          <w:sz w:val="24"/>
          <w:szCs w:val="24"/>
          <w14:textFill>
            <w14:solidFill>
              <w14:schemeClr w14:val="tx1"/>
            </w14:solidFill>
          </w14:textFill>
        </w:rPr>
        <w:t>三、区域环境质量现状、环境保护目标及评价标准</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7</w:t>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"_Toc1721" </w:instrText>
      </w:r>
      <w:r>
        <w:fldChar w:fldCharType="separate"/>
      </w:r>
      <w:r>
        <w:rPr>
          <w:snapToGrid w:val="0"/>
          <w:color w:val="000000" w:themeColor="text1"/>
          <w:sz w:val="24"/>
          <w:szCs w:val="24"/>
          <w14:textFill>
            <w14:solidFill>
              <w14:schemeClr w14:val="tx1"/>
            </w14:solidFill>
          </w14:textFill>
        </w:rPr>
        <w:t>四、主要环境影响和保护措施</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0</w:t>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"_Toc19159" </w:instrText>
      </w:r>
      <w:r>
        <w:fldChar w:fldCharType="separate"/>
      </w:r>
      <w:r>
        <w:rPr>
          <w:snapToGrid w:val="0"/>
          <w:color w:val="000000" w:themeColor="text1"/>
          <w:sz w:val="24"/>
          <w:szCs w:val="24"/>
          <w14:textFill>
            <w14:solidFill>
              <w14:schemeClr w14:val="tx1"/>
            </w14:solidFill>
          </w14:textFill>
        </w:rPr>
        <w:t>五、环境保护措施监督检查清单</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3</w:t>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"_Toc15843" </w:instrText>
      </w:r>
      <w:r>
        <w:fldChar w:fldCharType="separate"/>
      </w:r>
      <w:r>
        <w:rPr>
          <w:snapToGrid w:val="0"/>
          <w:color w:val="000000" w:themeColor="text1"/>
          <w:sz w:val="24"/>
          <w:szCs w:val="24"/>
          <w14:textFill>
            <w14:solidFill>
              <w14:schemeClr w14:val="tx1"/>
            </w14:solidFill>
          </w14:textFill>
        </w:rPr>
        <w:t>六、结论</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4</w:t>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"_Toc7994" </w:instrText>
      </w:r>
      <w:r>
        <w:fldChar w:fldCharType="separate"/>
      </w:r>
      <w:r>
        <w:rPr>
          <w:snapToGrid w:val="0"/>
          <w:color w:val="000000" w:themeColor="text1"/>
          <w:sz w:val="24"/>
          <w:szCs w:val="24"/>
          <w14:textFill>
            <w14:solidFill>
              <w14:schemeClr w14:val="tx1"/>
            </w14:solidFill>
          </w14:textFill>
        </w:rPr>
        <w:t>附表</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5</w:t>
      </w:r>
    </w:p>
    <w:p>
      <w:pPr>
        <w:pStyle w:val="51"/>
        <w:tabs>
          <w:tab w:val="right" w:leader="dot" w:pos="8844"/>
        </w:tabs>
        <w:spacing w:line="360" w:lineRule="auto"/>
        <w:rPr>
          <w:color w:val="000000" w:themeColor="text1"/>
          <w:sz w:val="24"/>
          <w:szCs w:val="24"/>
          <w14:textFill>
            <w14:solidFill>
              <w14:schemeClr w14:val="tx1"/>
            </w14:solidFill>
          </w14:textFill>
        </w:rPr>
      </w:pPr>
      <w:r>
        <w:fldChar w:fldCharType="begin"/>
      </w:r>
      <w:r>
        <w:instrText xml:space="preserve"> HYPERLINK \l "_Toc8623" </w:instrText>
      </w:r>
      <w:r>
        <w:fldChar w:fldCharType="separate"/>
      </w:r>
      <w:r>
        <w:rPr>
          <w:snapToGrid w:val="0"/>
          <w:color w:val="000000" w:themeColor="text1"/>
          <w:sz w:val="24"/>
          <w:szCs w:val="24"/>
          <w14:textFill>
            <w14:solidFill>
              <w14:schemeClr w14:val="tx1"/>
            </w14:solidFill>
          </w14:textFill>
        </w:rPr>
        <w:t>建设项目污染物排放量汇总表</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5</w:t>
      </w:r>
    </w:p>
    <w:p>
      <w:pPr>
        <w:pStyle w:val="59"/>
        <w:spacing w:line="360" w:lineRule="auto"/>
        <w:rPr>
          <w:rFonts w:ascii="Times New Roman" w:hAnsi="Times New Roman"/>
          <w:b/>
          <w:bCs/>
          <w:color w:val="auto"/>
        </w:rPr>
      </w:pPr>
      <w:r>
        <w:rPr>
          <w:color w:val="000000" w:themeColor="text1"/>
          <w14:textFill>
            <w14:solidFill>
              <w14:schemeClr w14:val="tx1"/>
            </w14:solidFill>
          </w14:textFill>
        </w:rPr>
        <w:fldChar w:fldCharType="end"/>
      </w:r>
      <w:r>
        <w:rPr>
          <w:rFonts w:ascii="Times New Roman" w:hAnsi="Times New Roman"/>
          <w:b/>
          <w:bCs/>
          <w:color w:val="auto"/>
        </w:rPr>
        <w:t>附件：</w:t>
      </w:r>
    </w:p>
    <w:p>
      <w:pPr>
        <w:pStyle w:val="59"/>
        <w:spacing w:line="360" w:lineRule="auto"/>
        <w:rPr>
          <w:rFonts w:ascii="Times New Roman" w:hAnsi="Times New Roman"/>
          <w:color w:val="auto"/>
        </w:rPr>
      </w:pPr>
      <w:r>
        <w:rPr>
          <w:rFonts w:ascii="Times New Roman" w:hAnsi="Times New Roman"/>
          <w:color w:val="auto"/>
        </w:rPr>
        <w:t>附件1 环评委托书</w:t>
      </w:r>
    </w:p>
    <w:p>
      <w:pPr>
        <w:pStyle w:val="59"/>
        <w:spacing w:line="360" w:lineRule="auto"/>
        <w:rPr>
          <w:rFonts w:ascii="Times New Roman" w:hAnsi="Times New Roman"/>
          <w:color w:val="auto"/>
        </w:rPr>
      </w:pPr>
      <w:r>
        <w:rPr>
          <w:rFonts w:ascii="Times New Roman" w:hAnsi="Times New Roman"/>
          <w:color w:val="auto"/>
        </w:rPr>
        <w:t>附件2 营业执照</w:t>
      </w:r>
    </w:p>
    <w:p>
      <w:pPr>
        <w:pStyle w:val="59"/>
        <w:spacing w:line="360" w:lineRule="auto"/>
        <w:rPr>
          <w:rFonts w:ascii="Times New Roman" w:hAnsi="Times New Roman"/>
          <w:color w:val="auto"/>
        </w:rPr>
      </w:pPr>
      <w:r>
        <w:rPr>
          <w:rFonts w:ascii="Times New Roman" w:hAnsi="Times New Roman"/>
          <w:color w:val="auto"/>
        </w:rPr>
        <w:t xml:space="preserve">附件3 </w:t>
      </w:r>
      <w:r>
        <w:rPr>
          <w:rFonts w:hint="eastAsia" w:ascii="Times New Roman" w:hAnsi="Times New Roman"/>
          <w:color w:val="auto"/>
        </w:rPr>
        <w:t>产权证及宗地图</w:t>
      </w:r>
    </w:p>
    <w:p>
      <w:pPr>
        <w:pStyle w:val="59"/>
        <w:spacing w:line="360" w:lineRule="auto"/>
        <w:rPr>
          <w:rFonts w:ascii="Times New Roman" w:hAnsi="Times New Roman"/>
          <w:color w:val="auto"/>
        </w:rPr>
      </w:pPr>
      <w:r>
        <w:rPr>
          <w:rFonts w:ascii="Times New Roman" w:hAnsi="Times New Roman"/>
          <w:color w:val="auto"/>
        </w:rPr>
        <w:t>附件</w:t>
      </w:r>
      <w:r>
        <w:rPr>
          <w:rFonts w:hint="eastAsia" w:ascii="Times New Roman" w:hAnsi="Times New Roman"/>
          <w:color w:val="auto"/>
        </w:rPr>
        <w:t>4</w:t>
      </w:r>
      <w:r>
        <w:rPr>
          <w:rFonts w:ascii="Times New Roman" w:hAnsi="Times New Roman"/>
          <w:color w:val="auto"/>
        </w:rPr>
        <w:t xml:space="preserve"> </w:t>
      </w:r>
      <w:r>
        <w:rPr>
          <w:rFonts w:hint="eastAsia" w:ascii="Times New Roman" w:hAnsi="Times New Roman"/>
          <w:color w:val="auto"/>
        </w:rPr>
        <w:t>行政处罚决定书及罚款单</w:t>
      </w:r>
    </w:p>
    <w:p>
      <w:pPr>
        <w:pStyle w:val="59"/>
        <w:spacing w:line="360" w:lineRule="auto"/>
        <w:rPr>
          <w:rFonts w:hint="eastAsia" w:ascii="Times New Roman" w:hAnsi="Times New Roman"/>
          <w:color w:val="auto"/>
        </w:rPr>
      </w:pPr>
      <w:r>
        <w:rPr>
          <w:rFonts w:ascii="Times New Roman" w:hAnsi="Times New Roman"/>
          <w:color w:val="auto"/>
        </w:rPr>
        <w:t>附件</w:t>
      </w:r>
      <w:r>
        <w:rPr>
          <w:rFonts w:hint="eastAsia" w:ascii="Times New Roman" w:hAnsi="Times New Roman"/>
          <w:color w:val="auto"/>
        </w:rPr>
        <w:t>5</w:t>
      </w:r>
      <w:r>
        <w:rPr>
          <w:rFonts w:ascii="Times New Roman" w:hAnsi="Times New Roman"/>
          <w:color w:val="auto"/>
        </w:rPr>
        <w:t xml:space="preserve"> 监测报告</w:t>
      </w:r>
      <w:r>
        <w:rPr>
          <w:rFonts w:hint="eastAsia" w:ascii="Times New Roman" w:hAnsi="Times New Roman"/>
          <w:color w:val="auto"/>
        </w:rPr>
        <w:t>及质保单</w:t>
      </w:r>
    </w:p>
    <w:p>
      <w:pPr>
        <w:pStyle w:val="59"/>
        <w:spacing w:line="360" w:lineRule="auto"/>
        <w:rPr>
          <w:rFonts w:ascii="Times New Roman" w:hAnsi="Times New Roman"/>
          <w:color w:val="auto"/>
        </w:rPr>
      </w:pPr>
      <w:r>
        <w:rPr>
          <w:rFonts w:hint="eastAsia" w:ascii="Times New Roman" w:hAnsi="Times New Roman"/>
          <w:color w:val="auto"/>
          <w:lang w:val="en-US" w:eastAsia="zh-CN"/>
        </w:rPr>
        <w:t xml:space="preserve">附件6 </w:t>
      </w:r>
      <w:r>
        <w:rPr>
          <w:rFonts w:hint="eastAsia" w:ascii="Times New Roman" w:hAnsi="Times New Roman"/>
          <w:color w:val="auto"/>
          <w:lang w:eastAsia="zh-CN"/>
        </w:rPr>
        <w:t>评审意见</w:t>
      </w:r>
    </w:p>
    <w:p>
      <w:pPr>
        <w:pStyle w:val="59"/>
        <w:spacing w:line="360" w:lineRule="auto"/>
        <w:rPr>
          <w:rFonts w:ascii="Times New Roman" w:hAnsi="Times New Roman"/>
          <w:b/>
          <w:bCs/>
          <w:color w:val="auto"/>
        </w:rPr>
      </w:pPr>
      <w:r>
        <w:rPr>
          <w:rFonts w:hint="eastAsia" w:ascii="Times New Roman" w:hAnsi="Times New Roman"/>
          <w:b/>
          <w:bCs/>
          <w:color w:val="auto"/>
        </w:rPr>
        <w:t>附图：</w:t>
      </w:r>
    </w:p>
    <w:p>
      <w:pPr>
        <w:pStyle w:val="59"/>
        <w:spacing w:line="360" w:lineRule="auto"/>
        <w:rPr>
          <w:rFonts w:ascii="Times New Roman" w:hAnsi="Times New Roman"/>
          <w:color w:val="auto"/>
        </w:rPr>
      </w:pPr>
      <w:r>
        <w:rPr>
          <w:rFonts w:hint="eastAsia" w:ascii="Times New Roman" w:hAnsi="Times New Roman"/>
          <w:color w:val="auto"/>
        </w:rPr>
        <w:t>附图1：项目地理位置图</w:t>
      </w:r>
    </w:p>
    <w:p>
      <w:pPr>
        <w:pStyle w:val="59"/>
        <w:spacing w:line="360" w:lineRule="auto"/>
        <w:rPr>
          <w:rFonts w:ascii="Times New Roman" w:hAnsi="Times New Roman"/>
          <w:color w:val="auto"/>
          <w:u w:val="single"/>
        </w:rPr>
      </w:pPr>
      <w:r>
        <w:rPr>
          <w:rFonts w:hint="eastAsia" w:ascii="Times New Roman" w:hAnsi="Times New Roman"/>
          <w:color w:val="auto"/>
          <w:u w:val="single"/>
        </w:rPr>
        <w:t>附图2：项目区域水系图</w:t>
      </w:r>
    </w:p>
    <w:p>
      <w:pPr>
        <w:pStyle w:val="59"/>
        <w:spacing w:line="360" w:lineRule="auto"/>
        <w:rPr>
          <w:rFonts w:ascii="Times New Roman" w:hAnsi="Times New Roman"/>
          <w:color w:val="auto"/>
          <w:u w:val="single"/>
        </w:rPr>
      </w:pPr>
      <w:r>
        <w:rPr>
          <w:rFonts w:hint="eastAsia" w:ascii="Times New Roman" w:hAnsi="Times New Roman"/>
          <w:color w:val="auto"/>
          <w:u w:val="single"/>
        </w:rPr>
        <w:t>附图3：项目环境保护目标分布图</w:t>
      </w:r>
    </w:p>
    <w:p>
      <w:pPr>
        <w:pStyle w:val="59"/>
        <w:spacing w:line="360" w:lineRule="auto"/>
        <w:rPr>
          <w:rFonts w:ascii="Times New Roman" w:hAnsi="Times New Roman"/>
          <w:color w:val="auto"/>
        </w:rPr>
      </w:pPr>
      <w:r>
        <w:rPr>
          <w:rFonts w:hint="eastAsia" w:ascii="Times New Roman" w:hAnsi="Times New Roman"/>
          <w:color w:val="auto"/>
        </w:rPr>
        <w:t>附图4：项目厂区平面布置图</w:t>
      </w:r>
    </w:p>
    <w:p>
      <w:pPr>
        <w:pStyle w:val="59"/>
        <w:spacing w:line="360" w:lineRule="auto"/>
        <w:rPr>
          <w:rFonts w:ascii="Times New Roman" w:hAnsi="Times New Roman"/>
          <w:color w:val="auto"/>
        </w:rPr>
      </w:pPr>
      <w:r>
        <w:rPr>
          <w:rFonts w:hint="eastAsia" w:ascii="Times New Roman" w:hAnsi="Times New Roman"/>
          <w:color w:val="auto"/>
        </w:rPr>
        <w:t>附图5：项目监测点位图</w:t>
      </w:r>
    </w:p>
    <w:p>
      <w:pPr>
        <w:pStyle w:val="59"/>
        <w:spacing w:line="360" w:lineRule="auto"/>
        <w:rPr>
          <w:rFonts w:ascii="Times New Roman" w:hAnsi="Times New Roman"/>
          <w:color w:val="auto"/>
        </w:rPr>
      </w:pPr>
      <w:r>
        <w:rPr>
          <w:rFonts w:hint="eastAsia" w:ascii="Times New Roman" w:hAnsi="Times New Roman"/>
          <w:color w:val="auto"/>
        </w:rPr>
        <w:t>附图6：园区土地利用规划图</w:t>
      </w:r>
    </w:p>
    <w:p>
      <w:pPr>
        <w:pStyle w:val="59"/>
        <w:spacing w:line="360" w:lineRule="auto"/>
        <w:rPr>
          <w:rFonts w:ascii="Times New Roman" w:hAnsi="Times New Roman"/>
          <w:color w:val="auto"/>
        </w:rPr>
      </w:pPr>
      <w:r>
        <w:rPr>
          <w:rFonts w:hint="eastAsia" w:ascii="Times New Roman" w:hAnsi="Times New Roman"/>
          <w:color w:val="auto"/>
        </w:rPr>
        <w:t>附图7：项目周边现状图</w:t>
      </w:r>
    </w:p>
    <w:p>
      <w:pPr>
        <w:pStyle w:val="59"/>
        <w:spacing w:line="360" w:lineRule="auto"/>
        <w:rPr>
          <w:rFonts w:ascii="Times New Roman" w:hAnsi="Times New Roman"/>
          <w:b/>
          <w:bCs/>
          <w:color w:val="auto"/>
        </w:rPr>
      </w:pPr>
      <w:r>
        <w:rPr>
          <w:rFonts w:hint="eastAsia" w:ascii="Times New Roman" w:hAnsi="Times New Roman"/>
          <w:b/>
          <w:bCs/>
          <w:color w:val="auto"/>
        </w:rPr>
        <w:t>附表：</w:t>
      </w:r>
    </w:p>
    <w:p>
      <w:pPr>
        <w:pStyle w:val="59"/>
        <w:spacing w:line="360" w:lineRule="auto"/>
        <w:rPr>
          <w:rFonts w:ascii="Times New Roman" w:hAnsi="Times New Roman"/>
          <w:color w:val="auto"/>
        </w:rPr>
      </w:pPr>
      <w:r>
        <w:rPr>
          <w:rFonts w:hint="eastAsia" w:ascii="Times New Roman" w:hAnsi="Times New Roman"/>
          <w:color w:val="auto"/>
        </w:rPr>
        <w:t>附表1：建设项目大气环境影响评价自查表</w:t>
      </w:r>
    </w:p>
    <w:p>
      <w:pPr>
        <w:pStyle w:val="59"/>
        <w:spacing w:line="360" w:lineRule="auto"/>
        <w:rPr>
          <w:rFonts w:ascii="Times New Roman" w:hAnsi="Times New Roman"/>
          <w:color w:val="auto"/>
        </w:rPr>
      </w:pPr>
      <w:r>
        <w:rPr>
          <w:rFonts w:hint="eastAsia" w:ascii="Times New Roman" w:hAnsi="Times New Roman"/>
          <w:color w:val="auto"/>
        </w:rPr>
        <w:t>附表2：建设项目地表水环境影响评价自查表</w:t>
      </w:r>
    </w:p>
    <w:p>
      <w:pPr>
        <w:pStyle w:val="59"/>
        <w:spacing w:line="360" w:lineRule="auto"/>
        <w:rPr>
          <w:rFonts w:hint="eastAsia" w:ascii="Times New Roman" w:hAnsi="Times New Roman" w:eastAsia="宋体"/>
          <w:color w:val="auto"/>
          <w:lang w:eastAsia="zh-CN"/>
        </w:rPr>
        <w:sectPr>
          <w:pgSz w:w="11906" w:h="16838"/>
          <w:pgMar w:top="1701" w:right="1531" w:bottom="1701" w:left="1531" w:header="851" w:footer="1077" w:gutter="0"/>
          <w:pgNumType w:start="3"/>
          <w:cols w:space="720" w:num="1"/>
          <w:docGrid w:linePitch="312" w:charSpace="0"/>
        </w:sectPr>
      </w:pPr>
    </w:p>
    <w:p>
      <w:pPr>
        <w:pStyle w:val="22"/>
        <w:ind w:left="420" w:firstLine="420"/>
        <w:jc w:val="center"/>
        <w:outlineLvl w:val="0"/>
        <w:rPr>
          <w:rFonts w:ascii="Times New Roman" w:hAnsi="Times New Roman" w:eastAsia="黑体"/>
          <w:snapToGrid w:val="0"/>
          <w:color w:val="auto"/>
          <w:sz w:val="30"/>
          <w:szCs w:val="30"/>
        </w:rPr>
      </w:pPr>
      <w:bookmarkStart w:id="1" w:name="_Toc22568"/>
      <w:r>
        <w:rPr>
          <w:rFonts w:ascii="Times New Roman" w:hAnsi="Times New Roman" w:eastAsia="黑体"/>
          <w:snapToGrid w:val="0"/>
          <w:color w:val="auto"/>
          <w:sz w:val="30"/>
          <w:szCs w:val="30"/>
        </w:rPr>
        <w:t>一、建设项目基本情况</w:t>
      </w:r>
      <w:bookmarkEnd w:id="1"/>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38"/>
        <w:gridCol w:w="2081"/>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建设项目名称</w:t>
            </w:r>
          </w:p>
        </w:tc>
        <w:tc>
          <w:tcPr>
            <w:tcW w:w="6932" w:type="dxa"/>
            <w:gridSpan w:val="3"/>
            <w:vAlign w:val="center"/>
          </w:tcPr>
          <w:p>
            <w:pPr>
              <w:adjustRightInd w:val="0"/>
              <w:snapToGrid w:val="0"/>
              <w:jc w:val="center"/>
              <w:rPr>
                <w:rFonts w:ascii="Times New Roman" w:hAnsi="Times New Roman"/>
                <w:color w:val="auto"/>
                <w:sz w:val="24"/>
              </w:rPr>
            </w:pPr>
            <w:r>
              <w:rPr>
                <w:rFonts w:ascii="Times New Roman" w:hAnsi="Times New Roman"/>
                <w:color w:val="auto"/>
                <w:sz w:val="24"/>
              </w:rPr>
              <w:t>年产100万支两用扳手建设项目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项目代码</w:t>
            </w:r>
          </w:p>
        </w:tc>
        <w:tc>
          <w:tcPr>
            <w:tcW w:w="6932" w:type="dxa"/>
            <w:gridSpan w:val="3"/>
            <w:vAlign w:val="center"/>
          </w:tcPr>
          <w:p>
            <w:pPr>
              <w:adjustRightInd w:val="0"/>
              <w:snapToGrid w:val="0"/>
              <w:jc w:val="center"/>
              <w:rPr>
                <w:rFonts w:ascii="Times New Roman" w:hAnsi="Times New Roman"/>
                <w:color w:val="auto"/>
                <w:sz w:val="24"/>
              </w:rPr>
            </w:pPr>
            <w:r>
              <w:rPr>
                <w:rFonts w:ascii="Times New Roman" w:hAnsi="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建设单位联系人</w:t>
            </w:r>
          </w:p>
        </w:tc>
        <w:tc>
          <w:tcPr>
            <w:tcW w:w="2081"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王庆强</w:t>
            </w:r>
          </w:p>
        </w:tc>
        <w:tc>
          <w:tcPr>
            <w:tcW w:w="2212"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联系方式</w:t>
            </w:r>
          </w:p>
        </w:tc>
        <w:tc>
          <w:tcPr>
            <w:tcW w:w="2639"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13807391912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建设地点</w:t>
            </w:r>
          </w:p>
        </w:tc>
        <w:tc>
          <w:tcPr>
            <w:tcW w:w="6932" w:type="dxa"/>
            <w:gridSpan w:val="3"/>
            <w:vAlign w:val="center"/>
          </w:tcPr>
          <w:p>
            <w:pPr>
              <w:adjustRightInd w:val="0"/>
              <w:snapToGrid w:val="0"/>
              <w:jc w:val="center"/>
              <w:rPr>
                <w:rFonts w:ascii="Times New Roman" w:hAnsi="Times New Roman"/>
                <w:color w:val="auto"/>
                <w:sz w:val="24"/>
              </w:rPr>
            </w:pPr>
            <w:r>
              <w:rPr>
                <w:rFonts w:ascii="Times New Roman" w:hAnsi="Times New Roman"/>
                <w:color w:val="auto"/>
                <w:sz w:val="24"/>
                <w:u w:val="single"/>
              </w:rPr>
              <w:t xml:space="preserve"> 湖南 </w:t>
            </w:r>
            <w:r>
              <w:rPr>
                <w:rFonts w:ascii="Times New Roman" w:hAnsi="Times New Roman"/>
                <w:color w:val="auto"/>
                <w:sz w:val="24"/>
              </w:rPr>
              <w:t>省（自治区）</w:t>
            </w:r>
            <w:r>
              <w:rPr>
                <w:rFonts w:ascii="Times New Roman" w:hAnsi="Times New Roman"/>
                <w:color w:val="auto"/>
                <w:sz w:val="24"/>
                <w:u w:val="single"/>
              </w:rPr>
              <w:t xml:space="preserve"> 邵阳市 </w:t>
            </w:r>
            <w:r>
              <w:rPr>
                <w:rFonts w:ascii="Times New Roman" w:hAnsi="Times New Roman"/>
                <w:color w:val="auto"/>
                <w:sz w:val="24"/>
              </w:rPr>
              <w:t>市</w:t>
            </w:r>
            <w:r>
              <w:rPr>
                <w:rFonts w:ascii="Times New Roman" w:hAnsi="Times New Roman"/>
                <w:color w:val="auto"/>
                <w:sz w:val="24"/>
                <w:u w:val="single"/>
              </w:rPr>
              <w:t xml:space="preserve"> 邵东 </w:t>
            </w:r>
            <w:r>
              <w:rPr>
                <w:rFonts w:ascii="Times New Roman" w:hAnsi="Times New Roman"/>
                <w:color w:val="auto"/>
                <w:sz w:val="24"/>
              </w:rPr>
              <w:t>市（区）</w:t>
            </w:r>
            <w:r>
              <w:rPr>
                <w:rFonts w:ascii="Times New Roman" w:hAnsi="Times New Roman"/>
                <w:color w:val="auto"/>
                <w:sz w:val="24"/>
                <w:u w:val="single"/>
              </w:rPr>
              <w:t xml:space="preserve"> 仙槎桥 </w:t>
            </w:r>
            <w:r>
              <w:rPr>
                <w:rFonts w:ascii="Times New Roman" w:hAnsi="Times New Roman"/>
                <w:color w:val="auto"/>
                <w:sz w:val="24"/>
              </w:rPr>
              <w:t>镇（街道）</w:t>
            </w:r>
            <w:r>
              <w:rPr>
                <w:rFonts w:ascii="Times New Roman" w:hAnsi="Times New Roman"/>
                <w:color w:val="auto"/>
                <w:sz w:val="24"/>
                <w:u w:val="single"/>
              </w:rPr>
              <w:t xml:space="preserve"> 五金工业园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地理坐标</w:t>
            </w:r>
          </w:p>
        </w:tc>
        <w:tc>
          <w:tcPr>
            <w:tcW w:w="6932" w:type="dxa"/>
            <w:gridSpan w:val="3"/>
            <w:vAlign w:val="center"/>
          </w:tcPr>
          <w:p>
            <w:pPr>
              <w:jc w:val="center"/>
              <w:rPr>
                <w:rFonts w:ascii="Times New Roman" w:hAnsi="Times New Roman"/>
                <w:color w:val="auto"/>
                <w:sz w:val="24"/>
              </w:rPr>
            </w:pPr>
            <w:r>
              <w:rPr>
                <w:rFonts w:ascii="Times New Roman" w:hAnsi="Times New Roman"/>
                <w:color w:val="auto"/>
                <w:sz w:val="24"/>
              </w:rPr>
              <w:t>（</w:t>
            </w:r>
            <w:r>
              <w:rPr>
                <w:rFonts w:ascii="Times New Roman" w:hAnsi="Times New Roman"/>
                <w:color w:val="auto"/>
                <w:sz w:val="24"/>
                <w:u w:val="single"/>
              </w:rPr>
              <w:t>111</w:t>
            </w:r>
            <w:r>
              <w:rPr>
                <w:rFonts w:ascii="Times New Roman" w:hAnsi="Times New Roman"/>
                <w:color w:val="auto"/>
                <w:sz w:val="24"/>
              </w:rPr>
              <w:t>度</w:t>
            </w:r>
            <w:r>
              <w:rPr>
                <w:rFonts w:ascii="Times New Roman" w:hAnsi="Times New Roman"/>
                <w:color w:val="auto"/>
                <w:sz w:val="24"/>
                <w:u w:val="single"/>
              </w:rPr>
              <w:t>42</w:t>
            </w:r>
            <w:r>
              <w:rPr>
                <w:rFonts w:ascii="Times New Roman" w:hAnsi="Times New Roman"/>
                <w:color w:val="auto"/>
                <w:sz w:val="24"/>
              </w:rPr>
              <w:t>分</w:t>
            </w:r>
            <w:r>
              <w:rPr>
                <w:rFonts w:ascii="Times New Roman" w:hAnsi="Times New Roman"/>
                <w:color w:val="auto"/>
                <w:sz w:val="24"/>
                <w:u w:val="single"/>
              </w:rPr>
              <w:t>32.97613</w:t>
            </w:r>
            <w:r>
              <w:rPr>
                <w:rFonts w:ascii="Times New Roman" w:hAnsi="Times New Roman"/>
                <w:color w:val="auto"/>
                <w:sz w:val="24"/>
              </w:rPr>
              <w:t>秒，</w:t>
            </w:r>
            <w:r>
              <w:rPr>
                <w:rFonts w:ascii="Times New Roman" w:hAnsi="Times New Roman"/>
                <w:color w:val="auto"/>
                <w:sz w:val="24"/>
                <w:u w:val="single"/>
              </w:rPr>
              <w:t>27</w:t>
            </w:r>
            <w:r>
              <w:rPr>
                <w:rFonts w:ascii="Times New Roman" w:hAnsi="Times New Roman"/>
                <w:color w:val="auto"/>
                <w:sz w:val="24"/>
              </w:rPr>
              <w:t>度</w:t>
            </w:r>
            <w:r>
              <w:rPr>
                <w:rFonts w:ascii="Times New Roman" w:hAnsi="Times New Roman"/>
                <w:color w:val="auto"/>
                <w:sz w:val="24"/>
                <w:u w:val="single"/>
              </w:rPr>
              <w:t>10</w:t>
            </w:r>
            <w:r>
              <w:rPr>
                <w:rFonts w:ascii="Times New Roman" w:hAnsi="Times New Roman"/>
                <w:color w:val="auto"/>
                <w:sz w:val="24"/>
              </w:rPr>
              <w:t>分</w:t>
            </w:r>
            <w:r>
              <w:rPr>
                <w:rFonts w:ascii="Times New Roman" w:hAnsi="Times New Roman"/>
                <w:color w:val="auto"/>
                <w:sz w:val="24"/>
                <w:u w:val="single"/>
              </w:rPr>
              <w:t>16.32966</w:t>
            </w:r>
            <w:r>
              <w:rPr>
                <w:rFonts w:ascii="Times New Roman" w:hAnsi="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国民经济行业类别</w:t>
            </w:r>
          </w:p>
        </w:tc>
        <w:tc>
          <w:tcPr>
            <w:tcW w:w="2081"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C3322 手工具制造</w:t>
            </w:r>
          </w:p>
        </w:tc>
        <w:tc>
          <w:tcPr>
            <w:tcW w:w="2212" w:type="dxa"/>
            <w:vAlign w:val="center"/>
          </w:tcPr>
          <w:p>
            <w:pPr>
              <w:adjustRightInd w:val="0"/>
              <w:snapToGrid w:val="0"/>
              <w:jc w:val="center"/>
              <w:rPr>
                <w:rFonts w:ascii="Times New Roman" w:hAnsi="Times New Roman"/>
                <w:color w:val="auto"/>
                <w:sz w:val="24"/>
              </w:rPr>
            </w:pPr>
            <w:bookmarkStart w:id="2" w:name="_Hlk49843745"/>
            <w:r>
              <w:rPr>
                <w:rFonts w:ascii="Times New Roman" w:hAnsi="Times New Roman"/>
                <w:color w:val="auto"/>
                <w:sz w:val="24"/>
              </w:rPr>
              <w:t>建设项目行业类别</w:t>
            </w:r>
            <w:bookmarkEnd w:id="2"/>
          </w:p>
        </w:tc>
        <w:tc>
          <w:tcPr>
            <w:tcW w:w="2639" w:type="dxa"/>
            <w:vAlign w:val="center"/>
          </w:tcPr>
          <w:p>
            <w:pPr>
              <w:adjustRightInd w:val="0"/>
              <w:snapToGrid w:val="0"/>
              <w:rPr>
                <w:rFonts w:ascii="Times New Roman" w:hAnsi="Times New Roman"/>
                <w:color w:val="auto"/>
                <w:sz w:val="24"/>
              </w:rPr>
            </w:pPr>
            <w:r>
              <w:rPr>
                <w:rFonts w:ascii="Times New Roman" w:hAnsi="Times New Roman"/>
                <w:color w:val="auto"/>
                <w:sz w:val="24"/>
              </w:rPr>
              <w:t>三十、金属制品业中</w:t>
            </w:r>
            <w:r>
              <w:rPr>
                <w:rFonts w:hint="eastAsia" w:ascii="Times New Roman" w:hAnsi="Times New Roman"/>
                <w:color w:val="auto"/>
                <w:sz w:val="24"/>
              </w:rPr>
              <w:t>“066中的</w:t>
            </w:r>
            <w:r>
              <w:rPr>
                <w:rFonts w:ascii="Times New Roman" w:hAnsi="Times New Roman"/>
                <w:color w:val="auto"/>
                <w:sz w:val="24"/>
              </w:rPr>
              <w:t>金属工具制造</w:t>
            </w:r>
            <w:r>
              <w:rPr>
                <w:rFonts w:hint="eastAsia" w:ascii="Times New Roman" w:hAnsi="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建设性质</w:t>
            </w:r>
          </w:p>
        </w:tc>
        <w:tc>
          <w:tcPr>
            <w:tcW w:w="2081" w:type="dxa"/>
            <w:vAlign w:val="center"/>
          </w:tcPr>
          <w:p>
            <w:pPr>
              <w:jc w:val="left"/>
              <w:rPr>
                <w:rFonts w:ascii="Times New Roman" w:hAnsi="Times New Roman"/>
                <w:color w:val="auto"/>
                <w:sz w:val="24"/>
              </w:rPr>
            </w:pPr>
            <w:r>
              <w:rPr>
                <w:rFonts w:ascii="Times New Roman" w:hAnsi="Times New Roman"/>
                <w:color w:val="auto"/>
                <w:sz w:val="24"/>
              </w:rPr>
              <w:t>☑新建（补办）</w:t>
            </w:r>
          </w:p>
          <w:p>
            <w:pPr>
              <w:jc w:val="left"/>
              <w:rPr>
                <w:rFonts w:ascii="Times New Roman" w:hAnsi="Times New Roman"/>
                <w:color w:val="auto"/>
                <w:sz w:val="24"/>
              </w:rPr>
            </w:pPr>
            <w:r>
              <w:rPr>
                <w:rFonts w:ascii="Times New Roman" w:hAnsi="Times New Roman"/>
                <w:color w:val="auto"/>
                <w:sz w:val="24"/>
              </w:rPr>
              <w:t>□改建</w:t>
            </w:r>
          </w:p>
          <w:p>
            <w:pPr>
              <w:jc w:val="left"/>
              <w:rPr>
                <w:rFonts w:ascii="Times New Roman" w:hAnsi="Times New Roman"/>
                <w:color w:val="auto"/>
                <w:sz w:val="24"/>
              </w:rPr>
            </w:pPr>
            <w:r>
              <w:rPr>
                <w:rFonts w:ascii="Times New Roman" w:hAnsi="Times New Roman"/>
                <w:color w:val="auto"/>
                <w:sz w:val="24"/>
              </w:rPr>
              <w:t>□扩建</w:t>
            </w:r>
          </w:p>
          <w:p>
            <w:pPr>
              <w:jc w:val="left"/>
              <w:rPr>
                <w:rFonts w:ascii="Times New Roman" w:hAnsi="Times New Roman"/>
                <w:color w:val="auto"/>
                <w:sz w:val="24"/>
              </w:rPr>
            </w:pPr>
            <w:r>
              <w:rPr>
                <w:rFonts w:ascii="Times New Roman" w:hAnsi="Times New Roman"/>
                <w:color w:val="auto"/>
                <w:sz w:val="24"/>
              </w:rPr>
              <w:t>□技术改造</w:t>
            </w:r>
          </w:p>
        </w:tc>
        <w:tc>
          <w:tcPr>
            <w:tcW w:w="2212"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建设项目</w:t>
            </w:r>
          </w:p>
          <w:p>
            <w:pPr>
              <w:adjustRightInd w:val="0"/>
              <w:snapToGrid w:val="0"/>
              <w:jc w:val="center"/>
              <w:rPr>
                <w:rFonts w:ascii="Times New Roman" w:hAnsi="Times New Roman"/>
                <w:color w:val="auto"/>
                <w:sz w:val="24"/>
              </w:rPr>
            </w:pPr>
            <w:r>
              <w:rPr>
                <w:rFonts w:ascii="Times New Roman" w:hAnsi="Times New Roman"/>
                <w:color w:val="auto"/>
                <w:sz w:val="24"/>
              </w:rPr>
              <w:t>申报情形</w:t>
            </w:r>
          </w:p>
        </w:tc>
        <w:tc>
          <w:tcPr>
            <w:tcW w:w="2639" w:type="dxa"/>
            <w:vAlign w:val="center"/>
          </w:tcPr>
          <w:p>
            <w:pPr>
              <w:jc w:val="left"/>
              <w:rPr>
                <w:rFonts w:ascii="Times New Roman" w:hAnsi="Times New Roman"/>
                <w:color w:val="auto"/>
                <w:sz w:val="24"/>
              </w:rPr>
            </w:pPr>
            <w:r>
              <w:rPr>
                <w:rFonts w:ascii="Times New Roman" w:hAnsi="Times New Roman"/>
                <w:color w:val="auto"/>
                <w:sz w:val="24"/>
              </w:rPr>
              <w:t xml:space="preserve">☑首次申报项目             </w:t>
            </w:r>
          </w:p>
          <w:p>
            <w:pPr>
              <w:jc w:val="left"/>
              <w:rPr>
                <w:rFonts w:ascii="Times New Roman" w:hAnsi="Times New Roman"/>
                <w:color w:val="auto"/>
                <w:sz w:val="24"/>
              </w:rPr>
            </w:pPr>
            <w:r>
              <w:rPr>
                <w:rFonts w:ascii="Times New Roman" w:hAnsi="Times New Roman"/>
                <w:color w:val="auto"/>
                <w:sz w:val="24"/>
              </w:rPr>
              <w:t>□不予批准后再次申报项目</w:t>
            </w:r>
          </w:p>
          <w:p>
            <w:pPr>
              <w:jc w:val="left"/>
              <w:rPr>
                <w:rFonts w:ascii="Times New Roman" w:hAnsi="Times New Roman"/>
                <w:color w:val="auto"/>
                <w:sz w:val="24"/>
              </w:rPr>
            </w:pPr>
            <w:r>
              <w:rPr>
                <w:rFonts w:ascii="Times New Roman" w:hAnsi="Times New Roman"/>
                <w:color w:val="auto"/>
                <w:sz w:val="24"/>
              </w:rPr>
              <w:t xml:space="preserve">□超五年重新审核项目     </w:t>
            </w:r>
          </w:p>
          <w:p>
            <w:pPr>
              <w:jc w:val="left"/>
              <w:rPr>
                <w:rFonts w:ascii="Times New Roman" w:hAnsi="Times New Roman"/>
                <w:color w:val="auto"/>
                <w:sz w:val="24"/>
              </w:rPr>
            </w:pPr>
            <w:r>
              <w:rPr>
                <w:rFonts w:ascii="Times New Roman" w:hAnsi="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项目审批（核准/</w:t>
            </w:r>
          </w:p>
          <w:p>
            <w:pPr>
              <w:adjustRightInd w:val="0"/>
              <w:snapToGrid w:val="0"/>
              <w:jc w:val="center"/>
              <w:rPr>
                <w:rFonts w:ascii="Times New Roman" w:hAnsi="Times New Roman"/>
                <w:color w:val="auto"/>
                <w:sz w:val="24"/>
              </w:rPr>
            </w:pPr>
            <w:r>
              <w:rPr>
                <w:rFonts w:ascii="Times New Roman" w:hAnsi="Times New Roman"/>
                <w:color w:val="auto"/>
                <w:sz w:val="24"/>
              </w:rPr>
              <w:t>备案）部门（选填）</w:t>
            </w:r>
          </w:p>
        </w:tc>
        <w:tc>
          <w:tcPr>
            <w:tcW w:w="2081"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无</w:t>
            </w:r>
          </w:p>
        </w:tc>
        <w:tc>
          <w:tcPr>
            <w:tcW w:w="2212"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项目审批（核准/备案）文号（选填）</w:t>
            </w:r>
          </w:p>
        </w:tc>
        <w:tc>
          <w:tcPr>
            <w:tcW w:w="2639"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总投资（万元）</w:t>
            </w:r>
          </w:p>
        </w:tc>
        <w:tc>
          <w:tcPr>
            <w:tcW w:w="2081"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150</w:t>
            </w:r>
          </w:p>
        </w:tc>
        <w:tc>
          <w:tcPr>
            <w:tcW w:w="221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环保投资（万元）</w:t>
            </w:r>
          </w:p>
        </w:tc>
        <w:tc>
          <w:tcPr>
            <w:tcW w:w="2639" w:type="dxa"/>
            <w:vAlign w:val="center"/>
          </w:tcPr>
          <w:p>
            <w:pPr>
              <w:adjustRightInd w:val="0"/>
              <w:snapToGrid w:val="0"/>
              <w:jc w:val="center"/>
              <w:rPr>
                <w:rFonts w:ascii="Times New Roman" w:hAnsi="Times New Roman"/>
                <w:color w:val="auto"/>
                <w:sz w:val="24"/>
              </w:rPr>
            </w:pPr>
            <w:r>
              <w:rPr>
                <w:rFonts w:hint="eastAsia" w:ascii="Times New Roman" w:hAnsi="Times New Roman"/>
                <w:color w:val="auto"/>
                <w:sz w:val="24"/>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环保投资占比（%）</w:t>
            </w:r>
          </w:p>
        </w:tc>
        <w:tc>
          <w:tcPr>
            <w:tcW w:w="2081" w:type="dxa"/>
            <w:vAlign w:val="center"/>
          </w:tcPr>
          <w:p>
            <w:pPr>
              <w:adjustRightInd w:val="0"/>
              <w:snapToGrid w:val="0"/>
              <w:jc w:val="center"/>
              <w:rPr>
                <w:rFonts w:ascii="Times New Roman" w:hAnsi="Times New Roman"/>
                <w:color w:val="auto"/>
                <w:sz w:val="24"/>
              </w:rPr>
            </w:pPr>
            <w:r>
              <w:rPr>
                <w:rFonts w:hint="eastAsia" w:ascii="Times New Roman" w:hAnsi="Times New Roman"/>
                <w:color w:val="auto"/>
                <w:sz w:val="24"/>
              </w:rPr>
              <w:t>10</w:t>
            </w:r>
          </w:p>
        </w:tc>
        <w:tc>
          <w:tcPr>
            <w:tcW w:w="221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施工工期</w:t>
            </w:r>
          </w:p>
        </w:tc>
        <w:tc>
          <w:tcPr>
            <w:tcW w:w="2639" w:type="dxa"/>
            <w:vAlign w:val="center"/>
          </w:tcPr>
          <w:p>
            <w:pPr>
              <w:adjustRightInd w:val="0"/>
              <w:snapToGrid w:val="0"/>
              <w:jc w:val="center"/>
              <w:rPr>
                <w:rFonts w:ascii="Times New Roman" w:hAnsi="Times New Roman"/>
                <w:color w:val="auto"/>
                <w:sz w:val="24"/>
              </w:rPr>
            </w:pPr>
            <w:r>
              <w:rPr>
                <w:rFonts w:hint="eastAsia" w:ascii="Times New Roman" w:hAnsi="Times New Roman"/>
                <w:color w:val="auto"/>
                <w:sz w:val="24"/>
              </w:rPr>
              <w:t>已建设完毕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是否开工建设</w:t>
            </w:r>
          </w:p>
        </w:tc>
        <w:tc>
          <w:tcPr>
            <w:tcW w:w="2081" w:type="dxa"/>
            <w:vAlign w:val="center"/>
          </w:tcPr>
          <w:p>
            <w:pPr>
              <w:adjustRightInd w:val="0"/>
              <w:snapToGrid w:val="0"/>
              <w:rPr>
                <w:rFonts w:ascii="Times New Roman" w:hAnsi="Times New Roman"/>
                <w:color w:val="auto"/>
                <w:sz w:val="24"/>
              </w:rPr>
            </w:pPr>
            <w:r>
              <w:rPr>
                <w:rFonts w:ascii="Times New Roman" w:hAnsi="Times New Roman"/>
                <w:color w:val="auto"/>
                <w:sz w:val="24"/>
              </w:rPr>
              <w:t>□否</w:t>
            </w:r>
          </w:p>
          <w:p>
            <w:pPr>
              <w:adjustRightInd w:val="0"/>
              <w:snapToGrid w:val="0"/>
              <w:rPr>
                <w:rFonts w:ascii="Times New Roman" w:hAnsi="Times New Roman"/>
                <w:color w:val="auto"/>
                <w:sz w:val="24"/>
              </w:rPr>
            </w:pPr>
            <w:r>
              <w:rPr>
                <w:rFonts w:ascii="Times New Roman" w:hAnsi="Times New Roman"/>
                <w:color w:val="auto"/>
                <w:sz w:val="24"/>
              </w:rPr>
              <w:sym w:font="Wingdings 2" w:char="0052"/>
            </w:r>
            <w:r>
              <w:rPr>
                <w:rFonts w:ascii="Times New Roman" w:hAnsi="Times New Roman"/>
                <w:color w:val="auto"/>
                <w:sz w:val="24"/>
              </w:rPr>
              <w:t>是：</w:t>
            </w:r>
            <w:r>
              <w:rPr>
                <w:rFonts w:hint="eastAsia" w:ascii="Times New Roman" w:hAnsi="Times New Roman"/>
                <w:color w:val="auto"/>
                <w:sz w:val="24"/>
              </w:rPr>
              <w:t>项目</w:t>
            </w:r>
            <w:r>
              <w:rPr>
                <w:rFonts w:ascii="Times New Roman" w:hAnsi="Times New Roman"/>
                <w:color w:val="auto"/>
                <w:sz w:val="24"/>
              </w:rPr>
              <w:t>于2005年2月开始运营至今，未办理环评手续，现主动完善环评手续，邵阳市生态环境局邵东分局对建设单位处一万元罚款（行政处罚决定书：邵环罚【2019】90号）</w:t>
            </w:r>
          </w:p>
        </w:tc>
        <w:tc>
          <w:tcPr>
            <w:tcW w:w="221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pacing w:val="-6"/>
                <w:sz w:val="24"/>
              </w:rPr>
              <w:t>用地面积（m</w:t>
            </w:r>
            <w:r>
              <w:rPr>
                <w:rFonts w:ascii="Times New Roman" w:hAnsi="Times New Roman"/>
                <w:color w:val="auto"/>
                <w:spacing w:val="-6"/>
                <w:sz w:val="24"/>
                <w:vertAlign w:val="superscript"/>
              </w:rPr>
              <w:t>2</w:t>
            </w:r>
            <w:r>
              <w:rPr>
                <w:rFonts w:ascii="Times New Roman" w:hAnsi="Times New Roman"/>
                <w:color w:val="auto"/>
                <w:spacing w:val="-6"/>
                <w:sz w:val="24"/>
              </w:rPr>
              <w:t>）</w:t>
            </w:r>
          </w:p>
        </w:tc>
        <w:tc>
          <w:tcPr>
            <w:tcW w:w="2639" w:type="dxa"/>
            <w:vAlign w:val="center"/>
          </w:tcPr>
          <w:p>
            <w:pPr>
              <w:adjustRightInd w:val="0"/>
              <w:snapToGrid w:val="0"/>
              <w:jc w:val="center"/>
              <w:rPr>
                <w:rFonts w:ascii="Times New Roman" w:hAnsi="Times New Roman"/>
                <w:color w:val="auto"/>
                <w:sz w:val="24"/>
              </w:rPr>
            </w:pPr>
            <w:r>
              <w:rPr>
                <w:rFonts w:hint="eastAsia" w:ascii="Times New Roman" w:hAnsi="Times New Roman"/>
                <w:color w:val="auto"/>
                <w:sz w:val="24"/>
              </w:rPr>
              <w:t>3372.2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vAlign w:val="center"/>
          </w:tcPr>
          <w:p>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kern w:val="0"/>
                <w:sz w:val="24"/>
              </w:rPr>
              <w:t>专项评价设置情况</w:t>
            </w:r>
          </w:p>
        </w:tc>
        <w:tc>
          <w:tcPr>
            <w:tcW w:w="6932" w:type="dxa"/>
            <w:gridSpan w:val="3"/>
            <w:vAlign w:val="center"/>
          </w:tcPr>
          <w:p>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kern w:val="0"/>
                <w:sz w:val="24"/>
              </w:rPr>
              <w:t>根据《建设项目环境影响报告表》编制技术指南</w:t>
            </w:r>
            <w:r>
              <w:rPr>
                <w:rFonts w:hint="eastAsia" w:ascii="Times New Roman" w:hAnsi="Times New Roman"/>
                <w:color w:val="auto"/>
                <w:kern w:val="0"/>
                <w:sz w:val="24"/>
              </w:rPr>
              <w:t>（污染影响类）</w:t>
            </w:r>
            <w:r>
              <w:rPr>
                <w:rFonts w:ascii="Times New Roman" w:hAnsi="Times New Roman"/>
                <w:color w:val="auto"/>
                <w:kern w:val="0"/>
                <w:sz w:val="24"/>
              </w:rPr>
              <w:t>，</w:t>
            </w:r>
          </w:p>
          <w:p>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kern w:val="0"/>
                <w:sz w:val="24"/>
              </w:rPr>
              <w:t>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938" w:type="dxa"/>
            <w:vAlign w:val="center"/>
          </w:tcPr>
          <w:p>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sz w:val="24"/>
              </w:rPr>
              <w:t>规划情况</w:t>
            </w:r>
          </w:p>
        </w:tc>
        <w:tc>
          <w:tcPr>
            <w:tcW w:w="6932" w:type="dxa"/>
            <w:gridSpan w:val="3"/>
            <w:vAlign w:val="center"/>
          </w:tcPr>
          <w:p>
            <w:pPr>
              <w:autoSpaceDE w:val="0"/>
              <w:autoSpaceDN w:val="0"/>
              <w:adjustRightInd w:val="0"/>
              <w:snapToGrid w:val="0"/>
              <w:jc w:val="center"/>
              <w:rPr>
                <w:rFonts w:ascii="Times New Roman" w:hAnsi="Times New Roman"/>
                <w:color w:val="auto"/>
                <w:kern w:val="0"/>
                <w:sz w:val="24"/>
              </w:rPr>
            </w:pPr>
            <w:r>
              <w:rPr>
                <w:rFonts w:ascii="Times New Roman" w:hAnsi="Times New Roman"/>
                <w:color w:val="auto"/>
                <w:sz w:val="24"/>
              </w:rPr>
              <w:t>本项目位于湖南省邵阳市邵东市仙槎桥镇五金工业园。邵东市仙槎桥镇五金工业园规划范围总面积1000亩，整个产业园位于邵仙公路以东、学苑路以南、仙灵路以西、金城路以北地块，园区规划为机加工、锻压区、物流仓储区、商业服务区、总部办公区、配套生活区等六个功能区，规划总建筑面积400000m</w:t>
            </w:r>
            <w:r>
              <w:rPr>
                <w:rFonts w:ascii="Times New Roman" w:hAnsi="Times New Roman"/>
                <w:color w:val="auto"/>
                <w:sz w:val="24"/>
                <w:vertAlign w:val="superscript"/>
              </w:rPr>
              <w:t>2</w:t>
            </w:r>
            <w:r>
              <w:rPr>
                <w:rFonts w:ascii="Times New Roman" w:hAnsi="Times New Roman"/>
                <w:color w:val="auto"/>
                <w:sz w:val="24"/>
              </w:rPr>
              <w:t>。一期规划用地面积为0.27km</w:t>
            </w:r>
            <w:r>
              <w:rPr>
                <w:rFonts w:ascii="Times New Roman" w:hAnsi="Times New Roman"/>
                <w:color w:val="auto"/>
                <w:sz w:val="24"/>
                <w:vertAlign w:val="superscript"/>
              </w:rPr>
              <w:t>2</w:t>
            </w:r>
            <w:r>
              <w:rPr>
                <w:rFonts w:ascii="Times New Roman" w:hAnsi="Times New Roman"/>
                <w:color w:val="auto"/>
                <w:sz w:val="24"/>
              </w:rPr>
              <w:t>（合400亩），规划建筑面积200000m</w:t>
            </w:r>
            <w:r>
              <w:rPr>
                <w:rFonts w:ascii="Times New Roman" w:hAnsi="Times New Roman"/>
                <w:color w:val="auto"/>
                <w:sz w:val="24"/>
                <w:vertAlign w:val="superscript"/>
              </w:rPr>
              <w:t>2</w:t>
            </w:r>
            <w:r>
              <w:rPr>
                <w:rFonts w:ascii="Times New Roman" w:hAnsi="Times New Roman"/>
                <w:color w:val="auto"/>
                <w:sz w:val="24"/>
              </w:rPr>
              <w:t>，为起步区，完成全部场地平整，达到</w:t>
            </w:r>
            <w:r>
              <w:rPr>
                <w:rFonts w:hint="eastAsia" w:ascii="Times New Roman" w:hAnsi="Times New Roman"/>
                <w:color w:val="auto"/>
                <w:sz w:val="24"/>
              </w:rPr>
              <w:t>“</w:t>
            </w:r>
            <w:r>
              <w:rPr>
                <w:rFonts w:ascii="Times New Roman" w:hAnsi="Times New Roman"/>
                <w:color w:val="auto"/>
                <w:sz w:val="24"/>
              </w:rPr>
              <w:t>七通一平</w:t>
            </w:r>
            <w:r>
              <w:rPr>
                <w:rFonts w:hint="eastAsia" w:ascii="Times New Roman" w:hAnsi="Times New Roman"/>
                <w:color w:val="auto"/>
                <w:sz w:val="24"/>
              </w:rPr>
              <w:t>”</w:t>
            </w:r>
            <w:r>
              <w:rPr>
                <w:rFonts w:ascii="Times New Roman" w:hAnsi="Times New Roman"/>
                <w:color w:val="auto"/>
                <w:sz w:val="24"/>
              </w:rPr>
              <w:t>基础设施建设，并先期建设部分厂房、职工宿舍、办公用房、锻压中心、商务服务中心建构筑物及配套设施（一期规划至2018年）；二期规划用地0.4km</w:t>
            </w:r>
            <w:r>
              <w:rPr>
                <w:rFonts w:ascii="Times New Roman" w:hAnsi="Times New Roman"/>
                <w:color w:val="auto"/>
                <w:sz w:val="24"/>
                <w:vertAlign w:val="superscript"/>
              </w:rPr>
              <w:t>2</w:t>
            </w:r>
            <w:r>
              <w:rPr>
                <w:rFonts w:ascii="Times New Roman" w:hAnsi="Times New Roman"/>
                <w:color w:val="auto"/>
                <w:sz w:val="24"/>
              </w:rPr>
              <w:t>，规划建筑面积为200000m</w:t>
            </w:r>
            <w:r>
              <w:rPr>
                <w:rFonts w:ascii="Times New Roman" w:hAnsi="Times New Roman"/>
                <w:color w:val="auto"/>
                <w:sz w:val="24"/>
                <w:vertAlign w:val="superscript"/>
              </w:rPr>
              <w:t>2</w:t>
            </w:r>
            <w:r>
              <w:rPr>
                <w:rFonts w:ascii="Times New Roman" w:hAnsi="Times New Roman"/>
                <w:color w:val="auto"/>
                <w:sz w:val="24"/>
              </w:rPr>
              <w:t>，为发展区，完善规划待建的厂房、职工宿舍、办公用房、仓储、商务服务中心及其他配套设施（二期规划至2020年）。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规划环境影响</w:t>
            </w:r>
          </w:p>
          <w:p>
            <w:pPr>
              <w:adjustRightInd w:val="0"/>
              <w:snapToGrid w:val="0"/>
              <w:jc w:val="center"/>
              <w:rPr>
                <w:rFonts w:ascii="Times New Roman" w:hAnsi="Times New Roman"/>
                <w:color w:val="auto"/>
                <w:kern w:val="0"/>
                <w:sz w:val="24"/>
              </w:rPr>
            </w:pPr>
            <w:r>
              <w:rPr>
                <w:rFonts w:ascii="Times New Roman" w:hAnsi="Times New Roman"/>
                <w:color w:val="auto"/>
                <w:sz w:val="24"/>
              </w:rPr>
              <w:t>评价情况</w:t>
            </w:r>
          </w:p>
        </w:tc>
        <w:tc>
          <w:tcPr>
            <w:tcW w:w="6932" w:type="dxa"/>
            <w:gridSpan w:val="3"/>
            <w:vAlign w:val="center"/>
          </w:tcPr>
          <w:p>
            <w:pPr>
              <w:autoSpaceDE w:val="0"/>
              <w:autoSpaceDN w:val="0"/>
              <w:adjustRightInd w:val="0"/>
              <w:snapToGrid w:val="0"/>
              <w:jc w:val="center"/>
              <w:rPr>
                <w:rFonts w:ascii="Times New Roman" w:hAnsi="Times New Roman"/>
                <w:color w:val="auto"/>
                <w:kern w:val="0"/>
                <w:sz w:val="24"/>
              </w:rPr>
            </w:pPr>
            <w:r>
              <w:rPr>
                <w:rFonts w:hint="eastAsia" w:ascii="Times New Roman" w:hAnsi="Times New Roman"/>
                <w:color w:val="auto"/>
                <w:kern w:val="0"/>
                <w:sz w:val="24"/>
              </w:rPr>
              <w:t>2017年由重庆九天环境影响评价有限公司编制了邵东五金科技创新产业园园区总体规划环境影响报告书，并于2017年8月24日获邵东县环保局的批准，批文号为（邵环评【2017】20号）。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38" w:type="dxa"/>
            <w:vAlign w:val="center"/>
          </w:tcPr>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规划及规划环境</w:t>
            </w:r>
          </w:p>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影响评价符合性分析</w:t>
            </w:r>
          </w:p>
        </w:tc>
        <w:tc>
          <w:tcPr>
            <w:tcW w:w="6932" w:type="dxa"/>
            <w:gridSpan w:val="3"/>
            <w:vAlign w:val="center"/>
          </w:tcPr>
          <w:p>
            <w:pPr>
              <w:spacing w:line="360" w:lineRule="auto"/>
              <w:ind w:firstLine="480" w:firstLineChars="200"/>
              <w:jc w:val="left"/>
              <w:rPr>
                <w:rFonts w:ascii="Times New Roman" w:hAnsi="Times New Roman"/>
                <w:color w:val="auto"/>
                <w:sz w:val="24"/>
              </w:rPr>
            </w:pPr>
            <w:r>
              <w:rPr>
                <w:rFonts w:hint="eastAsia"/>
                <w:color w:val="auto"/>
                <w:sz w:val="24"/>
              </w:rPr>
              <w:t>（</w:t>
            </w:r>
            <w:r>
              <w:rPr>
                <w:rFonts w:ascii="Times New Roman" w:hAnsi="Times New Roman"/>
                <w:color w:val="auto"/>
                <w:sz w:val="24"/>
              </w:rPr>
              <w:t>1）</w:t>
            </w:r>
            <w:r>
              <w:rPr>
                <w:rFonts w:hint="eastAsia" w:ascii="Times New Roman" w:hAnsi="Times New Roman"/>
                <w:color w:val="auto"/>
                <w:sz w:val="24"/>
              </w:rPr>
              <w:t>园区</w:t>
            </w:r>
            <w:r>
              <w:rPr>
                <w:rFonts w:ascii="Times New Roman" w:hAnsi="Times New Roman"/>
                <w:color w:val="auto"/>
                <w:sz w:val="24"/>
              </w:rPr>
              <w:t>规划符合性分析</w:t>
            </w:r>
          </w:p>
          <w:p>
            <w:pPr>
              <w:spacing w:line="360" w:lineRule="auto"/>
              <w:ind w:firstLine="480" w:firstLineChars="200"/>
              <w:jc w:val="left"/>
              <w:rPr>
                <w:color w:val="auto"/>
                <w:sz w:val="24"/>
              </w:rPr>
            </w:pPr>
            <w:r>
              <w:rPr>
                <w:rFonts w:hint="eastAsia"/>
                <w:color w:val="auto"/>
                <w:sz w:val="24"/>
              </w:rPr>
              <w:t>工业园区所有入区产业和招商项目必须符合国家产业政策和有关规定，在此基础上，根据对制约社会经济的主要环境要素的识别，从可持续发展的高度，对入区产业进行宏观控制。分为鼓励类、慎重发展类及禁止类三个类别。</w:t>
            </w:r>
          </w:p>
          <w:p>
            <w:pPr>
              <w:ind w:firstLine="422" w:firstLineChars="200"/>
              <w:jc w:val="center"/>
              <w:rPr>
                <w:rFonts w:ascii="Times New Roman" w:hAnsi="Times New Roman"/>
                <w:b/>
                <w:bCs/>
                <w:color w:val="auto"/>
                <w:szCs w:val="21"/>
              </w:rPr>
            </w:pPr>
            <w:r>
              <w:rPr>
                <w:rFonts w:ascii="Times New Roman" w:hAnsi="Times New Roman"/>
                <w:b/>
                <w:bCs/>
                <w:color w:val="auto"/>
                <w:szCs w:val="21"/>
              </w:rPr>
              <w:t xml:space="preserve">表1-1 </w:t>
            </w:r>
            <w:r>
              <w:rPr>
                <w:rFonts w:hint="eastAsia" w:ascii="Times New Roman" w:hAnsi="Times New Roman"/>
                <w:b/>
                <w:bCs/>
                <w:color w:val="auto"/>
                <w:szCs w:val="21"/>
              </w:rPr>
              <w:t xml:space="preserve"> </w:t>
            </w:r>
            <w:r>
              <w:rPr>
                <w:rFonts w:ascii="Times New Roman" w:hAnsi="Times New Roman"/>
                <w:b/>
                <w:bCs/>
                <w:color w:val="auto"/>
                <w:szCs w:val="21"/>
              </w:rPr>
              <w:t>入园产业宏观类别</w:t>
            </w:r>
          </w:p>
          <w:tbl>
            <w:tblPr>
              <w:tblStyle w:val="2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9"/>
              <w:gridCol w:w="5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648"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控制类别</w:t>
                  </w:r>
                </w:p>
              </w:tc>
              <w:tc>
                <w:tcPr>
                  <w:tcW w:w="4351" w:type="pct"/>
                  <w:tcBorders>
                    <w:tl2br w:val="nil"/>
                    <w:tr2bl w:val="nil"/>
                  </w:tcBorders>
                  <w:vAlign w:val="center"/>
                </w:tcPr>
                <w:p>
                  <w:pPr>
                    <w:ind w:firstLine="422" w:firstLineChars="200"/>
                    <w:jc w:val="center"/>
                    <w:rPr>
                      <w:rFonts w:ascii="Times New Roman" w:hAnsi="Times New Roman"/>
                      <w:b/>
                      <w:bCs/>
                      <w:color w:val="auto"/>
                      <w:szCs w:val="21"/>
                    </w:rPr>
                  </w:pPr>
                  <w:r>
                    <w:rPr>
                      <w:rFonts w:ascii="Times New Roman" w:hAnsi="Times New Roman"/>
                      <w:b/>
                      <w:bCs/>
                      <w:color w:val="auto"/>
                      <w:szCs w:val="21"/>
                    </w:rPr>
                    <w:t>界定范围和划分标准说明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48"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鼓励类</w:t>
                  </w:r>
                </w:p>
              </w:tc>
              <w:tc>
                <w:tcPr>
                  <w:tcW w:w="4351" w:type="pct"/>
                  <w:tcBorders>
                    <w:tl2br w:val="nil"/>
                    <w:tr2bl w:val="nil"/>
                  </w:tcBorders>
                  <w:vAlign w:val="center"/>
                </w:tcPr>
                <w:p>
                  <w:pPr>
                    <w:ind w:firstLine="420" w:firstLineChars="200"/>
                    <w:jc w:val="left"/>
                    <w:rPr>
                      <w:rFonts w:ascii="Times New Roman" w:hAnsi="Times New Roman"/>
                      <w:color w:val="auto"/>
                      <w:szCs w:val="21"/>
                    </w:rPr>
                  </w:pPr>
                  <w:r>
                    <w:rPr>
                      <w:rFonts w:ascii="Times New Roman" w:hAnsi="Times New Roman"/>
                      <w:color w:val="auto"/>
                      <w:szCs w:val="21"/>
                    </w:rPr>
                    <w:t>园区重点引进五金件生产、加工及销售企业，并且符合区域产业发展方向、社会、经济和环境综合效益好的产业应鼓励发展。</w:t>
                  </w:r>
                </w:p>
                <w:p>
                  <w:pPr>
                    <w:ind w:firstLine="420" w:firstLineChars="200"/>
                    <w:jc w:val="left"/>
                    <w:rPr>
                      <w:rFonts w:ascii="Times New Roman" w:hAnsi="Times New Roman"/>
                      <w:color w:val="auto"/>
                      <w:szCs w:val="21"/>
                    </w:rPr>
                  </w:pPr>
                  <w:r>
                    <w:rPr>
                      <w:rFonts w:ascii="Times New Roman" w:hAnsi="Times New Roman"/>
                      <w:color w:val="auto"/>
                      <w:szCs w:val="21"/>
                    </w:rPr>
                    <w:t>例如：</w:t>
                  </w:r>
                </w:p>
                <w:p>
                  <w:pPr>
                    <w:ind w:firstLine="420" w:firstLineChars="200"/>
                    <w:jc w:val="left"/>
                    <w:rPr>
                      <w:rFonts w:ascii="Times New Roman" w:hAnsi="Times New Roman"/>
                      <w:color w:val="auto"/>
                      <w:szCs w:val="21"/>
                    </w:rPr>
                  </w:pPr>
                  <w:r>
                    <w:rPr>
                      <w:rFonts w:ascii="Times New Roman" w:hAnsi="Times New Roman"/>
                      <w:color w:val="auto"/>
                      <w:szCs w:val="21"/>
                    </w:rPr>
                    <w:t>五金件生产业：扳手、钳子、刀具等五金件制造</w:t>
                  </w:r>
                </w:p>
                <w:p>
                  <w:pPr>
                    <w:ind w:firstLine="420" w:firstLineChars="200"/>
                    <w:jc w:val="left"/>
                    <w:rPr>
                      <w:rFonts w:ascii="Times New Roman" w:hAnsi="Times New Roman"/>
                      <w:color w:val="auto"/>
                      <w:szCs w:val="21"/>
                    </w:rPr>
                  </w:pPr>
                  <w:r>
                    <w:rPr>
                      <w:rFonts w:ascii="Times New Roman" w:hAnsi="Times New Roman"/>
                      <w:color w:val="auto"/>
                      <w:szCs w:val="21"/>
                    </w:rPr>
                    <w:t>五金件加工业：对于毛坯五金件的精加工，但不涉及深加工</w:t>
                  </w:r>
                </w:p>
                <w:p>
                  <w:pPr>
                    <w:ind w:firstLine="420" w:firstLineChars="200"/>
                    <w:jc w:val="left"/>
                    <w:rPr>
                      <w:rFonts w:ascii="Times New Roman" w:hAnsi="Times New Roman"/>
                      <w:color w:val="auto"/>
                      <w:szCs w:val="21"/>
                    </w:rPr>
                  </w:pPr>
                  <w:r>
                    <w:rPr>
                      <w:rFonts w:ascii="Times New Roman" w:hAnsi="Times New Roman"/>
                      <w:color w:val="auto"/>
                      <w:szCs w:val="21"/>
                    </w:rPr>
                    <w:t>销售业：销售产业园区生产、加工的五金件，努力向自产自销模式推进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48"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限制类</w:t>
                  </w:r>
                </w:p>
              </w:tc>
              <w:tc>
                <w:tcPr>
                  <w:tcW w:w="4351" w:type="pct"/>
                  <w:tcBorders>
                    <w:tl2br w:val="nil"/>
                    <w:tr2bl w:val="nil"/>
                  </w:tcBorders>
                  <w:vAlign w:val="center"/>
                </w:tcPr>
                <w:p>
                  <w:pPr>
                    <w:ind w:firstLine="420" w:firstLineChars="200"/>
                    <w:jc w:val="left"/>
                    <w:rPr>
                      <w:rFonts w:ascii="Times New Roman" w:hAnsi="Times New Roman"/>
                      <w:color w:val="auto"/>
                      <w:szCs w:val="21"/>
                    </w:rPr>
                  </w:pPr>
                  <w:r>
                    <w:rPr>
                      <w:rFonts w:ascii="Times New Roman" w:hAnsi="Times New Roman"/>
                      <w:color w:val="auto"/>
                      <w:szCs w:val="21"/>
                    </w:rPr>
                    <w:t>对于能源、资源消耗和环境污染较严重，但是有可行的办法并经努力后可以减轻，并且确实对区域经济发展和劳动就业具有较大意义的产业可以慎重发展。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648"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禁止类</w:t>
                  </w:r>
                </w:p>
              </w:tc>
              <w:tc>
                <w:tcPr>
                  <w:tcW w:w="4351" w:type="pct"/>
                  <w:tcBorders>
                    <w:tl2br w:val="nil"/>
                    <w:tr2bl w:val="nil"/>
                  </w:tcBorders>
                  <w:vAlign w:val="center"/>
                </w:tcPr>
                <w:p>
                  <w:pPr>
                    <w:ind w:firstLine="420" w:firstLineChars="200"/>
                    <w:jc w:val="left"/>
                    <w:rPr>
                      <w:rFonts w:ascii="Times New Roman" w:hAnsi="Times New Roman"/>
                      <w:color w:val="auto"/>
                      <w:szCs w:val="21"/>
                    </w:rPr>
                  </w:pPr>
                  <w:r>
                    <w:rPr>
                      <w:rFonts w:ascii="Times New Roman" w:hAnsi="Times New Roman"/>
                      <w:color w:val="auto"/>
                      <w:szCs w:val="21"/>
                    </w:rPr>
                    <w:t>对于可能对区域环境和其它产业造成恶劣影响的产业必须禁止。</w:t>
                  </w:r>
                </w:p>
                <w:p>
                  <w:pPr>
                    <w:ind w:firstLine="420" w:firstLineChars="200"/>
                    <w:jc w:val="left"/>
                    <w:rPr>
                      <w:rFonts w:ascii="Times New Roman" w:hAnsi="Times New Roman"/>
                      <w:color w:val="auto"/>
                      <w:szCs w:val="21"/>
                    </w:rPr>
                  </w:pPr>
                  <w:r>
                    <w:rPr>
                      <w:rFonts w:ascii="Times New Roman" w:hAnsi="Times New Roman"/>
                      <w:color w:val="auto"/>
                      <w:szCs w:val="21"/>
                    </w:rPr>
                    <w:t>◆禁止耗水量大、水污染物产生及排放量大的企业入驻</w:t>
                  </w:r>
                </w:p>
                <w:p>
                  <w:pPr>
                    <w:ind w:firstLine="420" w:firstLineChars="200"/>
                    <w:jc w:val="left"/>
                    <w:rPr>
                      <w:rFonts w:ascii="Times New Roman" w:hAnsi="Times New Roman"/>
                      <w:color w:val="auto"/>
                      <w:szCs w:val="21"/>
                    </w:rPr>
                  </w:pPr>
                  <w:r>
                    <w:rPr>
                      <w:rFonts w:ascii="Times New Roman" w:hAnsi="Times New Roman"/>
                      <w:color w:val="auto"/>
                      <w:szCs w:val="21"/>
                    </w:rPr>
                    <w:t>◆禁止引进排放含有持久性有机污染物、重金属废水的项目</w:t>
                  </w:r>
                </w:p>
                <w:p>
                  <w:pPr>
                    <w:ind w:firstLine="420" w:firstLineChars="200"/>
                    <w:jc w:val="left"/>
                    <w:rPr>
                      <w:rFonts w:ascii="Times New Roman" w:hAnsi="Times New Roman"/>
                      <w:color w:val="auto"/>
                      <w:szCs w:val="21"/>
                    </w:rPr>
                  </w:pPr>
                  <w:r>
                    <w:rPr>
                      <w:rFonts w:ascii="Times New Roman" w:hAnsi="Times New Roman"/>
                      <w:color w:val="auto"/>
                      <w:szCs w:val="21"/>
                    </w:rPr>
                    <w:t>◆禁止引进工艺尾气未经处理直接排放的且含有难处理的、有毒有害物质的项目（“三致”、恶臭物质）。</w:t>
                  </w:r>
                </w:p>
                <w:p>
                  <w:pPr>
                    <w:ind w:firstLine="420" w:firstLineChars="200"/>
                    <w:jc w:val="left"/>
                    <w:rPr>
                      <w:rFonts w:ascii="Times New Roman" w:hAnsi="Times New Roman"/>
                      <w:color w:val="auto"/>
                      <w:szCs w:val="21"/>
                    </w:rPr>
                  </w:pPr>
                  <w:r>
                    <w:rPr>
                      <w:rFonts w:ascii="Times New Roman" w:hAnsi="Times New Roman"/>
                      <w:color w:val="auto"/>
                      <w:szCs w:val="21"/>
                    </w:rPr>
                    <w:t>◆禁止引进冶炼、污染严重的化工、造纸、印染、电镀、喷漆、农药、制革、炼油的废气、废水、噪声排放量大的项目。</w:t>
                  </w:r>
                </w:p>
                <w:p>
                  <w:pPr>
                    <w:ind w:firstLine="420" w:firstLineChars="200"/>
                    <w:jc w:val="left"/>
                    <w:rPr>
                      <w:rFonts w:ascii="Times New Roman" w:hAnsi="Times New Roman"/>
                      <w:color w:val="auto"/>
                      <w:szCs w:val="21"/>
                    </w:rPr>
                  </w:pPr>
                  <w:r>
                    <w:rPr>
                      <w:rFonts w:ascii="Times New Roman" w:hAnsi="Times New Roman"/>
                      <w:color w:val="auto"/>
                      <w:szCs w:val="21"/>
                    </w:rPr>
                    <w:t>◆禁止引进落后生产工艺、生产设备的与国家现行的产业政策相违背的项目</w:t>
                  </w:r>
                </w:p>
                <w:p>
                  <w:pPr>
                    <w:ind w:firstLine="420" w:firstLineChars="200"/>
                    <w:jc w:val="left"/>
                    <w:rPr>
                      <w:rFonts w:ascii="Times New Roman" w:hAnsi="Times New Roman"/>
                      <w:color w:val="auto"/>
                      <w:szCs w:val="21"/>
                    </w:rPr>
                  </w:pPr>
                  <w:r>
                    <w:rPr>
                      <w:rFonts w:ascii="Times New Roman" w:hAnsi="Times New Roman"/>
                      <w:color w:val="auto"/>
                      <w:szCs w:val="21"/>
                    </w:rPr>
                    <w:t>◆禁止新上小于10吨的小型燃煤锅炉，降低SO2及烟尘对区域环境空气的影响。</w:t>
                  </w:r>
                </w:p>
              </w:tc>
            </w:tr>
          </w:tbl>
          <w:p>
            <w:pPr>
              <w:autoSpaceDE w:val="0"/>
              <w:autoSpaceDN w:val="0"/>
              <w:adjustRightInd w:val="0"/>
              <w:snapToGrid w:val="0"/>
              <w:spacing w:line="360" w:lineRule="auto"/>
              <w:ind w:firstLine="480" w:firstLineChars="200"/>
              <w:jc w:val="left"/>
              <w:rPr>
                <w:color w:val="auto"/>
                <w:sz w:val="24"/>
              </w:rPr>
            </w:pPr>
            <w:r>
              <w:rPr>
                <w:rFonts w:hint="eastAsia"/>
                <w:color w:val="auto"/>
                <w:sz w:val="24"/>
              </w:rPr>
              <w:t>据上表可知，本项目属于园区鼓励类中五金件生产业，符合园区规划。</w:t>
            </w:r>
          </w:p>
          <w:p>
            <w:pPr>
              <w:autoSpaceDE w:val="0"/>
              <w:autoSpaceDN w:val="0"/>
              <w:adjustRightInd w:val="0"/>
              <w:snapToGrid w:val="0"/>
              <w:spacing w:line="360" w:lineRule="auto"/>
              <w:jc w:val="left"/>
              <w:rPr>
                <w:rFonts w:ascii="Times New Roman" w:hAnsi="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vAlign w:val="center"/>
          </w:tcPr>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其他符合性分析</w:t>
            </w:r>
          </w:p>
        </w:tc>
        <w:tc>
          <w:tcPr>
            <w:tcW w:w="6932" w:type="dxa"/>
            <w:gridSpan w:val="3"/>
            <w:vAlign w:val="center"/>
          </w:tcPr>
          <w:p>
            <w:pPr>
              <w:autoSpaceDE w:val="0"/>
              <w:autoSpaceDN w:val="0"/>
              <w:adjustRightInd w:val="0"/>
              <w:snapToGrid w:val="0"/>
              <w:spacing w:line="360" w:lineRule="auto"/>
              <w:jc w:val="left"/>
              <w:rPr>
                <w:rFonts w:ascii="Times New Roman" w:hAnsi="Times New Roman"/>
                <w:b/>
                <w:bCs/>
                <w:color w:val="auto"/>
                <w:kern w:val="0"/>
                <w:sz w:val="24"/>
                <w:u w:val="single"/>
              </w:rPr>
            </w:pPr>
            <w:r>
              <w:rPr>
                <w:rFonts w:ascii="Times New Roman" w:hAnsi="Times New Roman"/>
                <w:b/>
                <w:bCs/>
                <w:color w:val="auto"/>
                <w:kern w:val="0"/>
                <w:sz w:val="24"/>
                <w:u w:val="single"/>
              </w:rPr>
              <w:t>1、“三线一单”相符性分析</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hint="eastAsia" w:ascii="Times New Roman" w:hAnsi="Times New Roman"/>
                <w:color w:val="auto"/>
                <w:kern w:val="0"/>
                <w:sz w:val="24"/>
                <w:u w:val="single"/>
              </w:rPr>
              <w:t>（1）</w:t>
            </w:r>
            <w:r>
              <w:rPr>
                <w:rFonts w:ascii="Times New Roman" w:hAnsi="Times New Roman"/>
                <w:color w:val="auto"/>
                <w:kern w:val="0"/>
                <w:sz w:val="24"/>
                <w:u w:val="single"/>
              </w:rPr>
              <w:t>生态红线</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ascii="Times New Roman" w:hAnsi="Times New Roman"/>
                <w:color w:val="auto"/>
                <w:kern w:val="0"/>
                <w:sz w:val="24"/>
                <w:u w:val="single"/>
              </w:rPr>
              <w:t>本项目位于本项目位于邵东市仙槎桥镇，对照《邵东市生态红线图》，项目不在邵东市生态保护红线范围。因此，项目建设符合生态红线控制要求。</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hint="eastAsia" w:ascii="Times New Roman" w:hAnsi="Times New Roman"/>
                <w:color w:val="auto"/>
                <w:kern w:val="0"/>
                <w:sz w:val="24"/>
                <w:u w:val="single"/>
              </w:rPr>
              <w:t>（2）</w:t>
            </w:r>
            <w:r>
              <w:rPr>
                <w:rFonts w:ascii="Times New Roman" w:hAnsi="Times New Roman"/>
                <w:color w:val="auto"/>
                <w:kern w:val="0"/>
                <w:sz w:val="24"/>
                <w:u w:val="single"/>
              </w:rPr>
              <w:t>环境质量底线</w:t>
            </w:r>
          </w:p>
          <w:p>
            <w:pPr>
              <w:adjustRightInd w:val="0"/>
              <w:snapToGrid w:val="0"/>
              <w:spacing w:line="360" w:lineRule="auto"/>
              <w:ind w:firstLine="480" w:firstLineChars="200"/>
              <w:jc w:val="left"/>
              <w:rPr>
                <w:rFonts w:ascii="Times New Roman" w:hAnsi="Times New Roman"/>
                <w:color w:val="auto"/>
                <w:kern w:val="0"/>
                <w:sz w:val="24"/>
                <w:u w:val="single"/>
              </w:rPr>
            </w:pPr>
            <w:r>
              <w:rPr>
                <w:rFonts w:ascii="Times New Roman" w:hAnsi="Times New Roman"/>
                <w:color w:val="auto"/>
                <w:kern w:val="0"/>
                <w:sz w:val="24"/>
                <w:u w:val="single"/>
              </w:rPr>
              <w:t>根据本次环境影响评价进行的现状监测数据，本项目选址区域环境空气</w:t>
            </w:r>
            <w:r>
              <w:rPr>
                <w:rFonts w:hint="eastAsia" w:ascii="Times New Roman" w:hAnsi="Times New Roman"/>
                <w:color w:val="auto"/>
                <w:kern w:val="0"/>
                <w:sz w:val="24"/>
                <w:u w:val="single"/>
              </w:rPr>
              <w:t>除</w:t>
            </w:r>
            <w:r>
              <w:rPr>
                <w:rFonts w:ascii="Times New Roman" w:hAnsi="Times New Roman"/>
                <w:color w:val="auto"/>
                <w:spacing w:val="-6"/>
                <w:sz w:val="24"/>
                <w:u w:val="single"/>
              </w:rPr>
              <w:t>PM</w:t>
            </w:r>
            <w:r>
              <w:rPr>
                <w:rFonts w:ascii="Times New Roman" w:hAnsi="Times New Roman"/>
                <w:color w:val="auto"/>
                <w:spacing w:val="-6"/>
                <w:sz w:val="24"/>
                <w:u w:val="single"/>
                <w:vertAlign w:val="subscript"/>
              </w:rPr>
              <w:t>2.5</w:t>
            </w:r>
            <w:r>
              <w:rPr>
                <w:rFonts w:hint="eastAsia" w:ascii="Times New Roman" w:hAnsi="Times New Roman"/>
                <w:color w:val="auto"/>
                <w:spacing w:val="-6"/>
                <w:sz w:val="24"/>
                <w:u w:val="single"/>
              </w:rPr>
              <w:t>外均</w:t>
            </w:r>
            <w:r>
              <w:rPr>
                <w:rFonts w:ascii="Times New Roman" w:hAnsi="Times New Roman"/>
                <w:color w:val="auto"/>
                <w:kern w:val="0"/>
                <w:sz w:val="24"/>
                <w:u w:val="single"/>
              </w:rPr>
              <w:t>达到《环境空气质量标准》（GB3095-2012）二级标准，</w:t>
            </w:r>
            <w:r>
              <w:rPr>
                <w:rFonts w:ascii="Times New Roman" w:hAnsi="Times New Roman"/>
                <w:color w:val="auto"/>
                <w:sz w:val="24"/>
                <w:u w:val="single"/>
              </w:rPr>
              <w:t>严格按照蓝天保卫战的大气污染防治要求落实各项防治措施</w:t>
            </w:r>
            <w:r>
              <w:rPr>
                <w:rFonts w:ascii="Times New Roman" w:hAnsi="Times New Roman"/>
                <w:color w:val="auto"/>
                <w:kern w:val="0"/>
                <w:sz w:val="24"/>
                <w:u w:val="single"/>
              </w:rPr>
              <w:t>，在采取相应的措施后，项目运营期废气对周围环境影响较小；项目地表水监测因子质量均达到《地表水质量标准》（GB3838-2002）中Ⅲ类标准，即区域尚有一定的环境容量；场址所在地声环境质量达到《声环境质量标准》（GB3096-2008）中</w:t>
            </w:r>
            <w:r>
              <w:rPr>
                <w:rFonts w:hint="eastAsia" w:ascii="Times New Roman" w:hAnsi="Times New Roman"/>
                <w:color w:val="auto"/>
                <w:kern w:val="0"/>
                <w:sz w:val="24"/>
                <w:u w:val="single"/>
              </w:rPr>
              <w:t>3</w:t>
            </w:r>
            <w:r>
              <w:rPr>
                <w:rFonts w:ascii="Times New Roman" w:hAnsi="Times New Roman"/>
                <w:color w:val="auto"/>
                <w:kern w:val="0"/>
                <w:sz w:val="24"/>
                <w:u w:val="single"/>
              </w:rPr>
              <w:t>类标准，即区域尚有一定的环境容量，采取严格的降噪措施后，项目噪声对区域声环境影响不大；</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ascii="Times New Roman" w:hAnsi="Times New Roman"/>
                <w:color w:val="auto"/>
                <w:kern w:val="0"/>
                <w:sz w:val="24"/>
                <w:u w:val="single"/>
              </w:rPr>
              <w:t>根据工程及环境影响分析，项目实施后通过采取相关污染防治措施，可确保污染物达标排放。项目建设不会对区域环境功能要求产生明显影响。</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hint="eastAsia" w:ascii="Times New Roman" w:hAnsi="Times New Roman"/>
                <w:color w:val="auto"/>
                <w:kern w:val="0"/>
                <w:sz w:val="24"/>
                <w:u w:val="single"/>
              </w:rPr>
              <w:t>（3）</w:t>
            </w:r>
            <w:r>
              <w:rPr>
                <w:rFonts w:ascii="Times New Roman" w:hAnsi="Times New Roman"/>
                <w:color w:val="auto"/>
                <w:kern w:val="0"/>
                <w:sz w:val="24"/>
                <w:u w:val="single"/>
              </w:rPr>
              <w:t>资源利用上线</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ascii="Times New Roman" w:hAnsi="Times New Roman"/>
                <w:color w:val="auto"/>
                <w:kern w:val="0"/>
                <w:sz w:val="24"/>
                <w:u w:val="single"/>
              </w:rPr>
              <w:t>本项目运营过程中会消耗一定量电能、水资源，占用土地资源，水、电消耗量较区域总量来说，占比很小；项目不占用基本农田、林地等，不会突破区域的资源利用上线。</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hint="eastAsia" w:ascii="Times New Roman" w:hAnsi="Times New Roman"/>
                <w:color w:val="auto"/>
                <w:kern w:val="0"/>
                <w:sz w:val="24"/>
                <w:u w:val="single"/>
              </w:rPr>
              <w:t>（4）生态环境准入</w:t>
            </w:r>
            <w:r>
              <w:rPr>
                <w:rFonts w:ascii="Times New Roman" w:hAnsi="Times New Roman"/>
                <w:color w:val="auto"/>
                <w:kern w:val="0"/>
                <w:sz w:val="24"/>
                <w:u w:val="single"/>
              </w:rPr>
              <w:t>清单</w:t>
            </w:r>
          </w:p>
          <w:p>
            <w:pPr>
              <w:autoSpaceDE w:val="0"/>
              <w:autoSpaceDN w:val="0"/>
              <w:adjustRightInd w:val="0"/>
              <w:snapToGrid w:val="0"/>
              <w:spacing w:line="360" w:lineRule="auto"/>
              <w:ind w:firstLine="480" w:firstLineChars="200"/>
              <w:jc w:val="left"/>
              <w:rPr>
                <w:rFonts w:ascii="Times New Roman" w:hAnsi="Times New Roman"/>
                <w:color w:val="auto"/>
                <w:kern w:val="0"/>
                <w:sz w:val="24"/>
                <w:u w:val="single"/>
              </w:rPr>
            </w:pPr>
            <w:r>
              <w:rPr>
                <w:rFonts w:ascii="Times New Roman" w:hAnsi="Times New Roman"/>
                <w:color w:val="auto"/>
                <w:kern w:val="0"/>
                <w:sz w:val="24"/>
                <w:u w:val="single"/>
              </w:rPr>
              <w:t>生态环境准入清单是基于生态保护红线、环境质量底线和资源利用上线，以清单方式列出的禁止、限制等差别化环境准入条件和要求。对照《国家发展改革委商务部关于印发〈市场准入负面清单（2020年版）〉的通知》中的产业准入负面清单以及《湖南省新增19个国家重点生态功能区产业准入负面清单（试行）》（湘发改规划〔2018〕972号）中的产业准入负面清单，本项目不属于负面清单限制产业，符合负面清单要求相关要求。</w:t>
            </w:r>
          </w:p>
          <w:p>
            <w:pPr>
              <w:autoSpaceDE w:val="0"/>
              <w:autoSpaceDN w:val="0"/>
              <w:adjustRightInd w:val="0"/>
              <w:snapToGrid w:val="0"/>
              <w:spacing w:line="360" w:lineRule="auto"/>
              <w:ind w:firstLine="480" w:firstLineChars="200"/>
              <w:jc w:val="left"/>
              <w:rPr>
                <w:rFonts w:ascii="Times New Roman" w:hAnsi="Times New Roman"/>
                <w:color w:val="auto"/>
                <w:sz w:val="24"/>
                <w:u w:val="single"/>
                <w:lang w:bidi="ar"/>
              </w:rPr>
            </w:pPr>
            <w:r>
              <w:rPr>
                <w:rFonts w:ascii="Times New Roman" w:hAnsi="Times New Roman"/>
                <w:color w:val="auto"/>
                <w:kern w:val="0"/>
                <w:sz w:val="24"/>
                <w:u w:val="single"/>
              </w:rPr>
              <w:t>对照《邵阳市人民政府关于实施</w:t>
            </w:r>
            <w:r>
              <w:rPr>
                <w:rFonts w:hint="eastAsia" w:ascii="Times New Roman" w:hAnsi="Times New Roman"/>
                <w:color w:val="auto"/>
                <w:kern w:val="0"/>
                <w:sz w:val="24"/>
                <w:u w:val="single"/>
              </w:rPr>
              <w:t>“</w:t>
            </w:r>
            <w:r>
              <w:rPr>
                <w:rFonts w:ascii="Times New Roman" w:hAnsi="Times New Roman"/>
                <w:color w:val="auto"/>
                <w:kern w:val="0"/>
                <w:sz w:val="24"/>
                <w:u w:val="single"/>
              </w:rPr>
              <w:t>三线一单</w:t>
            </w:r>
            <w:r>
              <w:rPr>
                <w:rFonts w:hint="eastAsia" w:ascii="Times New Roman" w:hAnsi="Times New Roman"/>
                <w:color w:val="auto"/>
                <w:kern w:val="0"/>
                <w:sz w:val="24"/>
                <w:u w:val="single"/>
              </w:rPr>
              <w:t>”</w:t>
            </w:r>
            <w:r>
              <w:rPr>
                <w:rFonts w:ascii="Times New Roman" w:hAnsi="Times New Roman"/>
                <w:color w:val="auto"/>
                <w:kern w:val="0"/>
                <w:sz w:val="24"/>
                <w:u w:val="single"/>
              </w:rPr>
              <w:t>生态环境分区管控意见》（邵阳市政发[2020]10号），项目与其相符性分析见表1-</w:t>
            </w:r>
            <w:r>
              <w:rPr>
                <w:rFonts w:hint="eastAsia" w:ascii="Times New Roman" w:hAnsi="Times New Roman"/>
                <w:color w:val="auto"/>
                <w:kern w:val="0"/>
                <w:sz w:val="24"/>
                <w:u w:val="single"/>
              </w:rPr>
              <w:t>2</w:t>
            </w:r>
            <w:r>
              <w:rPr>
                <w:rFonts w:ascii="Times New Roman" w:hAnsi="Times New Roman"/>
                <w:color w:val="auto"/>
                <w:kern w:val="0"/>
                <w:sz w:val="24"/>
                <w:u w:val="single"/>
              </w:rPr>
              <w:t>。</w:t>
            </w:r>
          </w:p>
          <w:p>
            <w:pPr>
              <w:jc w:val="center"/>
              <w:rPr>
                <w:rFonts w:ascii="Times New Roman" w:hAnsi="Times New Roman"/>
                <w:color w:val="auto"/>
                <w:u w:val="single"/>
              </w:rPr>
            </w:pPr>
            <w:r>
              <w:rPr>
                <w:rFonts w:ascii="Times New Roman" w:hAnsi="Times New Roman"/>
                <w:b/>
                <w:color w:val="auto"/>
                <w:szCs w:val="21"/>
                <w:u w:val="single"/>
              </w:rPr>
              <w:t>表1-</w:t>
            </w:r>
            <w:r>
              <w:rPr>
                <w:rFonts w:hint="eastAsia" w:ascii="Times New Roman" w:hAnsi="Times New Roman"/>
                <w:b/>
                <w:color w:val="auto"/>
                <w:szCs w:val="21"/>
                <w:u w:val="single"/>
              </w:rPr>
              <w:t xml:space="preserve">2 </w:t>
            </w:r>
            <w:r>
              <w:rPr>
                <w:rFonts w:ascii="Times New Roman" w:hAnsi="Times New Roman"/>
                <w:b/>
                <w:color w:val="auto"/>
                <w:szCs w:val="21"/>
                <w:u w:val="single"/>
              </w:rPr>
              <w:t xml:space="preserve"> 本项目与</w:t>
            </w:r>
            <w:r>
              <w:rPr>
                <w:rFonts w:hint="eastAsia" w:ascii="Times New Roman" w:hAnsi="Times New Roman"/>
                <w:b/>
                <w:color w:val="auto"/>
                <w:szCs w:val="21"/>
                <w:u w:val="single"/>
              </w:rPr>
              <w:t>本市</w:t>
            </w:r>
            <w:r>
              <w:rPr>
                <w:rFonts w:ascii="Times New Roman" w:hAnsi="Times New Roman"/>
                <w:b/>
                <w:color w:val="auto"/>
                <w:szCs w:val="21"/>
                <w:u w:val="single"/>
              </w:rPr>
              <w:t>生态环境</w:t>
            </w:r>
            <w:r>
              <w:rPr>
                <w:rFonts w:hint="eastAsia" w:ascii="Times New Roman" w:hAnsi="Times New Roman"/>
                <w:b/>
                <w:color w:val="auto"/>
                <w:szCs w:val="21"/>
                <w:u w:val="single"/>
              </w:rPr>
              <w:t>分区管控意见</w:t>
            </w:r>
            <w:r>
              <w:rPr>
                <w:rFonts w:ascii="Times New Roman" w:hAnsi="Times New Roman"/>
                <w:b/>
                <w:color w:val="auto"/>
                <w:szCs w:val="21"/>
                <w:u w:val="single"/>
              </w:rPr>
              <w:t>相符性分析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2580"/>
              <w:gridCol w:w="2295"/>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0" w:hRule="atLeast"/>
              </w:trPr>
              <w:tc>
                <w:tcPr>
                  <w:tcW w:w="787" w:type="dxa"/>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管控维度</w:t>
                  </w:r>
                </w:p>
              </w:tc>
              <w:tc>
                <w:tcPr>
                  <w:tcW w:w="2580" w:type="dxa"/>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环境准入和管控要求</w:t>
                  </w:r>
                </w:p>
              </w:tc>
              <w:tc>
                <w:tcPr>
                  <w:tcW w:w="2295" w:type="dxa"/>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本项目情况</w:t>
                  </w:r>
                </w:p>
              </w:tc>
              <w:tc>
                <w:tcPr>
                  <w:tcW w:w="1042" w:type="dxa"/>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dxa"/>
                  <w:vAlign w:val="center"/>
                </w:tcPr>
                <w:p>
                  <w:pPr>
                    <w:jc w:val="center"/>
                    <w:rPr>
                      <w:rFonts w:ascii="Times New Roman" w:hAnsi="Times New Roman"/>
                      <w:color w:val="auto"/>
                      <w:szCs w:val="21"/>
                      <w:u w:val="single"/>
                    </w:rPr>
                  </w:pPr>
                  <w:r>
                    <w:rPr>
                      <w:rFonts w:ascii="Times New Roman" w:hAnsi="Times New Roman"/>
                      <w:color w:val="auto"/>
                      <w:szCs w:val="21"/>
                      <w:u w:val="single"/>
                    </w:rPr>
                    <w:t>产业布局</w:t>
                  </w:r>
                </w:p>
              </w:tc>
              <w:tc>
                <w:tcPr>
                  <w:tcW w:w="2580" w:type="dxa"/>
                </w:tcPr>
                <w:p>
                  <w:pPr>
                    <w:autoSpaceDE w:val="0"/>
                    <w:autoSpaceDN w:val="0"/>
                    <w:adjustRightInd w:val="0"/>
                    <w:snapToGrid w:val="0"/>
                    <w:jc w:val="left"/>
                    <w:rPr>
                      <w:rFonts w:ascii="Times New Roman" w:hAnsi="Times New Roman"/>
                      <w:color w:val="auto"/>
                      <w:szCs w:val="21"/>
                      <w:u w:val="single"/>
                    </w:rPr>
                  </w:pPr>
                  <w:r>
                    <w:rPr>
                      <w:rFonts w:ascii="Times New Roman" w:hAnsi="Times New Roman"/>
                      <w:color w:val="auto"/>
                      <w:kern w:val="0"/>
                      <w:szCs w:val="21"/>
                      <w:u w:val="single"/>
                    </w:rPr>
                    <w:t>农业种植、畜禽养殖、农副产品加工、食品加工、屠宰、建材、非金属矿物制品业、矿山开采、电子设备制造、旅游开发及旅游产品加工、社会事业、再生资源利用行业等</w:t>
                  </w:r>
                </w:p>
              </w:tc>
              <w:tc>
                <w:tcPr>
                  <w:tcW w:w="2295" w:type="dxa"/>
                  <w:vAlign w:val="center"/>
                </w:tcPr>
                <w:p>
                  <w:pPr>
                    <w:jc w:val="center"/>
                    <w:rPr>
                      <w:rFonts w:ascii="Times New Roman" w:hAnsi="Times New Roman"/>
                      <w:color w:val="auto"/>
                      <w:szCs w:val="21"/>
                      <w:u w:val="single"/>
                    </w:rPr>
                  </w:pPr>
                  <w:r>
                    <w:rPr>
                      <w:rFonts w:ascii="Times New Roman" w:hAnsi="Times New Roman"/>
                      <w:color w:val="auto"/>
                      <w:szCs w:val="21"/>
                      <w:u w:val="single"/>
                    </w:rPr>
                    <w:t>本项目为手工具制造，属于金属制品业</w:t>
                  </w:r>
                </w:p>
              </w:tc>
              <w:tc>
                <w:tcPr>
                  <w:tcW w:w="1042" w:type="dxa"/>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dxa"/>
                  <w:vAlign w:val="center"/>
                </w:tcPr>
                <w:p>
                  <w:pPr>
                    <w:jc w:val="center"/>
                    <w:rPr>
                      <w:rFonts w:ascii="Times New Roman" w:hAnsi="Times New Roman"/>
                      <w:color w:val="auto"/>
                      <w:szCs w:val="21"/>
                      <w:u w:val="single"/>
                    </w:rPr>
                  </w:pPr>
                  <w:r>
                    <w:rPr>
                      <w:rFonts w:ascii="Times New Roman" w:hAnsi="Times New Roman"/>
                      <w:color w:val="auto"/>
                      <w:szCs w:val="21"/>
                      <w:u w:val="single"/>
                    </w:rPr>
                    <w:t>空间布局约束</w:t>
                  </w:r>
                </w:p>
              </w:tc>
              <w:tc>
                <w:tcPr>
                  <w:tcW w:w="2580" w:type="dxa"/>
                </w:tcPr>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（1.1）城镇规划区内禁止新建砖瓦炉窑，禁止新建10蒸吨及以下燃煤锅炉；严格限制在生态脆弱区或环境敏感区建设</w:t>
                  </w:r>
                  <w:r>
                    <w:rPr>
                      <w:rFonts w:hint="eastAsia" w:ascii="宋体" w:hAnsi="宋体" w:cs="宋体"/>
                      <w:color w:val="auto"/>
                      <w:kern w:val="0"/>
                      <w:szCs w:val="21"/>
                      <w:u w:val="single"/>
                    </w:rPr>
                    <w:t>“两高”</w:t>
                  </w:r>
                  <w:r>
                    <w:rPr>
                      <w:rFonts w:ascii="Times New Roman" w:hAnsi="Times New Roman"/>
                      <w:color w:val="auto"/>
                      <w:kern w:val="0"/>
                      <w:szCs w:val="21"/>
                      <w:u w:val="single"/>
                    </w:rPr>
                    <w:t>行业，完成建成区内重点污染企业搬迁改造，淘汰落后产能。</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（1.2）执行市级空间布局约束相关要求，重点关注红线/大气环境弱扩散重点管控区/农用地优先保护区。</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（1.3）集中整治煤炭生产经营加工企业，严格取缔非法洗煤、非法煤炭（球）生产经营加工单位，加大城乡结合部土小燃煤锅炉综合整治力度。</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（1.4）加强城区内裸露土地的绿化或铺装，减少道路扬尘污染。</w:t>
                  </w:r>
                </w:p>
                <w:p>
                  <w:pPr>
                    <w:autoSpaceDE w:val="0"/>
                    <w:autoSpaceDN w:val="0"/>
                    <w:adjustRightInd w:val="0"/>
                    <w:snapToGrid w:val="0"/>
                    <w:jc w:val="left"/>
                    <w:rPr>
                      <w:rFonts w:ascii="Times New Roman" w:hAnsi="Times New Roman"/>
                      <w:color w:val="auto"/>
                      <w:szCs w:val="21"/>
                      <w:u w:val="single"/>
                    </w:rPr>
                  </w:pPr>
                  <w:r>
                    <w:rPr>
                      <w:rFonts w:ascii="Times New Roman" w:hAnsi="Times New Roman"/>
                      <w:color w:val="auto"/>
                      <w:kern w:val="0"/>
                      <w:szCs w:val="21"/>
                      <w:u w:val="single"/>
                    </w:rPr>
                    <w:t>（1.5）对超标严重，不适宜耕种的土地调整使用功能。</w:t>
                  </w:r>
                </w:p>
              </w:tc>
              <w:tc>
                <w:tcPr>
                  <w:tcW w:w="2295" w:type="dxa"/>
                  <w:vAlign w:val="center"/>
                </w:tcPr>
                <w:p>
                  <w:pPr>
                    <w:autoSpaceDE w:val="0"/>
                    <w:autoSpaceDN w:val="0"/>
                    <w:adjustRightInd w:val="0"/>
                    <w:snapToGrid w:val="0"/>
                    <w:jc w:val="left"/>
                    <w:rPr>
                      <w:rFonts w:ascii="Times New Roman" w:hAnsi="Times New Roman"/>
                      <w:color w:val="auto"/>
                      <w:kern w:val="0"/>
                      <w:szCs w:val="21"/>
                      <w:u w:val="single"/>
                    </w:rPr>
                  </w:pPr>
                  <w:r>
                    <w:rPr>
                      <w:rFonts w:hint="eastAsia" w:ascii="Times New Roman" w:hAnsi="Times New Roman"/>
                      <w:color w:val="auto"/>
                      <w:kern w:val="0"/>
                      <w:szCs w:val="21"/>
                      <w:u w:val="single"/>
                    </w:rPr>
                    <w:t>（</w:t>
                  </w:r>
                  <w:r>
                    <w:rPr>
                      <w:rFonts w:ascii="Times New Roman" w:hAnsi="Times New Roman"/>
                      <w:color w:val="auto"/>
                      <w:kern w:val="0"/>
                      <w:szCs w:val="21"/>
                      <w:u w:val="single"/>
                    </w:rPr>
                    <w:t>1.1）本项目不涉及锅炉，且项目不属于</w:t>
                  </w:r>
                  <w:r>
                    <w:rPr>
                      <w:rFonts w:hint="eastAsia" w:ascii="Times New Roman" w:hAnsi="Times New Roman"/>
                      <w:color w:val="auto"/>
                      <w:kern w:val="0"/>
                      <w:szCs w:val="21"/>
                      <w:u w:val="single"/>
                    </w:rPr>
                    <w:t>“</w:t>
                  </w:r>
                  <w:r>
                    <w:rPr>
                      <w:rFonts w:ascii="Times New Roman" w:hAnsi="Times New Roman"/>
                      <w:color w:val="auto"/>
                      <w:kern w:val="0"/>
                      <w:szCs w:val="21"/>
                      <w:u w:val="single"/>
                    </w:rPr>
                    <w:t>两高</w:t>
                  </w:r>
                  <w:r>
                    <w:rPr>
                      <w:rFonts w:hint="eastAsia" w:ascii="Times New Roman" w:hAnsi="Times New Roman"/>
                      <w:color w:val="auto"/>
                      <w:kern w:val="0"/>
                      <w:szCs w:val="21"/>
                      <w:u w:val="single"/>
                    </w:rPr>
                    <w:t>”</w:t>
                  </w:r>
                  <w:r>
                    <w:rPr>
                      <w:rFonts w:ascii="Times New Roman" w:hAnsi="Times New Roman"/>
                      <w:color w:val="auto"/>
                      <w:kern w:val="0"/>
                      <w:szCs w:val="21"/>
                      <w:u w:val="single"/>
                    </w:rPr>
                    <w:t>行业</w:t>
                  </w:r>
                  <w:r>
                    <w:rPr>
                      <w:rFonts w:hint="eastAsia" w:ascii="Times New Roman" w:hAnsi="Times New Roman"/>
                      <w:color w:val="auto"/>
                      <w:kern w:val="0"/>
                      <w:szCs w:val="21"/>
                      <w:u w:val="single"/>
                    </w:rPr>
                    <w:t>。</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（1.2）</w:t>
                  </w:r>
                  <w:r>
                    <w:rPr>
                      <w:rFonts w:hint="eastAsia" w:ascii="Times New Roman" w:hAnsi="Times New Roman"/>
                      <w:color w:val="auto"/>
                      <w:kern w:val="0"/>
                      <w:szCs w:val="21"/>
                      <w:u w:val="single"/>
                    </w:rPr>
                    <w:t>本</w:t>
                  </w:r>
                  <w:r>
                    <w:rPr>
                      <w:rFonts w:ascii="Times New Roman" w:hAnsi="Times New Roman"/>
                      <w:color w:val="auto"/>
                      <w:kern w:val="0"/>
                      <w:szCs w:val="21"/>
                      <w:u w:val="single"/>
                    </w:rPr>
                    <w:t>项目</w:t>
                  </w:r>
                  <w:r>
                    <w:rPr>
                      <w:rFonts w:hint="eastAsia" w:ascii="Times New Roman" w:hAnsi="Times New Roman"/>
                      <w:color w:val="auto"/>
                      <w:kern w:val="0"/>
                      <w:szCs w:val="21"/>
                      <w:u w:val="single"/>
                    </w:rPr>
                    <w:t>建设</w:t>
                  </w:r>
                  <w:r>
                    <w:rPr>
                      <w:rFonts w:ascii="Times New Roman" w:hAnsi="Times New Roman"/>
                      <w:color w:val="auto"/>
                      <w:kern w:val="0"/>
                      <w:szCs w:val="21"/>
                      <w:u w:val="single"/>
                    </w:rPr>
                    <w:t>地不涉及生态红线、大气环境弱扩散重点管控区、农用地优先保护区。</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（1.3）</w:t>
                  </w:r>
                  <w:r>
                    <w:rPr>
                      <w:rFonts w:hint="eastAsia" w:ascii="Times New Roman" w:hAnsi="Times New Roman"/>
                      <w:color w:val="auto"/>
                      <w:kern w:val="0"/>
                      <w:szCs w:val="21"/>
                      <w:u w:val="single"/>
                    </w:rPr>
                    <w:t>本项目</w:t>
                  </w:r>
                  <w:r>
                    <w:rPr>
                      <w:rFonts w:ascii="Times New Roman" w:hAnsi="Times New Roman"/>
                      <w:color w:val="auto"/>
                      <w:kern w:val="0"/>
                      <w:szCs w:val="21"/>
                      <w:u w:val="single"/>
                    </w:rPr>
                    <w:t>不涉及</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（1.4）项目所在地</w:t>
                  </w:r>
                  <w:r>
                    <w:rPr>
                      <w:rFonts w:hint="eastAsia" w:ascii="Times New Roman" w:hAnsi="Times New Roman"/>
                      <w:color w:val="auto"/>
                      <w:kern w:val="0"/>
                      <w:szCs w:val="21"/>
                      <w:u w:val="single"/>
                    </w:rPr>
                    <w:t>位于工业园区内。</w:t>
                  </w:r>
                </w:p>
                <w:p>
                  <w:pPr>
                    <w:jc w:val="center"/>
                    <w:rPr>
                      <w:rFonts w:ascii="Times New Roman" w:hAnsi="Times New Roman"/>
                      <w:color w:val="auto"/>
                      <w:szCs w:val="21"/>
                      <w:u w:val="single"/>
                    </w:rPr>
                  </w:pPr>
                  <w:r>
                    <w:rPr>
                      <w:rFonts w:ascii="Times New Roman" w:hAnsi="Times New Roman"/>
                      <w:color w:val="auto"/>
                      <w:kern w:val="0"/>
                      <w:szCs w:val="21"/>
                      <w:u w:val="single"/>
                    </w:rPr>
                    <w:t>（1.5）项目用地为</w:t>
                  </w:r>
                  <w:r>
                    <w:rPr>
                      <w:rFonts w:hint="eastAsia" w:ascii="Times New Roman" w:hAnsi="Times New Roman"/>
                      <w:color w:val="auto"/>
                      <w:kern w:val="0"/>
                      <w:szCs w:val="21"/>
                      <w:u w:val="single"/>
                    </w:rPr>
                    <w:t>购置工业园区内</w:t>
                  </w:r>
                  <w:r>
                    <w:rPr>
                      <w:rFonts w:ascii="Times New Roman" w:hAnsi="Times New Roman"/>
                      <w:color w:val="auto"/>
                      <w:kern w:val="0"/>
                      <w:szCs w:val="21"/>
                      <w:u w:val="single"/>
                    </w:rPr>
                    <w:t>厂房，不新建用地。</w:t>
                  </w:r>
                </w:p>
              </w:tc>
              <w:tc>
                <w:tcPr>
                  <w:tcW w:w="1042" w:type="dxa"/>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dxa"/>
                  <w:vAlign w:val="center"/>
                </w:tcPr>
                <w:p>
                  <w:pPr>
                    <w:jc w:val="center"/>
                    <w:rPr>
                      <w:rFonts w:ascii="Times New Roman" w:hAnsi="Times New Roman"/>
                      <w:color w:val="auto"/>
                      <w:szCs w:val="21"/>
                      <w:u w:val="single"/>
                    </w:rPr>
                  </w:pPr>
                  <w:r>
                    <w:rPr>
                      <w:rFonts w:ascii="Times New Roman" w:hAnsi="Times New Roman"/>
                      <w:color w:val="auto"/>
                      <w:szCs w:val="21"/>
                      <w:u w:val="single"/>
                    </w:rPr>
                    <w:t>污染物排放管控</w:t>
                  </w:r>
                </w:p>
              </w:tc>
              <w:tc>
                <w:tcPr>
                  <w:tcW w:w="2580" w:type="dxa"/>
                </w:tcPr>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（2.1）加强企业监管，确保污染物达标排放。</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（2.2）推进农村综合环境整治，改善人居环境。</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（2.3）加快推进养殖业粪污综合利用。</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（2.4）提高城镇生活</w:t>
                  </w:r>
                  <w:r>
                    <w:rPr>
                      <w:rFonts w:hint="eastAsia" w:ascii="Times New Roman" w:hAnsi="Times New Roman"/>
                      <w:color w:val="auto"/>
                      <w:kern w:val="0"/>
                      <w:szCs w:val="21"/>
                      <w:u w:val="single"/>
                    </w:rPr>
                    <w:t>污水</w:t>
                  </w:r>
                  <w:r>
                    <w:rPr>
                      <w:rFonts w:ascii="Times New Roman" w:hAnsi="Times New Roman"/>
                      <w:color w:val="auto"/>
                      <w:kern w:val="0"/>
                      <w:szCs w:val="21"/>
                      <w:u w:val="single"/>
                    </w:rPr>
                    <w:t>、垃圾的收集、处置效</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率。</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（2.5）执行市级污染物排放管控相关要求，重点关注大气环境高排放重点管控区。</w:t>
                  </w:r>
                </w:p>
                <w:p>
                  <w:pPr>
                    <w:autoSpaceDE w:val="0"/>
                    <w:autoSpaceDN w:val="0"/>
                    <w:adjustRightInd w:val="0"/>
                    <w:snapToGrid w:val="0"/>
                    <w:jc w:val="left"/>
                    <w:rPr>
                      <w:rFonts w:ascii="Times New Roman" w:hAnsi="Times New Roman"/>
                      <w:color w:val="auto"/>
                      <w:szCs w:val="21"/>
                      <w:u w:val="single"/>
                    </w:rPr>
                  </w:pPr>
                  <w:r>
                    <w:rPr>
                      <w:rFonts w:ascii="Times New Roman" w:hAnsi="Times New Roman"/>
                      <w:color w:val="auto"/>
                      <w:kern w:val="0"/>
                      <w:szCs w:val="21"/>
                      <w:u w:val="single"/>
                    </w:rPr>
                    <w:t>（2.6）加快淘汰挥发性有机化合物含量高的油漆、建筑涂料等产品，减少溶剂型油墨、稀释剂、粘胶剂等的使用。</w:t>
                  </w:r>
                </w:p>
              </w:tc>
              <w:tc>
                <w:tcPr>
                  <w:tcW w:w="2295" w:type="dxa"/>
                  <w:vAlign w:val="center"/>
                </w:tcPr>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（2.1）项目废气、废水、噪声可达标排放。</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（2.2）不涉及</w:t>
                  </w:r>
                  <w:r>
                    <w:rPr>
                      <w:rFonts w:hint="eastAsia" w:ascii="Times New Roman" w:hAnsi="Times New Roman"/>
                      <w:color w:val="auto"/>
                      <w:kern w:val="0"/>
                      <w:szCs w:val="21"/>
                      <w:u w:val="single"/>
                    </w:rPr>
                    <w:t>。</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（2.3）项目厂内废水经</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处理后达标排放；</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（2.4）项目生活污水处理后达标排放；生活垃圾由环卫部门处置。</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（2.5）项目污染物排放按市级管控要求执行。</w:t>
                  </w:r>
                </w:p>
                <w:p>
                  <w:pPr>
                    <w:jc w:val="left"/>
                    <w:rPr>
                      <w:rFonts w:ascii="Times New Roman" w:hAnsi="Times New Roman"/>
                      <w:color w:val="auto"/>
                      <w:szCs w:val="21"/>
                      <w:u w:val="single"/>
                    </w:rPr>
                  </w:pPr>
                  <w:r>
                    <w:rPr>
                      <w:rFonts w:ascii="Times New Roman" w:hAnsi="Times New Roman"/>
                      <w:color w:val="auto"/>
                      <w:kern w:val="0"/>
                      <w:szCs w:val="21"/>
                      <w:u w:val="single"/>
                    </w:rPr>
                    <w:t>（2.6）不涉及</w:t>
                  </w:r>
                </w:p>
              </w:tc>
              <w:tc>
                <w:tcPr>
                  <w:tcW w:w="1042" w:type="dxa"/>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7" w:type="dxa"/>
                  <w:vAlign w:val="center"/>
                </w:tcPr>
                <w:p>
                  <w:pPr>
                    <w:jc w:val="center"/>
                    <w:rPr>
                      <w:rFonts w:ascii="Times New Roman" w:hAnsi="Times New Roman"/>
                      <w:color w:val="auto"/>
                      <w:szCs w:val="21"/>
                      <w:u w:val="single"/>
                    </w:rPr>
                  </w:pPr>
                  <w:r>
                    <w:rPr>
                      <w:rFonts w:ascii="Times New Roman" w:hAnsi="Times New Roman"/>
                      <w:color w:val="auto"/>
                      <w:szCs w:val="21"/>
                      <w:u w:val="single"/>
                    </w:rPr>
                    <w:t>环境风险管控</w:t>
                  </w:r>
                </w:p>
              </w:tc>
              <w:tc>
                <w:tcPr>
                  <w:tcW w:w="2580" w:type="dxa"/>
                </w:tcPr>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（3.1）在依法设立、环保基础设施齐全并经规划环评的产业园区外，禁止新建、改建、扩建危险化学品生产、储存等可能引发环境风险的项目。</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（3.2）加强企业危险废物监管。</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（3.3）加强污染地块的整治。</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（3.4）执行市级环境风险防控相关要求，重点关注农用地污染风险重点管控区。</w:t>
                  </w:r>
                </w:p>
                <w:p>
                  <w:pPr>
                    <w:autoSpaceDE w:val="0"/>
                    <w:autoSpaceDN w:val="0"/>
                    <w:adjustRightInd w:val="0"/>
                    <w:snapToGrid w:val="0"/>
                    <w:jc w:val="left"/>
                    <w:rPr>
                      <w:rFonts w:ascii="Times New Roman" w:hAnsi="Times New Roman"/>
                      <w:color w:val="auto"/>
                      <w:szCs w:val="21"/>
                      <w:u w:val="single"/>
                    </w:rPr>
                  </w:pPr>
                  <w:r>
                    <w:rPr>
                      <w:rFonts w:ascii="Times New Roman" w:hAnsi="Times New Roman"/>
                      <w:color w:val="auto"/>
                      <w:kern w:val="0"/>
                      <w:szCs w:val="21"/>
                      <w:u w:val="single"/>
                    </w:rPr>
                    <w:t>（3.5）制定全县土壤综合利用规划，重金属、有机毒物、非金属无机毒物和生物对土壤污染的防治和修复技术、政策措施和方案制定。</w:t>
                  </w:r>
                </w:p>
              </w:tc>
              <w:tc>
                <w:tcPr>
                  <w:tcW w:w="2295" w:type="dxa"/>
                  <w:vAlign w:val="center"/>
                </w:tcPr>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（3.1）本项目不涉及</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（3.2）项目在厂内建设危废暂存间，暂存于危废间，并委托</w:t>
                  </w:r>
                  <w:r>
                    <w:rPr>
                      <w:rFonts w:hint="eastAsia" w:ascii="Times New Roman" w:hAnsi="Times New Roman"/>
                      <w:color w:val="auto"/>
                      <w:kern w:val="0"/>
                      <w:szCs w:val="21"/>
                      <w:u w:val="single"/>
                    </w:rPr>
                    <w:t>厂家</w:t>
                  </w:r>
                  <w:r>
                    <w:rPr>
                      <w:rFonts w:ascii="Times New Roman" w:hAnsi="Times New Roman"/>
                      <w:color w:val="auto"/>
                      <w:kern w:val="0"/>
                      <w:szCs w:val="21"/>
                      <w:u w:val="single"/>
                    </w:rPr>
                    <w:t>进行</w:t>
                  </w:r>
                  <w:r>
                    <w:rPr>
                      <w:rFonts w:hint="eastAsia" w:ascii="Times New Roman" w:hAnsi="Times New Roman"/>
                      <w:color w:val="auto"/>
                      <w:kern w:val="0"/>
                      <w:szCs w:val="21"/>
                      <w:u w:val="single"/>
                    </w:rPr>
                    <w:t>回收</w:t>
                  </w:r>
                </w:p>
                <w:p>
                  <w:pPr>
                    <w:jc w:val="center"/>
                    <w:rPr>
                      <w:rFonts w:ascii="Times New Roman" w:hAnsi="Times New Roman"/>
                      <w:color w:val="auto"/>
                      <w:szCs w:val="21"/>
                      <w:u w:val="single"/>
                    </w:rPr>
                  </w:pPr>
                  <w:r>
                    <w:rPr>
                      <w:rFonts w:ascii="Times New Roman" w:hAnsi="Times New Roman"/>
                      <w:color w:val="auto"/>
                      <w:kern w:val="0"/>
                      <w:szCs w:val="21"/>
                      <w:u w:val="single"/>
                    </w:rPr>
                    <w:t>（3.3）、（3.4）、（3.5）本项目为</w:t>
                  </w:r>
                  <w:r>
                    <w:rPr>
                      <w:rFonts w:hint="eastAsia" w:ascii="Times New Roman" w:hAnsi="Times New Roman"/>
                      <w:color w:val="auto"/>
                      <w:kern w:val="0"/>
                      <w:szCs w:val="21"/>
                      <w:u w:val="single"/>
                    </w:rPr>
                    <w:t>手工具制造</w:t>
                  </w:r>
                  <w:r>
                    <w:rPr>
                      <w:rFonts w:ascii="Times New Roman" w:hAnsi="Times New Roman"/>
                      <w:color w:val="auto"/>
                      <w:kern w:val="0"/>
                      <w:szCs w:val="21"/>
                      <w:u w:val="single"/>
                    </w:rPr>
                    <w:t>项目，场地全部进行硬化，废水经达标处理后外排，对土壤基本无影响。危废经危废间</w:t>
                  </w:r>
                  <w:r>
                    <w:rPr>
                      <w:rFonts w:hint="eastAsia" w:ascii="Times New Roman" w:hAnsi="Times New Roman"/>
                      <w:color w:val="auto"/>
                      <w:kern w:val="0"/>
                      <w:szCs w:val="21"/>
                      <w:u w:val="single"/>
                    </w:rPr>
                    <w:t>暂存</w:t>
                  </w:r>
                  <w:r>
                    <w:rPr>
                      <w:rFonts w:ascii="Times New Roman" w:hAnsi="Times New Roman"/>
                      <w:color w:val="auto"/>
                      <w:kern w:val="0"/>
                      <w:szCs w:val="21"/>
                      <w:u w:val="single"/>
                    </w:rPr>
                    <w:t>后统一交由</w:t>
                  </w:r>
                  <w:r>
                    <w:rPr>
                      <w:rFonts w:hint="eastAsia" w:ascii="Times New Roman" w:hAnsi="Times New Roman"/>
                      <w:color w:val="auto"/>
                      <w:kern w:val="0"/>
                      <w:szCs w:val="21"/>
                      <w:u w:val="single"/>
                    </w:rPr>
                    <w:t>生产厂家回收利用</w:t>
                  </w:r>
                  <w:r>
                    <w:rPr>
                      <w:rFonts w:ascii="Times New Roman" w:hAnsi="Times New Roman"/>
                      <w:color w:val="auto"/>
                      <w:kern w:val="0"/>
                      <w:szCs w:val="21"/>
                      <w:u w:val="single"/>
                    </w:rPr>
                    <w:t>。</w:t>
                  </w:r>
                </w:p>
              </w:tc>
              <w:tc>
                <w:tcPr>
                  <w:tcW w:w="1042" w:type="dxa"/>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dxa"/>
                  <w:vAlign w:val="center"/>
                </w:tcPr>
                <w:p>
                  <w:pPr>
                    <w:jc w:val="center"/>
                    <w:rPr>
                      <w:rFonts w:ascii="Times New Roman" w:hAnsi="Times New Roman"/>
                      <w:color w:val="auto"/>
                      <w:szCs w:val="21"/>
                      <w:u w:val="single"/>
                    </w:rPr>
                  </w:pPr>
                  <w:r>
                    <w:rPr>
                      <w:rFonts w:ascii="Times New Roman" w:hAnsi="Times New Roman"/>
                      <w:color w:val="auto"/>
                      <w:szCs w:val="21"/>
                      <w:u w:val="single"/>
                    </w:rPr>
                    <w:t>资源开发效率要求</w:t>
                  </w:r>
                </w:p>
              </w:tc>
              <w:tc>
                <w:tcPr>
                  <w:tcW w:w="2580" w:type="dxa"/>
                </w:tcPr>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（4.1）鼓励企业提高废水、余热利用效率。降低煤炭低耗消耗量。</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（4.2）执行市级资源开发效率相关要求。</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（4.3）鼓励开发清洁能源，合理开发小水电。</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（4.4）通过集中供应天然气和使用电及其他清洁能源，全面淘汰城区内机关、企事业单位、饮食服务业燃煤小炉灶。</w:t>
                  </w:r>
                </w:p>
                <w:p>
                  <w:pPr>
                    <w:autoSpaceDE w:val="0"/>
                    <w:autoSpaceDN w:val="0"/>
                    <w:adjustRightInd w:val="0"/>
                    <w:snapToGrid w:val="0"/>
                    <w:jc w:val="left"/>
                    <w:rPr>
                      <w:rFonts w:ascii="Times New Roman" w:hAnsi="Times New Roman"/>
                      <w:color w:val="auto"/>
                      <w:kern w:val="0"/>
                      <w:szCs w:val="21"/>
                      <w:u w:val="single"/>
                    </w:rPr>
                  </w:pPr>
                  <w:r>
                    <w:rPr>
                      <w:rFonts w:ascii="Times New Roman" w:hAnsi="Times New Roman"/>
                      <w:color w:val="auto"/>
                      <w:kern w:val="0"/>
                      <w:szCs w:val="21"/>
                      <w:u w:val="single"/>
                    </w:rPr>
                    <w:t>（4.5）加快开发以农作物秸秆为主要原料的生物质燃料等。</w:t>
                  </w:r>
                </w:p>
                <w:p>
                  <w:pPr>
                    <w:autoSpaceDE w:val="0"/>
                    <w:autoSpaceDN w:val="0"/>
                    <w:adjustRightInd w:val="0"/>
                    <w:snapToGrid w:val="0"/>
                    <w:jc w:val="left"/>
                    <w:rPr>
                      <w:rFonts w:ascii="Times New Roman" w:hAnsi="Times New Roman"/>
                      <w:color w:val="auto"/>
                      <w:szCs w:val="21"/>
                      <w:u w:val="single"/>
                    </w:rPr>
                  </w:pPr>
                  <w:r>
                    <w:rPr>
                      <w:rFonts w:ascii="Times New Roman" w:hAnsi="Times New Roman"/>
                      <w:color w:val="auto"/>
                      <w:kern w:val="0"/>
                      <w:szCs w:val="21"/>
                      <w:u w:val="single"/>
                    </w:rPr>
                    <w:t>（4.6）促进企业技术改造升级，重点工业企业强制性实行清洁生产。</w:t>
                  </w:r>
                </w:p>
              </w:tc>
              <w:tc>
                <w:tcPr>
                  <w:tcW w:w="2295" w:type="dxa"/>
                  <w:vAlign w:val="center"/>
                </w:tcPr>
                <w:p>
                  <w:pPr>
                    <w:jc w:val="center"/>
                    <w:rPr>
                      <w:rFonts w:ascii="Times New Roman" w:hAnsi="Times New Roman"/>
                      <w:color w:val="auto"/>
                      <w:szCs w:val="21"/>
                      <w:u w:val="single"/>
                    </w:rPr>
                  </w:pPr>
                  <w:r>
                    <w:rPr>
                      <w:rFonts w:ascii="Times New Roman" w:hAnsi="Times New Roman"/>
                      <w:color w:val="auto"/>
                      <w:szCs w:val="21"/>
                      <w:u w:val="single"/>
                    </w:rPr>
                    <w:t>本项目使用电能，不属于《高耗水工艺、技术和装备淘汰目录（第一批）》；本项目符合资源开发效率要求。</w:t>
                  </w:r>
                </w:p>
              </w:tc>
              <w:tc>
                <w:tcPr>
                  <w:tcW w:w="1042" w:type="dxa"/>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符合</w:t>
                  </w:r>
                </w:p>
              </w:tc>
            </w:tr>
          </w:tbl>
          <w:p>
            <w:pPr>
              <w:autoSpaceDE w:val="0"/>
              <w:autoSpaceDN w:val="0"/>
              <w:adjustRightInd w:val="0"/>
              <w:snapToGrid w:val="0"/>
              <w:spacing w:line="360" w:lineRule="auto"/>
              <w:ind w:firstLine="480" w:firstLineChars="200"/>
              <w:jc w:val="left"/>
              <w:rPr>
                <w:rFonts w:ascii="Times New Roman" w:hAnsi="Times New Roman"/>
                <w:color w:val="auto"/>
                <w:sz w:val="24"/>
                <w:u w:val="single"/>
              </w:rPr>
            </w:pPr>
            <w:r>
              <w:rPr>
                <w:rFonts w:ascii="Times New Roman" w:hAnsi="Times New Roman"/>
                <w:color w:val="auto"/>
                <w:sz w:val="24"/>
                <w:u w:val="single"/>
              </w:rPr>
              <w:t>综上所述，本项目符合《</w:t>
            </w:r>
            <w:r>
              <w:rPr>
                <w:rFonts w:hint="eastAsia" w:ascii="Times New Roman" w:hAnsi="Times New Roman"/>
                <w:color w:val="auto"/>
                <w:sz w:val="24"/>
                <w:u w:val="single"/>
              </w:rPr>
              <w:t>邵阳</w:t>
            </w:r>
            <w:r>
              <w:rPr>
                <w:rFonts w:ascii="Times New Roman" w:hAnsi="Times New Roman"/>
                <w:color w:val="auto"/>
                <w:sz w:val="24"/>
                <w:u w:val="single"/>
              </w:rPr>
              <w:t>市人民政府关于实施</w:t>
            </w:r>
            <w:r>
              <w:rPr>
                <w:rFonts w:hint="eastAsia" w:ascii="宋体" w:hAnsi="宋体" w:cs="宋体"/>
                <w:color w:val="auto"/>
                <w:sz w:val="24"/>
                <w:u w:val="single"/>
              </w:rPr>
              <w:t>“三线一单”</w:t>
            </w:r>
            <w:r>
              <w:rPr>
                <w:rFonts w:ascii="Times New Roman" w:hAnsi="Times New Roman"/>
                <w:color w:val="auto"/>
                <w:sz w:val="24"/>
                <w:u w:val="single"/>
              </w:rPr>
              <w:t>生态环境分区管控的意见》管控要求。</w:t>
            </w:r>
          </w:p>
          <w:p>
            <w:pPr>
              <w:autoSpaceDE w:val="0"/>
              <w:autoSpaceDN w:val="0"/>
              <w:adjustRightInd w:val="0"/>
              <w:snapToGrid w:val="0"/>
              <w:spacing w:line="360" w:lineRule="auto"/>
              <w:jc w:val="left"/>
              <w:rPr>
                <w:rFonts w:ascii="Times New Roman" w:hAnsi="Times New Roman"/>
                <w:b/>
                <w:bCs/>
                <w:color w:val="auto"/>
                <w:kern w:val="0"/>
                <w:sz w:val="24"/>
              </w:rPr>
            </w:pPr>
            <w:r>
              <w:rPr>
                <w:rFonts w:ascii="Times New Roman" w:hAnsi="Times New Roman"/>
                <w:b/>
                <w:bCs/>
                <w:color w:val="auto"/>
                <w:kern w:val="0"/>
                <w:sz w:val="24"/>
              </w:rPr>
              <w:t>2、与生态红线区域保护规划的相符性</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根据《湖南省人民政府关于印发湖南省生态保护红线的通知》（湘政发〔2018〕20号），全省生态保护红线空间格局为</w:t>
            </w:r>
            <w:r>
              <w:rPr>
                <w:rFonts w:hint="eastAsia" w:ascii="Times New Roman" w:hAnsi="Times New Roman"/>
                <w:color w:val="auto"/>
                <w:kern w:val="0"/>
                <w:sz w:val="24"/>
              </w:rPr>
              <w:t>“</w:t>
            </w:r>
            <w:r>
              <w:rPr>
                <w:rFonts w:ascii="Times New Roman" w:hAnsi="Times New Roman"/>
                <w:color w:val="auto"/>
                <w:kern w:val="0"/>
                <w:sz w:val="24"/>
              </w:rPr>
              <w:t>一湖三山四水</w:t>
            </w:r>
            <w:r>
              <w:rPr>
                <w:rFonts w:hint="eastAsia" w:ascii="Times New Roman" w:hAnsi="Times New Roman"/>
                <w:color w:val="auto"/>
                <w:kern w:val="0"/>
                <w:sz w:val="24"/>
              </w:rPr>
              <w:t>”</w:t>
            </w:r>
            <w:r>
              <w:rPr>
                <w:rFonts w:ascii="Times New Roman" w:hAnsi="Times New Roman"/>
                <w:color w:val="auto"/>
                <w:kern w:val="0"/>
                <w:sz w:val="24"/>
              </w:rPr>
              <w:t>：</w:t>
            </w:r>
            <w:r>
              <w:rPr>
                <w:rFonts w:hint="eastAsia" w:ascii="宋体" w:hAnsi="宋体" w:cs="宋体"/>
                <w:color w:val="auto"/>
                <w:kern w:val="0"/>
                <w:sz w:val="24"/>
              </w:rPr>
              <w:t>“一湖”</w:t>
            </w:r>
            <w:r>
              <w:rPr>
                <w:rFonts w:ascii="Times New Roman" w:hAnsi="Times New Roman"/>
                <w:color w:val="auto"/>
                <w:kern w:val="0"/>
                <w:sz w:val="24"/>
              </w:rPr>
              <w:t>为洞庭湖（主要包括东洞庭湖、南洞庭湖、横岭湖、西洞庭湖等自然保护区和长江岸线），主要生态功能为生物多样性维护、洪水调蓄。</w:t>
            </w:r>
            <w:r>
              <w:rPr>
                <w:rFonts w:hint="eastAsia" w:ascii="宋体" w:hAnsi="宋体" w:cs="宋体"/>
                <w:color w:val="auto"/>
                <w:kern w:val="0"/>
                <w:sz w:val="24"/>
              </w:rPr>
              <w:t>“三山”</w:t>
            </w:r>
            <w:r>
              <w:rPr>
                <w:rFonts w:ascii="Times New Roman" w:hAnsi="Times New Roman"/>
                <w:color w:val="auto"/>
                <w:kern w:val="0"/>
                <w:sz w:val="24"/>
              </w:rPr>
              <w:t>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w:t>
            </w:r>
            <w:r>
              <w:rPr>
                <w:rFonts w:hint="eastAsia" w:ascii="宋体" w:hAnsi="宋体" w:cs="宋体"/>
                <w:color w:val="auto"/>
                <w:kern w:val="0"/>
                <w:sz w:val="24"/>
              </w:rPr>
              <w:t>“四水”</w:t>
            </w:r>
            <w:r>
              <w:rPr>
                <w:rFonts w:ascii="Times New Roman" w:hAnsi="Times New Roman"/>
                <w:color w:val="auto"/>
                <w:kern w:val="0"/>
                <w:sz w:val="24"/>
              </w:rPr>
              <w:t>为湘资沅澧（湘江、资水、沅江、澧水）的源头区及重要水域。</w:t>
            </w:r>
          </w:p>
          <w:p>
            <w:pPr>
              <w:autoSpaceDE w:val="0"/>
              <w:autoSpaceDN w:val="0"/>
              <w:adjustRightInd w:val="0"/>
              <w:snapToGrid w:val="0"/>
              <w:spacing w:line="360" w:lineRule="auto"/>
              <w:ind w:firstLine="480" w:firstLineChars="200"/>
              <w:jc w:val="left"/>
              <w:rPr>
                <w:rFonts w:ascii="Times New Roman" w:hAnsi="Times New Roman"/>
                <w:color w:val="auto"/>
                <w:kern w:val="0"/>
                <w:sz w:val="24"/>
              </w:rPr>
            </w:pPr>
            <w:r>
              <w:rPr>
                <w:rFonts w:ascii="Times New Roman" w:hAnsi="Times New Roman"/>
                <w:color w:val="auto"/>
                <w:kern w:val="0"/>
                <w:sz w:val="24"/>
              </w:rPr>
              <w:t>本项目位于湖南省邵阳市邵东市仙槎桥镇五金工业园，用地性质为工业用地，不占用划定的生态红线区域，因此与湖南省生态保护红线区域保护规划相符。</w:t>
            </w:r>
          </w:p>
          <w:p>
            <w:pPr>
              <w:wordWrap w:val="0"/>
              <w:spacing w:line="360" w:lineRule="auto"/>
              <w:rPr>
                <w:rFonts w:ascii="Times New Roman" w:hAnsi="Times New Roman"/>
                <w:b/>
                <w:color w:val="auto"/>
                <w:sz w:val="24"/>
              </w:rPr>
            </w:pPr>
            <w:r>
              <w:rPr>
                <w:rFonts w:hint="eastAsia" w:ascii="Times New Roman" w:hAnsi="Times New Roman"/>
                <w:b/>
                <w:color w:val="auto"/>
                <w:sz w:val="24"/>
              </w:rPr>
              <w:t>3、</w:t>
            </w:r>
            <w:r>
              <w:rPr>
                <w:rFonts w:ascii="Times New Roman" w:hAnsi="Times New Roman"/>
                <w:b/>
                <w:color w:val="auto"/>
                <w:sz w:val="24"/>
              </w:rPr>
              <w:t>与《产业结构调整指导目录（2019年本）》相符性分析：</w:t>
            </w:r>
          </w:p>
          <w:p>
            <w:pPr>
              <w:wordWrap w:val="0"/>
              <w:spacing w:line="360" w:lineRule="auto"/>
              <w:ind w:firstLine="482"/>
              <w:rPr>
                <w:rFonts w:ascii="Times New Roman" w:hAnsi="Times New Roman"/>
                <w:color w:val="auto"/>
                <w:kern w:val="0"/>
                <w:sz w:val="24"/>
              </w:rPr>
            </w:pPr>
            <w:r>
              <w:rPr>
                <w:rFonts w:ascii="Times New Roman" w:hAnsi="Times New Roman"/>
                <w:color w:val="auto"/>
                <w:kern w:val="0"/>
                <w:sz w:val="24"/>
              </w:rPr>
              <w:t>根据《产业结构调整指导目录（2019年本）》，本项目设备</w:t>
            </w:r>
            <w:r>
              <w:rPr>
                <w:rFonts w:hint="eastAsia" w:ascii="Times New Roman" w:hAnsi="Times New Roman"/>
                <w:color w:val="auto"/>
                <w:kern w:val="0"/>
                <w:sz w:val="24"/>
              </w:rPr>
              <w:t>、</w:t>
            </w:r>
            <w:r>
              <w:rPr>
                <w:rFonts w:ascii="Times New Roman" w:hAnsi="Times New Roman"/>
                <w:color w:val="auto"/>
                <w:kern w:val="0"/>
                <w:sz w:val="24"/>
              </w:rPr>
              <w:t>工艺</w:t>
            </w:r>
            <w:r>
              <w:rPr>
                <w:rFonts w:hint="eastAsia" w:ascii="Times New Roman" w:hAnsi="Times New Roman"/>
                <w:color w:val="auto"/>
                <w:kern w:val="0"/>
                <w:sz w:val="24"/>
              </w:rPr>
              <w:t>及</w:t>
            </w:r>
            <w:r>
              <w:rPr>
                <w:rFonts w:ascii="Times New Roman" w:hAnsi="Times New Roman"/>
                <w:color w:val="auto"/>
                <w:kern w:val="0"/>
                <w:sz w:val="24"/>
              </w:rPr>
              <w:t>产品不属于鼓励类、</w:t>
            </w:r>
            <w:r>
              <w:rPr>
                <w:rFonts w:hint="eastAsia" w:ascii="Times New Roman" w:hAnsi="Times New Roman"/>
                <w:color w:val="auto"/>
                <w:kern w:val="0"/>
                <w:sz w:val="24"/>
              </w:rPr>
              <w:t>也不属于</w:t>
            </w:r>
            <w:r>
              <w:rPr>
                <w:rFonts w:ascii="Times New Roman" w:hAnsi="Times New Roman"/>
                <w:color w:val="auto"/>
                <w:kern w:val="0"/>
                <w:sz w:val="24"/>
              </w:rPr>
              <w:t>限制类和淘汰类，</w:t>
            </w:r>
            <w:r>
              <w:rPr>
                <w:rFonts w:hint="eastAsia" w:ascii="Times New Roman" w:hAnsi="Times New Roman"/>
                <w:color w:val="auto"/>
                <w:kern w:val="0"/>
                <w:sz w:val="24"/>
              </w:rPr>
              <w:t>故本项目</w:t>
            </w:r>
            <w:r>
              <w:rPr>
                <w:rFonts w:ascii="Times New Roman" w:hAnsi="Times New Roman"/>
                <w:color w:val="auto"/>
                <w:kern w:val="0"/>
                <w:sz w:val="24"/>
              </w:rPr>
              <w:t>为允许类产业</w:t>
            </w:r>
            <w:r>
              <w:rPr>
                <w:rFonts w:ascii="Times New Roman" w:hAnsi="Times New Roman"/>
                <w:color w:val="auto"/>
                <w:sz w:val="24"/>
              </w:rPr>
              <w:t>，符合国家有关法律法规和政策规定</w:t>
            </w:r>
            <w:r>
              <w:rPr>
                <w:rFonts w:hint="eastAsia" w:ascii="Times New Roman" w:hAnsi="Times New Roman"/>
                <w:color w:val="auto"/>
                <w:sz w:val="24"/>
              </w:rPr>
              <w:t>。</w:t>
            </w:r>
          </w:p>
          <w:p>
            <w:pPr>
              <w:wordWrap w:val="0"/>
              <w:spacing w:line="360" w:lineRule="auto"/>
              <w:ind w:firstLine="482"/>
              <w:rPr>
                <w:rFonts w:ascii="Times New Roman" w:hAnsi="Times New Roman"/>
                <w:color w:val="auto"/>
                <w:sz w:val="24"/>
              </w:rPr>
            </w:pPr>
          </w:p>
          <w:p>
            <w:pPr>
              <w:wordWrap w:val="0"/>
              <w:spacing w:line="360" w:lineRule="auto"/>
              <w:ind w:firstLine="482"/>
              <w:rPr>
                <w:rFonts w:ascii="Times New Roman" w:hAnsi="Times New Roman"/>
                <w:color w:val="auto"/>
                <w:sz w:val="24"/>
              </w:rPr>
            </w:pPr>
          </w:p>
          <w:p>
            <w:pPr>
              <w:wordWrap w:val="0"/>
              <w:spacing w:line="360" w:lineRule="auto"/>
              <w:rPr>
                <w:rFonts w:ascii="Times New Roman" w:hAnsi="Times New Roman"/>
                <w:color w:val="auto"/>
              </w:rPr>
            </w:pPr>
          </w:p>
        </w:tc>
      </w:tr>
    </w:tbl>
    <w:p>
      <w:pPr>
        <w:rPr>
          <w:color w:val="auto"/>
        </w:rPr>
        <w:sectPr>
          <w:footerReference r:id="rId5" w:type="default"/>
          <w:pgSz w:w="11906" w:h="16838"/>
          <w:pgMar w:top="1701" w:right="1531" w:bottom="1701" w:left="1531" w:header="851" w:footer="1077" w:gutter="0"/>
          <w:pgNumType w:start="1"/>
          <w:cols w:space="720" w:num="1"/>
          <w:docGrid w:linePitch="312" w:charSpace="0"/>
        </w:sectPr>
      </w:pPr>
    </w:p>
    <w:p>
      <w:pPr>
        <w:pStyle w:val="22"/>
        <w:jc w:val="center"/>
        <w:outlineLvl w:val="0"/>
        <w:rPr>
          <w:rFonts w:ascii="Times New Roman" w:hAnsi="Times New Roman" w:eastAsia="黑体"/>
          <w:snapToGrid w:val="0"/>
          <w:color w:val="auto"/>
          <w:sz w:val="30"/>
          <w:szCs w:val="30"/>
        </w:rPr>
      </w:pPr>
      <w:bookmarkStart w:id="3" w:name="_Toc29863"/>
      <w:r>
        <w:rPr>
          <w:rFonts w:ascii="Times New Roman" w:hAnsi="Times New Roman" w:eastAsia="黑体"/>
          <w:snapToGrid w:val="0"/>
          <w:color w:val="auto"/>
          <w:sz w:val="30"/>
          <w:szCs w:val="30"/>
        </w:rPr>
        <w:t>二、建设项目工程分析</w:t>
      </w:r>
      <w:bookmarkEnd w:id="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92" w:hRule="atLeast"/>
          <w:jc w:val="center"/>
        </w:trPr>
        <w:tc>
          <w:tcPr>
            <w:tcW w:w="424"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636" w:type="dxa"/>
          </w:tcPr>
          <w:p>
            <w:pPr>
              <w:spacing w:line="360" w:lineRule="auto"/>
              <w:rPr>
                <w:rFonts w:ascii="Times New Roman" w:hAnsi="Times New Roman"/>
                <w:b/>
                <w:bCs/>
                <w:color w:val="auto"/>
                <w:sz w:val="24"/>
              </w:rPr>
            </w:pPr>
            <w:r>
              <w:rPr>
                <w:rFonts w:ascii="Times New Roman" w:hAnsi="Times New Roman"/>
                <w:b/>
                <w:bCs/>
                <w:color w:val="auto"/>
                <w:sz w:val="24"/>
              </w:rPr>
              <w:t>1、项目由来：</w:t>
            </w:r>
          </w:p>
          <w:p>
            <w:pPr>
              <w:spacing w:line="360" w:lineRule="auto"/>
              <w:ind w:firstLine="480" w:firstLineChars="200"/>
              <w:rPr>
                <w:rFonts w:ascii="Times New Roman" w:hAnsi="Times New Roman"/>
                <w:color w:val="auto"/>
                <w:sz w:val="24"/>
              </w:rPr>
            </w:pPr>
            <w:r>
              <w:rPr>
                <w:rFonts w:ascii="Times New Roman" w:hAnsi="Times New Roman"/>
                <w:color w:val="auto"/>
                <w:sz w:val="24"/>
              </w:rPr>
              <w:t>随着现代科技成果在行业中的不断应用，五金行业的竞争也越来越激烈。无论想在五金行业的哪一个领域站稳脚跟，都要充分了解市场的发展动态。五金工具包括各种手动、电动、气动、切割工具、汽保工具、农用工具、起重工具、测量工具、工具机械、切削工具、工夹具、刀具、模具、刃具、砂轮、钻头、抛光机、工具配件、量具刃具、磨具磨料等。我国五金工具行业的品牌竞争还比较弱，除了史丹利和世达处于领导地位外，其他品牌的排名还不稳定，整个行业的品牌竞争比较混乱，这将为五金工具企业提供发展品牌的大好机会。邵东五金市场已发展成为湖南地区规模较大、品种齐全、价格优惠批发市场。近十多年以来邵东五金市场发展迅速，其产品从内销逐步转向外销，并在国内外有较好的市场声誉和产销基础。</w:t>
            </w:r>
          </w:p>
          <w:p>
            <w:pPr>
              <w:spacing w:line="360" w:lineRule="auto"/>
              <w:ind w:firstLine="480" w:firstLineChars="200"/>
              <w:rPr>
                <w:rFonts w:ascii="Times New Roman" w:hAnsi="Times New Roman"/>
                <w:color w:val="auto"/>
                <w:sz w:val="24"/>
              </w:rPr>
            </w:pPr>
            <w:r>
              <w:rPr>
                <w:rFonts w:ascii="Times New Roman" w:hAnsi="Times New Roman"/>
                <w:color w:val="auto"/>
                <w:sz w:val="24"/>
              </w:rPr>
              <w:t>邵东县仙槎桥爱力狮五金工具厂利用自己位于湖南省邵阳市邵东县仙槎桥镇土地建设厂房用于两用扳手生产线的建设，项目总投资150万元，占地面积3372.2m</w:t>
            </w:r>
            <w:r>
              <w:rPr>
                <w:rFonts w:ascii="Times New Roman" w:hAnsi="Times New Roman"/>
                <w:color w:val="auto"/>
                <w:sz w:val="24"/>
                <w:vertAlign w:val="superscript"/>
              </w:rPr>
              <w:t>2</w:t>
            </w:r>
            <w:r>
              <w:rPr>
                <w:rFonts w:ascii="Times New Roman" w:hAnsi="Times New Roman"/>
                <w:color w:val="auto"/>
                <w:sz w:val="24"/>
              </w:rPr>
              <w:t>，年产两用扳手一百万支，本项目于2005年2月开始运营至今，因本项目产生的固体废物未建设贮存的设施、场所安全分类存放，也未采取无害化处置措施，造成工业固体废物对环境的污染，违反了《中华人民共和国固体废物污染环境防治法》第十七条之规定，根据《中华人民共和国固体废物污染环境防治法》第六十八条第一款第二项之规定，按照《湖南省环境保护行政处罚裁量权基准》要求，邵阳市生态环境局邵东分局对建设单位处一万元罚款。目前该建设单位已向邵阳市生态环境局邵东分局足额缴纳罚款，行政处罚决定书、缴款书见附件4。</w:t>
            </w:r>
          </w:p>
          <w:p>
            <w:pPr>
              <w:pStyle w:val="11"/>
              <w:spacing w:line="360" w:lineRule="auto"/>
              <w:ind w:firstLine="480" w:firstLineChars="200"/>
              <w:rPr>
                <w:rFonts w:ascii="Times New Roman" w:hAnsi="Times New Roman"/>
                <w:b/>
                <w:bCs/>
                <w:color w:val="auto"/>
              </w:rPr>
            </w:pPr>
            <w:r>
              <w:rPr>
                <w:rFonts w:ascii="Times New Roman" w:hAnsi="Times New Roman"/>
                <w:color w:val="auto"/>
              </w:rPr>
              <w:t>根据《中华人民共和国环境保护法》、《中华人民共和国环境影响评价法》、《建设项目环境保护管理条例》（国务院第682号令）、《建设项目环境影响评价分类管理名录》（2021年版）</w:t>
            </w:r>
            <w:r>
              <w:rPr>
                <w:rFonts w:ascii="Times New Roman" w:hAnsi="Times New Roman"/>
                <w:color w:val="auto"/>
                <w:szCs w:val="24"/>
              </w:rPr>
              <w:t>相关规定，本项目需编制环境影响评价报告表。为此建设单位</w:t>
            </w:r>
            <w:r>
              <w:rPr>
                <w:rFonts w:hint="eastAsia" w:ascii="Times New Roman" w:hAnsi="Times New Roman"/>
                <w:color w:val="auto"/>
                <w:szCs w:val="24"/>
              </w:rPr>
              <w:t>邵东县仙槎桥爱力狮五金工具厂</w:t>
            </w:r>
            <w:r>
              <w:rPr>
                <w:rFonts w:ascii="Times New Roman" w:hAnsi="Times New Roman"/>
                <w:color w:val="auto"/>
                <w:szCs w:val="24"/>
              </w:rPr>
              <w:t>委托我公司（</w:t>
            </w:r>
            <w:r>
              <w:rPr>
                <w:rFonts w:hint="eastAsia" w:ascii="Times New Roman" w:hAnsi="Times New Roman"/>
                <w:color w:val="auto"/>
                <w:szCs w:val="24"/>
              </w:rPr>
              <w:t>湖南中昇环境科技有限公司</w:t>
            </w:r>
            <w:r>
              <w:rPr>
                <w:rFonts w:ascii="Times New Roman" w:hAnsi="Times New Roman"/>
                <w:color w:val="auto"/>
                <w:szCs w:val="24"/>
              </w:rPr>
              <w:t>）承担该项目的环境影响评价工作。</w:t>
            </w:r>
            <w:r>
              <w:rPr>
                <w:rFonts w:ascii="Times New Roman" w:hAnsi="Times New Roman"/>
                <w:color w:val="auto"/>
              </w:rPr>
              <w:t>接受委托后，环评技术人员按照技术导则所规定原则、方法、内容和要求，通过现场踏勘，收集资料，走访调查，分析评价，在建设方提供的有关文件资料的基础上，编制完成了</w:t>
            </w:r>
            <w:r>
              <w:rPr>
                <w:rFonts w:hint="eastAsia" w:ascii="宋体" w:hAnsi="宋体" w:cs="宋体"/>
                <w:color w:val="auto"/>
              </w:rPr>
              <w:t>“</w:t>
            </w:r>
            <w:r>
              <w:rPr>
                <w:rFonts w:ascii="Times New Roman" w:hAnsi="Times New Roman"/>
                <w:color w:val="auto"/>
              </w:rPr>
              <w:t>年产100万支两用扳手生产线建设项目环境影响报告表</w:t>
            </w:r>
            <w:r>
              <w:rPr>
                <w:rFonts w:hint="eastAsia" w:ascii="宋体" w:hAnsi="宋体" w:cs="宋体"/>
                <w:color w:val="auto"/>
              </w:rPr>
              <w:t>”</w:t>
            </w:r>
            <w:r>
              <w:rPr>
                <w:rFonts w:ascii="Times New Roman" w:hAnsi="Times New Roman"/>
                <w:color w:val="auto"/>
                <w:szCs w:val="24"/>
              </w:rPr>
              <w:t>。</w:t>
            </w:r>
          </w:p>
          <w:p>
            <w:pPr>
              <w:pStyle w:val="21"/>
              <w:spacing w:line="360" w:lineRule="auto"/>
              <w:ind w:left="0"/>
              <w:rPr>
                <w:rFonts w:ascii="Times New Roman" w:hAnsi="Times New Roman"/>
                <w:b/>
                <w:bCs/>
                <w:color w:val="auto"/>
                <w:sz w:val="21"/>
                <w:szCs w:val="21"/>
              </w:rPr>
            </w:pPr>
            <w:r>
              <w:rPr>
                <w:rFonts w:hint="eastAsia" w:ascii="Times New Roman" w:hAnsi="Times New Roman"/>
                <w:b/>
                <w:bCs/>
                <w:color w:val="auto"/>
                <w:sz w:val="24"/>
              </w:rPr>
              <w:t>2、</w:t>
            </w:r>
            <w:r>
              <w:rPr>
                <w:rFonts w:ascii="Times New Roman" w:hAnsi="Times New Roman"/>
                <w:b/>
                <w:bCs/>
                <w:color w:val="auto"/>
                <w:sz w:val="24"/>
              </w:rPr>
              <w:t>项目建设内容概况</w:t>
            </w:r>
            <w:r>
              <w:rPr>
                <w:rFonts w:hint="eastAsia" w:ascii="Times New Roman" w:hAnsi="Times New Roman"/>
                <w:b/>
                <w:bCs/>
                <w:color w:val="auto"/>
                <w:sz w:val="24"/>
              </w:rPr>
              <w:t>：</w:t>
            </w:r>
          </w:p>
          <w:p>
            <w:pPr>
              <w:spacing w:line="360" w:lineRule="auto"/>
              <w:ind w:firstLine="480" w:firstLineChars="200"/>
              <w:rPr>
                <w:rFonts w:ascii="Times New Roman" w:hAnsi="Times New Roman"/>
                <w:b/>
                <w:bCs/>
                <w:color w:val="auto"/>
                <w:szCs w:val="21"/>
              </w:rPr>
            </w:pPr>
            <w:r>
              <w:rPr>
                <w:rFonts w:hint="eastAsia" w:ascii="Times New Roman" w:hAnsi="Times New Roman"/>
                <w:color w:val="auto"/>
                <w:sz w:val="24"/>
              </w:rPr>
              <w:t>年产100万支两用扳手生产线</w:t>
            </w:r>
            <w:r>
              <w:rPr>
                <w:rFonts w:ascii="Times New Roman" w:hAnsi="Times New Roman"/>
                <w:color w:val="auto"/>
                <w:sz w:val="24"/>
              </w:rPr>
              <w:t>建设项目。项目总投资</w:t>
            </w:r>
            <w:r>
              <w:rPr>
                <w:rFonts w:hint="eastAsia" w:ascii="Times New Roman" w:hAnsi="Times New Roman"/>
                <w:color w:val="auto"/>
                <w:sz w:val="24"/>
              </w:rPr>
              <w:t>150</w:t>
            </w:r>
            <w:r>
              <w:rPr>
                <w:rFonts w:ascii="Times New Roman" w:hAnsi="Times New Roman"/>
                <w:color w:val="auto"/>
                <w:sz w:val="24"/>
              </w:rPr>
              <w:t>万元，项目工程内容、原辅材料、生产设备见表</w:t>
            </w:r>
            <w:r>
              <w:rPr>
                <w:rFonts w:hint="eastAsia" w:ascii="Times New Roman" w:hAnsi="Times New Roman"/>
                <w:color w:val="auto"/>
                <w:sz w:val="24"/>
              </w:rPr>
              <w:t>2-1</w:t>
            </w:r>
            <w:r>
              <w:rPr>
                <w:rFonts w:ascii="Times New Roman" w:hAnsi="Times New Roman"/>
                <w:color w:val="auto"/>
                <w:sz w:val="24"/>
              </w:rPr>
              <w:t>至表</w:t>
            </w:r>
            <w:r>
              <w:rPr>
                <w:rFonts w:hint="eastAsia" w:ascii="Times New Roman" w:hAnsi="Times New Roman"/>
                <w:color w:val="auto"/>
                <w:sz w:val="24"/>
              </w:rPr>
              <w:t>2-3</w:t>
            </w:r>
            <w:r>
              <w:rPr>
                <w:rFonts w:ascii="Times New Roman" w:hAnsi="Times New Roman"/>
                <w:color w:val="auto"/>
                <w:sz w:val="24"/>
              </w:rPr>
              <w:t>。</w:t>
            </w:r>
          </w:p>
          <w:p>
            <w:pPr>
              <w:pStyle w:val="21"/>
              <w:ind w:left="0"/>
              <w:jc w:val="center"/>
              <w:rPr>
                <w:rFonts w:ascii="Times New Roman" w:hAnsi="Times New Roman"/>
                <w:b/>
                <w:bCs/>
                <w:color w:val="auto"/>
                <w:sz w:val="21"/>
                <w:szCs w:val="21"/>
                <w:u w:val="single"/>
              </w:rPr>
            </w:pPr>
            <w:r>
              <w:rPr>
                <w:rFonts w:ascii="Times New Roman" w:hAnsi="Times New Roman"/>
                <w:b/>
                <w:bCs/>
                <w:color w:val="auto"/>
                <w:sz w:val="21"/>
                <w:szCs w:val="21"/>
                <w:u w:val="single"/>
              </w:rPr>
              <w:t>表</w:t>
            </w:r>
            <w:r>
              <w:rPr>
                <w:rFonts w:hint="eastAsia" w:ascii="Times New Roman" w:hAnsi="Times New Roman"/>
                <w:b/>
                <w:bCs/>
                <w:color w:val="auto"/>
                <w:sz w:val="21"/>
                <w:szCs w:val="21"/>
                <w:u w:val="single"/>
              </w:rPr>
              <w:t xml:space="preserve">2-1  </w:t>
            </w:r>
            <w:r>
              <w:rPr>
                <w:rFonts w:ascii="Times New Roman" w:hAnsi="Times New Roman"/>
                <w:b/>
                <w:bCs/>
                <w:color w:val="auto"/>
                <w:sz w:val="21"/>
                <w:szCs w:val="21"/>
                <w:u w:val="single"/>
              </w:rPr>
              <w:t>项目工程内容表</w:t>
            </w:r>
          </w:p>
          <w:tbl>
            <w:tblPr>
              <w:tblStyle w:val="26"/>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05"/>
              <w:gridCol w:w="779"/>
              <w:gridCol w:w="775"/>
              <w:gridCol w:w="3055"/>
              <w:gridCol w:w="1070"/>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dxa"/>
                  <w:gridSpan w:val="2"/>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项目组成</w:t>
                  </w:r>
                </w:p>
              </w:tc>
              <w:tc>
                <w:tcPr>
                  <w:tcW w:w="5679" w:type="dxa"/>
                  <w:gridSpan w:val="4"/>
                  <w:tcBorders>
                    <w:tl2br w:val="nil"/>
                    <w:tr2bl w:val="nil"/>
                  </w:tcBorders>
                  <w:vAlign w:val="center"/>
                </w:tcPr>
                <w:p>
                  <w:pPr>
                    <w:jc w:val="center"/>
                    <w:rPr>
                      <w:rFonts w:ascii="Times New Roman" w:hAnsi="Times New Roman"/>
                      <w:b/>
                      <w:bCs/>
                      <w:color w:val="auto"/>
                      <w:szCs w:val="21"/>
                      <w:u w:val="single"/>
                    </w:rPr>
                  </w:pPr>
                  <w:r>
                    <w:rPr>
                      <w:rFonts w:hint="eastAsia" w:ascii="Times New Roman" w:hAnsi="Times New Roman"/>
                      <w:b/>
                      <w:bCs/>
                      <w:color w:val="auto"/>
                      <w:szCs w:val="21"/>
                      <w:u w:val="single"/>
                    </w:rPr>
                    <w:t>主要建设内容</w:t>
                  </w:r>
                </w:p>
              </w:tc>
              <w:tc>
                <w:tcPr>
                  <w:tcW w:w="1398" w:type="dxa"/>
                  <w:tcBorders>
                    <w:tl2br w:val="nil"/>
                    <w:tr2bl w:val="nil"/>
                  </w:tcBorders>
                  <w:vAlign w:val="center"/>
                </w:tcPr>
                <w:p>
                  <w:pPr>
                    <w:jc w:val="center"/>
                    <w:rPr>
                      <w:rFonts w:ascii="Times New Roman" w:hAnsi="Times New Roman"/>
                      <w:b/>
                      <w:bCs/>
                      <w:color w:val="auto"/>
                      <w:szCs w:val="21"/>
                      <w:u w:val="single"/>
                    </w:rPr>
                  </w:pPr>
                  <w:r>
                    <w:rPr>
                      <w:rFonts w:hint="eastAsia" w:ascii="Times New Roman" w:hAnsi="Times New Roman"/>
                      <w:b/>
                      <w:bCs/>
                      <w:color w:val="auto"/>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9" w:type="dxa"/>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主体工程</w:t>
                  </w:r>
                </w:p>
              </w:tc>
              <w:tc>
                <w:tcPr>
                  <w:tcW w:w="905"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生产区</w:t>
                  </w:r>
                </w:p>
              </w:tc>
              <w:tc>
                <w:tcPr>
                  <w:tcW w:w="5679" w:type="dxa"/>
                  <w:gridSpan w:val="4"/>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一层，主要包括下料、喷砂、电加热烘烤、抛光、打磨等工序，</w:t>
                  </w:r>
                  <w:r>
                    <w:rPr>
                      <w:rFonts w:ascii="Times New Roman" w:hAnsi="Times New Roman"/>
                      <w:color w:val="auto"/>
                      <w:szCs w:val="21"/>
                      <w:u w:val="single"/>
                    </w:rPr>
                    <w:t>2</w:t>
                  </w:r>
                  <w:r>
                    <w:rPr>
                      <w:rFonts w:hint="eastAsia" w:ascii="Times New Roman" w:hAnsi="Times New Roman"/>
                      <w:color w:val="auto"/>
                      <w:szCs w:val="21"/>
                      <w:u w:val="single"/>
                    </w:rPr>
                    <w:t>3</w:t>
                  </w:r>
                  <w:r>
                    <w:rPr>
                      <w:rFonts w:ascii="Times New Roman" w:hAnsi="Times New Roman"/>
                      <w:color w:val="auto"/>
                      <w:szCs w:val="21"/>
                      <w:u w:val="single"/>
                    </w:rPr>
                    <w:t>00m</w:t>
                  </w:r>
                  <w:r>
                    <w:rPr>
                      <w:rFonts w:ascii="Times New Roman" w:hAnsi="Times New Roman"/>
                      <w:color w:val="auto"/>
                      <w:szCs w:val="21"/>
                      <w:u w:val="single"/>
                      <w:vertAlign w:val="superscript"/>
                    </w:rPr>
                    <w:t>2</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429" w:type="dxa"/>
                  <w:vMerge w:val="restart"/>
                  <w:tcBorders>
                    <w:tl2br w:val="nil"/>
                    <w:tr2bl w:val="nil"/>
                  </w:tcBorders>
                  <w:vAlign w:val="center"/>
                </w:tcPr>
                <w:p>
                  <w:pPr>
                    <w:widowControl/>
                    <w:jc w:val="center"/>
                    <w:rPr>
                      <w:color w:val="auto"/>
                      <w:u w:val="single"/>
                    </w:rPr>
                  </w:pPr>
                  <w:r>
                    <w:rPr>
                      <w:rFonts w:hint="eastAsia"/>
                      <w:b/>
                      <w:bCs/>
                      <w:color w:val="auto"/>
                      <w:u w:val="single"/>
                    </w:rPr>
                    <w:t>储运工程</w:t>
                  </w:r>
                </w:p>
              </w:tc>
              <w:tc>
                <w:tcPr>
                  <w:tcW w:w="905" w:type="dxa"/>
                  <w:tcBorders>
                    <w:tl2br w:val="nil"/>
                    <w:tr2bl w:val="nil"/>
                  </w:tcBorders>
                  <w:vAlign w:val="center"/>
                </w:tcPr>
                <w:p>
                  <w:pPr>
                    <w:widowControl/>
                    <w:jc w:val="center"/>
                    <w:rPr>
                      <w:color w:val="auto"/>
                      <w:u w:val="single"/>
                    </w:rPr>
                  </w:pPr>
                  <w:r>
                    <w:rPr>
                      <w:rFonts w:ascii="Times New Roman" w:hAnsi="Times New Roman"/>
                      <w:color w:val="auto"/>
                      <w:szCs w:val="21"/>
                      <w:u w:val="single"/>
                    </w:rPr>
                    <w:t>原料</w:t>
                  </w:r>
                  <w:r>
                    <w:rPr>
                      <w:rFonts w:hint="eastAsia" w:ascii="Times New Roman" w:hAnsi="Times New Roman"/>
                      <w:color w:val="auto"/>
                      <w:szCs w:val="21"/>
                      <w:u w:val="single"/>
                    </w:rPr>
                    <w:t>储存</w:t>
                  </w:r>
                  <w:r>
                    <w:rPr>
                      <w:rFonts w:ascii="Times New Roman" w:hAnsi="Times New Roman"/>
                      <w:color w:val="auto"/>
                      <w:szCs w:val="21"/>
                      <w:u w:val="single"/>
                    </w:rPr>
                    <w:t>区</w:t>
                  </w:r>
                </w:p>
              </w:tc>
              <w:tc>
                <w:tcPr>
                  <w:tcW w:w="5679" w:type="dxa"/>
                  <w:gridSpan w:val="4"/>
                  <w:tcBorders>
                    <w:tl2br w:val="nil"/>
                    <w:tr2bl w:val="nil"/>
                  </w:tcBorders>
                  <w:vAlign w:val="center"/>
                </w:tcPr>
                <w:p>
                  <w:pPr>
                    <w:adjustRightInd w:val="0"/>
                    <w:snapToGrid w:val="0"/>
                    <w:jc w:val="center"/>
                    <w:rPr>
                      <w:rFonts w:ascii="Times New Roman" w:hAnsi="Times New Roman"/>
                      <w:color w:val="auto"/>
                      <w:szCs w:val="21"/>
                      <w:u w:val="single"/>
                    </w:rPr>
                  </w:pPr>
                  <w:r>
                    <w:rPr>
                      <w:rFonts w:ascii="Times New Roman" w:hAnsi="Times New Roman"/>
                      <w:color w:val="auto"/>
                      <w:szCs w:val="21"/>
                      <w:u w:val="single"/>
                    </w:rPr>
                    <w:t>1层，建筑面积为150m</w:t>
                  </w:r>
                  <w:r>
                    <w:rPr>
                      <w:rFonts w:ascii="Times New Roman" w:hAnsi="Times New Roman"/>
                      <w:color w:val="auto"/>
                      <w:szCs w:val="21"/>
                      <w:u w:val="single"/>
                      <w:vertAlign w:val="superscript"/>
                    </w:rPr>
                    <w:t>2</w:t>
                  </w:r>
                  <w:r>
                    <w:rPr>
                      <w:rFonts w:ascii="Times New Roman" w:hAnsi="Times New Roman"/>
                      <w:color w:val="auto"/>
                      <w:szCs w:val="21"/>
                      <w:u w:val="single"/>
                    </w:rPr>
                    <w:t>，位于厂区</w:t>
                  </w:r>
                  <w:r>
                    <w:rPr>
                      <w:rFonts w:hint="eastAsia" w:ascii="Times New Roman" w:hAnsi="Times New Roman"/>
                      <w:color w:val="auto"/>
                      <w:szCs w:val="21"/>
                      <w:u w:val="single"/>
                    </w:rPr>
                    <w:t>中部北侧</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jc w:val="center"/>
              </w:trPr>
              <w:tc>
                <w:tcPr>
                  <w:tcW w:w="429" w:type="dxa"/>
                  <w:vMerge w:val="continue"/>
                  <w:tcBorders>
                    <w:tl2br w:val="nil"/>
                    <w:tr2bl w:val="nil"/>
                  </w:tcBorders>
                  <w:vAlign w:val="center"/>
                </w:tcPr>
                <w:p>
                  <w:pPr>
                    <w:widowControl/>
                    <w:jc w:val="center"/>
                    <w:rPr>
                      <w:color w:val="auto"/>
                      <w:u w:val="single"/>
                    </w:rPr>
                  </w:pPr>
                </w:p>
              </w:tc>
              <w:tc>
                <w:tcPr>
                  <w:tcW w:w="905" w:type="dxa"/>
                  <w:tcBorders>
                    <w:tl2br w:val="nil"/>
                    <w:tr2bl w:val="nil"/>
                  </w:tcBorders>
                  <w:vAlign w:val="center"/>
                </w:tcPr>
                <w:p>
                  <w:pPr>
                    <w:widowControl/>
                    <w:jc w:val="center"/>
                    <w:rPr>
                      <w:color w:val="auto"/>
                      <w:u w:val="single"/>
                    </w:rPr>
                  </w:pPr>
                  <w:r>
                    <w:rPr>
                      <w:rFonts w:hint="eastAsia"/>
                      <w:color w:val="auto"/>
                      <w:u w:val="single"/>
                    </w:rPr>
                    <w:t>成品储存区</w:t>
                  </w:r>
                </w:p>
              </w:tc>
              <w:tc>
                <w:tcPr>
                  <w:tcW w:w="5679" w:type="dxa"/>
                  <w:gridSpan w:val="4"/>
                  <w:tcBorders>
                    <w:tl2br w:val="nil"/>
                    <w:tr2bl w:val="nil"/>
                  </w:tcBorders>
                  <w:vAlign w:val="center"/>
                </w:tcPr>
                <w:p>
                  <w:pPr>
                    <w:adjustRightInd w:val="0"/>
                    <w:snapToGrid w:val="0"/>
                    <w:jc w:val="center"/>
                    <w:rPr>
                      <w:rFonts w:ascii="Times New Roman" w:hAnsi="Times New Roman"/>
                      <w:color w:val="auto"/>
                      <w:szCs w:val="21"/>
                      <w:u w:val="single"/>
                    </w:rPr>
                  </w:pPr>
                  <w:r>
                    <w:rPr>
                      <w:rFonts w:ascii="Times New Roman" w:hAnsi="Times New Roman"/>
                      <w:color w:val="auto"/>
                      <w:szCs w:val="21"/>
                      <w:u w:val="single"/>
                    </w:rPr>
                    <w:t>1层，建筑面积为150m</w:t>
                  </w:r>
                  <w:r>
                    <w:rPr>
                      <w:rFonts w:ascii="Times New Roman" w:hAnsi="Times New Roman"/>
                      <w:color w:val="auto"/>
                      <w:szCs w:val="21"/>
                      <w:u w:val="single"/>
                      <w:vertAlign w:val="superscript"/>
                    </w:rPr>
                    <w:t>2</w:t>
                  </w:r>
                  <w:r>
                    <w:rPr>
                      <w:rFonts w:ascii="Times New Roman" w:hAnsi="Times New Roman"/>
                      <w:color w:val="auto"/>
                      <w:szCs w:val="21"/>
                      <w:u w:val="single"/>
                    </w:rPr>
                    <w:t>，位于厂区</w:t>
                  </w:r>
                  <w:r>
                    <w:rPr>
                      <w:rFonts w:hint="eastAsia" w:ascii="Times New Roman" w:hAnsi="Times New Roman"/>
                      <w:color w:val="auto"/>
                      <w:szCs w:val="21"/>
                      <w:u w:val="single"/>
                    </w:rPr>
                    <w:t>西</w:t>
                  </w:r>
                  <w:r>
                    <w:rPr>
                      <w:rFonts w:ascii="Times New Roman" w:hAnsi="Times New Roman"/>
                      <w:color w:val="auto"/>
                      <w:szCs w:val="21"/>
                      <w:u w:val="single"/>
                    </w:rPr>
                    <w:t>南侧</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9" w:type="dxa"/>
                  <w:vMerge w:val="restar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辅助工程</w:t>
                  </w: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办公区</w:t>
                  </w:r>
                </w:p>
              </w:tc>
              <w:tc>
                <w:tcPr>
                  <w:tcW w:w="5679" w:type="dxa"/>
                  <w:gridSpan w:val="4"/>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1栋，3F办公室、会议室、仓库等</w:t>
                  </w:r>
                  <w:r>
                    <w:rPr>
                      <w:rFonts w:hint="eastAsia" w:ascii="Times New Roman" w:hAnsi="Times New Roman"/>
                      <w:color w:val="auto"/>
                      <w:szCs w:val="21"/>
                      <w:u w:val="single"/>
                    </w:rPr>
                    <w:t>，</w:t>
                  </w:r>
                  <w:r>
                    <w:rPr>
                      <w:rFonts w:ascii="Times New Roman" w:hAnsi="Times New Roman"/>
                      <w:color w:val="auto"/>
                      <w:szCs w:val="21"/>
                      <w:u w:val="single"/>
                    </w:rPr>
                    <w:t>320m</w:t>
                  </w:r>
                  <w:r>
                    <w:rPr>
                      <w:rFonts w:ascii="Times New Roman" w:hAnsi="Times New Roman"/>
                      <w:color w:val="auto"/>
                      <w:szCs w:val="21"/>
                      <w:u w:val="single"/>
                      <w:vertAlign w:val="superscript"/>
                    </w:rPr>
                    <w:t>2</w:t>
                  </w:r>
                </w:p>
              </w:tc>
              <w:tc>
                <w:tcPr>
                  <w:tcW w:w="1398" w:type="dxa"/>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9" w:type="dxa"/>
                  <w:vMerge w:val="continue"/>
                  <w:tcBorders>
                    <w:tl2br w:val="nil"/>
                    <w:tr2bl w:val="nil"/>
                  </w:tcBorders>
                  <w:vAlign w:val="center"/>
                </w:tcPr>
                <w:p>
                  <w:pPr>
                    <w:jc w:val="center"/>
                    <w:rPr>
                      <w:rFonts w:ascii="Times New Roman" w:hAnsi="Times New Roman"/>
                      <w:b/>
                      <w:bCs/>
                      <w:color w:val="auto"/>
                      <w:szCs w:val="21"/>
                      <w:u w:val="single"/>
                    </w:rPr>
                  </w:pP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服务区</w:t>
                  </w:r>
                </w:p>
              </w:tc>
              <w:tc>
                <w:tcPr>
                  <w:tcW w:w="5679" w:type="dxa"/>
                  <w:gridSpan w:val="4"/>
                  <w:tcBorders>
                    <w:tl2br w:val="nil"/>
                    <w:tr2bl w:val="nil"/>
                  </w:tcBorders>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配电房</w:t>
                  </w:r>
                  <w:r>
                    <w:rPr>
                      <w:rFonts w:hint="eastAsia" w:ascii="Times New Roman" w:hAnsi="Times New Roman"/>
                      <w:color w:val="auto"/>
                      <w:szCs w:val="21"/>
                      <w:u w:val="single"/>
                    </w:rPr>
                    <w:t>，50</w:t>
                  </w:r>
                  <w:r>
                    <w:rPr>
                      <w:rFonts w:ascii="Times New Roman" w:hAnsi="Times New Roman"/>
                      <w:color w:val="auto"/>
                      <w:szCs w:val="21"/>
                      <w:u w:val="single"/>
                    </w:rPr>
                    <w:t>m</w:t>
                  </w:r>
                  <w:r>
                    <w:rPr>
                      <w:rFonts w:ascii="Times New Roman" w:hAnsi="Times New Roman"/>
                      <w:color w:val="auto"/>
                      <w:szCs w:val="21"/>
                      <w:u w:val="single"/>
                      <w:vertAlign w:val="superscript"/>
                    </w:rPr>
                    <w:t>2</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429" w:type="dxa"/>
                  <w:vMerge w:val="restar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公用工程</w:t>
                  </w: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供水</w:t>
                  </w:r>
                </w:p>
              </w:tc>
              <w:tc>
                <w:tcPr>
                  <w:tcW w:w="5679" w:type="dxa"/>
                  <w:gridSpan w:val="4"/>
                  <w:tcBorders>
                    <w:tl2br w:val="nil"/>
                    <w:tr2bl w:val="nil"/>
                  </w:tcBorders>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当地自来水管网，PP-R给水管</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29" w:type="dxa"/>
                  <w:vMerge w:val="continue"/>
                  <w:tcBorders>
                    <w:tl2br w:val="nil"/>
                    <w:tr2bl w:val="nil"/>
                  </w:tcBorders>
                  <w:vAlign w:val="center"/>
                </w:tcPr>
                <w:p>
                  <w:pPr>
                    <w:jc w:val="center"/>
                    <w:rPr>
                      <w:rFonts w:ascii="Times New Roman" w:hAnsi="Times New Roman"/>
                      <w:b/>
                      <w:bCs/>
                      <w:color w:val="auto"/>
                      <w:szCs w:val="21"/>
                      <w:u w:val="single"/>
                    </w:rPr>
                  </w:pP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供电</w:t>
                  </w:r>
                </w:p>
              </w:tc>
              <w:tc>
                <w:tcPr>
                  <w:tcW w:w="5679" w:type="dxa"/>
                  <w:gridSpan w:val="4"/>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当地电网提供，380/220V</w:t>
                  </w:r>
                </w:p>
              </w:tc>
              <w:tc>
                <w:tcPr>
                  <w:tcW w:w="1398" w:type="dxa"/>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jc w:val="center"/>
              </w:trPr>
              <w:tc>
                <w:tcPr>
                  <w:tcW w:w="429" w:type="dxa"/>
                  <w:vMerge w:val="continue"/>
                  <w:tcBorders>
                    <w:tl2br w:val="nil"/>
                    <w:tr2bl w:val="nil"/>
                  </w:tcBorders>
                  <w:vAlign w:val="center"/>
                </w:tcPr>
                <w:p>
                  <w:pPr>
                    <w:jc w:val="center"/>
                    <w:rPr>
                      <w:rFonts w:ascii="Times New Roman" w:hAnsi="Times New Roman"/>
                      <w:b/>
                      <w:bCs/>
                      <w:color w:val="auto"/>
                      <w:szCs w:val="21"/>
                      <w:u w:val="single"/>
                    </w:rPr>
                  </w:pP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道路</w:t>
                  </w:r>
                </w:p>
              </w:tc>
              <w:tc>
                <w:tcPr>
                  <w:tcW w:w="5679" w:type="dxa"/>
                  <w:gridSpan w:val="4"/>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厂内道路硬化</w:t>
                  </w:r>
                </w:p>
              </w:tc>
              <w:tc>
                <w:tcPr>
                  <w:tcW w:w="1398" w:type="dxa"/>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9" w:type="dxa"/>
                  <w:vMerge w:val="restar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环保工程</w:t>
                  </w: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废水处理设施</w:t>
                  </w:r>
                </w:p>
              </w:tc>
              <w:tc>
                <w:tcPr>
                  <w:tcW w:w="5679" w:type="dxa"/>
                  <w:gridSpan w:val="4"/>
                  <w:tcBorders>
                    <w:tl2br w:val="nil"/>
                    <w:tr2bl w:val="nil"/>
                  </w:tcBorders>
                  <w:vAlign w:val="center"/>
                </w:tcPr>
                <w:p>
                  <w:pPr>
                    <w:autoSpaceDE w:val="0"/>
                    <w:autoSpaceDN w:val="0"/>
                    <w:adjustRightInd w:val="0"/>
                    <w:jc w:val="center"/>
                    <w:rPr>
                      <w:rFonts w:ascii="Times New Roman" w:hAnsi="Times New Roman"/>
                      <w:color w:val="auto"/>
                      <w:szCs w:val="21"/>
                      <w:u w:val="single"/>
                    </w:rPr>
                  </w:pPr>
                  <w:r>
                    <w:rPr>
                      <w:rFonts w:ascii="Times New Roman" w:hAnsi="Times New Roman"/>
                      <w:color w:val="auto"/>
                      <w:szCs w:val="21"/>
                      <w:u w:val="single"/>
                    </w:rPr>
                    <w:t>项目区采用雨污分流制。雨水直接排入市政雨水管网；生活污水经化粪池处理后排入仙槎桥处理厂；高温废水经冷却池冷却后回用做冷却水，不外排；水幕除尘废水</w:t>
                  </w:r>
                  <w:r>
                    <w:rPr>
                      <w:rFonts w:hint="eastAsia" w:ascii="Times New Roman" w:hAnsi="Times New Roman"/>
                      <w:color w:val="auto"/>
                      <w:szCs w:val="21"/>
                      <w:u w:val="single"/>
                    </w:rPr>
                    <w:t>及抛光废水</w:t>
                  </w:r>
                  <w:r>
                    <w:rPr>
                      <w:rFonts w:ascii="Times New Roman" w:hAnsi="Times New Roman"/>
                      <w:color w:val="auto"/>
                      <w:szCs w:val="21"/>
                      <w:u w:val="single"/>
                    </w:rPr>
                    <w:t>经沉淀池沉淀后，回用于水幕除尘，不外排。</w:t>
                  </w:r>
                </w:p>
              </w:tc>
              <w:tc>
                <w:tcPr>
                  <w:tcW w:w="1398" w:type="dxa"/>
                  <w:tcBorders>
                    <w:tl2br w:val="nil"/>
                    <w:tr2bl w:val="nil"/>
                  </w:tcBorders>
                  <w:vAlign w:val="center"/>
                </w:tcPr>
                <w:p>
                  <w:pPr>
                    <w:autoSpaceDE w:val="0"/>
                    <w:autoSpaceDN w:val="0"/>
                    <w:adjustRightInd w:val="0"/>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29" w:type="dxa"/>
                  <w:vMerge w:val="continue"/>
                  <w:tcBorders>
                    <w:tl2br w:val="nil"/>
                    <w:tr2bl w:val="nil"/>
                  </w:tcBorders>
                  <w:vAlign w:val="center"/>
                </w:tcPr>
                <w:p>
                  <w:pPr>
                    <w:jc w:val="center"/>
                    <w:rPr>
                      <w:rFonts w:ascii="Times New Roman" w:hAnsi="Times New Roman"/>
                      <w:color w:val="auto"/>
                      <w:szCs w:val="21"/>
                      <w:u w:val="single"/>
                    </w:rPr>
                  </w:pPr>
                </w:p>
              </w:tc>
              <w:tc>
                <w:tcPr>
                  <w:tcW w:w="905" w:type="dxa"/>
                  <w:vMerge w:val="restar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废气处理设施</w:t>
                  </w:r>
                </w:p>
              </w:tc>
              <w:tc>
                <w:tcPr>
                  <w:tcW w:w="779" w:type="dxa"/>
                  <w:vMerge w:val="restart"/>
                  <w:tcBorders>
                    <w:tl2br w:val="nil"/>
                    <w:tr2bl w:val="nil"/>
                  </w:tcBorders>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无组织废气</w:t>
                  </w:r>
                </w:p>
              </w:tc>
              <w:tc>
                <w:tcPr>
                  <w:tcW w:w="3830" w:type="dxa"/>
                  <w:gridSpan w:val="2"/>
                  <w:tcBorders>
                    <w:tl2br w:val="nil"/>
                    <w:tr2bl w:val="nil"/>
                  </w:tcBorders>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喷砂废气经</w:t>
                  </w:r>
                  <w:r>
                    <w:rPr>
                      <w:rFonts w:hint="eastAsia" w:ascii="Times New Roman" w:hAnsi="Times New Roman"/>
                      <w:color w:val="auto"/>
                      <w:szCs w:val="21"/>
                      <w:u w:val="single"/>
                    </w:rPr>
                    <w:t>自带的布袋</w:t>
                  </w:r>
                  <w:r>
                    <w:rPr>
                      <w:rFonts w:ascii="Times New Roman" w:hAnsi="Times New Roman"/>
                      <w:color w:val="auto"/>
                      <w:szCs w:val="21"/>
                      <w:u w:val="single"/>
                    </w:rPr>
                    <w:t>除尘器</w:t>
                  </w:r>
                  <w:r>
                    <w:rPr>
                      <w:rFonts w:hint="eastAsia" w:ascii="Times New Roman" w:hAnsi="Times New Roman"/>
                      <w:color w:val="auto"/>
                      <w:szCs w:val="21"/>
                      <w:u w:val="single"/>
                    </w:rPr>
                    <w:t>收集</w:t>
                  </w:r>
                </w:p>
              </w:tc>
              <w:tc>
                <w:tcPr>
                  <w:tcW w:w="1070" w:type="dxa"/>
                  <w:vMerge w:val="restart"/>
                  <w:tcBorders>
                    <w:tl2br w:val="nil"/>
                    <w:tr2bl w:val="nil"/>
                  </w:tcBorders>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排风扇通风+厂区通风</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9" w:type="dxa"/>
                  <w:vMerge w:val="continue"/>
                  <w:tcBorders>
                    <w:tl2br w:val="nil"/>
                    <w:tr2bl w:val="nil"/>
                  </w:tcBorders>
                  <w:vAlign w:val="center"/>
                </w:tcPr>
                <w:p>
                  <w:pPr>
                    <w:jc w:val="center"/>
                    <w:rPr>
                      <w:rFonts w:ascii="Times New Roman" w:hAnsi="Times New Roman"/>
                      <w:color w:val="auto"/>
                      <w:szCs w:val="21"/>
                      <w:u w:val="single"/>
                    </w:rPr>
                  </w:pPr>
                </w:p>
              </w:tc>
              <w:tc>
                <w:tcPr>
                  <w:tcW w:w="905" w:type="dxa"/>
                  <w:vMerge w:val="continue"/>
                  <w:tcBorders>
                    <w:tl2br w:val="nil"/>
                    <w:tr2bl w:val="nil"/>
                  </w:tcBorders>
                  <w:vAlign w:val="center"/>
                </w:tcPr>
                <w:p>
                  <w:pPr>
                    <w:jc w:val="center"/>
                    <w:rPr>
                      <w:rFonts w:ascii="Times New Roman" w:hAnsi="Times New Roman"/>
                      <w:color w:val="auto"/>
                      <w:szCs w:val="21"/>
                      <w:u w:val="single"/>
                    </w:rPr>
                  </w:pPr>
                </w:p>
              </w:tc>
              <w:tc>
                <w:tcPr>
                  <w:tcW w:w="779" w:type="dxa"/>
                  <w:vMerge w:val="continue"/>
                  <w:tcBorders>
                    <w:tl2br w:val="nil"/>
                    <w:tr2bl w:val="nil"/>
                  </w:tcBorders>
                  <w:vAlign w:val="center"/>
                </w:tcPr>
                <w:p>
                  <w:pPr>
                    <w:widowControl/>
                    <w:jc w:val="center"/>
                    <w:rPr>
                      <w:rFonts w:ascii="Times New Roman" w:hAnsi="Times New Roman"/>
                      <w:color w:val="auto"/>
                      <w:szCs w:val="21"/>
                      <w:u w:val="single"/>
                    </w:rPr>
                  </w:pPr>
                </w:p>
              </w:tc>
              <w:tc>
                <w:tcPr>
                  <w:tcW w:w="3830" w:type="dxa"/>
                  <w:gridSpan w:val="2"/>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打磨</w:t>
                  </w:r>
                  <w:r>
                    <w:rPr>
                      <w:rFonts w:ascii="Times New Roman" w:hAnsi="Times New Roman"/>
                      <w:color w:val="auto"/>
                      <w:szCs w:val="21"/>
                      <w:u w:val="single"/>
                    </w:rPr>
                    <w:t>废气经水幕除尘后</w:t>
                  </w:r>
                  <w:r>
                    <w:rPr>
                      <w:rFonts w:hint="eastAsia" w:ascii="Times New Roman" w:hAnsi="Times New Roman"/>
                      <w:color w:val="auto"/>
                      <w:szCs w:val="21"/>
                      <w:u w:val="single"/>
                    </w:rPr>
                    <w:t>经由10m长1.2m高的出风口</w:t>
                  </w:r>
                  <w:r>
                    <w:rPr>
                      <w:rFonts w:ascii="Times New Roman" w:hAnsi="Times New Roman"/>
                      <w:color w:val="auto"/>
                      <w:szCs w:val="21"/>
                      <w:u w:val="single"/>
                    </w:rPr>
                    <w:t>在厂区内无组织排放</w:t>
                  </w:r>
                </w:p>
              </w:tc>
              <w:tc>
                <w:tcPr>
                  <w:tcW w:w="1070" w:type="dxa"/>
                  <w:vMerge w:val="continue"/>
                  <w:tcBorders>
                    <w:tl2br w:val="nil"/>
                    <w:tr2bl w:val="nil"/>
                  </w:tcBorders>
                  <w:vAlign w:val="center"/>
                </w:tcPr>
                <w:p>
                  <w:pPr>
                    <w:widowControl/>
                    <w:jc w:val="center"/>
                    <w:rPr>
                      <w:rFonts w:ascii="Times New Roman" w:hAnsi="Times New Roman"/>
                      <w:color w:val="auto"/>
                      <w:szCs w:val="21"/>
                      <w:u w:val="single"/>
                    </w:rPr>
                  </w:pP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9" w:type="dxa"/>
                  <w:vMerge w:val="continue"/>
                  <w:tcBorders>
                    <w:tl2br w:val="nil"/>
                    <w:tr2bl w:val="nil"/>
                  </w:tcBorders>
                  <w:vAlign w:val="center"/>
                </w:tcPr>
                <w:p>
                  <w:pPr>
                    <w:jc w:val="center"/>
                    <w:rPr>
                      <w:rFonts w:ascii="Times New Roman" w:hAnsi="Times New Roman"/>
                      <w:color w:val="auto"/>
                      <w:szCs w:val="21"/>
                      <w:u w:val="single"/>
                    </w:rPr>
                  </w:pPr>
                </w:p>
              </w:tc>
              <w:tc>
                <w:tcPr>
                  <w:tcW w:w="905" w:type="dxa"/>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噪声处理设施</w:t>
                  </w:r>
                </w:p>
              </w:tc>
              <w:tc>
                <w:tcPr>
                  <w:tcW w:w="5679" w:type="dxa"/>
                  <w:gridSpan w:val="4"/>
                  <w:tcBorders>
                    <w:tl2br w:val="nil"/>
                    <w:tr2bl w:val="nil"/>
                  </w:tcBorders>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优先选用低噪设备，安装减振基座、厂房隔声</w:t>
                  </w:r>
                </w:p>
              </w:tc>
              <w:tc>
                <w:tcPr>
                  <w:tcW w:w="1398" w:type="dxa"/>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429" w:type="dxa"/>
                  <w:vMerge w:val="continue"/>
                  <w:tcBorders>
                    <w:tl2br w:val="nil"/>
                    <w:tr2bl w:val="nil"/>
                  </w:tcBorders>
                  <w:vAlign w:val="center"/>
                </w:tcPr>
                <w:p>
                  <w:pPr>
                    <w:jc w:val="center"/>
                    <w:rPr>
                      <w:rFonts w:ascii="Times New Roman" w:hAnsi="Times New Roman"/>
                      <w:color w:val="auto"/>
                      <w:szCs w:val="21"/>
                      <w:u w:val="single"/>
                    </w:rPr>
                  </w:pPr>
                </w:p>
              </w:tc>
              <w:tc>
                <w:tcPr>
                  <w:tcW w:w="905" w:type="dxa"/>
                  <w:vMerge w:val="restar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固废处理设施</w:t>
                  </w:r>
                </w:p>
              </w:tc>
              <w:tc>
                <w:tcPr>
                  <w:tcW w:w="1554" w:type="dxa"/>
                  <w:gridSpan w:val="2"/>
                  <w:tcBorders>
                    <w:tl2br w:val="nil"/>
                    <w:tr2bl w:val="nil"/>
                  </w:tcBorders>
                  <w:vAlign w:val="center"/>
                </w:tcPr>
                <w:p>
                  <w:pPr>
                    <w:autoSpaceDE w:val="0"/>
                    <w:autoSpaceDN w:val="0"/>
                    <w:adjustRightInd w:val="0"/>
                    <w:jc w:val="center"/>
                    <w:rPr>
                      <w:rFonts w:hint="eastAsia" w:ascii="Times New Roman" w:hAnsi="Times New Roman" w:eastAsia="宋体"/>
                      <w:color w:val="auto"/>
                      <w:szCs w:val="21"/>
                      <w:u w:val="single"/>
                      <w:lang w:eastAsia="zh-CN"/>
                    </w:rPr>
                  </w:pPr>
                  <w:r>
                    <w:rPr>
                      <w:rFonts w:ascii="Times New Roman" w:hAnsi="Times New Roman"/>
                      <w:color w:val="auto"/>
                      <w:szCs w:val="21"/>
                      <w:u w:val="single"/>
                    </w:rPr>
                    <w:t>危废</w:t>
                  </w:r>
                  <w:r>
                    <w:rPr>
                      <w:rFonts w:hint="eastAsia" w:ascii="Times New Roman" w:hAnsi="Times New Roman"/>
                      <w:color w:val="auto"/>
                      <w:szCs w:val="21"/>
                      <w:u w:val="single"/>
                      <w:lang w:eastAsia="zh-CN"/>
                    </w:rPr>
                    <w:t>废物</w:t>
                  </w:r>
                </w:p>
              </w:tc>
              <w:tc>
                <w:tcPr>
                  <w:tcW w:w="4125" w:type="dxa"/>
                  <w:gridSpan w:val="2"/>
                  <w:tcBorders>
                    <w:tl2br w:val="nil"/>
                    <w:tr2bl w:val="nil"/>
                  </w:tcBorders>
                  <w:vAlign w:val="center"/>
                </w:tcPr>
                <w:p>
                  <w:pPr>
                    <w:autoSpaceDE w:val="0"/>
                    <w:autoSpaceDN w:val="0"/>
                    <w:adjustRightInd w:val="0"/>
                    <w:jc w:val="center"/>
                    <w:rPr>
                      <w:rFonts w:ascii="Times New Roman" w:hAnsi="Times New Roman"/>
                      <w:color w:val="auto"/>
                      <w:szCs w:val="21"/>
                      <w:u w:val="single"/>
                    </w:rPr>
                  </w:pPr>
                  <w:r>
                    <w:rPr>
                      <w:rFonts w:ascii="Times New Roman" w:hAnsi="Times New Roman"/>
                      <w:color w:val="auto"/>
                      <w:szCs w:val="21"/>
                      <w:u w:val="single"/>
                    </w:rPr>
                    <w:t>分类收集</w:t>
                  </w:r>
                  <w:r>
                    <w:rPr>
                      <w:rFonts w:hint="eastAsia" w:ascii="Times New Roman" w:hAnsi="Times New Roman"/>
                      <w:color w:val="auto"/>
                      <w:szCs w:val="21"/>
                      <w:u w:val="single"/>
                    </w:rPr>
                    <w:t>并</w:t>
                  </w:r>
                  <w:r>
                    <w:rPr>
                      <w:rFonts w:ascii="Times New Roman" w:hAnsi="Times New Roman"/>
                      <w:color w:val="auto"/>
                      <w:szCs w:val="21"/>
                      <w:u w:val="single"/>
                    </w:rPr>
                    <w:t>设置危废</w:t>
                  </w:r>
                  <w:r>
                    <w:rPr>
                      <w:rFonts w:hint="eastAsia" w:ascii="Times New Roman" w:hAnsi="Times New Roman"/>
                      <w:color w:val="auto"/>
                      <w:szCs w:val="21"/>
                      <w:u w:val="single"/>
                    </w:rPr>
                    <w:t>暂存间</w:t>
                  </w:r>
                  <w:r>
                    <w:rPr>
                      <w:rFonts w:ascii="Times New Roman" w:hAnsi="Times New Roman"/>
                      <w:color w:val="auto"/>
                      <w:szCs w:val="21"/>
                      <w:u w:val="single"/>
                    </w:rPr>
                    <w:t>，并作防渗处理</w:t>
                  </w:r>
                </w:p>
              </w:tc>
              <w:tc>
                <w:tcPr>
                  <w:tcW w:w="1398" w:type="dxa"/>
                  <w:tcBorders>
                    <w:tl2br w:val="nil"/>
                    <w:tr2bl w:val="nil"/>
                  </w:tcBorders>
                  <w:vAlign w:val="center"/>
                </w:tcPr>
                <w:p>
                  <w:pPr>
                    <w:autoSpaceDE w:val="0"/>
                    <w:autoSpaceDN w:val="0"/>
                    <w:adjustRightInd w:val="0"/>
                    <w:jc w:val="center"/>
                    <w:rPr>
                      <w:rFonts w:ascii="Times New Roman" w:hAnsi="Times New Roman"/>
                      <w:color w:val="auto"/>
                      <w:szCs w:val="21"/>
                      <w:u w:val="single"/>
                    </w:rPr>
                  </w:pPr>
                  <w:r>
                    <w:rPr>
                      <w:rFonts w:hint="eastAsia" w:ascii="Times New Roman" w:hAnsi="Times New Roman"/>
                      <w:color w:val="auto"/>
                      <w:szCs w:val="21"/>
                      <w:u w:val="single"/>
                    </w:rPr>
                    <w:t>已有，但危废间还需要根据相关规范要求进行整改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429" w:type="dxa"/>
                  <w:vMerge w:val="continue"/>
                  <w:tcBorders>
                    <w:tl2br w:val="nil"/>
                    <w:tr2bl w:val="nil"/>
                  </w:tcBorders>
                  <w:vAlign w:val="center"/>
                </w:tcPr>
                <w:p>
                  <w:pPr>
                    <w:autoSpaceDE w:val="0"/>
                    <w:autoSpaceDN w:val="0"/>
                    <w:adjustRightInd w:val="0"/>
                    <w:jc w:val="center"/>
                    <w:rPr>
                      <w:color w:val="auto"/>
                    </w:rPr>
                  </w:pPr>
                </w:p>
              </w:tc>
              <w:tc>
                <w:tcPr>
                  <w:tcW w:w="905" w:type="dxa"/>
                  <w:vMerge w:val="continue"/>
                  <w:tcBorders>
                    <w:tl2br w:val="nil"/>
                    <w:tr2bl w:val="nil"/>
                  </w:tcBorders>
                  <w:vAlign w:val="center"/>
                </w:tcPr>
                <w:p>
                  <w:pPr>
                    <w:autoSpaceDE w:val="0"/>
                    <w:autoSpaceDN w:val="0"/>
                    <w:adjustRightInd w:val="0"/>
                    <w:jc w:val="center"/>
                    <w:rPr>
                      <w:color w:val="auto"/>
                    </w:rPr>
                  </w:pPr>
                </w:p>
              </w:tc>
              <w:tc>
                <w:tcPr>
                  <w:tcW w:w="1554" w:type="dxa"/>
                  <w:gridSpan w:val="2"/>
                  <w:tcBorders>
                    <w:tl2br w:val="nil"/>
                    <w:tr2bl w:val="nil"/>
                  </w:tcBorders>
                  <w:vAlign w:val="center"/>
                </w:tcPr>
                <w:p>
                  <w:pPr>
                    <w:autoSpaceDE w:val="0"/>
                    <w:autoSpaceDN w:val="0"/>
                    <w:adjustRightInd w:val="0"/>
                    <w:jc w:val="center"/>
                    <w:rPr>
                      <w:color w:val="auto"/>
                      <w:u w:val="single"/>
                    </w:rPr>
                  </w:pPr>
                  <w:r>
                    <w:rPr>
                      <w:rFonts w:hint="eastAsia" w:ascii="Times New Roman" w:hAnsi="Times New Roman"/>
                      <w:color w:val="auto"/>
                      <w:szCs w:val="21"/>
                      <w:u w:val="single"/>
                      <w:lang w:eastAsia="zh-CN"/>
                    </w:rPr>
                    <w:t>一般工业</w:t>
                  </w:r>
                  <w:r>
                    <w:rPr>
                      <w:rFonts w:hint="eastAsia" w:ascii="Times New Roman" w:hAnsi="Times New Roman"/>
                      <w:color w:val="auto"/>
                      <w:szCs w:val="21"/>
                      <w:u w:val="single"/>
                    </w:rPr>
                    <w:t>固废</w:t>
                  </w:r>
                </w:p>
              </w:tc>
              <w:tc>
                <w:tcPr>
                  <w:tcW w:w="4125" w:type="dxa"/>
                  <w:gridSpan w:val="2"/>
                  <w:tcBorders>
                    <w:tl2br w:val="nil"/>
                    <w:tr2bl w:val="nil"/>
                  </w:tcBorders>
                  <w:vAlign w:val="center"/>
                </w:tcPr>
                <w:p>
                  <w:pPr>
                    <w:autoSpaceDE w:val="0"/>
                    <w:autoSpaceDN w:val="0"/>
                    <w:adjustRightInd w:val="0"/>
                    <w:jc w:val="center"/>
                    <w:rPr>
                      <w:rFonts w:hint="eastAsia" w:eastAsia="宋体"/>
                      <w:color w:val="auto"/>
                      <w:u w:val="single"/>
                      <w:lang w:eastAsia="zh-CN"/>
                    </w:rPr>
                  </w:pPr>
                  <w:r>
                    <w:rPr>
                      <w:rFonts w:hint="eastAsia" w:ascii="Times New Roman" w:hAnsi="Times New Roman"/>
                      <w:color w:val="auto"/>
                      <w:szCs w:val="21"/>
                      <w:u w:val="single"/>
                      <w:lang w:eastAsia="zh-CN"/>
                    </w:rPr>
                    <w:t>设置</w:t>
                  </w:r>
                  <w:r>
                    <w:rPr>
                      <w:rFonts w:ascii="Times New Roman" w:hAnsi="Times New Roman"/>
                      <w:color w:val="auto"/>
                      <w:szCs w:val="21"/>
                      <w:u w:val="single"/>
                    </w:rPr>
                    <w:t>一般固废堆放场所</w:t>
                  </w:r>
                  <w:r>
                    <w:rPr>
                      <w:rFonts w:hint="eastAsia" w:ascii="Times New Roman" w:hAnsi="Times New Roman"/>
                      <w:color w:val="auto"/>
                      <w:szCs w:val="21"/>
                      <w:u w:val="single"/>
                      <w:lang w:eastAsia="zh-CN"/>
                    </w:rPr>
                    <w:t>，定期外售综合利用</w:t>
                  </w:r>
                </w:p>
              </w:tc>
              <w:tc>
                <w:tcPr>
                  <w:tcW w:w="1398" w:type="dxa"/>
                  <w:tcBorders>
                    <w:tl2br w:val="nil"/>
                    <w:tr2bl w:val="nil"/>
                  </w:tcBorders>
                  <w:vAlign w:val="center"/>
                </w:tcPr>
                <w:p>
                  <w:pPr>
                    <w:autoSpaceDE w:val="0"/>
                    <w:autoSpaceDN w:val="0"/>
                    <w:adjustRightInd w:val="0"/>
                    <w:jc w:val="center"/>
                    <w:rPr>
                      <w:color w:val="auto"/>
                      <w:u w:val="single"/>
                    </w:rPr>
                  </w:pPr>
                  <w:r>
                    <w:rPr>
                      <w:rFonts w:hint="eastAsia" w:ascii="Times New Roman" w:hAnsi="Times New Roman"/>
                      <w:color w:val="auto"/>
                      <w:szCs w:val="21"/>
                      <w:u w:val="single"/>
                    </w:rPr>
                    <w:t>固废堆场还需要根据相关规范要求进行整改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429" w:type="dxa"/>
                  <w:vMerge w:val="continue"/>
                  <w:tcBorders>
                    <w:tl2br w:val="nil"/>
                    <w:tr2bl w:val="nil"/>
                  </w:tcBorders>
                  <w:vAlign w:val="center"/>
                </w:tcPr>
                <w:p>
                  <w:pPr>
                    <w:autoSpaceDE w:val="0"/>
                    <w:autoSpaceDN w:val="0"/>
                    <w:adjustRightInd w:val="0"/>
                    <w:jc w:val="center"/>
                    <w:rPr>
                      <w:color w:val="auto"/>
                    </w:rPr>
                  </w:pPr>
                </w:p>
              </w:tc>
              <w:tc>
                <w:tcPr>
                  <w:tcW w:w="905" w:type="dxa"/>
                  <w:vMerge w:val="continue"/>
                  <w:tcBorders>
                    <w:tl2br w:val="nil"/>
                    <w:tr2bl w:val="nil"/>
                  </w:tcBorders>
                  <w:vAlign w:val="center"/>
                </w:tcPr>
                <w:p>
                  <w:pPr>
                    <w:autoSpaceDE w:val="0"/>
                    <w:autoSpaceDN w:val="0"/>
                    <w:adjustRightInd w:val="0"/>
                    <w:jc w:val="center"/>
                    <w:rPr>
                      <w:color w:val="auto"/>
                    </w:rPr>
                  </w:pPr>
                </w:p>
              </w:tc>
              <w:tc>
                <w:tcPr>
                  <w:tcW w:w="1554" w:type="dxa"/>
                  <w:gridSpan w:val="2"/>
                  <w:tcBorders>
                    <w:tl2br w:val="nil"/>
                    <w:tr2bl w:val="nil"/>
                  </w:tcBorders>
                  <w:vAlign w:val="center"/>
                </w:tcPr>
                <w:p>
                  <w:pPr>
                    <w:autoSpaceDE w:val="0"/>
                    <w:autoSpaceDN w:val="0"/>
                    <w:adjustRightInd w:val="0"/>
                    <w:jc w:val="center"/>
                    <w:rPr>
                      <w:color w:val="auto"/>
                      <w:u w:val="single"/>
                    </w:rPr>
                  </w:pPr>
                  <w:r>
                    <w:rPr>
                      <w:rFonts w:hint="eastAsia" w:ascii="Times New Roman" w:hAnsi="Times New Roman"/>
                      <w:color w:val="auto"/>
                      <w:szCs w:val="21"/>
                      <w:u w:val="single"/>
                    </w:rPr>
                    <w:t>生活垃圾</w:t>
                  </w:r>
                </w:p>
              </w:tc>
              <w:tc>
                <w:tcPr>
                  <w:tcW w:w="4125" w:type="dxa"/>
                  <w:gridSpan w:val="2"/>
                  <w:tcBorders>
                    <w:tl2br w:val="nil"/>
                    <w:tr2bl w:val="nil"/>
                  </w:tcBorders>
                  <w:vAlign w:val="center"/>
                </w:tcPr>
                <w:p>
                  <w:pPr>
                    <w:autoSpaceDE w:val="0"/>
                    <w:autoSpaceDN w:val="0"/>
                    <w:adjustRightInd w:val="0"/>
                    <w:jc w:val="center"/>
                    <w:rPr>
                      <w:rFonts w:hint="eastAsia" w:eastAsia="宋体"/>
                      <w:color w:val="auto"/>
                      <w:u w:val="single"/>
                      <w:lang w:eastAsia="zh-CN"/>
                    </w:rPr>
                  </w:pPr>
                  <w:r>
                    <w:rPr>
                      <w:rFonts w:hint="eastAsia" w:ascii="Times New Roman" w:hAnsi="Times New Roman"/>
                      <w:color w:val="auto"/>
                      <w:szCs w:val="21"/>
                      <w:u w:val="single"/>
                    </w:rPr>
                    <w:t>存放于</w:t>
                  </w:r>
                  <w:r>
                    <w:rPr>
                      <w:rFonts w:ascii="Times New Roman" w:hAnsi="Times New Roman"/>
                      <w:color w:val="auto"/>
                      <w:szCs w:val="21"/>
                      <w:u w:val="single"/>
                    </w:rPr>
                    <w:t>垃圾桶</w:t>
                  </w:r>
                  <w:r>
                    <w:rPr>
                      <w:rFonts w:hint="eastAsia" w:ascii="Times New Roman" w:hAnsi="Times New Roman"/>
                      <w:color w:val="auto"/>
                      <w:szCs w:val="21"/>
                      <w:u w:val="single"/>
                      <w:lang w:eastAsia="zh-CN"/>
                    </w:rPr>
                    <w:t>由环卫部门统一清运处理</w:t>
                  </w:r>
                </w:p>
              </w:tc>
              <w:tc>
                <w:tcPr>
                  <w:tcW w:w="1398" w:type="dxa"/>
                  <w:tcBorders>
                    <w:tl2br w:val="nil"/>
                    <w:tr2bl w:val="nil"/>
                  </w:tcBorders>
                  <w:vAlign w:val="center"/>
                </w:tcPr>
                <w:p>
                  <w:pPr>
                    <w:autoSpaceDE w:val="0"/>
                    <w:autoSpaceDN w:val="0"/>
                    <w:adjustRightInd w:val="0"/>
                    <w:jc w:val="center"/>
                    <w:rPr>
                      <w:rFonts w:hint="eastAsia" w:eastAsia="宋体"/>
                      <w:color w:val="auto"/>
                      <w:u w:val="single"/>
                      <w:lang w:eastAsia="zh-CN"/>
                    </w:rPr>
                  </w:pPr>
                  <w:r>
                    <w:rPr>
                      <w:rFonts w:hint="eastAsia"/>
                      <w:color w:val="auto"/>
                      <w:u w:val="single"/>
                      <w:lang w:eastAsia="zh-CN"/>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429" w:type="dxa"/>
                  <w:vMerge w:val="continue"/>
                  <w:tcBorders>
                    <w:tl2br w:val="nil"/>
                    <w:tr2bl w:val="nil"/>
                  </w:tcBorders>
                  <w:vAlign w:val="center"/>
                </w:tcPr>
                <w:p>
                  <w:pPr>
                    <w:autoSpaceDE w:val="0"/>
                    <w:autoSpaceDN w:val="0"/>
                    <w:adjustRightInd w:val="0"/>
                    <w:jc w:val="center"/>
                    <w:rPr>
                      <w:color w:val="auto"/>
                    </w:rPr>
                  </w:pPr>
                </w:p>
              </w:tc>
              <w:tc>
                <w:tcPr>
                  <w:tcW w:w="2459" w:type="dxa"/>
                  <w:gridSpan w:val="3"/>
                  <w:tcBorders>
                    <w:tl2br w:val="nil"/>
                    <w:tr2bl w:val="nil"/>
                  </w:tcBorders>
                  <w:vAlign w:val="center"/>
                </w:tcPr>
                <w:p>
                  <w:pPr>
                    <w:autoSpaceDE w:val="0"/>
                    <w:autoSpaceDN w:val="0"/>
                    <w:adjustRightInd w:val="0"/>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eastAsia="zh-CN"/>
                    </w:rPr>
                    <w:t>环境风险</w:t>
                  </w:r>
                </w:p>
              </w:tc>
              <w:tc>
                <w:tcPr>
                  <w:tcW w:w="4125"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u w:val="single"/>
                      <w:lang w:val="en-US" w:eastAsia="zh-CN" w:bidi="ar-SA"/>
                    </w:rPr>
                  </w:pPr>
                  <w:r>
                    <w:rPr>
                      <w:rFonts w:ascii="Times New Roman" w:hAnsi="Times New Roman"/>
                      <w:color w:val="auto"/>
                      <w:u w:val="single"/>
                    </w:rPr>
                    <w:t>液态物料存放区做好地面防渗、容器底部设托盘、配套相应的应急物资</w:t>
                  </w:r>
                </w:p>
              </w:tc>
              <w:tc>
                <w:tcPr>
                  <w:tcW w:w="1398" w:type="dxa"/>
                  <w:tcBorders>
                    <w:tl2br w:val="nil"/>
                    <w:tr2bl w:val="nil"/>
                  </w:tcBorders>
                  <w:vAlign w:val="center"/>
                </w:tcPr>
                <w:p>
                  <w:pPr>
                    <w:autoSpaceDE w:val="0"/>
                    <w:autoSpaceDN w:val="0"/>
                    <w:adjustRightInd w:val="0"/>
                    <w:jc w:val="center"/>
                    <w:rPr>
                      <w:rFonts w:hint="eastAsia" w:eastAsia="宋体"/>
                      <w:color w:val="auto"/>
                      <w:u w:val="single"/>
                      <w:lang w:eastAsia="zh-CN"/>
                    </w:rPr>
                  </w:pPr>
                  <w:r>
                    <w:rPr>
                      <w:rFonts w:hint="eastAsia"/>
                      <w:color w:val="auto"/>
                      <w:u w:val="single"/>
                      <w:lang w:eastAsia="zh-CN"/>
                    </w:rPr>
                    <w:t>已有，废油等物品的存放还需要按要求存放处理</w:t>
                  </w:r>
                </w:p>
              </w:tc>
            </w:tr>
          </w:tbl>
          <w:p>
            <w:pPr>
              <w:jc w:val="center"/>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rPr>
              <w:t xml:space="preserve">2-2 </w:t>
            </w:r>
            <w:r>
              <w:rPr>
                <w:rFonts w:ascii="Times New Roman" w:hAnsi="Times New Roman"/>
                <w:b/>
                <w:bCs/>
                <w:color w:val="auto"/>
              </w:rPr>
              <w:t xml:space="preserve"> 项目主要原辅材料消耗表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86"/>
              <w:gridCol w:w="465"/>
              <w:gridCol w:w="882"/>
              <w:gridCol w:w="980"/>
              <w:gridCol w:w="899"/>
              <w:gridCol w:w="1504"/>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jc w:val="center"/>
              </w:trPr>
              <w:tc>
                <w:tcPr>
                  <w:tcW w:w="254"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序号</w:t>
                  </w:r>
                </w:p>
              </w:tc>
              <w:tc>
                <w:tcPr>
                  <w:tcW w:w="408" w:type="pct"/>
                  <w:tcBorders>
                    <w:tl2br w:val="nil"/>
                    <w:tr2bl w:val="nil"/>
                  </w:tcBorders>
                  <w:vAlign w:val="center"/>
                </w:tcPr>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性质</w:t>
                  </w:r>
                </w:p>
              </w:tc>
              <w:tc>
                <w:tcPr>
                  <w:tcW w:w="801" w:type="pct"/>
                  <w:gridSpan w:val="2"/>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名称</w:t>
                  </w:r>
                </w:p>
              </w:tc>
              <w:tc>
                <w:tcPr>
                  <w:tcW w:w="582"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消耗量</w:t>
                  </w:r>
                </w:p>
              </w:tc>
              <w:tc>
                <w:tcPr>
                  <w:tcW w:w="534"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来源</w:t>
                  </w:r>
                </w:p>
              </w:tc>
              <w:tc>
                <w:tcPr>
                  <w:tcW w:w="894" w:type="pct"/>
                  <w:tcBorders>
                    <w:tl2br w:val="nil"/>
                    <w:tr2bl w:val="nil"/>
                  </w:tcBorders>
                  <w:vAlign w:val="center"/>
                </w:tcPr>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最大暂存量</w:t>
                  </w:r>
                </w:p>
              </w:tc>
              <w:tc>
                <w:tcPr>
                  <w:tcW w:w="761" w:type="pct"/>
                  <w:tcBorders>
                    <w:tl2br w:val="nil"/>
                    <w:tr2bl w:val="nil"/>
                  </w:tcBorders>
                  <w:vAlign w:val="center"/>
                </w:tcPr>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暂存位置</w:t>
                  </w:r>
                </w:p>
              </w:tc>
              <w:tc>
                <w:tcPr>
                  <w:tcW w:w="761" w:type="pct"/>
                  <w:tcBorders>
                    <w:tl2br w:val="nil"/>
                    <w:tr2bl w:val="nil"/>
                  </w:tcBorders>
                  <w:vAlign w:val="center"/>
                </w:tcPr>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p>
              </w:tc>
              <w:tc>
                <w:tcPr>
                  <w:tcW w:w="408"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w:t>
                  </w: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钢材</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200t/a</w:t>
                  </w:r>
                </w:p>
              </w:tc>
              <w:tc>
                <w:tcPr>
                  <w:tcW w:w="534"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外购</w:t>
                  </w: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螺纹钢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模具钢</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1t/a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做模具用钢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w:t>
                  </w:r>
                </w:p>
              </w:tc>
              <w:tc>
                <w:tcPr>
                  <w:tcW w:w="408"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辅料</w:t>
                  </w: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砂</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500kg/a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喷砂用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4</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机油</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0.25t/a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0.15t，50kg/桶</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润滑及保护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5</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润滑油</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0.1t/a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0.02t，10kg/桶</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277"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磨料</w:t>
                  </w:r>
                </w:p>
              </w:tc>
              <w:tc>
                <w:tcPr>
                  <w:tcW w:w="52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高铝</w:t>
                  </w:r>
                </w:p>
                <w:p>
                  <w:pPr>
                    <w:adjustRightInd w:val="0"/>
                    <w:snapToGrid w:val="0"/>
                    <w:jc w:val="center"/>
                    <w:rPr>
                      <w:rFonts w:ascii="Times New Roman" w:hAnsi="Times New Roman"/>
                      <w:color w:val="auto"/>
                      <w:szCs w:val="21"/>
                    </w:rPr>
                  </w:pPr>
                  <w:r>
                    <w:rPr>
                      <w:rFonts w:hint="eastAsia" w:ascii="Times New Roman" w:hAnsi="Times New Roman"/>
                      <w:color w:val="auto"/>
                      <w:szCs w:val="21"/>
                    </w:rPr>
                    <w:t>三角</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4t/a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vMerge w:val="restart"/>
                  <w:tcBorders>
                    <w:tl2br w:val="nil"/>
                    <w:tr2bl w:val="nil"/>
                  </w:tcBorders>
                  <w:vAlign w:val="center"/>
                </w:tcPr>
                <w:p>
                  <w:pPr>
                    <w:adjustRightInd w:val="0"/>
                    <w:snapToGrid w:val="0"/>
                    <w:jc w:val="center"/>
                    <w:rPr>
                      <w:color w:val="auto"/>
                    </w:rPr>
                  </w:pPr>
                  <w:r>
                    <w:rPr>
                      <w:rFonts w:hint="eastAsia" w:ascii="Times New Roman" w:hAnsi="Times New Roman"/>
                      <w:color w:val="auto"/>
                      <w:szCs w:val="21"/>
                    </w:rPr>
                    <w:t>磨料据生产情况减少后添加至定量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7</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277"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2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卵石</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1t/a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761"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761" w:type="pct"/>
                  <w:vMerge w:val="continue"/>
                  <w:tcBorders>
                    <w:tl2br w:val="nil"/>
                    <w:tr2bl w:val="nil"/>
                  </w:tcBorders>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8</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研磨粉剂</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0.5t/a</w:t>
                  </w:r>
                </w:p>
              </w:tc>
              <w:tc>
                <w:tcPr>
                  <w:tcW w:w="53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25kg/袋</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原料仓库</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研磨</w:t>
                  </w:r>
                  <w:r>
                    <w:rPr>
                      <w:rFonts w:hint="eastAsia" w:ascii="Times New Roman" w:hAnsi="Times New Roman"/>
                      <w:color w:val="auto"/>
                      <w:szCs w:val="21"/>
                    </w:rPr>
                    <w:t>粉剂和水按照一定比例调成研磨液，</w:t>
                  </w:r>
                  <w:r>
                    <w:rPr>
                      <w:rFonts w:ascii="Times New Roman" w:hAnsi="Times New Roman"/>
                      <w:color w:val="auto"/>
                      <w:szCs w:val="21"/>
                    </w:rPr>
                    <w:t>对产品</w:t>
                  </w:r>
                  <w:r>
                    <w:rPr>
                      <w:rFonts w:hint="eastAsia" w:ascii="Times New Roman" w:hAnsi="Times New Roman"/>
                      <w:color w:val="auto"/>
                      <w:szCs w:val="21"/>
                    </w:rPr>
                    <w:t>进行抛光增亮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9</w:t>
                  </w:r>
                </w:p>
              </w:tc>
              <w:tc>
                <w:tcPr>
                  <w:tcW w:w="408"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能源</w:t>
                  </w: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水</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r>
                    <w:rPr>
                      <w:rFonts w:hint="eastAsia" w:ascii="Times New Roman" w:hAnsi="Times New Roman"/>
                      <w:color w:val="auto"/>
                      <w:szCs w:val="21"/>
                    </w:rPr>
                    <w:t>00</w:t>
                  </w:r>
                  <w:r>
                    <w:rPr>
                      <w:rFonts w:ascii="Times New Roman" w:hAnsi="Times New Roman"/>
                      <w:color w:val="auto"/>
                      <w:szCs w:val="21"/>
                    </w:rPr>
                    <w:t>t/a</w:t>
                  </w:r>
                </w:p>
              </w:tc>
              <w:tc>
                <w:tcPr>
                  <w:tcW w:w="534"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自来水管网</w:t>
                  </w: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5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10</w:t>
                  </w:r>
                </w:p>
              </w:tc>
              <w:tc>
                <w:tcPr>
                  <w:tcW w:w="4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01" w:type="pct"/>
                  <w:gridSpan w:val="2"/>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电</w:t>
                  </w:r>
                </w:p>
              </w:tc>
              <w:tc>
                <w:tcPr>
                  <w:tcW w:w="582"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20万KWh/a</w:t>
                  </w:r>
                </w:p>
              </w:tc>
              <w:tc>
                <w:tcPr>
                  <w:tcW w:w="534"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邵东电力局供电</w:t>
                  </w:r>
                </w:p>
              </w:tc>
              <w:tc>
                <w:tcPr>
                  <w:tcW w:w="894"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76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r>
          </w:tbl>
          <w:p>
            <w:pPr>
              <w:spacing w:line="360" w:lineRule="auto"/>
              <w:ind w:firstLine="482" w:firstLineChars="200"/>
              <w:rPr>
                <w:b/>
                <w:bCs/>
                <w:color w:val="auto"/>
                <w:sz w:val="24"/>
              </w:rPr>
            </w:pPr>
            <w:r>
              <w:rPr>
                <w:b/>
                <w:bCs/>
                <w:color w:val="auto"/>
                <w:sz w:val="24"/>
              </w:rPr>
              <w:t>主要原辅材料理化性质：</w:t>
            </w:r>
          </w:p>
          <w:p>
            <w:pPr>
              <w:pStyle w:val="2"/>
              <w:numPr>
                <w:ilvl w:val="0"/>
                <w:numId w:val="2"/>
              </w:numPr>
              <w:adjustRightInd w:val="0"/>
              <w:spacing w:before="0" w:after="0"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研磨粉剂</w:t>
            </w:r>
            <w:r>
              <w:rPr>
                <w:rFonts w:ascii="Times New Roman" w:hAnsi="Times New Roman"/>
                <w:color w:val="auto"/>
                <w:sz w:val="24"/>
                <w:szCs w:val="24"/>
              </w:rPr>
              <w:t>：本项目使用的</w:t>
            </w:r>
            <w:r>
              <w:rPr>
                <w:rFonts w:hint="eastAsia" w:ascii="Times New Roman" w:hAnsi="Times New Roman"/>
                <w:color w:val="auto"/>
                <w:sz w:val="24"/>
                <w:szCs w:val="24"/>
              </w:rPr>
              <w:t>研磨粉剂</w:t>
            </w:r>
            <w:r>
              <w:rPr>
                <w:rFonts w:ascii="Times New Roman" w:hAnsi="Times New Roman"/>
                <w:color w:val="auto"/>
                <w:sz w:val="24"/>
                <w:szCs w:val="24"/>
              </w:rPr>
              <w:t>主要成分为柠檬酸</w:t>
            </w:r>
            <w:r>
              <w:rPr>
                <w:rFonts w:hint="eastAsia" w:ascii="Times New Roman" w:hAnsi="Times New Roman"/>
                <w:color w:val="auto"/>
                <w:sz w:val="24"/>
                <w:szCs w:val="24"/>
              </w:rPr>
              <w:t>12</w:t>
            </w:r>
            <w:r>
              <w:rPr>
                <w:rFonts w:ascii="Times New Roman" w:hAnsi="Times New Roman"/>
                <w:color w:val="auto"/>
                <w:sz w:val="24"/>
                <w:szCs w:val="24"/>
              </w:rPr>
              <w:t>%、</w:t>
            </w:r>
            <w:r>
              <w:rPr>
                <w:rFonts w:hint="eastAsia" w:ascii="Times New Roman" w:hAnsi="Times New Roman"/>
                <w:color w:val="auto"/>
                <w:sz w:val="24"/>
                <w:szCs w:val="24"/>
              </w:rPr>
              <w:t>磷酸三钠6</w:t>
            </w:r>
            <w:r>
              <w:rPr>
                <w:rFonts w:ascii="Times New Roman" w:hAnsi="Times New Roman"/>
                <w:color w:val="auto"/>
                <w:sz w:val="24"/>
                <w:szCs w:val="24"/>
              </w:rPr>
              <w:t>%、</w:t>
            </w:r>
            <w:r>
              <w:rPr>
                <w:rFonts w:hint="eastAsia" w:ascii="Times New Roman" w:hAnsi="Times New Roman"/>
                <w:color w:val="auto"/>
                <w:sz w:val="24"/>
                <w:szCs w:val="24"/>
              </w:rPr>
              <w:t>磷酸二氢钠7</w:t>
            </w:r>
            <w:r>
              <w:rPr>
                <w:rFonts w:ascii="Times New Roman" w:hAnsi="Times New Roman"/>
                <w:color w:val="auto"/>
                <w:sz w:val="24"/>
                <w:szCs w:val="24"/>
              </w:rPr>
              <w:t>%、</w:t>
            </w:r>
            <w:r>
              <w:rPr>
                <w:rFonts w:hint="eastAsia" w:ascii="Times New Roman" w:hAnsi="Times New Roman"/>
                <w:color w:val="auto"/>
                <w:sz w:val="24"/>
                <w:szCs w:val="24"/>
              </w:rPr>
              <w:t>磷酸一氢钠4</w:t>
            </w:r>
            <w:r>
              <w:rPr>
                <w:rFonts w:ascii="Times New Roman" w:hAnsi="Times New Roman"/>
                <w:color w:val="auto"/>
                <w:sz w:val="24"/>
                <w:szCs w:val="24"/>
              </w:rPr>
              <w:t>%、</w:t>
            </w:r>
            <w:r>
              <w:rPr>
                <w:rFonts w:hint="eastAsia" w:ascii="Times New Roman" w:hAnsi="Times New Roman"/>
                <w:color w:val="auto"/>
                <w:sz w:val="24"/>
                <w:szCs w:val="24"/>
              </w:rPr>
              <w:t>磷酸一氢钾11</w:t>
            </w:r>
            <w:r>
              <w:rPr>
                <w:rFonts w:ascii="Times New Roman" w:hAnsi="Times New Roman"/>
                <w:color w:val="auto"/>
                <w:sz w:val="24"/>
                <w:szCs w:val="24"/>
              </w:rPr>
              <w:t>%，呈</w:t>
            </w:r>
            <w:r>
              <w:rPr>
                <w:rFonts w:hint="eastAsia" w:ascii="Times New Roman" w:hAnsi="Times New Roman"/>
                <w:color w:val="auto"/>
                <w:sz w:val="24"/>
                <w:szCs w:val="24"/>
              </w:rPr>
              <w:t>粉末状</w:t>
            </w:r>
            <w:r>
              <w:rPr>
                <w:rFonts w:ascii="Times New Roman" w:hAnsi="Times New Roman"/>
                <w:color w:val="auto"/>
                <w:sz w:val="24"/>
                <w:szCs w:val="24"/>
              </w:rPr>
              <w:t>，</w:t>
            </w:r>
            <w:r>
              <w:rPr>
                <w:rFonts w:hint="eastAsia" w:ascii="Times New Roman" w:hAnsi="Times New Roman"/>
                <w:color w:val="auto"/>
                <w:sz w:val="24"/>
                <w:szCs w:val="24"/>
              </w:rPr>
              <w:t>与水按照4</w:t>
            </w:r>
            <w:r>
              <w:rPr>
                <w:rFonts w:hint="eastAsia" w:asciiTheme="minorEastAsia" w:hAnsiTheme="minorEastAsia" w:eastAsiaTheme="minorEastAsia" w:cstheme="minorEastAsia"/>
                <w:color w:val="auto"/>
                <w:sz w:val="24"/>
                <w:szCs w:val="24"/>
              </w:rPr>
              <w:t>:</w:t>
            </w:r>
            <w:r>
              <w:rPr>
                <w:rFonts w:hint="eastAsia" w:ascii="Times New Roman" w:hAnsi="Times New Roman"/>
                <w:color w:val="auto"/>
                <w:sz w:val="24"/>
                <w:szCs w:val="24"/>
              </w:rPr>
              <w:t>6的比例调成研磨液供项目使用</w:t>
            </w:r>
            <w:r>
              <w:rPr>
                <w:rFonts w:ascii="Times New Roman" w:hAnsi="Times New Roman"/>
                <w:color w:val="auto"/>
                <w:sz w:val="24"/>
                <w:szCs w:val="24"/>
              </w:rPr>
              <w:t>。</w:t>
            </w:r>
          </w:p>
          <w:p>
            <w:pPr>
              <w:pStyle w:val="2"/>
              <w:adjustRightInd w:val="0"/>
              <w:spacing w:before="0" w:after="0" w:line="240" w:lineRule="auto"/>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rPr>
              <w:t xml:space="preserve">2-3 </w:t>
            </w:r>
            <w:r>
              <w:rPr>
                <w:rFonts w:ascii="Times New Roman" w:hAnsi="Times New Roman"/>
                <w:b/>
                <w:color w:val="auto"/>
                <w:sz w:val="21"/>
                <w:szCs w:val="21"/>
              </w:rPr>
              <w:t xml:space="preserve"> 主要设备清单</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2274"/>
              <w:gridCol w:w="2608"/>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b/>
                      <w:color w:val="auto"/>
                      <w:szCs w:val="21"/>
                    </w:rPr>
                  </w:pPr>
                  <w:r>
                    <w:rPr>
                      <w:rFonts w:ascii="Times New Roman" w:hAnsi="Times New Roman"/>
                      <w:b/>
                      <w:color w:val="auto"/>
                      <w:szCs w:val="21"/>
                      <w:lang w:bidi="ar"/>
                    </w:rPr>
                    <w:t>序号</w:t>
                  </w:r>
                </w:p>
              </w:tc>
              <w:tc>
                <w:tcPr>
                  <w:tcW w:w="1352" w:type="pct"/>
                  <w:tcBorders>
                    <w:tl2br w:val="nil"/>
                    <w:tr2bl w:val="nil"/>
                  </w:tcBorders>
                  <w:vAlign w:val="center"/>
                </w:tcPr>
                <w:p>
                  <w:pPr>
                    <w:adjustRightInd w:val="0"/>
                    <w:snapToGrid w:val="0"/>
                    <w:jc w:val="center"/>
                    <w:rPr>
                      <w:rFonts w:ascii="Times New Roman" w:hAnsi="Times New Roman"/>
                      <w:b/>
                      <w:color w:val="auto"/>
                      <w:szCs w:val="21"/>
                      <w:lang w:bidi="ar"/>
                    </w:rPr>
                  </w:pPr>
                  <w:r>
                    <w:rPr>
                      <w:rFonts w:ascii="Times New Roman" w:hAnsi="Times New Roman"/>
                      <w:b/>
                      <w:color w:val="auto"/>
                      <w:szCs w:val="21"/>
                      <w:lang w:bidi="ar"/>
                    </w:rPr>
                    <w:t>设备名称</w:t>
                  </w:r>
                </w:p>
              </w:tc>
              <w:tc>
                <w:tcPr>
                  <w:tcW w:w="1550" w:type="pct"/>
                  <w:tcBorders>
                    <w:tl2br w:val="nil"/>
                    <w:tr2bl w:val="nil"/>
                  </w:tcBorders>
                  <w:vAlign w:val="center"/>
                </w:tcPr>
                <w:p>
                  <w:pPr>
                    <w:adjustRightInd w:val="0"/>
                    <w:snapToGrid w:val="0"/>
                    <w:jc w:val="center"/>
                    <w:rPr>
                      <w:rFonts w:ascii="Times New Roman" w:hAnsi="Times New Roman"/>
                      <w:b/>
                      <w:color w:val="auto"/>
                      <w:szCs w:val="21"/>
                      <w:lang w:bidi="ar"/>
                    </w:rPr>
                  </w:pPr>
                  <w:r>
                    <w:rPr>
                      <w:rFonts w:ascii="Times New Roman" w:hAnsi="Times New Roman"/>
                      <w:b/>
                      <w:color w:val="auto"/>
                      <w:szCs w:val="21"/>
                      <w:lang w:bidi="ar"/>
                    </w:rPr>
                    <w:t>设备型号/参数</w:t>
                  </w:r>
                </w:p>
              </w:tc>
              <w:tc>
                <w:tcPr>
                  <w:tcW w:w="1265" w:type="pct"/>
                  <w:tcBorders>
                    <w:tl2br w:val="nil"/>
                    <w:tr2bl w:val="nil"/>
                  </w:tcBorders>
                  <w:vAlign w:val="center"/>
                </w:tcPr>
                <w:p>
                  <w:pPr>
                    <w:adjustRightInd w:val="0"/>
                    <w:snapToGrid w:val="0"/>
                    <w:jc w:val="center"/>
                    <w:rPr>
                      <w:rFonts w:ascii="Times New Roman" w:hAnsi="Times New Roman"/>
                      <w:b/>
                      <w:color w:val="auto"/>
                      <w:szCs w:val="21"/>
                    </w:rPr>
                  </w:pPr>
                  <w:r>
                    <w:rPr>
                      <w:rFonts w:ascii="Times New Roman" w:hAnsi="Times New Roman"/>
                      <w:b/>
                      <w:color w:val="auto"/>
                      <w:szCs w:val="21"/>
                      <w:lang w:bidi="ar"/>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lang w:bidi="ar"/>
                    </w:rPr>
                    <w:t>1</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下料机</w:t>
                  </w:r>
                </w:p>
              </w:tc>
              <w:tc>
                <w:tcPr>
                  <w:tcW w:w="155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60T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2</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滚筒</w:t>
                  </w:r>
                </w:p>
              </w:tc>
              <w:tc>
                <w:tcPr>
                  <w:tcW w:w="155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lang w:bidi="ar"/>
                    </w:rPr>
                    <w:t>3</w:t>
                  </w:r>
                </w:p>
              </w:tc>
              <w:tc>
                <w:tcPr>
                  <w:tcW w:w="1352"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中频感应加热设备</w:t>
                  </w:r>
                </w:p>
              </w:tc>
              <w:tc>
                <w:tcPr>
                  <w:tcW w:w="155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4</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空压机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5</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压机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300T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6</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压机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400T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7</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切边机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8</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冲床</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80T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9</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绞口机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10</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喷砂机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11</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拉床</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12</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抛</w:t>
                  </w:r>
                  <w:r>
                    <w:rPr>
                      <w:rFonts w:hint="eastAsia" w:ascii="Times New Roman" w:hAnsi="Times New Roman"/>
                      <w:color w:val="auto"/>
                      <w:szCs w:val="21"/>
                    </w:rPr>
                    <w:t>磨</w:t>
                  </w:r>
                  <w:r>
                    <w:rPr>
                      <w:rFonts w:ascii="Times New Roman" w:hAnsi="Times New Roman"/>
                      <w:color w:val="auto"/>
                      <w:szCs w:val="21"/>
                    </w:rPr>
                    <w:t>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ascii="Times New Roman" w:hAnsi="Times New Roman"/>
                      <w:color w:val="auto"/>
                      <w:szCs w:val="21"/>
                      <w:lang w:bidi="ar"/>
                    </w:rPr>
                    <w:t>13</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研磨机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hint="eastAsia" w:ascii="Times New Roman" w:hAnsi="Times New Roman"/>
                      <w:color w:val="auto"/>
                      <w:szCs w:val="21"/>
                      <w:lang w:bidi="ar"/>
                    </w:rPr>
                    <w:t>14</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车床</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hint="eastAsia" w:ascii="Times New Roman" w:hAnsi="Times New Roman"/>
                      <w:color w:val="auto"/>
                      <w:szCs w:val="21"/>
                      <w:lang w:bidi="ar"/>
                    </w:rPr>
                    <w:t>15</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铣床</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hint="eastAsia" w:ascii="Times New Roman" w:hAnsi="Times New Roman"/>
                      <w:color w:val="auto"/>
                      <w:szCs w:val="21"/>
                      <w:lang w:bidi="ar"/>
                    </w:rPr>
                    <w:t>16</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火花机</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1" w:type="pct"/>
                  <w:tcBorders>
                    <w:tl2br w:val="nil"/>
                    <w:tr2bl w:val="nil"/>
                  </w:tcBorders>
                  <w:vAlign w:val="center"/>
                </w:tcPr>
                <w:p>
                  <w:pPr>
                    <w:adjustRightInd w:val="0"/>
                    <w:snapToGrid w:val="0"/>
                    <w:jc w:val="center"/>
                    <w:rPr>
                      <w:rFonts w:ascii="Times New Roman" w:hAnsi="Times New Roman"/>
                      <w:color w:val="auto"/>
                      <w:szCs w:val="21"/>
                      <w:lang w:bidi="ar"/>
                    </w:rPr>
                  </w:pPr>
                  <w:r>
                    <w:rPr>
                      <w:rFonts w:hint="eastAsia" w:ascii="Times New Roman" w:hAnsi="Times New Roman"/>
                      <w:color w:val="auto"/>
                      <w:szCs w:val="21"/>
                      <w:lang w:bidi="ar"/>
                    </w:rPr>
                    <w:t>17</w:t>
                  </w:r>
                </w:p>
              </w:tc>
              <w:tc>
                <w:tcPr>
                  <w:tcW w:w="135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磨床</w:t>
                  </w:r>
                </w:p>
              </w:tc>
              <w:tc>
                <w:tcPr>
                  <w:tcW w:w="1550" w:type="pct"/>
                  <w:tcBorders>
                    <w:tl2br w:val="nil"/>
                    <w:tr2bl w:val="nil"/>
                  </w:tcBorders>
                  <w:vAlign w:val="center"/>
                </w:tcPr>
                <w:p>
                  <w:pPr>
                    <w:pStyle w:val="60"/>
                    <w:autoSpaceDE/>
                    <w:autoSpaceDN/>
                    <w:adjustRightInd/>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1265"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p>
              </w:tc>
            </w:tr>
          </w:tbl>
          <w:p>
            <w:pPr>
              <w:wordWrap w:val="0"/>
              <w:spacing w:line="360" w:lineRule="auto"/>
              <w:ind w:firstLine="482"/>
              <w:rPr>
                <w:rFonts w:ascii="Times New Roman" w:hAnsi="Times New Roman"/>
                <w:color w:val="auto"/>
                <w:kern w:val="0"/>
                <w:sz w:val="24"/>
              </w:rPr>
            </w:pPr>
            <w:r>
              <w:rPr>
                <w:rFonts w:hint="default" w:ascii="Times New Roman" w:hAnsi="Times New Roman" w:cs="Times New Roman"/>
                <w:color w:val="auto"/>
                <w:sz w:val="24"/>
                <w:szCs w:val="24"/>
              </w:rPr>
              <w:t>对照《产业结构调整指导目录（2019年本）》，</w:t>
            </w:r>
            <w:r>
              <w:rPr>
                <w:rFonts w:hint="default" w:ascii="Times New Roman" w:hAnsi="Times New Roman" w:cs="Times New Roman"/>
                <w:color w:val="auto"/>
                <w:sz w:val="24"/>
                <w:szCs w:val="24"/>
                <w:lang w:eastAsia="zh-CN"/>
              </w:rPr>
              <w:t>项目采用</w:t>
            </w:r>
            <w:r>
              <w:rPr>
                <w:rFonts w:ascii="Times New Roman" w:hAnsi="Times New Roman"/>
                <w:color w:val="auto"/>
                <w:kern w:val="0"/>
                <w:sz w:val="24"/>
              </w:rPr>
              <w:t>设备</w:t>
            </w:r>
            <w:r>
              <w:rPr>
                <w:rFonts w:hint="eastAsia" w:ascii="Times New Roman" w:hAnsi="Times New Roman"/>
                <w:color w:val="auto"/>
                <w:kern w:val="0"/>
                <w:sz w:val="24"/>
              </w:rPr>
              <w:t>、</w:t>
            </w:r>
            <w:r>
              <w:rPr>
                <w:rFonts w:ascii="Times New Roman" w:hAnsi="Times New Roman"/>
                <w:color w:val="auto"/>
                <w:kern w:val="0"/>
                <w:sz w:val="24"/>
              </w:rPr>
              <w:t>工艺</w:t>
            </w:r>
            <w:r>
              <w:rPr>
                <w:rFonts w:hint="eastAsia" w:ascii="Times New Roman" w:hAnsi="Times New Roman"/>
                <w:color w:val="auto"/>
                <w:kern w:val="0"/>
                <w:sz w:val="24"/>
              </w:rPr>
              <w:t>及</w:t>
            </w:r>
            <w:r>
              <w:rPr>
                <w:rFonts w:ascii="Times New Roman" w:hAnsi="Times New Roman"/>
                <w:color w:val="auto"/>
                <w:kern w:val="0"/>
                <w:sz w:val="24"/>
              </w:rPr>
              <w:t>产品不属于鼓励类、</w:t>
            </w:r>
            <w:r>
              <w:rPr>
                <w:rFonts w:hint="eastAsia" w:ascii="Times New Roman" w:hAnsi="Times New Roman"/>
                <w:color w:val="auto"/>
                <w:kern w:val="0"/>
                <w:sz w:val="24"/>
              </w:rPr>
              <w:t>也不属于</w:t>
            </w:r>
            <w:r>
              <w:rPr>
                <w:rFonts w:ascii="Times New Roman" w:hAnsi="Times New Roman"/>
                <w:color w:val="auto"/>
                <w:kern w:val="0"/>
                <w:sz w:val="24"/>
              </w:rPr>
              <w:t>限制类和淘汰类</w:t>
            </w:r>
            <w:r>
              <w:rPr>
                <w:rFonts w:hint="eastAsia" w:ascii="Times New Roman" w:hAnsi="Times New Roman"/>
                <w:color w:val="auto"/>
                <w:sz w:val="24"/>
              </w:rPr>
              <w:t>。</w:t>
            </w:r>
          </w:p>
          <w:p>
            <w:pPr>
              <w:spacing w:line="360" w:lineRule="auto"/>
              <w:rPr>
                <w:rFonts w:ascii="Times New Roman" w:hAnsi="Times New Roman"/>
                <w:b/>
                <w:color w:val="auto"/>
                <w:sz w:val="24"/>
              </w:rPr>
            </w:pPr>
            <w:r>
              <w:rPr>
                <w:rFonts w:hint="eastAsia" w:ascii="Times New Roman" w:hAnsi="Times New Roman"/>
                <w:b/>
                <w:color w:val="auto"/>
                <w:sz w:val="24"/>
              </w:rPr>
              <w:t>3、</w:t>
            </w:r>
            <w:r>
              <w:rPr>
                <w:rFonts w:ascii="Times New Roman" w:hAnsi="Times New Roman"/>
                <w:b/>
                <w:color w:val="auto"/>
                <w:sz w:val="24"/>
              </w:rPr>
              <w:t>工作制度及劳动定员：</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本项目劳动定员</w:t>
            </w:r>
            <w:r>
              <w:rPr>
                <w:rFonts w:hint="eastAsia" w:ascii="Times New Roman" w:hAnsi="Times New Roman"/>
                <w:color w:val="auto"/>
                <w:sz w:val="24"/>
              </w:rPr>
              <w:t>26</w:t>
            </w:r>
            <w:r>
              <w:rPr>
                <w:rFonts w:ascii="Times New Roman" w:hAnsi="Times New Roman"/>
                <w:color w:val="auto"/>
                <w:sz w:val="24"/>
              </w:rPr>
              <w:t>人，员工不在厂区内食宿，每天工作时间为8h，为一班制，年工作</w:t>
            </w:r>
            <w:r>
              <w:rPr>
                <w:rFonts w:hint="eastAsia" w:ascii="Times New Roman" w:hAnsi="Times New Roman"/>
                <w:color w:val="auto"/>
                <w:sz w:val="24"/>
              </w:rPr>
              <w:t>260天</w:t>
            </w:r>
            <w:r>
              <w:rPr>
                <w:rFonts w:ascii="Times New Roman" w:hAnsi="Times New Roman"/>
                <w:color w:val="auto"/>
                <w:sz w:val="24"/>
              </w:rPr>
              <w:t>。</w:t>
            </w:r>
          </w:p>
          <w:p>
            <w:pPr>
              <w:spacing w:line="360" w:lineRule="auto"/>
              <w:rPr>
                <w:rFonts w:ascii="Times New Roman" w:hAnsi="Times New Roman"/>
                <w:b/>
                <w:color w:val="auto"/>
                <w:sz w:val="24"/>
              </w:rPr>
            </w:pPr>
            <w:r>
              <w:rPr>
                <w:rFonts w:hint="eastAsia" w:ascii="Times New Roman" w:hAnsi="Times New Roman"/>
                <w:b/>
                <w:color w:val="auto"/>
                <w:sz w:val="24"/>
              </w:rPr>
              <w:t>4、</w:t>
            </w:r>
            <w:r>
              <w:rPr>
                <w:rFonts w:ascii="Times New Roman" w:hAnsi="Times New Roman"/>
                <w:b/>
                <w:color w:val="auto"/>
                <w:sz w:val="24"/>
              </w:rPr>
              <w:t>厂区平面布置：</w:t>
            </w:r>
          </w:p>
          <w:p>
            <w:pPr>
              <w:spacing w:line="360" w:lineRule="auto"/>
              <w:ind w:firstLine="480" w:firstLineChars="200"/>
              <w:rPr>
                <w:rFonts w:ascii="Times New Roman" w:hAnsi="Times New Roman"/>
                <w:color w:val="auto"/>
                <w:sz w:val="24"/>
              </w:rPr>
            </w:pPr>
            <w:r>
              <w:rPr>
                <w:rFonts w:hint="eastAsia"/>
                <w:color w:val="auto"/>
                <w:sz w:val="24"/>
              </w:rPr>
              <w:t>项目</w:t>
            </w:r>
            <w:r>
              <w:rPr>
                <w:color w:val="auto"/>
                <w:sz w:val="24"/>
              </w:rPr>
              <w:t>整个厂区呈长方形，由生产</w:t>
            </w:r>
            <w:r>
              <w:rPr>
                <w:rFonts w:hint="eastAsia"/>
                <w:color w:val="auto"/>
                <w:sz w:val="24"/>
              </w:rPr>
              <w:t>加工</w:t>
            </w:r>
            <w:r>
              <w:rPr>
                <w:color w:val="auto"/>
                <w:sz w:val="24"/>
              </w:rPr>
              <w:t>区</w:t>
            </w:r>
            <w:r>
              <w:rPr>
                <w:rFonts w:hint="eastAsia"/>
                <w:color w:val="auto"/>
                <w:sz w:val="24"/>
              </w:rPr>
              <w:t>、原料堆积区、产品堆积区</w:t>
            </w:r>
            <w:r>
              <w:rPr>
                <w:color w:val="auto"/>
                <w:sz w:val="24"/>
              </w:rPr>
              <w:t>与办公区</w:t>
            </w:r>
            <w:r>
              <w:rPr>
                <w:rFonts w:hint="eastAsia"/>
                <w:color w:val="auto"/>
                <w:sz w:val="24"/>
              </w:rPr>
              <w:t>四</w:t>
            </w:r>
            <w:r>
              <w:rPr>
                <w:color w:val="auto"/>
                <w:sz w:val="24"/>
              </w:rPr>
              <w:t>部分组成，厂区入口设在厂区</w:t>
            </w:r>
            <w:r>
              <w:rPr>
                <w:rFonts w:hint="eastAsia"/>
                <w:color w:val="auto"/>
                <w:sz w:val="24"/>
              </w:rPr>
              <w:t>北</w:t>
            </w:r>
            <w:r>
              <w:rPr>
                <w:color w:val="auto"/>
                <w:sz w:val="24"/>
              </w:rPr>
              <w:t>面。生产</w:t>
            </w:r>
            <w:r>
              <w:rPr>
                <w:rFonts w:hint="eastAsia"/>
                <w:color w:val="auto"/>
                <w:sz w:val="24"/>
              </w:rPr>
              <w:t>加工</w:t>
            </w:r>
            <w:r>
              <w:rPr>
                <w:color w:val="auto"/>
                <w:sz w:val="24"/>
              </w:rPr>
              <w:t>区</w:t>
            </w:r>
            <w:r>
              <w:rPr>
                <w:rFonts w:hint="eastAsia"/>
                <w:color w:val="auto"/>
                <w:sz w:val="24"/>
              </w:rPr>
              <w:t>位于厂区的东、南、西侧；</w:t>
            </w:r>
            <w:r>
              <w:rPr>
                <w:color w:val="auto"/>
                <w:sz w:val="24"/>
              </w:rPr>
              <w:t>由</w:t>
            </w:r>
            <w:r>
              <w:rPr>
                <w:rFonts w:hint="eastAsia"/>
                <w:color w:val="auto"/>
                <w:sz w:val="24"/>
              </w:rPr>
              <w:t>下料</w:t>
            </w:r>
            <w:r>
              <w:rPr>
                <w:color w:val="auto"/>
                <w:sz w:val="24"/>
              </w:rPr>
              <w:t>、</w:t>
            </w:r>
            <w:r>
              <w:rPr>
                <w:rFonts w:hint="eastAsia"/>
                <w:color w:val="auto"/>
                <w:sz w:val="24"/>
              </w:rPr>
              <w:t>喷砂</w:t>
            </w:r>
            <w:r>
              <w:rPr>
                <w:color w:val="auto"/>
                <w:sz w:val="24"/>
              </w:rPr>
              <w:t>、</w:t>
            </w:r>
            <w:r>
              <w:rPr>
                <w:rFonts w:hint="eastAsia"/>
                <w:color w:val="auto"/>
                <w:sz w:val="24"/>
              </w:rPr>
              <w:t>压延、切边</w:t>
            </w:r>
            <w:r>
              <w:rPr>
                <w:color w:val="auto"/>
                <w:sz w:val="24"/>
              </w:rPr>
              <w:t>等组成。原料堆放区位于厂区</w:t>
            </w:r>
            <w:r>
              <w:rPr>
                <w:rFonts w:hint="eastAsia"/>
                <w:color w:val="auto"/>
                <w:sz w:val="24"/>
              </w:rPr>
              <w:t>东</w:t>
            </w:r>
            <w:r>
              <w:rPr>
                <w:color w:val="auto"/>
                <w:sz w:val="24"/>
              </w:rPr>
              <w:t>侧，临近厂区出入口；办公区主要为办公室，位于厂区</w:t>
            </w:r>
            <w:r>
              <w:rPr>
                <w:rFonts w:hint="eastAsia"/>
                <w:color w:val="auto"/>
                <w:sz w:val="24"/>
              </w:rPr>
              <w:t>西北角落</w:t>
            </w:r>
            <w:r>
              <w:rPr>
                <w:color w:val="auto"/>
                <w:sz w:val="24"/>
              </w:rPr>
              <w:t>，临出入口。成品堆放区位于厂区</w:t>
            </w:r>
            <w:r>
              <w:rPr>
                <w:rFonts w:hint="eastAsia"/>
                <w:color w:val="auto"/>
                <w:sz w:val="24"/>
              </w:rPr>
              <w:t>北部</w:t>
            </w:r>
            <w:r>
              <w:rPr>
                <w:color w:val="auto"/>
                <w:sz w:val="24"/>
              </w:rPr>
              <w:t>。</w:t>
            </w:r>
            <w:r>
              <w:rPr>
                <w:rFonts w:ascii="Times New Roman" w:hAnsi="Times New Roman"/>
                <w:color w:val="auto"/>
                <w:sz w:val="24"/>
              </w:rPr>
              <w:t>详见</w:t>
            </w:r>
            <w:r>
              <w:rPr>
                <w:rFonts w:hint="eastAsia" w:ascii="Times New Roman" w:hAnsi="Times New Roman"/>
                <w:color w:val="auto"/>
                <w:sz w:val="24"/>
              </w:rPr>
              <w:t>附图4</w:t>
            </w:r>
            <w:r>
              <w:rPr>
                <w:rFonts w:ascii="Times New Roman" w:hAnsi="Times New Roman"/>
                <w:color w:val="auto"/>
                <w:sz w:val="24"/>
              </w:rPr>
              <w:t>。</w:t>
            </w:r>
          </w:p>
          <w:p>
            <w:pPr>
              <w:spacing w:line="360" w:lineRule="auto"/>
              <w:rPr>
                <w:rFonts w:ascii="Times New Roman" w:hAnsi="Times New Roman"/>
                <w:b/>
                <w:color w:val="auto"/>
                <w:sz w:val="24"/>
              </w:rPr>
            </w:pPr>
            <w:r>
              <w:rPr>
                <w:rFonts w:hint="eastAsia" w:ascii="Times New Roman" w:hAnsi="Times New Roman"/>
                <w:b/>
                <w:bCs/>
                <w:color w:val="auto"/>
                <w:sz w:val="24"/>
              </w:rPr>
              <w:t>5、</w:t>
            </w:r>
            <w:r>
              <w:rPr>
                <w:rFonts w:hint="eastAsia" w:ascii="Times New Roman" w:hAnsi="Times New Roman"/>
                <w:b/>
                <w:color w:val="auto"/>
                <w:sz w:val="24"/>
              </w:rPr>
              <w:t>公用工程</w:t>
            </w:r>
            <w:r>
              <w:rPr>
                <w:rFonts w:ascii="Times New Roman" w:hAnsi="Times New Roman"/>
                <w:b/>
                <w:color w:val="auto"/>
                <w:sz w:val="24"/>
              </w:rPr>
              <w:t>：</w:t>
            </w:r>
          </w:p>
          <w:p>
            <w:pPr>
              <w:pStyle w:val="2"/>
              <w:spacing w:before="0" w:after="0" w:line="360" w:lineRule="auto"/>
              <w:ind w:right="0" w:firstLine="482" w:firstLineChars="200"/>
              <w:rPr>
                <w:rFonts w:ascii="Times New Roman" w:hAnsi="Times New Roman"/>
                <w:b/>
                <w:bCs/>
                <w:color w:val="auto"/>
                <w:sz w:val="24"/>
                <w:szCs w:val="24"/>
              </w:rPr>
            </w:pPr>
            <w:r>
              <w:rPr>
                <w:rFonts w:hint="eastAsia" w:ascii="Times New Roman" w:hAnsi="Times New Roman"/>
                <w:b/>
                <w:bCs/>
                <w:color w:val="auto"/>
                <w:sz w:val="24"/>
                <w:szCs w:val="24"/>
              </w:rPr>
              <w:t>（1）给水工程</w:t>
            </w:r>
          </w:p>
          <w:p>
            <w:pPr>
              <w:autoSpaceDE w:val="0"/>
              <w:autoSpaceDN w:val="0"/>
              <w:adjustRightInd w:val="0"/>
              <w:snapToGrid w:val="0"/>
              <w:spacing w:line="360" w:lineRule="auto"/>
              <w:ind w:firstLine="480" w:firstLineChars="200"/>
              <w:jc w:val="left"/>
              <w:rPr>
                <w:rFonts w:ascii="Times New Roman" w:hAnsi="Times New Roman"/>
                <w:bCs/>
                <w:color w:val="auto"/>
                <w:sz w:val="24"/>
              </w:rPr>
            </w:pPr>
            <w:r>
              <w:rPr>
                <w:rFonts w:ascii="Times New Roman" w:hAnsi="Times New Roman"/>
                <w:color w:val="auto"/>
                <w:sz w:val="24"/>
              </w:rPr>
              <w:t>本项目给水由市政给水管网接入。</w:t>
            </w:r>
            <w:r>
              <w:rPr>
                <w:rFonts w:ascii="Times New Roman" w:hAnsi="Times New Roman"/>
                <w:bCs/>
                <w:color w:val="auto"/>
                <w:sz w:val="24"/>
              </w:rPr>
              <w:t>用水主要为生活用水、生产用水；根据</w:t>
            </w:r>
            <w:r>
              <w:rPr>
                <w:rFonts w:ascii="Times New Roman" w:hAnsi="Times New Roman"/>
                <w:color w:val="auto"/>
                <w:sz w:val="24"/>
              </w:rPr>
              <w:t>《湖南省用水定额》（DB43/T388-2</w:t>
            </w:r>
            <w:r>
              <w:rPr>
                <w:rFonts w:hint="eastAsia" w:ascii="Times New Roman" w:hAnsi="Times New Roman"/>
                <w:color w:val="auto"/>
                <w:sz w:val="24"/>
              </w:rPr>
              <w:t>020</w:t>
            </w:r>
            <w:r>
              <w:rPr>
                <w:rFonts w:ascii="Times New Roman" w:hAnsi="Times New Roman"/>
                <w:color w:val="auto"/>
                <w:sz w:val="24"/>
              </w:rPr>
              <w:t>）</w:t>
            </w:r>
            <w:r>
              <w:rPr>
                <w:rFonts w:hint="eastAsia" w:ascii="Times New Roman" w:hAnsi="Times New Roman"/>
                <w:color w:val="auto"/>
                <w:sz w:val="24"/>
              </w:rPr>
              <w:t>表31中办公楼用水定额，用水量以38L/(人·d)计</w:t>
            </w:r>
            <w:r>
              <w:rPr>
                <w:rFonts w:ascii="Times New Roman" w:hAnsi="Times New Roman"/>
                <w:color w:val="auto"/>
                <w:sz w:val="24"/>
              </w:rPr>
              <w:t>，详细用水量估算见表</w:t>
            </w:r>
            <w:r>
              <w:rPr>
                <w:rFonts w:ascii="Times New Roman" w:hAnsi="Times New Roman"/>
                <w:bCs/>
                <w:color w:val="auto"/>
                <w:sz w:val="24"/>
              </w:rPr>
              <w:t>。</w:t>
            </w:r>
          </w:p>
          <w:p>
            <w:pPr>
              <w:adjustRightInd w:val="0"/>
              <w:snapToGrid w:val="0"/>
              <w:jc w:val="center"/>
              <w:rPr>
                <w:rFonts w:ascii="Times New Roman" w:hAnsi="Times New Roman"/>
                <w:b/>
                <w:bCs/>
                <w:color w:val="auto"/>
                <w:szCs w:val="21"/>
              </w:rPr>
            </w:pPr>
            <w:r>
              <w:rPr>
                <w:rFonts w:ascii="Times New Roman" w:hAnsi="Times New Roman"/>
                <w:b/>
                <w:bCs/>
                <w:color w:val="auto"/>
                <w:szCs w:val="21"/>
              </w:rPr>
              <w:t>表</w:t>
            </w:r>
            <w:r>
              <w:rPr>
                <w:rFonts w:hint="eastAsia" w:ascii="Times New Roman" w:hAnsi="Times New Roman"/>
                <w:b/>
                <w:bCs/>
                <w:color w:val="auto"/>
                <w:szCs w:val="21"/>
              </w:rPr>
              <w:t>2-4</w:t>
            </w:r>
            <w:r>
              <w:rPr>
                <w:rFonts w:ascii="Times New Roman" w:hAnsi="Times New Roman"/>
                <w:b/>
                <w:bCs/>
                <w:color w:val="auto"/>
                <w:szCs w:val="21"/>
              </w:rPr>
              <w:t xml:space="preserve">  用水量估算表</w:t>
            </w:r>
          </w:p>
          <w:tbl>
            <w:tblPr>
              <w:tblStyle w:val="26"/>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285"/>
              <w:gridCol w:w="1213"/>
              <w:gridCol w:w="1484"/>
              <w:gridCol w:w="1482"/>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tcBorders>
                    <w:tl2br w:val="nil"/>
                    <w:tr2bl w:val="nil"/>
                  </w:tcBorders>
                  <w:vAlign w:val="center"/>
                </w:tcPr>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序号</w:t>
                  </w:r>
                </w:p>
              </w:tc>
              <w:tc>
                <w:tcPr>
                  <w:tcW w:w="764" w:type="pct"/>
                  <w:tcBorders>
                    <w:tl2br w:val="nil"/>
                    <w:tr2bl w:val="nil"/>
                  </w:tcBorders>
                  <w:vAlign w:val="center"/>
                </w:tcPr>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用水部门</w:t>
                  </w:r>
                </w:p>
              </w:tc>
              <w:tc>
                <w:tcPr>
                  <w:tcW w:w="721" w:type="pct"/>
                  <w:tcBorders>
                    <w:tl2br w:val="nil"/>
                    <w:tr2bl w:val="nil"/>
                  </w:tcBorders>
                  <w:vAlign w:val="center"/>
                </w:tcPr>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单位用量</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人数或数量</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日用水量</w:t>
                  </w:r>
                </w:p>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（m³/d）</w:t>
                  </w:r>
                </w:p>
              </w:tc>
              <w:tc>
                <w:tcPr>
                  <w:tcW w:w="1237" w:type="pct"/>
                  <w:tcBorders>
                    <w:tl2br w:val="nil"/>
                    <w:tr2bl w:val="nil"/>
                  </w:tcBorders>
                  <w:vAlign w:val="center"/>
                </w:tcPr>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年用水量</w:t>
                  </w:r>
                </w:p>
                <w:p>
                  <w:pPr>
                    <w:tabs>
                      <w:tab w:val="center" w:pos="4153"/>
                      <w:tab w:val="right" w:pos="8306"/>
                    </w:tabs>
                    <w:snapToGrid w:val="0"/>
                    <w:jc w:val="center"/>
                    <w:rPr>
                      <w:rFonts w:ascii="Times New Roman" w:hAnsi="Times New Roman"/>
                      <w:b/>
                      <w:bCs/>
                      <w:color w:val="auto"/>
                      <w:szCs w:val="21"/>
                    </w:rPr>
                  </w:pPr>
                  <w:r>
                    <w:rPr>
                      <w:rFonts w:ascii="Times New Roman" w:hAnsi="Times New Roman"/>
                      <w:b/>
                      <w:bCs/>
                      <w:color w:val="auto"/>
                      <w:szCs w:val="21"/>
                    </w:rPr>
                    <w:t>（m³/a）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1</w:t>
                  </w:r>
                </w:p>
              </w:tc>
              <w:tc>
                <w:tcPr>
                  <w:tcW w:w="76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生活用水</w:t>
                  </w:r>
                </w:p>
              </w:tc>
              <w:tc>
                <w:tcPr>
                  <w:tcW w:w="72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lang w:val="en-US" w:eastAsia="zh-CN"/>
                    </w:rPr>
                    <w:t>38</w:t>
                  </w:r>
                  <w:r>
                    <w:rPr>
                      <w:rFonts w:ascii="Times New Roman" w:hAnsi="Times New Roman"/>
                      <w:color w:val="auto"/>
                      <w:szCs w:val="21"/>
                    </w:rPr>
                    <w:t>L/人•d</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26</w:t>
                  </w:r>
                  <w:r>
                    <w:rPr>
                      <w:rFonts w:ascii="Times New Roman" w:hAnsi="Times New Roman"/>
                      <w:color w:val="auto"/>
                      <w:szCs w:val="21"/>
                    </w:rPr>
                    <w:t>人</w:t>
                  </w:r>
                </w:p>
              </w:tc>
              <w:tc>
                <w:tcPr>
                  <w:tcW w:w="881" w:type="pct"/>
                  <w:tcBorders>
                    <w:tl2br w:val="nil"/>
                    <w:tr2bl w:val="nil"/>
                  </w:tcBorders>
                  <w:vAlign w:val="center"/>
                </w:tcPr>
                <w:p>
                  <w:pPr>
                    <w:tabs>
                      <w:tab w:val="center" w:pos="4153"/>
                      <w:tab w:val="right" w:pos="8306"/>
                    </w:tabs>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0.988</w:t>
                  </w:r>
                </w:p>
              </w:tc>
              <w:tc>
                <w:tcPr>
                  <w:tcW w:w="1237" w:type="pct"/>
                  <w:tcBorders>
                    <w:tl2br w:val="nil"/>
                    <w:tr2bl w:val="nil"/>
                  </w:tcBorders>
                  <w:vAlign w:val="center"/>
                </w:tcPr>
                <w:p>
                  <w:pPr>
                    <w:tabs>
                      <w:tab w:val="center" w:pos="4153"/>
                      <w:tab w:val="right" w:pos="8306"/>
                    </w:tabs>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2</w:t>
                  </w:r>
                </w:p>
              </w:tc>
              <w:tc>
                <w:tcPr>
                  <w:tcW w:w="76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冷却水</w:t>
                  </w:r>
                </w:p>
              </w:tc>
              <w:tc>
                <w:tcPr>
                  <w:tcW w:w="72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80L/d</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1个</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0.08</w:t>
                  </w:r>
                </w:p>
              </w:tc>
              <w:tc>
                <w:tcPr>
                  <w:tcW w:w="1237"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3</w:t>
                  </w:r>
                </w:p>
              </w:tc>
              <w:tc>
                <w:tcPr>
                  <w:tcW w:w="76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除尘用水</w:t>
                  </w:r>
                </w:p>
              </w:tc>
              <w:tc>
                <w:tcPr>
                  <w:tcW w:w="72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60L/d</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1套</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0.06</w:t>
                  </w:r>
                </w:p>
              </w:tc>
              <w:tc>
                <w:tcPr>
                  <w:tcW w:w="1237"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4</w:t>
                  </w:r>
                </w:p>
              </w:tc>
              <w:tc>
                <w:tcPr>
                  <w:tcW w:w="764"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抛光用水</w:t>
                  </w:r>
                </w:p>
              </w:tc>
              <w:tc>
                <w:tcPr>
                  <w:tcW w:w="72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50L/d</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12个</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0.05</w:t>
                  </w:r>
                </w:p>
              </w:tc>
              <w:tc>
                <w:tcPr>
                  <w:tcW w:w="1237"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881" w:type="pct"/>
                  <w:gridSpan w:val="4"/>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ascii="Times New Roman" w:hAnsi="Times New Roman"/>
                      <w:color w:val="auto"/>
                      <w:szCs w:val="21"/>
                    </w:rPr>
                    <w:t>合计</w:t>
                  </w:r>
                </w:p>
              </w:tc>
              <w:tc>
                <w:tcPr>
                  <w:tcW w:w="881"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3.96</w:t>
                  </w:r>
                </w:p>
              </w:tc>
              <w:tc>
                <w:tcPr>
                  <w:tcW w:w="1237" w:type="pct"/>
                  <w:tcBorders>
                    <w:tl2br w:val="nil"/>
                    <w:tr2bl w:val="nil"/>
                  </w:tcBorders>
                  <w:vAlign w:val="center"/>
                </w:tcPr>
                <w:p>
                  <w:pPr>
                    <w:tabs>
                      <w:tab w:val="center" w:pos="4153"/>
                      <w:tab w:val="right" w:pos="8306"/>
                    </w:tabs>
                    <w:snapToGrid w:val="0"/>
                    <w:jc w:val="center"/>
                    <w:rPr>
                      <w:rFonts w:ascii="Times New Roman" w:hAnsi="Times New Roman"/>
                      <w:color w:val="auto"/>
                      <w:szCs w:val="21"/>
                    </w:rPr>
                  </w:pPr>
                  <w:r>
                    <w:rPr>
                      <w:rFonts w:hint="eastAsia" w:ascii="Times New Roman" w:hAnsi="Times New Roman"/>
                      <w:color w:val="auto"/>
                      <w:szCs w:val="21"/>
                    </w:rPr>
                    <w:t>1030.25</w:t>
                  </w:r>
                </w:p>
              </w:tc>
            </w:tr>
          </w:tbl>
          <w:p>
            <w:pPr>
              <w:spacing w:line="360" w:lineRule="auto"/>
              <w:ind w:firstLine="482" w:firstLineChars="200"/>
              <w:rPr>
                <w:rFonts w:ascii="Times New Roman" w:hAnsi="Times New Roman"/>
                <w:b/>
                <w:bCs/>
                <w:color w:val="auto"/>
                <w:sz w:val="24"/>
                <w:u w:val="none"/>
              </w:rPr>
            </w:pPr>
            <w:r>
              <w:rPr>
                <w:rFonts w:ascii="Times New Roman" w:hAnsi="Times New Roman"/>
                <w:b/>
                <w:bCs/>
                <w:color w:val="auto"/>
                <w:sz w:val="24"/>
                <w:u w:val="none"/>
              </w:rPr>
              <w:t>（2）排水工程</w:t>
            </w:r>
          </w:p>
          <w:p>
            <w:pPr>
              <w:autoSpaceDE w:val="0"/>
              <w:autoSpaceDN w:val="0"/>
              <w:adjustRightInd w:val="0"/>
              <w:snapToGrid w:val="0"/>
              <w:spacing w:line="360" w:lineRule="auto"/>
              <w:ind w:firstLine="480" w:firstLineChars="200"/>
              <w:jc w:val="left"/>
              <w:rPr>
                <w:rFonts w:ascii="Times New Roman" w:hAnsi="Times New Roman"/>
                <w:color w:val="auto"/>
                <w:sz w:val="24"/>
                <w:u w:val="none"/>
              </w:rPr>
            </w:pPr>
            <w:r>
              <w:rPr>
                <w:rFonts w:ascii="Times New Roman" w:hAnsi="Times New Roman"/>
                <w:color w:val="auto"/>
                <w:sz w:val="24"/>
                <w:u w:val="none"/>
              </w:rPr>
              <w:t>本项目生产过程中</w:t>
            </w:r>
            <w:r>
              <w:rPr>
                <w:rFonts w:hint="eastAsia" w:ascii="Times New Roman" w:hAnsi="Times New Roman"/>
                <w:color w:val="auto"/>
                <w:sz w:val="24"/>
                <w:u w:val="none"/>
              </w:rPr>
              <w:t>生产废水循环使用</w:t>
            </w:r>
            <w:r>
              <w:rPr>
                <w:rFonts w:ascii="Times New Roman" w:hAnsi="Times New Roman"/>
                <w:color w:val="auto"/>
                <w:sz w:val="24"/>
                <w:u w:val="none"/>
              </w:rPr>
              <w:t>，</w:t>
            </w:r>
            <w:r>
              <w:rPr>
                <w:rFonts w:hint="eastAsia" w:ascii="Times New Roman" w:hAnsi="Times New Roman"/>
                <w:color w:val="auto"/>
                <w:sz w:val="24"/>
                <w:u w:val="none"/>
              </w:rPr>
              <w:t>无生产废水外排，外排废水</w:t>
            </w:r>
            <w:r>
              <w:rPr>
                <w:rFonts w:ascii="Times New Roman" w:hAnsi="Times New Roman"/>
                <w:color w:val="auto"/>
                <w:sz w:val="24"/>
                <w:u w:val="none"/>
              </w:rPr>
              <w:t>仅</w:t>
            </w:r>
            <w:r>
              <w:rPr>
                <w:rFonts w:hint="eastAsia" w:ascii="Times New Roman" w:hAnsi="Times New Roman"/>
                <w:color w:val="auto"/>
                <w:sz w:val="24"/>
                <w:u w:val="none"/>
              </w:rPr>
              <w:t>为</w:t>
            </w:r>
            <w:r>
              <w:rPr>
                <w:rFonts w:ascii="Times New Roman" w:hAnsi="Times New Roman"/>
                <w:color w:val="auto"/>
                <w:sz w:val="24"/>
                <w:u w:val="none"/>
              </w:rPr>
              <w:t>生活污水</w:t>
            </w:r>
            <w:r>
              <w:rPr>
                <w:rFonts w:hint="eastAsia" w:ascii="Times New Roman" w:hAnsi="Times New Roman"/>
                <w:bCs/>
                <w:color w:val="auto"/>
                <w:sz w:val="24"/>
                <w:u w:val="none"/>
              </w:rPr>
              <w:t>，</w:t>
            </w:r>
            <w:r>
              <w:rPr>
                <w:rFonts w:ascii="Times New Roman" w:hAnsi="Times New Roman"/>
                <w:bCs/>
                <w:color w:val="auto"/>
                <w:sz w:val="24"/>
                <w:u w:val="none"/>
              </w:rPr>
              <w:t>排放量按用水量80%计，则年废水量为</w:t>
            </w:r>
            <w:r>
              <w:rPr>
                <w:rFonts w:hint="eastAsia" w:ascii="Times New Roman" w:hAnsi="Times New Roman"/>
                <w:bCs/>
                <w:color w:val="auto"/>
                <w:sz w:val="24"/>
                <w:u w:val="none"/>
                <w:lang w:val="en-US" w:eastAsia="zh-CN"/>
              </w:rPr>
              <w:t>205.5</w:t>
            </w:r>
            <w:r>
              <w:rPr>
                <w:rFonts w:ascii="Times New Roman" w:hAnsi="Times New Roman"/>
                <w:bCs/>
                <w:color w:val="auto"/>
                <w:sz w:val="24"/>
                <w:u w:val="none"/>
              </w:rPr>
              <w:t>m</w:t>
            </w:r>
            <w:r>
              <w:rPr>
                <w:rFonts w:ascii="Times New Roman" w:hAnsi="Times New Roman"/>
                <w:bCs/>
                <w:color w:val="auto"/>
                <w:sz w:val="24"/>
                <w:u w:val="none"/>
                <w:vertAlign w:val="superscript"/>
              </w:rPr>
              <w:t>3</w:t>
            </w:r>
            <w:r>
              <w:rPr>
                <w:rFonts w:ascii="Times New Roman" w:hAnsi="Times New Roman"/>
                <w:color w:val="auto"/>
                <w:sz w:val="24"/>
                <w:u w:val="none"/>
              </w:rPr>
              <w:t>。根据园区规划环评，生活污水汇入厂区化粪池处理达到《污水综合排放标准》（GB8978-1996）中的三级标准后，</w:t>
            </w:r>
            <w:r>
              <w:rPr>
                <w:rFonts w:hint="eastAsia" w:ascii="Times New Roman" w:hAnsi="Times New Roman"/>
                <w:color w:val="auto"/>
                <w:sz w:val="24"/>
                <w:u w:val="none"/>
              </w:rPr>
              <w:t>通过市政污水管网</w:t>
            </w:r>
            <w:r>
              <w:rPr>
                <w:rFonts w:ascii="Times New Roman" w:hAnsi="Times New Roman"/>
                <w:color w:val="auto"/>
                <w:sz w:val="24"/>
                <w:u w:val="none"/>
              </w:rPr>
              <w:t>排入位于园区西北角的仙槎桥镇污水处理厂，</w:t>
            </w:r>
            <w:r>
              <w:rPr>
                <w:rFonts w:hint="eastAsia" w:ascii="Times New Roman" w:hAnsi="Times New Roman"/>
                <w:color w:val="auto"/>
                <w:sz w:val="24"/>
                <w:u w:val="none"/>
              </w:rPr>
              <w:t>处理</w:t>
            </w:r>
            <w:r>
              <w:rPr>
                <w:rFonts w:ascii="Times New Roman" w:hAnsi="Times New Roman"/>
                <w:color w:val="auto"/>
                <w:sz w:val="24"/>
                <w:u w:val="none"/>
              </w:rPr>
              <w:t>达到《城镇污水处理厂污染物排放标准》（GB18918-2002）中的一级A类标准后排入槎江。</w:t>
            </w:r>
          </w:p>
          <w:p>
            <w:pPr>
              <w:autoSpaceDE w:val="0"/>
              <w:autoSpaceDN w:val="0"/>
              <w:adjustRightInd w:val="0"/>
              <w:snapToGrid w:val="0"/>
              <w:spacing w:line="360" w:lineRule="auto"/>
              <w:ind w:firstLine="480" w:firstLineChars="200"/>
              <w:jc w:val="left"/>
              <w:rPr>
                <w:bCs/>
                <w:color w:val="auto"/>
                <w:sz w:val="24"/>
                <w:u w:val="single"/>
              </w:rPr>
            </w:pPr>
            <w:r>
              <w:rPr>
                <w:bCs/>
                <w:color w:val="auto"/>
                <w:sz w:val="24"/>
                <w:u w:val="none"/>
              </w:rPr>
              <w:t>项目水平衡图见图</w:t>
            </w:r>
            <w:r>
              <w:rPr>
                <w:rFonts w:ascii="Times New Roman" w:hAnsi="Times New Roman"/>
                <w:bCs/>
                <w:color w:val="auto"/>
                <w:sz w:val="24"/>
                <w:u w:val="none"/>
              </w:rPr>
              <w:t>1</w:t>
            </w:r>
            <w:r>
              <w:rPr>
                <w:bCs/>
                <w:color w:val="auto"/>
                <w:sz w:val="24"/>
                <w:u w:val="none"/>
              </w:rPr>
              <w:t>。</w:t>
            </w:r>
            <w:r>
              <w:rPr>
                <w:rFonts w:ascii="Times New Roman" w:hAnsi="Times New Roman"/>
                <w:color w:val="auto"/>
                <w:sz w:val="24"/>
              </w:rPr>
              <w:drawing>
                <wp:inline distT="0" distB="0" distL="114300" distR="114300">
                  <wp:extent cx="5343525" cy="3543300"/>
                  <wp:effectExtent l="0" t="0" r="0" b="0"/>
                  <wp:docPr id="1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wps"/>
                          <pic:cNvPicPr>
                            <a:picLocks noChangeAspect="1"/>
                          </pic:cNvPicPr>
                        </pic:nvPicPr>
                        <pic:blipFill>
                          <a:blip r:embed="rId15"/>
                          <a:stretch>
                            <a:fillRect/>
                          </a:stretch>
                        </pic:blipFill>
                        <pic:spPr>
                          <a:xfrm>
                            <a:off x="0" y="0"/>
                            <a:ext cx="5343525" cy="3543300"/>
                          </a:xfrm>
                          <a:prstGeom prst="rect">
                            <a:avLst/>
                          </a:prstGeom>
                        </pic:spPr>
                      </pic:pic>
                    </a:graphicData>
                  </a:graphic>
                </wp:inline>
              </w:drawing>
            </w:r>
          </w:p>
          <w:p>
            <w:pPr>
              <w:pStyle w:val="2"/>
              <w:spacing w:before="0" w:after="0" w:line="360" w:lineRule="auto"/>
              <w:ind w:right="0"/>
              <w:rPr>
                <w:rFonts w:ascii="Times New Roman" w:hAnsi="Times New Roman"/>
                <w:color w:val="auto"/>
                <w:sz w:val="24"/>
                <w:szCs w:val="24"/>
              </w:rPr>
            </w:pPr>
          </w:p>
          <w:p>
            <w:pPr>
              <w:pStyle w:val="2"/>
              <w:spacing w:before="0" w:after="0" w:line="360" w:lineRule="auto"/>
              <w:ind w:right="0"/>
              <w:jc w:val="center"/>
              <w:rPr>
                <w:rFonts w:ascii="Times New Roman" w:hAnsi="Times New Roman"/>
                <w:b/>
                <w:bCs/>
                <w:color w:val="auto"/>
                <w:sz w:val="21"/>
                <w:szCs w:val="21"/>
              </w:rPr>
            </w:pPr>
            <w:r>
              <w:rPr>
                <w:rFonts w:ascii="Times New Roman" w:hAnsi="Times New Roman"/>
                <w:b/>
                <w:bCs/>
                <w:color w:val="auto"/>
                <w:sz w:val="21"/>
                <w:szCs w:val="21"/>
              </w:rPr>
              <w:t>图1  项目水平衡图（单位：m³/a）</w:t>
            </w:r>
          </w:p>
          <w:p>
            <w:pPr>
              <w:autoSpaceDE w:val="0"/>
              <w:autoSpaceDN w:val="0"/>
              <w:adjustRightInd w:val="0"/>
              <w:snapToGrid w:val="0"/>
              <w:spacing w:line="360" w:lineRule="auto"/>
              <w:ind w:firstLine="482" w:firstLineChars="200"/>
              <w:jc w:val="left"/>
              <w:rPr>
                <w:rFonts w:ascii="Times New Roman" w:hAnsi="Times New Roman"/>
                <w:b/>
                <w:color w:val="auto"/>
                <w:sz w:val="24"/>
              </w:rPr>
            </w:pPr>
            <w:r>
              <w:rPr>
                <w:rFonts w:ascii="Times New Roman" w:hAnsi="Times New Roman"/>
                <w:b/>
                <w:color w:val="auto"/>
                <w:sz w:val="24"/>
              </w:rPr>
              <w:t>（3）供电系统</w:t>
            </w:r>
          </w:p>
          <w:p>
            <w:pPr>
              <w:pStyle w:val="2"/>
              <w:spacing w:before="0" w:after="0" w:line="360" w:lineRule="auto"/>
              <w:ind w:right="0" w:firstLine="480" w:firstLineChars="200"/>
              <w:jc w:val="left"/>
              <w:rPr>
                <w:rFonts w:ascii="Times New Roman" w:hAnsi="Times New Roman"/>
                <w:color w:val="auto"/>
              </w:rPr>
            </w:pPr>
            <w:r>
              <w:rPr>
                <w:rFonts w:ascii="Times New Roman" w:hAnsi="Times New Roman"/>
                <w:bCs/>
                <w:color w:val="auto"/>
                <w:sz w:val="24"/>
              </w:rPr>
              <w:t>本项目供电由市政电网供电，厂内供电通过外接电源接入，能满足厂区生产、生活需要。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24"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636" w:type="dxa"/>
          </w:tcPr>
          <w:p>
            <w:pPr>
              <w:adjustRightInd w:val="0"/>
              <w:snapToGrid w:val="0"/>
              <w:spacing w:line="360" w:lineRule="auto"/>
              <w:rPr>
                <w:rFonts w:ascii="Times New Roman" w:hAnsi="Times New Roman"/>
                <w:b/>
                <w:bCs/>
                <w:color w:val="auto"/>
                <w:sz w:val="24"/>
                <w:u w:val="single"/>
              </w:rPr>
            </w:pPr>
            <w:r>
              <w:rPr>
                <w:rFonts w:hint="eastAsia" w:ascii="Times New Roman" w:hAnsi="Times New Roman"/>
                <w:b/>
                <w:bCs/>
                <w:color w:val="auto"/>
                <w:sz w:val="24"/>
                <w:u w:val="single"/>
              </w:rPr>
              <w:t>6、</w:t>
            </w:r>
            <w:r>
              <w:rPr>
                <w:rFonts w:ascii="Times New Roman" w:hAnsi="Times New Roman"/>
                <w:b/>
                <w:bCs/>
                <w:color w:val="auto"/>
                <w:sz w:val="24"/>
                <w:u w:val="single"/>
              </w:rPr>
              <w:t>工艺流程简述：</w:t>
            </w:r>
          </w:p>
          <w:p>
            <w:pPr>
              <w:widowControl/>
              <w:adjustRightInd w:val="0"/>
              <w:snapToGrid w:val="0"/>
              <w:spacing w:line="360" w:lineRule="auto"/>
              <w:ind w:firstLine="480" w:firstLineChars="200"/>
              <w:rPr>
                <w:rFonts w:ascii="Times New Roman" w:hAnsi="Times New Roman"/>
                <w:color w:val="auto"/>
                <w:sz w:val="24"/>
                <w:u w:val="single"/>
              </w:rPr>
            </w:pPr>
            <w:r>
              <w:rPr>
                <w:rFonts w:hint="eastAsia" w:ascii="Times New Roman" w:hAnsi="Times New Roman"/>
                <w:color w:val="auto"/>
                <w:sz w:val="24"/>
                <w:u w:val="single"/>
              </w:rPr>
              <w:t>①</w:t>
            </w:r>
            <w:r>
              <w:rPr>
                <w:rFonts w:ascii="Times New Roman" w:hAnsi="Times New Roman"/>
                <w:color w:val="auto"/>
                <w:sz w:val="24"/>
                <w:u w:val="single"/>
              </w:rPr>
              <w:t>下料</w:t>
            </w:r>
          </w:p>
          <w:p>
            <w:pPr>
              <w:widowControl/>
              <w:adjustRightInd w:val="0"/>
              <w:snapToGrid w:val="0"/>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本项目外购钢材，根据要求用下料机将钢材断成小段材料，在此过程中会产生间断性瞬时噪声。</w:t>
            </w:r>
          </w:p>
          <w:p>
            <w:pPr>
              <w:widowControl/>
              <w:adjustRightInd w:val="0"/>
              <w:snapToGrid w:val="0"/>
              <w:spacing w:line="360" w:lineRule="auto"/>
              <w:ind w:firstLine="480" w:firstLineChars="200"/>
              <w:rPr>
                <w:rFonts w:ascii="Times New Roman" w:hAnsi="Times New Roman"/>
                <w:color w:val="auto"/>
                <w:sz w:val="24"/>
                <w:u w:val="single"/>
              </w:rPr>
            </w:pPr>
            <w:r>
              <w:rPr>
                <w:rFonts w:hint="eastAsia" w:ascii="Times New Roman" w:hAnsi="Times New Roman"/>
                <w:color w:val="auto"/>
                <w:sz w:val="24"/>
                <w:u w:val="single"/>
              </w:rPr>
              <w:t>②</w:t>
            </w:r>
            <w:r>
              <w:rPr>
                <w:rFonts w:ascii="Times New Roman" w:hAnsi="Times New Roman"/>
                <w:color w:val="auto"/>
                <w:sz w:val="24"/>
                <w:u w:val="single"/>
              </w:rPr>
              <w:t>去毛刺</w:t>
            </w:r>
          </w:p>
          <w:p>
            <w:pPr>
              <w:widowControl/>
              <w:adjustRightInd w:val="0"/>
              <w:snapToGrid w:val="0"/>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原料会存在部分毛刺，该工序就是去除毛刺。</w:t>
            </w:r>
            <w:r>
              <w:rPr>
                <w:rFonts w:hint="eastAsia" w:ascii="Times New Roman" w:hAnsi="Times New Roman"/>
                <w:color w:val="auto"/>
                <w:sz w:val="24"/>
                <w:u w:val="single"/>
              </w:rPr>
              <w:t>通过专业去毛刺设备去除毛刺。此方法对小零件、大批量有奇效。专用设备原理可分：振动、滚筒。</w:t>
            </w:r>
            <w:r>
              <w:rPr>
                <w:rFonts w:ascii="Times New Roman" w:hAnsi="Times New Roman"/>
                <w:color w:val="auto"/>
                <w:sz w:val="24"/>
                <w:u w:val="single"/>
              </w:rPr>
              <w:t>在去除毛刺的过程中会有部分固废和噪声产生。</w:t>
            </w:r>
          </w:p>
          <w:p>
            <w:pPr>
              <w:widowControl/>
              <w:adjustRightInd w:val="0"/>
              <w:snapToGrid w:val="0"/>
              <w:spacing w:line="360" w:lineRule="auto"/>
              <w:ind w:firstLine="480" w:firstLineChars="200"/>
              <w:rPr>
                <w:rFonts w:ascii="Times New Roman" w:hAnsi="Times New Roman"/>
                <w:color w:val="auto"/>
                <w:sz w:val="24"/>
                <w:u w:val="single"/>
              </w:rPr>
            </w:pPr>
            <w:r>
              <w:rPr>
                <w:rFonts w:hint="eastAsia" w:ascii="Times New Roman" w:hAnsi="Times New Roman"/>
                <w:color w:val="auto"/>
                <w:sz w:val="24"/>
                <w:u w:val="single"/>
              </w:rPr>
              <w:t>③</w:t>
            </w:r>
            <w:r>
              <w:rPr>
                <w:rFonts w:ascii="Times New Roman" w:hAnsi="Times New Roman"/>
                <w:color w:val="auto"/>
                <w:sz w:val="24"/>
                <w:u w:val="single"/>
              </w:rPr>
              <w:t>加热</w:t>
            </w:r>
          </w:p>
          <w:p>
            <w:pPr>
              <w:pStyle w:val="40"/>
              <w:spacing w:line="360" w:lineRule="auto"/>
              <w:ind w:firstLine="480"/>
              <w:rPr>
                <w:rFonts w:ascii="Times New Roman" w:hAnsi="Times New Roman" w:eastAsiaTheme="minorEastAsia"/>
                <w:color w:val="auto"/>
                <w:sz w:val="24"/>
                <w:szCs w:val="24"/>
                <w:u w:val="single"/>
                <w:shd w:val="clear" w:color="auto" w:fill="FFFFFF"/>
              </w:rPr>
            </w:pPr>
            <w:r>
              <w:rPr>
                <w:rFonts w:ascii="Times New Roman" w:hAnsi="Times New Roman" w:eastAsiaTheme="minorEastAsia"/>
                <w:color w:val="auto"/>
                <w:sz w:val="24"/>
                <w:szCs w:val="24"/>
                <w:u w:val="single"/>
              </w:rPr>
              <w:t>将处理好的断料放入中频感应加热设备中进行加热，加热到一定温度后，将断料夹出</w:t>
            </w:r>
            <w:r>
              <w:rPr>
                <w:rFonts w:hint="eastAsia" w:ascii="Times New Roman" w:hAnsi="Times New Roman" w:eastAsiaTheme="minorEastAsia"/>
                <w:color w:val="auto"/>
                <w:sz w:val="24"/>
                <w:szCs w:val="24"/>
                <w:u w:val="single"/>
              </w:rPr>
              <w:t>（</w:t>
            </w:r>
            <w:r>
              <w:rPr>
                <w:rFonts w:ascii="Times New Roman" w:hAnsi="Times New Roman" w:eastAsiaTheme="minorEastAsia"/>
                <w:color w:val="auto"/>
                <w:sz w:val="24"/>
                <w:szCs w:val="24"/>
                <w:u w:val="single"/>
              </w:rPr>
              <w:t>一般</w:t>
            </w:r>
            <w:r>
              <w:rPr>
                <w:rFonts w:ascii="Times New Roman" w:hAnsi="Times New Roman" w:eastAsiaTheme="minorEastAsia"/>
                <w:color w:val="auto"/>
                <w:sz w:val="24"/>
                <w:szCs w:val="24"/>
                <w:u w:val="single"/>
                <w:shd w:val="clear" w:color="auto" w:fill="FFFFFF"/>
              </w:rPr>
              <w:t>能对人体产生伤害的辐射频率要在ghz级，而中频加热炉的频率为1-10khz，远远低于这个值</w:t>
            </w:r>
            <w:r>
              <w:rPr>
                <w:rFonts w:hint="eastAsia" w:ascii="Times New Roman" w:hAnsi="Times New Roman" w:eastAsiaTheme="minorEastAsia"/>
                <w:color w:val="auto"/>
                <w:sz w:val="24"/>
                <w:szCs w:val="24"/>
                <w:u w:val="single"/>
                <w:shd w:val="clear" w:color="auto" w:fill="FFFFFF"/>
              </w:rPr>
              <w:t>，故不考虑此设备的电磁辐射影响）</w:t>
            </w:r>
            <w:r>
              <w:rPr>
                <w:rFonts w:hint="eastAsia" w:ascii="Times New Roman" w:hAnsi="Times New Roman" w:eastAsiaTheme="minorEastAsia"/>
                <w:color w:val="auto"/>
                <w:sz w:val="24"/>
                <w:szCs w:val="24"/>
                <w:u w:val="single"/>
                <w:shd w:val="clear" w:color="auto" w:fill="FFFFFF"/>
                <w:lang w:eastAsia="zh-CN"/>
              </w:rPr>
              <w:t>，项目加热设备废气为空气</w:t>
            </w:r>
            <w:r>
              <w:rPr>
                <w:rFonts w:hint="eastAsia" w:ascii="Times New Roman" w:hAnsi="Times New Roman" w:eastAsiaTheme="minorEastAsia"/>
                <w:color w:val="auto"/>
                <w:sz w:val="24"/>
                <w:szCs w:val="24"/>
                <w:u w:val="single"/>
                <w:shd w:val="clear" w:color="auto" w:fill="FFFFFF"/>
              </w:rPr>
              <w:t>。出炉冷却时产生的热空气，热空气除热污染外，无其他污染因子。</w:t>
            </w:r>
          </w:p>
          <w:p>
            <w:pPr>
              <w:pStyle w:val="40"/>
              <w:spacing w:line="360" w:lineRule="auto"/>
              <w:ind w:firstLine="480"/>
              <w:rPr>
                <w:rFonts w:ascii="Times New Roman" w:hAnsi="Times New Roman"/>
                <w:color w:val="auto"/>
                <w:sz w:val="24"/>
                <w:szCs w:val="24"/>
                <w:u w:val="single"/>
              </w:rPr>
            </w:pPr>
            <w:r>
              <w:rPr>
                <w:rFonts w:ascii="Times New Roman" w:hAnsi="Times New Roman" w:eastAsiaTheme="minorEastAsia"/>
                <w:color w:val="auto"/>
                <w:sz w:val="24"/>
                <w:szCs w:val="24"/>
                <w:u w:val="single"/>
              </w:rPr>
              <w:t>此道工序</w:t>
            </w:r>
            <w:r>
              <w:rPr>
                <w:rFonts w:ascii="Times New Roman" w:hAnsi="Times New Roman"/>
                <w:color w:val="auto"/>
                <w:sz w:val="24"/>
                <w:szCs w:val="24"/>
                <w:u w:val="single"/>
              </w:rPr>
              <w:t>是为后面的压延做准备，此道工序有</w:t>
            </w:r>
            <w:r>
              <w:rPr>
                <w:rFonts w:hint="eastAsia" w:ascii="Times New Roman" w:hAnsi="Times New Roman"/>
                <w:color w:val="auto"/>
                <w:sz w:val="24"/>
                <w:szCs w:val="24"/>
                <w:u w:val="single"/>
              </w:rPr>
              <w:t>冷却</w:t>
            </w:r>
            <w:r>
              <w:rPr>
                <w:rFonts w:ascii="Times New Roman" w:hAnsi="Times New Roman"/>
                <w:color w:val="auto"/>
                <w:sz w:val="24"/>
                <w:szCs w:val="24"/>
                <w:u w:val="single"/>
              </w:rPr>
              <w:t>废水产生；</w:t>
            </w:r>
          </w:p>
          <w:p>
            <w:pPr>
              <w:pStyle w:val="40"/>
              <w:spacing w:line="360" w:lineRule="auto"/>
              <w:ind w:left="420" w:leftChars="200" w:firstLine="0" w:firstLineChars="0"/>
              <w:rPr>
                <w:rFonts w:ascii="Times New Roman" w:hAnsi="Times New Roman"/>
                <w:color w:val="auto"/>
                <w:sz w:val="24"/>
                <w:szCs w:val="24"/>
                <w:u w:val="single"/>
              </w:rPr>
            </w:pPr>
            <w:r>
              <w:rPr>
                <w:rFonts w:hint="eastAsia" w:ascii="Times New Roman" w:hAnsi="Times New Roman"/>
                <w:color w:val="auto"/>
                <w:sz w:val="24"/>
                <w:szCs w:val="24"/>
                <w:u w:val="single"/>
              </w:rPr>
              <w:t>④锻压</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对加热后的断料进行锻压，此工序会产生瞬时噪声；</w:t>
            </w:r>
          </w:p>
          <w:p>
            <w:pPr>
              <w:pStyle w:val="40"/>
              <w:spacing w:line="360" w:lineRule="auto"/>
              <w:ind w:left="420" w:leftChars="200" w:firstLine="0" w:firstLineChars="0"/>
              <w:rPr>
                <w:rFonts w:ascii="Times New Roman" w:hAnsi="Times New Roman"/>
                <w:color w:val="auto"/>
                <w:sz w:val="24"/>
                <w:szCs w:val="24"/>
                <w:u w:val="single"/>
              </w:rPr>
            </w:pPr>
            <w:r>
              <w:rPr>
                <w:rFonts w:hint="eastAsia" w:ascii="Times New Roman" w:hAnsi="Times New Roman"/>
                <w:color w:val="auto"/>
                <w:sz w:val="24"/>
                <w:szCs w:val="24"/>
                <w:u w:val="single"/>
              </w:rPr>
              <w:t>⑤</w:t>
            </w:r>
            <w:r>
              <w:rPr>
                <w:rFonts w:ascii="Times New Roman" w:hAnsi="Times New Roman"/>
                <w:color w:val="auto"/>
                <w:sz w:val="24"/>
                <w:szCs w:val="24"/>
                <w:u w:val="single"/>
              </w:rPr>
              <w:t>切边</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将压延后的材料切成一定的形状，产品外表基本成型，此道工序会产生大量固废以及噪声；</w:t>
            </w:r>
          </w:p>
          <w:p>
            <w:pPr>
              <w:pStyle w:val="40"/>
              <w:spacing w:line="360" w:lineRule="auto"/>
              <w:ind w:firstLine="480"/>
              <w:rPr>
                <w:rFonts w:ascii="Times New Roman" w:hAnsi="Times New Roman"/>
                <w:color w:val="auto"/>
                <w:sz w:val="24"/>
                <w:szCs w:val="24"/>
                <w:u w:val="single"/>
              </w:rPr>
            </w:pPr>
            <w:r>
              <w:rPr>
                <w:rFonts w:hint="eastAsia" w:ascii="Times New Roman" w:hAnsi="Times New Roman"/>
                <w:color w:val="auto"/>
                <w:sz w:val="24"/>
                <w:szCs w:val="24"/>
                <w:u w:val="single"/>
              </w:rPr>
              <w:t>⑥</w:t>
            </w:r>
            <w:r>
              <w:rPr>
                <w:rFonts w:ascii="Times New Roman" w:hAnsi="Times New Roman"/>
                <w:color w:val="auto"/>
                <w:sz w:val="24"/>
                <w:szCs w:val="24"/>
                <w:u w:val="single"/>
              </w:rPr>
              <w:t>冲孔</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将成型的产品进一步加工，在相应的位置冲孔，本工序产生固废和噪声；</w:t>
            </w:r>
          </w:p>
          <w:p>
            <w:pPr>
              <w:pStyle w:val="40"/>
              <w:spacing w:line="360" w:lineRule="auto"/>
              <w:ind w:firstLine="480"/>
              <w:rPr>
                <w:rFonts w:ascii="Times New Roman" w:hAnsi="Times New Roman"/>
                <w:color w:val="auto"/>
                <w:sz w:val="24"/>
                <w:szCs w:val="24"/>
                <w:u w:val="single"/>
              </w:rPr>
            </w:pPr>
            <w:r>
              <w:rPr>
                <w:rFonts w:hint="eastAsia" w:ascii="Times New Roman" w:hAnsi="Times New Roman"/>
                <w:color w:val="auto"/>
                <w:sz w:val="24"/>
                <w:szCs w:val="24"/>
                <w:u w:val="single"/>
              </w:rPr>
              <w:t>⑦</w:t>
            </w:r>
            <w:r>
              <w:rPr>
                <w:rFonts w:ascii="Times New Roman" w:hAnsi="Times New Roman"/>
                <w:color w:val="auto"/>
                <w:sz w:val="24"/>
                <w:szCs w:val="24"/>
                <w:u w:val="single"/>
              </w:rPr>
              <w:t>绞口</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对冲好的孔进行绞口，目的是对产品孔洞进行修整，至此产品已制作完成，此工序主要产生少量铁屑和噪声；</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⑧喷砂</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将</w:t>
            </w:r>
            <w:r>
              <w:rPr>
                <w:rFonts w:hint="eastAsia" w:ascii="Times New Roman" w:hAnsi="Times New Roman"/>
                <w:color w:val="auto"/>
                <w:sz w:val="24"/>
                <w:szCs w:val="24"/>
                <w:u w:val="single"/>
              </w:rPr>
              <w:t>半成品</w:t>
            </w:r>
            <w:r>
              <w:rPr>
                <w:rFonts w:ascii="Times New Roman" w:hAnsi="Times New Roman"/>
                <w:color w:val="auto"/>
                <w:sz w:val="24"/>
                <w:szCs w:val="24"/>
                <w:u w:val="single"/>
              </w:rPr>
              <w:t>放入砂磨机中，对断料进行喷砂，去除锈蚀的铁屑，此道工序为间歇性工作，会产生时断性噪声和粉尘废气以及粉尘固废。</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⑨拉口</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将喷砂后的产品放置于拉床上，拉出口子便于螺丝嵌入，此工序会产生噪声和粉尘废气以及粉尘固废</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⑩打磨</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对制成的产品</w:t>
            </w:r>
            <w:r>
              <w:rPr>
                <w:rFonts w:hint="eastAsia" w:ascii="Times New Roman" w:hAnsi="Times New Roman"/>
                <w:color w:val="auto"/>
                <w:sz w:val="24"/>
                <w:szCs w:val="24"/>
                <w:u w:val="single"/>
              </w:rPr>
              <w:t>用打磨机</w:t>
            </w:r>
            <w:r>
              <w:rPr>
                <w:rFonts w:ascii="Times New Roman" w:hAnsi="Times New Roman"/>
                <w:color w:val="auto"/>
                <w:sz w:val="24"/>
                <w:szCs w:val="24"/>
                <w:u w:val="single"/>
              </w:rPr>
              <w:t>进行打磨，目的是修整产品的表面和边角，本工序会产生粉尘废气和粉尘固废，还有噪声产生。</w:t>
            </w:r>
          </w:p>
          <w:p>
            <w:pPr>
              <w:pStyle w:val="40"/>
              <w:spacing w:line="360" w:lineRule="auto"/>
              <w:ind w:firstLine="480"/>
              <w:rPr>
                <w:rFonts w:ascii="Times New Roman" w:hAnsi="Times New Roman"/>
                <w:color w:val="auto"/>
                <w:sz w:val="24"/>
                <w:szCs w:val="24"/>
                <w:u w:val="single"/>
              </w:rPr>
            </w:pPr>
            <w:r>
              <w:rPr>
                <w:rFonts w:hint="eastAsia" w:ascii="Times New Roman" w:hAnsi="Times New Roman"/>
                <w:color w:val="auto"/>
                <w:sz w:val="24"/>
                <w:szCs w:val="24"/>
                <w:u w:val="single"/>
              </w:rPr>
              <w:t>⑪抛光</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是指利用机械、化学或电化学的作用，使工件表面粗糙度降低，以获得光亮、平整表面的加工方法。是利用抛光工具和磨料颗粒或其他抛光介质对工件表面进行的修饰加工。抛光不能提高工件的尺寸精度或几何形状精度，而是以得到光滑表面或镜面光泽为目的。本项目使</w:t>
            </w:r>
            <w:r>
              <w:rPr>
                <w:rFonts w:hint="eastAsia" w:ascii="Times New Roman" w:hAnsi="Times New Roman"/>
                <w:color w:val="auto"/>
                <w:sz w:val="24"/>
                <w:szCs w:val="24"/>
                <w:u w:val="single"/>
              </w:rPr>
              <w:t>磨料</w:t>
            </w:r>
            <w:r>
              <w:rPr>
                <w:rFonts w:ascii="Times New Roman" w:hAnsi="Times New Roman"/>
                <w:color w:val="auto"/>
                <w:sz w:val="24"/>
                <w:szCs w:val="24"/>
                <w:u w:val="single"/>
              </w:rPr>
              <w:t>和扳手经旋转摩擦，将毛刺依附在</w:t>
            </w:r>
            <w:r>
              <w:rPr>
                <w:rFonts w:hint="eastAsia" w:ascii="Times New Roman" w:hAnsi="Times New Roman"/>
                <w:color w:val="auto"/>
                <w:sz w:val="24"/>
                <w:szCs w:val="24"/>
                <w:u w:val="single"/>
              </w:rPr>
              <w:t>磨料</w:t>
            </w:r>
            <w:r>
              <w:rPr>
                <w:rFonts w:ascii="Times New Roman" w:hAnsi="Times New Roman"/>
                <w:color w:val="auto"/>
                <w:sz w:val="24"/>
                <w:szCs w:val="24"/>
                <w:u w:val="single"/>
              </w:rPr>
              <w:t>上，使扳手表面粗糙度降低，变得光亮。该过程会使用到水</w:t>
            </w:r>
            <w:r>
              <w:rPr>
                <w:rFonts w:hint="eastAsia" w:ascii="Times New Roman" w:hAnsi="Times New Roman"/>
                <w:color w:val="auto"/>
                <w:sz w:val="24"/>
                <w:szCs w:val="24"/>
                <w:u w:val="single"/>
              </w:rPr>
              <w:t>合研磨液</w:t>
            </w:r>
            <w:r>
              <w:rPr>
                <w:rFonts w:ascii="Times New Roman" w:hAnsi="Times New Roman"/>
                <w:color w:val="auto"/>
                <w:sz w:val="24"/>
                <w:szCs w:val="24"/>
                <w:u w:val="single"/>
              </w:rPr>
              <w:t>，该部分水经过循环水池循环使用不外排</w:t>
            </w:r>
          </w:p>
          <w:p>
            <w:pPr>
              <w:pStyle w:val="40"/>
              <w:spacing w:line="360" w:lineRule="auto"/>
              <w:ind w:firstLine="480"/>
              <w:rPr>
                <w:rFonts w:ascii="Times New Roman" w:hAnsi="Times New Roman"/>
                <w:color w:val="auto"/>
                <w:sz w:val="24"/>
                <w:szCs w:val="24"/>
                <w:u w:val="single"/>
              </w:rPr>
            </w:pPr>
            <w:r>
              <w:rPr>
                <w:rFonts w:hint="eastAsia" w:ascii="Times New Roman" w:hAnsi="Times New Roman"/>
                <w:color w:val="auto"/>
                <w:sz w:val="24"/>
                <w:szCs w:val="24"/>
                <w:u w:val="single"/>
              </w:rPr>
              <w:t>⑫</w:t>
            </w:r>
            <w:r>
              <w:rPr>
                <w:rFonts w:ascii="Times New Roman" w:hAnsi="Times New Roman"/>
                <w:color w:val="auto"/>
                <w:sz w:val="24"/>
                <w:szCs w:val="24"/>
                <w:u w:val="single"/>
              </w:rPr>
              <w:t>电镀</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本工序外包给专业的电镀厂电镀，目的是增加产品的使用寿命和美观度。</w:t>
            </w:r>
          </w:p>
          <w:p>
            <w:pPr>
              <w:pStyle w:val="40"/>
              <w:spacing w:line="360" w:lineRule="auto"/>
              <w:ind w:firstLine="480"/>
              <w:rPr>
                <w:rFonts w:ascii="Times New Roman" w:hAnsi="Times New Roman"/>
                <w:color w:val="auto"/>
                <w:sz w:val="24"/>
                <w:szCs w:val="24"/>
                <w:u w:val="single"/>
              </w:rPr>
            </w:pPr>
            <w:r>
              <w:rPr>
                <w:rFonts w:hint="eastAsia" w:ascii="Times New Roman" w:hAnsi="Times New Roman"/>
                <w:color w:val="auto"/>
                <w:sz w:val="24"/>
                <w:szCs w:val="24"/>
                <w:u w:val="single"/>
              </w:rPr>
              <w:t>⑬</w:t>
            </w:r>
            <w:r>
              <w:rPr>
                <w:rFonts w:ascii="Times New Roman" w:hAnsi="Times New Roman"/>
                <w:color w:val="auto"/>
                <w:sz w:val="24"/>
                <w:szCs w:val="24"/>
                <w:u w:val="single"/>
              </w:rPr>
              <w:t>包装</w:t>
            </w:r>
          </w:p>
          <w:p>
            <w:pPr>
              <w:pStyle w:val="40"/>
              <w:spacing w:line="360" w:lineRule="auto"/>
              <w:ind w:firstLine="480"/>
              <w:rPr>
                <w:rFonts w:ascii="Times New Roman" w:hAnsi="Times New Roman"/>
                <w:color w:val="auto"/>
                <w:sz w:val="24"/>
                <w:szCs w:val="24"/>
                <w:u w:val="single"/>
              </w:rPr>
            </w:pPr>
            <w:r>
              <w:rPr>
                <w:rFonts w:ascii="Times New Roman" w:hAnsi="Times New Roman"/>
                <w:color w:val="auto"/>
                <w:sz w:val="24"/>
                <w:szCs w:val="24"/>
                <w:u w:val="single"/>
              </w:rPr>
              <w:t>包装后外售，本过程为人工包装，包装物为外购成品，无污染物产生，少量不合格包装袋可与供应商调换，所以本工序基本不产生污染物。</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项目工艺流程及产污环节图见图2。</w:t>
            </w:r>
          </w:p>
          <w:p>
            <w:pPr>
              <w:pStyle w:val="40"/>
              <w:spacing w:line="360" w:lineRule="auto"/>
              <w:ind w:left="0" w:leftChars="0" w:firstLine="0" w:firstLineChars="0"/>
              <w:rPr>
                <w:rFonts w:hint="eastAsia" w:ascii="Times New Roman" w:hAnsi="Times New Roman"/>
                <w:color w:val="auto"/>
                <w:sz w:val="24"/>
                <w:szCs w:val="24"/>
                <w:u w:val="single"/>
              </w:rPr>
            </w:pPr>
            <w:r>
              <w:rPr>
                <w:color w:val="auto"/>
              </w:rPr>
              <w:drawing>
                <wp:inline distT="0" distB="0" distL="114300" distR="114300">
                  <wp:extent cx="5163820" cy="2677160"/>
                  <wp:effectExtent l="0" t="0" r="1778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6">
                            <a:lum bright="-18000" contrast="30000"/>
                          </a:blip>
                          <a:srcRect l="5078" t="5034" r="5225" b="5513"/>
                          <a:stretch>
                            <a:fillRect/>
                          </a:stretch>
                        </pic:blipFill>
                        <pic:spPr>
                          <a:xfrm>
                            <a:off x="0" y="0"/>
                            <a:ext cx="5163820" cy="2677160"/>
                          </a:xfrm>
                          <a:prstGeom prst="rect">
                            <a:avLst/>
                          </a:prstGeom>
                          <a:noFill/>
                          <a:ln>
                            <a:noFill/>
                          </a:ln>
                        </pic:spPr>
                      </pic:pic>
                    </a:graphicData>
                  </a:graphic>
                </wp:inline>
              </w:drawing>
            </w:r>
          </w:p>
          <w:p>
            <w:pPr>
              <w:pStyle w:val="15"/>
              <w:numPr>
                <w:ilvl w:val="0"/>
                <w:numId w:val="0"/>
              </w:numPr>
              <w:jc w:val="center"/>
              <w:rPr>
                <w:rFonts w:ascii="Times New Roman" w:hAnsi="Times New Roman"/>
                <w:b/>
                <w:bCs/>
                <w:color w:val="auto"/>
                <w:u w:val="single"/>
              </w:rPr>
            </w:pPr>
            <w:r>
              <w:rPr>
                <w:rFonts w:ascii="Times New Roman" w:hAnsi="Times New Roman"/>
                <w:b/>
                <w:bCs/>
                <w:color w:val="auto"/>
                <w:u w:val="single"/>
              </w:rPr>
              <w:t xml:space="preserve">图2 </w:t>
            </w:r>
            <w:r>
              <w:rPr>
                <w:rFonts w:hint="eastAsia" w:ascii="Times New Roman" w:hAnsi="Times New Roman"/>
                <w:b/>
                <w:bCs/>
                <w:color w:val="auto"/>
                <w:u w:val="single"/>
              </w:rPr>
              <w:t xml:space="preserve"> </w:t>
            </w:r>
            <w:r>
              <w:rPr>
                <w:rFonts w:ascii="Times New Roman" w:hAnsi="Times New Roman"/>
                <w:b/>
                <w:bCs/>
                <w:color w:val="auto"/>
                <w:u w:val="single"/>
              </w:rPr>
              <w:t>项目生产工艺流程及产污环节图</w:t>
            </w:r>
          </w:p>
          <w:p>
            <w:pPr>
              <w:pStyle w:val="15"/>
              <w:numPr>
                <w:ilvl w:val="0"/>
                <w:numId w:val="0"/>
              </w:numPr>
              <w:jc w:val="center"/>
              <w:rPr>
                <w:rFonts w:ascii="Times New Roman" w:hAnsi="Times New Roman"/>
                <w:b/>
                <w:bCs/>
                <w:color w:val="auto"/>
                <w:u w:val="single"/>
              </w:rPr>
            </w:pPr>
            <w:r>
              <w:rPr>
                <w:rFonts w:hint="eastAsia" w:ascii="Times New Roman" w:hAnsi="Times New Roman"/>
                <w:b/>
                <w:bCs/>
                <w:color w:val="auto"/>
              </w:rPr>
              <w:drawing>
                <wp:inline distT="0" distB="0" distL="114300" distR="114300">
                  <wp:extent cx="5343525" cy="3987800"/>
                  <wp:effectExtent l="0" t="0" r="0" b="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7">
                            <a:lum bright="-24000" contrast="48000"/>
                          </a:blip>
                          <a:srcRect t="4559"/>
                          <a:stretch>
                            <a:fillRect/>
                          </a:stretch>
                        </pic:blipFill>
                        <pic:spPr>
                          <a:xfrm>
                            <a:off x="0" y="0"/>
                            <a:ext cx="5343525" cy="3987800"/>
                          </a:xfrm>
                          <a:prstGeom prst="rect">
                            <a:avLst/>
                          </a:prstGeom>
                        </pic:spPr>
                      </pic:pic>
                    </a:graphicData>
                  </a:graphic>
                </wp:inline>
              </w:drawing>
            </w:r>
          </w:p>
          <w:p>
            <w:pPr>
              <w:pStyle w:val="15"/>
              <w:numPr>
                <w:ilvl w:val="0"/>
                <w:numId w:val="0"/>
              </w:numPr>
              <w:jc w:val="center"/>
              <w:rPr>
                <w:rFonts w:ascii="Times New Roman" w:hAnsi="Times New Roman"/>
                <w:b/>
                <w:bCs/>
                <w:color w:val="auto"/>
                <w:u w:val="single"/>
              </w:rPr>
            </w:pPr>
            <w:r>
              <w:rPr>
                <w:rFonts w:ascii="Times New Roman" w:hAnsi="Times New Roman"/>
                <w:b/>
                <w:bCs/>
                <w:color w:val="auto"/>
                <w:u w:val="single"/>
              </w:rPr>
              <w:t xml:space="preserve">图2 </w:t>
            </w:r>
            <w:r>
              <w:rPr>
                <w:rFonts w:hint="eastAsia" w:ascii="Times New Roman" w:hAnsi="Times New Roman"/>
                <w:b/>
                <w:bCs/>
                <w:color w:val="auto"/>
                <w:u w:val="single"/>
              </w:rPr>
              <w:t xml:space="preserve"> </w:t>
            </w:r>
            <w:r>
              <w:rPr>
                <w:rFonts w:ascii="Times New Roman" w:hAnsi="Times New Roman"/>
                <w:b/>
                <w:bCs/>
                <w:color w:val="auto"/>
                <w:u w:val="single"/>
              </w:rPr>
              <w:t>项目</w:t>
            </w:r>
            <w:r>
              <w:rPr>
                <w:rFonts w:hint="eastAsia" w:ascii="Times New Roman" w:hAnsi="Times New Roman"/>
                <w:b/>
                <w:bCs/>
                <w:color w:val="auto"/>
                <w:u w:val="single"/>
              </w:rPr>
              <w:t>物料平衡</w:t>
            </w:r>
            <w:r>
              <w:rPr>
                <w:rFonts w:ascii="Times New Roman" w:hAnsi="Times New Roman"/>
                <w:b/>
                <w:bCs/>
                <w:color w:val="auto"/>
                <w:u w:val="single"/>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636" w:type="dxa"/>
          </w:tcPr>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本项目已于2005年2月开始运营至今，由于未办理环评手续，环保局于2019年12月对其进行处罚（详见附件罚款单）。</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根据现场调查，本项目存在的主要环境问题如下。</w:t>
            </w:r>
          </w:p>
          <w:p>
            <w:pPr>
              <w:jc w:val="center"/>
              <w:rPr>
                <w:rFonts w:ascii="Times New Roman" w:hAnsi="Times New Roman"/>
                <w:b/>
                <w:bCs/>
                <w:color w:val="auto"/>
                <w:szCs w:val="21"/>
                <w:u w:val="single"/>
              </w:rPr>
            </w:pPr>
            <w:r>
              <w:rPr>
                <w:rFonts w:hint="eastAsia" w:ascii="Times New Roman" w:hAnsi="Times New Roman"/>
                <w:b/>
                <w:bCs/>
                <w:color w:val="auto"/>
                <w:szCs w:val="21"/>
                <w:u w:val="single"/>
              </w:rPr>
              <w:t xml:space="preserve">表2-5  </w:t>
            </w:r>
            <w:r>
              <w:rPr>
                <w:b/>
                <w:bCs/>
                <w:color w:val="auto"/>
                <w:szCs w:val="21"/>
                <w:u w:val="single"/>
              </w:rPr>
              <w:t>项目污染源强以及现有的防治措施和需要补充的防治措施</w:t>
            </w:r>
          </w:p>
          <w:tbl>
            <w:tblPr>
              <w:tblStyle w:val="27"/>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555"/>
              <w:gridCol w:w="1335"/>
              <w:gridCol w:w="2011"/>
              <w:gridCol w:w="2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项目</w:t>
                  </w:r>
                </w:p>
              </w:tc>
              <w:tc>
                <w:tcPr>
                  <w:tcW w:w="926" w:type="pct"/>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污染源或建设情况</w:t>
                  </w:r>
                </w:p>
              </w:tc>
              <w:tc>
                <w:tcPr>
                  <w:tcW w:w="795" w:type="pct"/>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源强</w:t>
                  </w:r>
                </w:p>
              </w:tc>
              <w:tc>
                <w:tcPr>
                  <w:tcW w:w="1198" w:type="pct"/>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现有污染防治措施</w:t>
                  </w:r>
                </w:p>
              </w:tc>
              <w:tc>
                <w:tcPr>
                  <w:tcW w:w="1707" w:type="pct"/>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需要补充的</w:t>
                  </w:r>
                </w:p>
                <w:p>
                  <w:pPr>
                    <w:jc w:val="center"/>
                    <w:rPr>
                      <w:rFonts w:ascii="Times New Roman" w:hAnsi="Times New Roman"/>
                      <w:b/>
                      <w:bCs/>
                      <w:color w:val="auto"/>
                      <w:szCs w:val="21"/>
                      <w:u w:val="single"/>
                    </w:rPr>
                  </w:pPr>
                  <w:r>
                    <w:rPr>
                      <w:rFonts w:ascii="Times New Roman" w:hAnsi="Times New Roman"/>
                      <w:b/>
                      <w:bCs/>
                      <w:color w:val="auto"/>
                      <w:szCs w:val="21"/>
                      <w:u w:val="single"/>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pPr>
                    <w:jc w:val="center"/>
                    <w:rPr>
                      <w:rFonts w:ascii="Times New Roman" w:hAnsi="Times New Roman"/>
                      <w:color w:val="auto"/>
                      <w:szCs w:val="21"/>
                      <w:u w:val="single"/>
                    </w:rPr>
                  </w:pPr>
                  <w:r>
                    <w:rPr>
                      <w:rFonts w:ascii="Times New Roman" w:hAnsi="Times New Roman"/>
                      <w:color w:val="auto"/>
                      <w:szCs w:val="21"/>
                      <w:u w:val="single"/>
                    </w:rPr>
                    <w:t>废气</w:t>
                  </w: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打磨粉尘</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0.027414t/a</w:t>
                  </w:r>
                </w:p>
              </w:tc>
              <w:tc>
                <w:tcPr>
                  <w:tcW w:w="1198" w:type="pct"/>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打磨</w:t>
                  </w:r>
                  <w:r>
                    <w:rPr>
                      <w:rFonts w:ascii="Times New Roman" w:hAnsi="Times New Roman"/>
                      <w:color w:val="auto"/>
                      <w:szCs w:val="21"/>
                      <w:u w:val="single"/>
                    </w:rPr>
                    <w:t>废气经水幕除尘后</w:t>
                  </w:r>
                  <w:r>
                    <w:rPr>
                      <w:rFonts w:hint="eastAsia" w:ascii="Times New Roman" w:hAnsi="Times New Roman"/>
                      <w:color w:val="auto"/>
                      <w:szCs w:val="21"/>
                      <w:u w:val="single"/>
                    </w:rPr>
                    <w:t>由长10m高1.2m</w:t>
                  </w:r>
                  <w:r>
                    <w:rPr>
                      <w:rFonts w:hint="eastAsia"/>
                      <w:color w:val="auto"/>
                      <w:u w:val="single"/>
                    </w:rPr>
                    <w:t>的</w:t>
                  </w:r>
                  <w:r>
                    <w:rPr>
                      <w:rFonts w:hint="eastAsia" w:ascii="Times New Roman" w:hAnsi="Times New Roman"/>
                      <w:color w:val="auto"/>
                      <w:szCs w:val="21"/>
                      <w:u w:val="single"/>
                    </w:rPr>
                    <w:t>出风口</w:t>
                  </w:r>
                  <w:r>
                    <w:rPr>
                      <w:rFonts w:ascii="Times New Roman" w:hAnsi="Times New Roman"/>
                      <w:color w:val="auto"/>
                      <w:szCs w:val="21"/>
                      <w:u w:val="single"/>
                    </w:rPr>
                    <w:t>厂区内无组织排放</w:t>
                  </w:r>
                </w:p>
              </w:tc>
              <w:tc>
                <w:tcPr>
                  <w:tcW w:w="1707" w:type="pct"/>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喷砂粉尘</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0.000349t/a</w:t>
                  </w:r>
                </w:p>
              </w:tc>
              <w:tc>
                <w:tcPr>
                  <w:tcW w:w="1198" w:type="pct"/>
                  <w:vAlign w:val="center"/>
                </w:tcPr>
                <w:p>
                  <w:pPr>
                    <w:widowControl/>
                    <w:jc w:val="center"/>
                    <w:rPr>
                      <w:rFonts w:ascii="Times New Roman" w:hAnsi="Times New Roman"/>
                      <w:color w:val="auto"/>
                      <w:szCs w:val="21"/>
                      <w:u w:val="single"/>
                    </w:rPr>
                  </w:pPr>
                  <w:r>
                    <w:rPr>
                      <w:rFonts w:ascii="Times New Roman" w:hAnsi="Times New Roman"/>
                      <w:color w:val="auto"/>
                      <w:szCs w:val="21"/>
                      <w:u w:val="single"/>
                    </w:rPr>
                    <w:t>喷砂废气经</w:t>
                  </w:r>
                  <w:r>
                    <w:rPr>
                      <w:rFonts w:hint="eastAsia" w:ascii="Times New Roman" w:hAnsi="Times New Roman"/>
                      <w:color w:val="auto"/>
                      <w:szCs w:val="21"/>
                      <w:u w:val="single"/>
                    </w:rPr>
                    <w:t>自带的布袋</w:t>
                  </w:r>
                  <w:r>
                    <w:rPr>
                      <w:rFonts w:ascii="Times New Roman" w:hAnsi="Times New Roman"/>
                      <w:color w:val="auto"/>
                      <w:szCs w:val="21"/>
                      <w:u w:val="single"/>
                    </w:rPr>
                    <w:t>除尘器除尘</w:t>
                  </w:r>
                  <w:r>
                    <w:rPr>
                      <w:rFonts w:hint="eastAsia" w:ascii="Times New Roman" w:hAnsi="Times New Roman"/>
                      <w:color w:val="auto"/>
                      <w:szCs w:val="21"/>
                      <w:u w:val="single"/>
                    </w:rPr>
                    <w:t>收集</w:t>
                  </w:r>
                  <w:r>
                    <w:rPr>
                      <w:rFonts w:hint="eastAsia"/>
                      <w:color w:val="auto"/>
                      <w:u w:val="single"/>
                    </w:rPr>
                    <w:t>无组织排放</w:t>
                  </w:r>
                </w:p>
              </w:tc>
              <w:tc>
                <w:tcPr>
                  <w:tcW w:w="1707" w:type="pct"/>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pPr>
                    <w:jc w:val="center"/>
                    <w:rPr>
                      <w:rFonts w:ascii="Times New Roman" w:hAnsi="Times New Roman"/>
                      <w:color w:val="auto"/>
                      <w:szCs w:val="21"/>
                      <w:u w:val="single"/>
                    </w:rPr>
                  </w:pPr>
                  <w:r>
                    <w:rPr>
                      <w:rFonts w:ascii="Times New Roman" w:hAnsi="Times New Roman"/>
                      <w:color w:val="auto"/>
                      <w:szCs w:val="21"/>
                      <w:u w:val="single"/>
                    </w:rPr>
                    <w:t>废水</w:t>
                  </w: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生活污水</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lang w:val="en-US" w:eastAsia="zh-CN"/>
                    </w:rPr>
                    <w:t>205.5</w:t>
                  </w:r>
                  <w:r>
                    <w:rPr>
                      <w:rFonts w:hint="eastAsia" w:ascii="Times New Roman" w:hAnsi="Times New Roman"/>
                      <w:color w:val="auto"/>
                      <w:szCs w:val="21"/>
                      <w:u w:val="single"/>
                    </w:rPr>
                    <w:t>m</w:t>
                  </w:r>
                  <w:r>
                    <w:rPr>
                      <w:rFonts w:hint="eastAsia" w:ascii="Times New Roman" w:hAnsi="Times New Roman"/>
                      <w:color w:val="auto"/>
                      <w:szCs w:val="21"/>
                      <w:u w:val="single"/>
                      <w:vertAlign w:val="superscript"/>
                    </w:rPr>
                    <w:t>3</w:t>
                  </w:r>
                  <w:r>
                    <w:rPr>
                      <w:rFonts w:hint="eastAsia" w:ascii="Times New Roman" w:hAnsi="Times New Roman"/>
                      <w:color w:val="auto"/>
                      <w:szCs w:val="21"/>
                      <w:u w:val="single"/>
                    </w:rPr>
                    <w:t>/a</w:t>
                  </w:r>
                </w:p>
              </w:tc>
              <w:tc>
                <w:tcPr>
                  <w:tcW w:w="1198" w:type="pct"/>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rPr>
                    <w:t>化粪池处理后</w:t>
                  </w:r>
                  <w:r>
                    <w:rPr>
                      <w:rFonts w:hint="eastAsia" w:ascii="Times New Roman" w:hAnsi="Times New Roman"/>
                      <w:color w:val="auto"/>
                      <w:szCs w:val="21"/>
                      <w:u w:val="single"/>
                      <w:lang w:eastAsia="zh-CN"/>
                    </w:rPr>
                    <w:t>进入仙槎桥镇污水处理厂</w:t>
                  </w:r>
                </w:p>
              </w:tc>
              <w:tc>
                <w:tcPr>
                  <w:tcW w:w="1707"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抛光废水</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w:t>
                  </w:r>
                </w:p>
              </w:tc>
              <w:tc>
                <w:tcPr>
                  <w:tcW w:w="1198" w:type="pct"/>
                  <w:vMerge w:val="restar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进入三级沉淀池沉淀后循环利用</w:t>
                  </w:r>
                </w:p>
              </w:tc>
              <w:tc>
                <w:tcPr>
                  <w:tcW w:w="1707" w:type="pct"/>
                  <w:vMerge w:val="restar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打磨水幕除尘废水</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w:t>
                  </w:r>
                </w:p>
              </w:tc>
              <w:tc>
                <w:tcPr>
                  <w:tcW w:w="1198" w:type="pct"/>
                  <w:vMerge w:val="continue"/>
                  <w:vAlign w:val="center"/>
                </w:tcPr>
                <w:p>
                  <w:pPr>
                    <w:jc w:val="center"/>
                    <w:rPr>
                      <w:rFonts w:ascii="Times New Roman" w:hAnsi="Times New Roman"/>
                      <w:color w:val="auto"/>
                      <w:szCs w:val="21"/>
                      <w:u w:val="single"/>
                    </w:rPr>
                  </w:pPr>
                </w:p>
              </w:tc>
              <w:tc>
                <w:tcPr>
                  <w:tcW w:w="1707" w:type="pct"/>
                  <w:vMerge w:val="continue"/>
                  <w:vAlign w:val="center"/>
                </w:tcPr>
                <w:p>
                  <w:pPr>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中频感应加热设备冷却废水</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w:t>
                  </w:r>
                </w:p>
              </w:tc>
              <w:tc>
                <w:tcPr>
                  <w:tcW w:w="1198"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进入冷却水池冷却后循环利用</w:t>
                  </w:r>
                </w:p>
              </w:tc>
              <w:tc>
                <w:tcPr>
                  <w:tcW w:w="1707" w:type="pct"/>
                  <w:vMerge w:val="continue"/>
                  <w:vAlign w:val="center"/>
                </w:tcPr>
                <w:p>
                  <w:pPr>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vAlign w:val="center"/>
                </w:tcPr>
                <w:p>
                  <w:pPr>
                    <w:jc w:val="center"/>
                    <w:rPr>
                      <w:rFonts w:ascii="Times New Roman" w:hAnsi="Times New Roman"/>
                      <w:color w:val="auto"/>
                      <w:szCs w:val="21"/>
                      <w:u w:val="single"/>
                    </w:rPr>
                  </w:pPr>
                  <w:r>
                    <w:rPr>
                      <w:rFonts w:ascii="Times New Roman" w:hAnsi="Times New Roman"/>
                      <w:color w:val="auto"/>
                      <w:szCs w:val="21"/>
                      <w:u w:val="single"/>
                    </w:rPr>
                    <w:t>噪声</w:t>
                  </w: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设备噪声</w:t>
                  </w:r>
                </w:p>
              </w:tc>
              <w:tc>
                <w:tcPr>
                  <w:tcW w:w="795" w:type="pct"/>
                  <w:vAlign w:val="center"/>
                </w:tcPr>
                <w:p>
                  <w:pPr>
                    <w:jc w:val="center"/>
                    <w:rPr>
                      <w:rFonts w:ascii="Times New Roman" w:hAnsi="Times New Roman"/>
                      <w:color w:val="auto"/>
                      <w:szCs w:val="21"/>
                      <w:u w:val="single"/>
                    </w:rPr>
                  </w:pPr>
                  <w:r>
                    <w:rPr>
                      <w:rFonts w:ascii="Times New Roman" w:hAnsi="Times New Roman"/>
                      <w:color w:val="auto"/>
                      <w:szCs w:val="21"/>
                      <w:u w:val="single"/>
                    </w:rPr>
                    <w:t>75-</w:t>
                  </w:r>
                  <w:r>
                    <w:rPr>
                      <w:rFonts w:hint="eastAsia" w:ascii="Times New Roman" w:hAnsi="Times New Roman"/>
                      <w:color w:val="auto"/>
                      <w:szCs w:val="21"/>
                      <w:u w:val="single"/>
                    </w:rPr>
                    <w:t>85</w:t>
                  </w:r>
                  <w:r>
                    <w:rPr>
                      <w:rFonts w:ascii="Times New Roman" w:hAnsi="Times New Roman"/>
                      <w:color w:val="auto"/>
                      <w:szCs w:val="21"/>
                      <w:u w:val="single"/>
                    </w:rPr>
                    <w:t>dB（A）</w:t>
                  </w:r>
                </w:p>
              </w:tc>
              <w:tc>
                <w:tcPr>
                  <w:tcW w:w="1198" w:type="pct"/>
                  <w:vAlign w:val="center"/>
                </w:tcPr>
                <w:p>
                  <w:pPr>
                    <w:jc w:val="center"/>
                    <w:rPr>
                      <w:rFonts w:ascii="Times New Roman" w:hAnsi="Times New Roman"/>
                      <w:color w:val="auto"/>
                      <w:szCs w:val="21"/>
                      <w:u w:val="single"/>
                    </w:rPr>
                  </w:pPr>
                  <w:r>
                    <w:rPr>
                      <w:rFonts w:ascii="Times New Roman" w:hAnsi="Times New Roman"/>
                      <w:color w:val="auto"/>
                      <w:szCs w:val="21"/>
                      <w:u w:val="single"/>
                    </w:rPr>
                    <w:t>绿化、隔声及距离衰减</w:t>
                  </w:r>
                </w:p>
              </w:tc>
              <w:tc>
                <w:tcPr>
                  <w:tcW w:w="1707"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pPr>
                    <w:jc w:val="center"/>
                    <w:rPr>
                      <w:rFonts w:ascii="Times New Roman" w:hAnsi="Times New Roman"/>
                      <w:color w:val="auto"/>
                      <w:szCs w:val="21"/>
                      <w:u w:val="single"/>
                    </w:rPr>
                  </w:pPr>
                  <w:r>
                    <w:rPr>
                      <w:rFonts w:ascii="Times New Roman" w:hAnsi="Times New Roman"/>
                      <w:color w:val="auto"/>
                      <w:szCs w:val="21"/>
                      <w:u w:val="single"/>
                    </w:rPr>
                    <w:t>固废</w:t>
                  </w: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废油桶</w:t>
                  </w:r>
                </w:p>
              </w:tc>
              <w:tc>
                <w:tcPr>
                  <w:tcW w:w="795" w:type="pct"/>
                  <w:vAlign w:val="center"/>
                </w:tcPr>
                <w:p>
                  <w:pPr>
                    <w:jc w:val="center"/>
                    <w:rPr>
                      <w:rFonts w:ascii="Times New Roman" w:hAnsi="Times New Roman"/>
                      <w:color w:val="auto"/>
                      <w:szCs w:val="21"/>
                      <w:u w:val="single"/>
                    </w:rPr>
                  </w:pPr>
                  <w:r>
                    <w:rPr>
                      <w:rFonts w:ascii="Times New Roman" w:hAnsi="Times New Roman"/>
                      <w:color w:val="auto"/>
                      <w:szCs w:val="21"/>
                      <w:u w:val="single"/>
                    </w:rPr>
                    <w:t>0.08t/a</w:t>
                  </w:r>
                </w:p>
              </w:tc>
              <w:tc>
                <w:tcPr>
                  <w:tcW w:w="1198" w:type="pct"/>
                  <w:vMerge w:val="restart"/>
                  <w:vAlign w:val="center"/>
                </w:tcPr>
                <w:p>
                  <w:pPr>
                    <w:jc w:val="center"/>
                    <w:rPr>
                      <w:rFonts w:ascii="Times New Roman" w:hAnsi="Times New Roman"/>
                      <w:color w:val="auto"/>
                      <w:szCs w:val="21"/>
                      <w:u w:val="single"/>
                    </w:rPr>
                  </w:pPr>
                  <w:r>
                    <w:rPr>
                      <w:rFonts w:ascii="Times New Roman" w:hAnsi="Times New Roman"/>
                      <w:color w:val="auto"/>
                      <w:szCs w:val="21"/>
                      <w:u w:val="single"/>
                    </w:rPr>
                    <w:t>暂存于危废间</w:t>
                  </w:r>
                </w:p>
              </w:tc>
              <w:tc>
                <w:tcPr>
                  <w:tcW w:w="1707" w:type="pct"/>
                  <w:vMerge w:val="restar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危废间按照</w:t>
                  </w:r>
                  <w:r>
                    <w:rPr>
                      <w:rFonts w:ascii="Times New Roman" w:hAnsi="Times New Roman"/>
                      <w:color w:val="auto"/>
                      <w:szCs w:val="21"/>
                      <w:u w:val="single"/>
                    </w:rPr>
                    <w:t>《危险废物贮存污染控制标准》（GB18597-2001）及其2013年修改单</w:t>
                  </w:r>
                  <w:r>
                    <w:rPr>
                      <w:rFonts w:hint="eastAsia" w:ascii="Times New Roman" w:hAnsi="Times New Roman"/>
                      <w:color w:val="auto"/>
                      <w:szCs w:val="21"/>
                      <w:u w:val="single"/>
                    </w:rPr>
                    <w:t>规范要求进行整改，暂存的危废交由有资质的危废公司进行处置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废机油</w:t>
                  </w:r>
                </w:p>
              </w:tc>
              <w:tc>
                <w:tcPr>
                  <w:tcW w:w="795" w:type="pct"/>
                  <w:vAlign w:val="center"/>
                </w:tcPr>
                <w:p>
                  <w:pPr>
                    <w:jc w:val="center"/>
                    <w:rPr>
                      <w:rFonts w:ascii="Times New Roman" w:hAnsi="Times New Roman"/>
                      <w:color w:val="auto"/>
                      <w:szCs w:val="21"/>
                      <w:u w:val="single"/>
                    </w:rPr>
                  </w:pPr>
                  <w:r>
                    <w:rPr>
                      <w:rFonts w:ascii="Times New Roman" w:hAnsi="Times New Roman"/>
                      <w:color w:val="auto"/>
                      <w:szCs w:val="21"/>
                      <w:u w:val="single"/>
                    </w:rPr>
                    <w:t>0.1t/a</w:t>
                  </w:r>
                </w:p>
              </w:tc>
              <w:tc>
                <w:tcPr>
                  <w:tcW w:w="1198" w:type="pct"/>
                  <w:vMerge w:val="continue"/>
                  <w:vAlign w:val="center"/>
                </w:tcPr>
                <w:p>
                  <w:pPr>
                    <w:jc w:val="center"/>
                    <w:rPr>
                      <w:rFonts w:ascii="Times New Roman" w:hAnsi="Times New Roman"/>
                      <w:color w:val="auto"/>
                      <w:szCs w:val="21"/>
                      <w:u w:val="single"/>
                    </w:rPr>
                  </w:pPr>
                </w:p>
              </w:tc>
              <w:tc>
                <w:tcPr>
                  <w:tcW w:w="1707" w:type="pct"/>
                  <w:vMerge w:val="continue"/>
                  <w:vAlign w:val="center"/>
                </w:tcPr>
                <w:p>
                  <w:pPr>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废润滑油</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0.01t/a</w:t>
                  </w:r>
                </w:p>
              </w:tc>
              <w:tc>
                <w:tcPr>
                  <w:tcW w:w="1198" w:type="pct"/>
                  <w:vMerge w:val="continue"/>
                  <w:vAlign w:val="center"/>
                </w:tcPr>
                <w:p>
                  <w:pPr>
                    <w:jc w:val="center"/>
                    <w:rPr>
                      <w:rFonts w:ascii="Times New Roman" w:hAnsi="Times New Roman"/>
                      <w:color w:val="auto"/>
                      <w:szCs w:val="21"/>
                      <w:u w:val="single"/>
                    </w:rPr>
                  </w:pPr>
                </w:p>
              </w:tc>
              <w:tc>
                <w:tcPr>
                  <w:tcW w:w="1707" w:type="pct"/>
                  <w:vMerge w:val="continue"/>
                  <w:vAlign w:val="center"/>
                </w:tcPr>
                <w:p>
                  <w:pPr>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沉淀池</w:t>
                  </w:r>
                  <w:r>
                    <w:rPr>
                      <w:rFonts w:hint="eastAsia" w:ascii="Times New Roman" w:hAnsi="Times New Roman"/>
                      <w:color w:val="auto"/>
                      <w:szCs w:val="21"/>
                      <w:u w:val="single"/>
                    </w:rPr>
                    <w:t>铁泥</w:t>
                  </w:r>
                </w:p>
              </w:tc>
              <w:tc>
                <w:tcPr>
                  <w:tcW w:w="795" w:type="pct"/>
                  <w:vAlign w:val="center"/>
                </w:tcPr>
                <w:p>
                  <w:pPr>
                    <w:jc w:val="center"/>
                    <w:rPr>
                      <w:rFonts w:ascii="Times New Roman" w:hAnsi="Times New Roman"/>
                      <w:color w:val="auto"/>
                      <w:szCs w:val="21"/>
                      <w:u w:val="single"/>
                    </w:rPr>
                  </w:pPr>
                  <w:r>
                    <w:rPr>
                      <w:rFonts w:ascii="Times New Roman" w:hAnsi="Times New Roman"/>
                      <w:color w:val="auto"/>
                      <w:szCs w:val="21"/>
                      <w:u w:val="single"/>
                    </w:rPr>
                    <w:t>2t/a</w:t>
                  </w:r>
                </w:p>
              </w:tc>
              <w:tc>
                <w:tcPr>
                  <w:tcW w:w="1198"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收集后交由炼钢厂回收利用</w:t>
                  </w:r>
                </w:p>
              </w:tc>
              <w:tc>
                <w:tcPr>
                  <w:tcW w:w="1707"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废边角料</w:t>
                  </w:r>
                </w:p>
              </w:tc>
              <w:tc>
                <w:tcPr>
                  <w:tcW w:w="795" w:type="pct"/>
                  <w:vAlign w:val="center"/>
                </w:tcPr>
                <w:p>
                  <w:pPr>
                    <w:jc w:val="center"/>
                    <w:rPr>
                      <w:rFonts w:ascii="Times New Roman" w:hAnsi="Times New Roman"/>
                      <w:color w:val="auto"/>
                      <w:szCs w:val="21"/>
                      <w:u w:val="single"/>
                    </w:rPr>
                  </w:pPr>
                  <w:r>
                    <w:rPr>
                      <w:rFonts w:ascii="Times New Roman" w:hAnsi="Times New Roman"/>
                      <w:color w:val="auto"/>
                      <w:szCs w:val="21"/>
                      <w:u w:val="single"/>
                    </w:rPr>
                    <w:t>70t/a</w:t>
                  </w:r>
                </w:p>
              </w:tc>
              <w:tc>
                <w:tcPr>
                  <w:tcW w:w="1198" w:type="pct"/>
                  <w:vAlign w:val="center"/>
                </w:tcPr>
                <w:p>
                  <w:pPr>
                    <w:jc w:val="center"/>
                    <w:rPr>
                      <w:rFonts w:ascii="Times New Roman" w:hAnsi="Times New Roman"/>
                      <w:color w:val="auto"/>
                      <w:szCs w:val="21"/>
                      <w:u w:val="single"/>
                    </w:rPr>
                  </w:pPr>
                  <w:r>
                    <w:rPr>
                      <w:rFonts w:ascii="Times New Roman" w:hAnsi="Times New Roman"/>
                      <w:color w:val="auto"/>
                      <w:szCs w:val="21"/>
                      <w:u w:val="single"/>
                    </w:rPr>
                    <w:t>暂存于一般固废堆场交由回收公司</w:t>
                  </w:r>
                </w:p>
              </w:tc>
              <w:tc>
                <w:tcPr>
                  <w:tcW w:w="1707"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一般固废间按照</w:t>
                  </w:r>
                  <w:r>
                    <w:rPr>
                      <w:rFonts w:ascii="Times New Roman" w:hAnsi="Times New Roman"/>
                      <w:color w:val="auto"/>
                      <w:szCs w:val="21"/>
                      <w:u w:val="single"/>
                    </w:rPr>
                    <w:t>《一般工业固体废物贮存、处置场污染控制标准》（GB18599-2001）及其2013年修改单</w:t>
                  </w:r>
                  <w:r>
                    <w:rPr>
                      <w:rFonts w:hint="eastAsia" w:ascii="Times New Roman" w:hAnsi="Times New Roman"/>
                      <w:color w:val="auto"/>
                      <w:szCs w:val="21"/>
                      <w:u w:val="single"/>
                    </w:rPr>
                    <w:t>规范整改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jc w:val="center"/>
                    <w:rPr>
                      <w:rFonts w:ascii="Times New Roman" w:hAnsi="Times New Roman"/>
                      <w:color w:val="auto"/>
                      <w:szCs w:val="21"/>
                      <w:u w:val="single"/>
                    </w:rPr>
                  </w:pPr>
                </w:p>
              </w:tc>
              <w:tc>
                <w:tcPr>
                  <w:tcW w:w="926" w:type="pct"/>
                  <w:vAlign w:val="center"/>
                </w:tcPr>
                <w:p>
                  <w:pPr>
                    <w:jc w:val="center"/>
                    <w:rPr>
                      <w:rFonts w:ascii="Times New Roman" w:hAnsi="Times New Roman"/>
                      <w:color w:val="auto"/>
                      <w:szCs w:val="21"/>
                      <w:u w:val="single"/>
                    </w:rPr>
                  </w:pPr>
                  <w:r>
                    <w:rPr>
                      <w:rFonts w:ascii="Times New Roman" w:hAnsi="Times New Roman"/>
                      <w:color w:val="auto"/>
                      <w:szCs w:val="21"/>
                      <w:u w:val="single"/>
                    </w:rPr>
                    <w:t>生活垃圾</w:t>
                  </w:r>
                </w:p>
              </w:tc>
              <w:tc>
                <w:tcPr>
                  <w:tcW w:w="795" w:type="pct"/>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6.76</w:t>
                  </w:r>
                  <w:r>
                    <w:rPr>
                      <w:rFonts w:ascii="Times New Roman" w:hAnsi="Times New Roman"/>
                      <w:color w:val="auto"/>
                      <w:szCs w:val="21"/>
                      <w:u w:val="single"/>
                    </w:rPr>
                    <w:t>t/a</w:t>
                  </w:r>
                </w:p>
              </w:tc>
              <w:tc>
                <w:tcPr>
                  <w:tcW w:w="1198" w:type="pct"/>
                  <w:vAlign w:val="center"/>
                </w:tcPr>
                <w:p>
                  <w:pPr>
                    <w:jc w:val="center"/>
                    <w:rPr>
                      <w:rFonts w:ascii="Times New Roman" w:hAnsi="Times New Roman"/>
                      <w:color w:val="auto"/>
                      <w:szCs w:val="21"/>
                      <w:u w:val="single"/>
                    </w:rPr>
                  </w:pPr>
                  <w:r>
                    <w:rPr>
                      <w:rFonts w:ascii="Times New Roman" w:hAnsi="Times New Roman"/>
                      <w:color w:val="auto"/>
                      <w:szCs w:val="21"/>
                      <w:u w:val="single"/>
                    </w:rPr>
                    <w:t>垃圾桶收集，交由环卫部门处理</w:t>
                  </w:r>
                </w:p>
              </w:tc>
              <w:tc>
                <w:tcPr>
                  <w:tcW w:w="1707" w:type="pct"/>
                  <w:vAlign w:val="center"/>
                </w:tcPr>
                <w:p>
                  <w:pPr>
                    <w:jc w:val="center"/>
                    <w:rPr>
                      <w:rFonts w:ascii="Times New Roman" w:hAnsi="Times New Roman"/>
                      <w:color w:val="auto"/>
                      <w:szCs w:val="21"/>
                      <w:u w:val="single"/>
                    </w:rPr>
                  </w:pPr>
                  <w:r>
                    <w:rPr>
                      <w:rFonts w:ascii="Times New Roman" w:hAnsi="Times New Roman"/>
                      <w:color w:val="auto"/>
                      <w:szCs w:val="21"/>
                      <w:u w:val="single"/>
                    </w:rPr>
                    <w:t>无</w:t>
                  </w:r>
                </w:p>
              </w:tc>
            </w:tr>
          </w:tbl>
          <w:p>
            <w:pPr>
              <w:spacing w:line="360" w:lineRule="auto"/>
              <w:ind w:firstLine="480" w:firstLineChars="200"/>
              <w:rPr>
                <w:color w:val="auto"/>
                <w:sz w:val="24"/>
              </w:rPr>
            </w:pPr>
            <w:r>
              <w:rPr>
                <w:rFonts w:hint="eastAsia"/>
                <w:color w:val="auto"/>
                <w:sz w:val="24"/>
              </w:rPr>
              <w:t>本评价委托湖南中昊检测有限公司对本项目废气、废水及噪声等污染源进行检测。</w:t>
            </w:r>
          </w:p>
          <w:p>
            <w:pPr>
              <w:autoSpaceDE w:val="0"/>
              <w:autoSpaceDN w:val="0"/>
              <w:adjustRightInd w:val="0"/>
              <w:spacing w:line="360" w:lineRule="auto"/>
              <w:ind w:firstLine="482" w:firstLineChars="200"/>
              <w:rPr>
                <w:rFonts w:ascii="Times New Roman" w:hAnsi="Times New Roman"/>
                <w:b/>
                <w:color w:val="auto"/>
                <w:sz w:val="24"/>
              </w:rPr>
            </w:pPr>
            <w:r>
              <w:rPr>
                <w:rFonts w:ascii="Times New Roman" w:hAnsi="Times New Roman"/>
                <w:b/>
                <w:color w:val="auto"/>
                <w:sz w:val="24"/>
              </w:rPr>
              <w:t>1、废气</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本项目打磨、</w:t>
            </w:r>
            <w:r>
              <w:rPr>
                <w:rFonts w:hint="eastAsia" w:ascii="Times New Roman" w:hAnsi="Times New Roman"/>
                <w:color w:val="auto"/>
                <w:sz w:val="24"/>
              </w:rPr>
              <w:t>喷砂</w:t>
            </w:r>
            <w:r>
              <w:rPr>
                <w:rFonts w:ascii="Times New Roman" w:hAnsi="Times New Roman"/>
                <w:color w:val="auto"/>
                <w:sz w:val="24"/>
              </w:rPr>
              <w:t>产生的粉尘无组织排放。本环评委托湖南中昊检测有限公司于</w:t>
            </w:r>
            <w:r>
              <w:rPr>
                <w:rFonts w:hint="eastAsia" w:ascii="Times New Roman" w:hAnsi="Times New Roman"/>
                <w:color w:val="auto"/>
                <w:sz w:val="24"/>
              </w:rPr>
              <w:t>2021</w:t>
            </w:r>
            <w:r>
              <w:rPr>
                <w:rFonts w:ascii="Times New Roman" w:hAnsi="Times New Roman"/>
                <w:color w:val="auto"/>
                <w:sz w:val="24"/>
              </w:rPr>
              <w:t>年</w:t>
            </w:r>
            <w:r>
              <w:rPr>
                <w:rFonts w:hint="eastAsia" w:ascii="Times New Roman" w:hAnsi="Times New Roman"/>
                <w:color w:val="auto"/>
                <w:sz w:val="24"/>
              </w:rPr>
              <w:t>4</w:t>
            </w:r>
            <w:r>
              <w:rPr>
                <w:rFonts w:ascii="Times New Roman" w:hAnsi="Times New Roman"/>
                <w:color w:val="auto"/>
                <w:sz w:val="24"/>
              </w:rPr>
              <w:t>月</w:t>
            </w:r>
            <w:r>
              <w:rPr>
                <w:rFonts w:hint="eastAsia" w:ascii="Times New Roman" w:hAnsi="Times New Roman"/>
                <w:color w:val="auto"/>
                <w:sz w:val="24"/>
              </w:rPr>
              <w:t>21</w:t>
            </w:r>
            <w:r>
              <w:rPr>
                <w:rFonts w:ascii="Times New Roman" w:hAnsi="Times New Roman"/>
                <w:color w:val="auto"/>
                <w:sz w:val="24"/>
              </w:rPr>
              <w:t>日~</w:t>
            </w:r>
            <w:r>
              <w:rPr>
                <w:rFonts w:hint="eastAsia" w:ascii="Times New Roman" w:hAnsi="Times New Roman"/>
                <w:color w:val="auto"/>
                <w:sz w:val="24"/>
              </w:rPr>
              <w:t>4</w:t>
            </w:r>
            <w:r>
              <w:rPr>
                <w:rFonts w:ascii="Times New Roman" w:hAnsi="Times New Roman"/>
                <w:color w:val="auto"/>
                <w:sz w:val="24"/>
              </w:rPr>
              <w:t>月</w:t>
            </w:r>
            <w:r>
              <w:rPr>
                <w:rFonts w:hint="eastAsia" w:ascii="Times New Roman" w:hAnsi="Times New Roman"/>
                <w:color w:val="auto"/>
                <w:sz w:val="24"/>
              </w:rPr>
              <w:t>22</w:t>
            </w:r>
            <w:r>
              <w:rPr>
                <w:rFonts w:ascii="Times New Roman" w:hAnsi="Times New Roman"/>
                <w:color w:val="auto"/>
                <w:sz w:val="24"/>
              </w:rPr>
              <w:t>日，对厂界无组织废气进行检测，监测因子是颗粒物。详细监测结果见下表</w:t>
            </w:r>
            <w:r>
              <w:rPr>
                <w:rFonts w:hint="eastAsia" w:ascii="Times New Roman" w:hAnsi="Times New Roman"/>
                <w:color w:val="auto"/>
                <w:sz w:val="24"/>
              </w:rPr>
              <w:t>2-6</w:t>
            </w:r>
            <w:r>
              <w:rPr>
                <w:rFonts w:ascii="Times New Roman" w:hAnsi="Times New Roman"/>
                <w:color w:val="auto"/>
                <w:sz w:val="24"/>
              </w:rPr>
              <w:t>。</w:t>
            </w:r>
          </w:p>
          <w:p>
            <w:pPr>
              <w:autoSpaceDN w:val="0"/>
              <w:jc w:val="center"/>
              <w:rPr>
                <w:rFonts w:ascii="Times New Roman" w:hAnsi="Times New Roman"/>
                <w:b/>
                <w:bCs/>
                <w:color w:val="auto"/>
                <w:szCs w:val="21"/>
              </w:rPr>
            </w:pPr>
            <w:r>
              <w:rPr>
                <w:rFonts w:ascii="Times New Roman" w:hAnsi="Times New Roman"/>
                <w:b/>
                <w:bCs/>
                <w:color w:val="auto"/>
                <w:szCs w:val="21"/>
              </w:rPr>
              <w:t>表</w:t>
            </w:r>
            <w:r>
              <w:rPr>
                <w:rFonts w:hint="eastAsia" w:ascii="Times New Roman" w:hAnsi="Times New Roman"/>
                <w:b/>
                <w:bCs/>
                <w:color w:val="auto"/>
                <w:szCs w:val="21"/>
              </w:rPr>
              <w:t>2-6</w:t>
            </w:r>
            <w:r>
              <w:rPr>
                <w:rFonts w:ascii="Times New Roman" w:hAnsi="Times New Roman"/>
                <w:b/>
                <w:bCs/>
                <w:color w:val="auto"/>
                <w:szCs w:val="21"/>
              </w:rPr>
              <w:t xml:space="preserve">  无组织废气检测结果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417"/>
              <w:gridCol w:w="637"/>
              <w:gridCol w:w="826"/>
              <w:gridCol w:w="689"/>
              <w:gridCol w:w="710"/>
              <w:gridCol w:w="911"/>
              <w:gridCol w:w="955"/>
              <w:gridCol w:w="873"/>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检测类别</w:t>
                  </w:r>
                </w:p>
              </w:tc>
              <w:tc>
                <w:tcPr>
                  <w:tcW w:w="843"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检测点位</w:t>
                  </w:r>
                </w:p>
              </w:tc>
              <w:tc>
                <w:tcPr>
                  <w:tcW w:w="379"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检测项目</w:t>
                  </w:r>
                </w:p>
              </w:tc>
              <w:tc>
                <w:tcPr>
                  <w:tcW w:w="2952" w:type="pct"/>
                  <w:gridSpan w:val="6"/>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检测结果</w:t>
                  </w:r>
                </w:p>
              </w:tc>
              <w:tc>
                <w:tcPr>
                  <w:tcW w:w="521"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参考限值</w:t>
                  </w:r>
                </w:p>
                <w:p>
                  <w:pPr>
                    <w:adjustRightInd w:val="0"/>
                    <w:snapToGrid w:val="0"/>
                    <w:jc w:val="center"/>
                    <w:rPr>
                      <w:rFonts w:ascii="Times New Roman" w:hAnsi="Times New Roman"/>
                      <w:b/>
                      <w:bCs/>
                      <w:color w:val="auto"/>
                      <w:szCs w:val="21"/>
                    </w:rPr>
                  </w:pPr>
                  <w:r>
                    <w:rPr>
                      <w:rFonts w:ascii="Times New Roman" w:hAnsi="Times New Roman"/>
                      <w:b/>
                      <w:bCs/>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4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379"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1323" w:type="pct"/>
                  <w:gridSpan w:val="3"/>
                  <w:tcBorders>
                    <w:tl2br w:val="nil"/>
                    <w:tr2bl w:val="nil"/>
                  </w:tcBorders>
                  <w:vAlign w:val="center"/>
                </w:tcPr>
                <w:p>
                  <w:pPr>
                    <w:adjustRightInd w:val="0"/>
                    <w:snapToGrid w:val="0"/>
                    <w:jc w:val="center"/>
                    <w:rPr>
                      <w:rFonts w:ascii="Times New Roman" w:hAnsi="Times New Roman"/>
                      <w:b/>
                      <w:bCs/>
                      <w:color w:val="auto"/>
                      <w:szCs w:val="21"/>
                    </w:rPr>
                  </w:pPr>
                  <w:r>
                    <w:rPr>
                      <w:rFonts w:hint="eastAsia" w:ascii="Times New Roman" w:hAnsi="Times New Roman"/>
                      <w:b/>
                      <w:bCs/>
                      <w:color w:val="auto"/>
                      <w:szCs w:val="21"/>
                    </w:rPr>
                    <w:t>2021-4-21</w:t>
                  </w:r>
                </w:p>
              </w:tc>
              <w:tc>
                <w:tcPr>
                  <w:tcW w:w="1628" w:type="pct"/>
                  <w:gridSpan w:val="3"/>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202</w:t>
                  </w:r>
                  <w:r>
                    <w:rPr>
                      <w:rFonts w:hint="eastAsia" w:ascii="Times New Roman" w:hAnsi="Times New Roman"/>
                      <w:b/>
                      <w:bCs/>
                      <w:color w:val="auto"/>
                      <w:szCs w:val="21"/>
                    </w:rPr>
                    <w:t>1-4-22</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4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379"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491"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第1次</w:t>
                  </w:r>
                </w:p>
              </w:tc>
              <w:tc>
                <w:tcPr>
                  <w:tcW w:w="410"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第2次</w:t>
                  </w:r>
                </w:p>
              </w:tc>
              <w:tc>
                <w:tcPr>
                  <w:tcW w:w="422"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第3次</w:t>
                  </w:r>
                </w:p>
              </w:tc>
              <w:tc>
                <w:tcPr>
                  <w:tcW w:w="542"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第1次</w:t>
                  </w:r>
                </w:p>
              </w:tc>
              <w:tc>
                <w:tcPr>
                  <w:tcW w:w="568"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第2次</w:t>
                  </w:r>
                </w:p>
              </w:tc>
              <w:tc>
                <w:tcPr>
                  <w:tcW w:w="516"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第3次</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无组织废气</w:t>
                  </w:r>
                </w:p>
              </w:tc>
              <w:tc>
                <w:tcPr>
                  <w:tcW w:w="843" w:type="pct"/>
                  <w:tcBorders>
                    <w:tl2br w:val="nil"/>
                    <w:tr2bl w:val="nil"/>
                  </w:tcBorders>
                  <w:vAlign w:val="center"/>
                </w:tcPr>
                <w:p>
                  <w:pPr>
                    <w:pStyle w:val="59"/>
                    <w:snapToGrid w:val="0"/>
                    <w:jc w:val="center"/>
                    <w:rPr>
                      <w:rFonts w:ascii="Times New Roman" w:hAnsi="Times New Roman"/>
                      <w:bCs/>
                      <w:color w:val="auto"/>
                      <w:sz w:val="21"/>
                      <w:szCs w:val="21"/>
                    </w:rPr>
                  </w:pPr>
                  <w:r>
                    <w:rPr>
                      <w:rFonts w:ascii="Times New Roman" w:hAnsi="Times New Roman"/>
                      <w:bCs/>
                      <w:color w:val="auto"/>
                      <w:sz w:val="21"/>
                      <w:szCs w:val="21"/>
                    </w:rPr>
                    <w:t>厂界上风向</w:t>
                  </w:r>
                  <w:r>
                    <w:rPr>
                      <w:rFonts w:hint="eastAsia" w:ascii="Times New Roman" w:hAnsi="Times New Roman"/>
                      <w:bCs/>
                      <w:color w:val="auto"/>
                      <w:sz w:val="21"/>
                      <w:szCs w:val="21"/>
                    </w:rPr>
                    <w:t>G1</w:t>
                  </w:r>
                </w:p>
              </w:tc>
              <w:tc>
                <w:tcPr>
                  <w:tcW w:w="379" w:type="pct"/>
                  <w:vMerge w:val="restart"/>
                  <w:tcBorders>
                    <w:tl2br w:val="nil"/>
                    <w:tr2bl w:val="nil"/>
                  </w:tcBorders>
                  <w:vAlign w:val="center"/>
                </w:tcPr>
                <w:p>
                  <w:pPr>
                    <w:pStyle w:val="59"/>
                    <w:snapToGrid w:val="0"/>
                    <w:jc w:val="center"/>
                    <w:rPr>
                      <w:rFonts w:ascii="Times New Roman" w:hAnsi="Times New Roman"/>
                      <w:color w:val="auto"/>
                      <w:sz w:val="21"/>
                      <w:szCs w:val="21"/>
                    </w:rPr>
                  </w:pPr>
                  <w:r>
                    <w:rPr>
                      <w:rFonts w:ascii="Times New Roman" w:hAnsi="Times New Roman"/>
                      <w:color w:val="auto"/>
                      <w:sz w:val="21"/>
                      <w:szCs w:val="21"/>
                    </w:rPr>
                    <w:t>颗粒物</w:t>
                  </w:r>
                </w:p>
              </w:tc>
              <w:tc>
                <w:tcPr>
                  <w:tcW w:w="49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0.116</w:t>
                  </w:r>
                </w:p>
              </w:tc>
              <w:tc>
                <w:tcPr>
                  <w:tcW w:w="41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0.109</w:t>
                  </w:r>
                </w:p>
              </w:tc>
              <w:tc>
                <w:tcPr>
                  <w:tcW w:w="42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0.114</w:t>
                  </w:r>
                </w:p>
              </w:tc>
              <w:tc>
                <w:tcPr>
                  <w:tcW w:w="54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0.108</w:t>
                  </w:r>
                </w:p>
              </w:tc>
              <w:tc>
                <w:tcPr>
                  <w:tcW w:w="568"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0.119</w:t>
                  </w:r>
                </w:p>
              </w:tc>
              <w:tc>
                <w:tcPr>
                  <w:tcW w:w="51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0.117</w:t>
                  </w:r>
                </w:p>
              </w:tc>
              <w:tc>
                <w:tcPr>
                  <w:tcW w:w="521" w:type="pct"/>
                  <w:vMerge w:val="restart"/>
                  <w:tcBorders>
                    <w:tl2br w:val="nil"/>
                    <w:tr2bl w:val="nil"/>
                  </w:tcBorders>
                  <w:vAlign w:val="center"/>
                </w:tcPr>
                <w:p>
                  <w:pPr>
                    <w:pStyle w:val="59"/>
                    <w:snapToGrid w:val="0"/>
                    <w:jc w:val="center"/>
                    <w:rPr>
                      <w:rFonts w:ascii="Times New Roman" w:hAnsi="Times New Roman"/>
                      <w:color w:val="auto"/>
                      <w:szCs w:val="21"/>
                    </w:rPr>
                  </w:pPr>
                  <w:r>
                    <w:rPr>
                      <w:rFonts w:ascii="Times New Roman" w:hAnsi="Times New Roman"/>
                      <w:color w:val="auto"/>
                      <w:sz w:val="21"/>
                      <w:szCs w:val="21"/>
                    </w:rPr>
                    <w:t>1.0</w:t>
                  </w:r>
                  <w:r>
                    <w:rPr>
                      <w:rFonts w:ascii="Times New Roman" w:hAnsi="Times New Roman"/>
                      <w:color w:val="auto"/>
                      <w:szCs w:val="21"/>
                    </w:rPr>
                    <w:t>mg/m</w:t>
                  </w:r>
                  <w:r>
                    <w:rPr>
                      <w:rFonts w:ascii="Times New Roman" w:hAnsi="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43" w:type="pct"/>
                  <w:tcBorders>
                    <w:tl2br w:val="nil"/>
                    <w:tr2bl w:val="nil"/>
                  </w:tcBorders>
                  <w:vAlign w:val="center"/>
                </w:tcPr>
                <w:p>
                  <w:pPr>
                    <w:pStyle w:val="59"/>
                    <w:snapToGrid w:val="0"/>
                    <w:jc w:val="center"/>
                    <w:rPr>
                      <w:rFonts w:ascii="Times New Roman" w:hAnsi="Times New Roman"/>
                      <w:bCs/>
                      <w:color w:val="auto"/>
                      <w:sz w:val="21"/>
                      <w:szCs w:val="21"/>
                    </w:rPr>
                  </w:pPr>
                  <w:r>
                    <w:rPr>
                      <w:rFonts w:ascii="Times New Roman" w:hAnsi="Times New Roman"/>
                      <w:bCs/>
                      <w:color w:val="auto"/>
                      <w:sz w:val="21"/>
                      <w:szCs w:val="21"/>
                    </w:rPr>
                    <w:t>厂界下风向</w:t>
                  </w:r>
                  <w:r>
                    <w:rPr>
                      <w:rFonts w:hint="eastAsia" w:ascii="Times New Roman" w:hAnsi="Times New Roman"/>
                      <w:bCs/>
                      <w:color w:val="auto"/>
                      <w:sz w:val="21"/>
                      <w:szCs w:val="21"/>
                    </w:rPr>
                    <w:t>G2</w:t>
                  </w:r>
                </w:p>
              </w:tc>
              <w:tc>
                <w:tcPr>
                  <w:tcW w:w="379" w:type="pct"/>
                  <w:vMerge w:val="continue"/>
                  <w:tcBorders>
                    <w:tl2br w:val="nil"/>
                    <w:tr2bl w:val="nil"/>
                  </w:tcBorders>
                  <w:vAlign w:val="center"/>
                </w:tcPr>
                <w:p>
                  <w:pPr>
                    <w:pStyle w:val="59"/>
                    <w:snapToGrid w:val="0"/>
                    <w:jc w:val="center"/>
                    <w:rPr>
                      <w:rFonts w:ascii="Times New Roman" w:hAnsi="Times New Roman"/>
                      <w:color w:val="auto"/>
                      <w:sz w:val="21"/>
                      <w:szCs w:val="21"/>
                    </w:rPr>
                  </w:pPr>
                </w:p>
              </w:tc>
              <w:tc>
                <w:tcPr>
                  <w:tcW w:w="49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0.217</w:t>
                  </w:r>
                </w:p>
              </w:tc>
              <w:tc>
                <w:tcPr>
                  <w:tcW w:w="41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0.223</w:t>
                  </w:r>
                </w:p>
              </w:tc>
              <w:tc>
                <w:tcPr>
                  <w:tcW w:w="42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0.212</w:t>
                  </w:r>
                </w:p>
              </w:tc>
              <w:tc>
                <w:tcPr>
                  <w:tcW w:w="54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0.227</w:t>
                  </w:r>
                </w:p>
              </w:tc>
              <w:tc>
                <w:tcPr>
                  <w:tcW w:w="568"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0.226</w:t>
                  </w:r>
                </w:p>
              </w:tc>
              <w:tc>
                <w:tcPr>
                  <w:tcW w:w="51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0.229</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843" w:type="pct"/>
                  <w:tcBorders>
                    <w:tl2br w:val="nil"/>
                    <w:tr2bl w:val="nil"/>
                  </w:tcBorders>
                  <w:vAlign w:val="center"/>
                </w:tcPr>
                <w:p>
                  <w:pPr>
                    <w:pStyle w:val="59"/>
                    <w:snapToGrid w:val="0"/>
                    <w:jc w:val="center"/>
                    <w:rPr>
                      <w:rFonts w:ascii="Times New Roman" w:hAnsi="Times New Roman"/>
                      <w:bCs/>
                      <w:color w:val="auto"/>
                      <w:sz w:val="21"/>
                      <w:szCs w:val="21"/>
                    </w:rPr>
                  </w:pPr>
                  <w:r>
                    <w:rPr>
                      <w:rFonts w:ascii="Times New Roman" w:hAnsi="Times New Roman"/>
                      <w:bCs/>
                      <w:color w:val="auto"/>
                      <w:sz w:val="21"/>
                      <w:szCs w:val="21"/>
                    </w:rPr>
                    <w:t>厂界下风向</w:t>
                  </w:r>
                  <w:r>
                    <w:rPr>
                      <w:rFonts w:hint="eastAsia" w:ascii="Times New Roman" w:hAnsi="Times New Roman"/>
                      <w:bCs/>
                      <w:color w:val="auto"/>
                      <w:sz w:val="21"/>
                      <w:szCs w:val="21"/>
                    </w:rPr>
                    <w:t>G3</w:t>
                  </w:r>
                </w:p>
              </w:tc>
              <w:tc>
                <w:tcPr>
                  <w:tcW w:w="379" w:type="pct"/>
                  <w:vMerge w:val="continue"/>
                  <w:tcBorders>
                    <w:tl2br w:val="nil"/>
                    <w:tr2bl w:val="nil"/>
                  </w:tcBorders>
                  <w:vAlign w:val="center"/>
                </w:tcPr>
                <w:p>
                  <w:pPr>
                    <w:pStyle w:val="59"/>
                    <w:snapToGrid w:val="0"/>
                    <w:jc w:val="center"/>
                    <w:rPr>
                      <w:rFonts w:ascii="Times New Roman" w:hAnsi="Times New Roman"/>
                      <w:color w:val="auto"/>
                      <w:sz w:val="21"/>
                      <w:szCs w:val="21"/>
                    </w:rPr>
                  </w:pPr>
                </w:p>
              </w:tc>
              <w:tc>
                <w:tcPr>
                  <w:tcW w:w="491"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0.233</w:t>
                  </w:r>
                </w:p>
              </w:tc>
              <w:tc>
                <w:tcPr>
                  <w:tcW w:w="41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0.232</w:t>
                  </w:r>
                </w:p>
              </w:tc>
              <w:tc>
                <w:tcPr>
                  <w:tcW w:w="42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0.234</w:t>
                  </w:r>
                </w:p>
              </w:tc>
              <w:tc>
                <w:tcPr>
                  <w:tcW w:w="542"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0.235</w:t>
                  </w:r>
                </w:p>
              </w:tc>
              <w:tc>
                <w:tcPr>
                  <w:tcW w:w="568"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0.234</w:t>
                  </w:r>
                </w:p>
              </w:tc>
              <w:tc>
                <w:tcPr>
                  <w:tcW w:w="51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0.244</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gridSpan w:val="10"/>
                  <w:tcBorders>
                    <w:tl2br w:val="nil"/>
                    <w:tr2bl w:val="nil"/>
                  </w:tcBorders>
                  <w:vAlign w:val="center"/>
                </w:tcPr>
                <w:p>
                  <w:pPr>
                    <w:widowControl/>
                    <w:adjustRightInd w:val="0"/>
                    <w:snapToGrid w:val="0"/>
                    <w:jc w:val="left"/>
                    <w:textAlignment w:val="center"/>
                    <w:rPr>
                      <w:rFonts w:ascii="Times New Roman" w:hAnsi="Times New Roman"/>
                      <w:color w:val="auto"/>
                      <w:szCs w:val="21"/>
                    </w:rPr>
                  </w:pPr>
                  <w:r>
                    <w:rPr>
                      <w:rFonts w:ascii="Times New Roman" w:hAnsi="Times New Roman"/>
                      <w:color w:val="auto"/>
                      <w:szCs w:val="21"/>
                    </w:rPr>
                    <w:t>备注：颗粒物参考《大气污染物综合排放标准》（GB16297-1996）表2无组织排放标准；</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根据上表监测结果可知，本项目厂界颗粒物满足《大气污染物综合排放标准》（GB16297-1996）表2无组织排放标准。</w:t>
            </w:r>
          </w:p>
          <w:p>
            <w:pPr>
              <w:numPr>
                <w:ilvl w:val="0"/>
                <w:numId w:val="3"/>
              </w:numPr>
              <w:spacing w:line="360" w:lineRule="auto"/>
              <w:ind w:firstLine="482" w:firstLineChars="200"/>
              <w:rPr>
                <w:rFonts w:ascii="Times New Roman" w:hAnsi="Times New Roman"/>
                <w:b/>
                <w:bCs/>
                <w:color w:val="auto"/>
                <w:sz w:val="24"/>
              </w:rPr>
            </w:pPr>
            <w:r>
              <w:rPr>
                <w:rFonts w:ascii="Times New Roman" w:hAnsi="Times New Roman"/>
                <w:b/>
                <w:bCs/>
                <w:color w:val="auto"/>
                <w:sz w:val="24"/>
              </w:rPr>
              <w:t>废水</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本项目无生产废水，生活污水经化粪池处理后排入污水管网。本环评委托湖南中昊检测有限公司于</w:t>
            </w:r>
            <w:r>
              <w:rPr>
                <w:rFonts w:hint="eastAsia" w:ascii="Times New Roman" w:hAnsi="Times New Roman"/>
                <w:color w:val="auto"/>
                <w:sz w:val="24"/>
              </w:rPr>
              <w:t>2021</w:t>
            </w:r>
            <w:r>
              <w:rPr>
                <w:rFonts w:ascii="Times New Roman" w:hAnsi="Times New Roman"/>
                <w:color w:val="auto"/>
                <w:sz w:val="24"/>
              </w:rPr>
              <w:t>年</w:t>
            </w:r>
            <w:r>
              <w:rPr>
                <w:rFonts w:hint="eastAsia" w:ascii="Times New Roman" w:hAnsi="Times New Roman"/>
                <w:color w:val="auto"/>
                <w:sz w:val="24"/>
              </w:rPr>
              <w:t>4</w:t>
            </w:r>
            <w:r>
              <w:rPr>
                <w:rFonts w:ascii="Times New Roman" w:hAnsi="Times New Roman"/>
                <w:color w:val="auto"/>
                <w:sz w:val="24"/>
              </w:rPr>
              <w:t>月</w:t>
            </w:r>
            <w:r>
              <w:rPr>
                <w:rFonts w:hint="eastAsia" w:ascii="Times New Roman" w:hAnsi="Times New Roman"/>
                <w:color w:val="auto"/>
                <w:sz w:val="24"/>
              </w:rPr>
              <w:t>21</w:t>
            </w:r>
            <w:r>
              <w:rPr>
                <w:rFonts w:ascii="Times New Roman" w:hAnsi="Times New Roman"/>
                <w:color w:val="auto"/>
                <w:sz w:val="24"/>
              </w:rPr>
              <w:t>日~</w:t>
            </w:r>
            <w:r>
              <w:rPr>
                <w:rFonts w:hint="eastAsia" w:ascii="Times New Roman" w:hAnsi="Times New Roman"/>
                <w:color w:val="auto"/>
                <w:sz w:val="24"/>
              </w:rPr>
              <w:t>4</w:t>
            </w:r>
            <w:r>
              <w:rPr>
                <w:rFonts w:ascii="Times New Roman" w:hAnsi="Times New Roman"/>
                <w:color w:val="auto"/>
                <w:sz w:val="24"/>
              </w:rPr>
              <w:t>月</w:t>
            </w:r>
            <w:r>
              <w:rPr>
                <w:rFonts w:hint="eastAsia" w:ascii="Times New Roman" w:hAnsi="Times New Roman"/>
                <w:color w:val="auto"/>
                <w:sz w:val="24"/>
              </w:rPr>
              <w:t>22</w:t>
            </w:r>
            <w:r>
              <w:rPr>
                <w:rFonts w:ascii="Times New Roman" w:hAnsi="Times New Roman"/>
                <w:color w:val="auto"/>
                <w:sz w:val="24"/>
              </w:rPr>
              <w:t>日，对生活污水进行检测，监测因子是pH、化学需氧量、五日生化需氧量、悬浮物、氨氮和</w:t>
            </w:r>
            <w:r>
              <w:rPr>
                <w:rFonts w:hint="eastAsia" w:ascii="Times New Roman" w:hAnsi="Times New Roman"/>
                <w:color w:val="auto"/>
                <w:sz w:val="24"/>
              </w:rPr>
              <w:t>石油类</w:t>
            </w:r>
            <w:r>
              <w:rPr>
                <w:rFonts w:ascii="Times New Roman" w:hAnsi="Times New Roman"/>
                <w:color w:val="auto"/>
                <w:sz w:val="24"/>
              </w:rPr>
              <w:t>。详细监测结果见下表</w:t>
            </w:r>
            <w:r>
              <w:rPr>
                <w:rFonts w:hint="eastAsia" w:ascii="Times New Roman" w:hAnsi="Times New Roman"/>
                <w:color w:val="auto"/>
                <w:sz w:val="24"/>
              </w:rPr>
              <w:t>2-7</w:t>
            </w:r>
            <w:r>
              <w:rPr>
                <w:rFonts w:ascii="Times New Roman" w:hAnsi="Times New Roman"/>
                <w:color w:val="auto"/>
                <w:sz w:val="24"/>
              </w:rPr>
              <w:t>。</w:t>
            </w:r>
          </w:p>
          <w:p>
            <w:pPr>
              <w:autoSpaceDN w:val="0"/>
              <w:jc w:val="center"/>
              <w:rPr>
                <w:rFonts w:ascii="Times New Roman" w:hAnsi="Times New Roman"/>
                <w:b/>
                <w:bCs/>
                <w:color w:val="auto"/>
                <w:szCs w:val="21"/>
              </w:rPr>
            </w:pPr>
            <w:r>
              <w:rPr>
                <w:rFonts w:ascii="Times New Roman" w:hAnsi="Times New Roman"/>
                <w:b/>
                <w:bCs/>
                <w:color w:val="auto"/>
                <w:szCs w:val="21"/>
              </w:rPr>
              <w:t>表</w:t>
            </w:r>
            <w:r>
              <w:rPr>
                <w:rFonts w:hint="eastAsia" w:ascii="Times New Roman" w:hAnsi="Times New Roman"/>
                <w:b/>
                <w:bCs/>
                <w:color w:val="auto"/>
                <w:szCs w:val="21"/>
              </w:rPr>
              <w:t>2-7</w:t>
            </w:r>
            <w:r>
              <w:rPr>
                <w:rFonts w:ascii="Times New Roman" w:hAnsi="Times New Roman"/>
                <w:b/>
                <w:bCs/>
                <w:color w:val="auto"/>
                <w:szCs w:val="21"/>
              </w:rPr>
              <w:t xml:space="preserve">  </w:t>
            </w:r>
            <w:r>
              <w:rPr>
                <w:rFonts w:hint="eastAsia" w:ascii="Times New Roman" w:hAnsi="Times New Roman"/>
                <w:b/>
                <w:bCs/>
                <w:color w:val="auto"/>
                <w:szCs w:val="21"/>
              </w:rPr>
              <w:t>废水</w:t>
            </w:r>
            <w:r>
              <w:rPr>
                <w:rFonts w:ascii="Times New Roman" w:hAnsi="Times New Roman"/>
                <w:b/>
                <w:bCs/>
                <w:color w:val="auto"/>
                <w:szCs w:val="21"/>
              </w:rPr>
              <w:t>检测结果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93"/>
              <w:gridCol w:w="1100"/>
              <w:gridCol w:w="799"/>
              <w:gridCol w:w="661"/>
              <w:gridCol w:w="684"/>
              <w:gridCol w:w="883"/>
              <w:gridCol w:w="925"/>
              <w:gridCol w:w="85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83"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检测类别</w:t>
                  </w:r>
                </w:p>
              </w:tc>
              <w:tc>
                <w:tcPr>
                  <w:tcW w:w="531"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w:t>
                  </w:r>
                </w:p>
                <w:p>
                  <w:pPr>
                    <w:adjustRightInd w:val="0"/>
                    <w:snapToGrid w:val="0"/>
                    <w:jc w:val="center"/>
                    <w:rPr>
                      <w:rFonts w:ascii="Times New Roman" w:hAnsi="Times New Roman"/>
                      <w:b/>
                      <w:bCs/>
                      <w:color w:val="auto"/>
                      <w:szCs w:val="21"/>
                    </w:rPr>
                  </w:pPr>
                  <w:r>
                    <w:rPr>
                      <w:rFonts w:ascii="Times New Roman" w:hAnsi="Times New Roman"/>
                      <w:b/>
                      <w:bCs/>
                      <w:color w:val="auto"/>
                      <w:szCs w:val="21"/>
                    </w:rPr>
                    <w:t>点位</w:t>
                  </w:r>
                </w:p>
              </w:tc>
              <w:tc>
                <w:tcPr>
                  <w:tcW w:w="654"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检测项目</w:t>
                  </w:r>
                </w:p>
              </w:tc>
              <w:tc>
                <w:tcPr>
                  <w:tcW w:w="2858" w:type="pct"/>
                  <w:gridSpan w:val="6"/>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检测结果</w:t>
                  </w:r>
                </w:p>
              </w:tc>
              <w:tc>
                <w:tcPr>
                  <w:tcW w:w="672" w:type="pct"/>
                  <w:vMerge w:val="restar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参考限值</w:t>
                  </w:r>
                </w:p>
                <w:p>
                  <w:pPr>
                    <w:adjustRightInd w:val="0"/>
                    <w:snapToGrid w:val="0"/>
                    <w:jc w:val="center"/>
                    <w:rPr>
                      <w:rFonts w:ascii="Times New Roman" w:hAnsi="Times New Roman"/>
                      <w:b/>
                      <w:bCs/>
                      <w:color w:val="auto"/>
                      <w:szCs w:val="21"/>
                    </w:rPr>
                  </w:pPr>
                  <w:r>
                    <w:rPr>
                      <w:rFonts w:ascii="Times New Roman" w:hAnsi="Times New Roman"/>
                      <w:b/>
                      <w:bCs/>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65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1275" w:type="pct"/>
                  <w:gridSpan w:val="3"/>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20</w:t>
                  </w:r>
                  <w:r>
                    <w:rPr>
                      <w:rFonts w:hint="eastAsia" w:ascii="Times New Roman" w:hAnsi="Times New Roman"/>
                      <w:b/>
                      <w:bCs/>
                      <w:color w:val="auto"/>
                      <w:szCs w:val="21"/>
                    </w:rPr>
                    <w:t>21-4-21</w:t>
                  </w:r>
                </w:p>
              </w:tc>
              <w:tc>
                <w:tcPr>
                  <w:tcW w:w="1583" w:type="pct"/>
                  <w:gridSpan w:val="3"/>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202</w:t>
                  </w:r>
                  <w:r>
                    <w:rPr>
                      <w:rFonts w:hint="eastAsia" w:ascii="Times New Roman" w:hAnsi="Times New Roman"/>
                      <w:b/>
                      <w:bCs/>
                      <w:color w:val="auto"/>
                      <w:szCs w:val="21"/>
                    </w:rPr>
                    <w:t>1-4-22</w:t>
                  </w:r>
                </w:p>
              </w:tc>
              <w:tc>
                <w:tcPr>
                  <w:tcW w:w="672"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654"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475"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第1次</w:t>
                  </w:r>
                </w:p>
              </w:tc>
              <w:tc>
                <w:tcPr>
                  <w:tcW w:w="393"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第2次</w:t>
                  </w:r>
                </w:p>
              </w:tc>
              <w:tc>
                <w:tcPr>
                  <w:tcW w:w="406"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第3次</w:t>
                  </w:r>
                </w:p>
              </w:tc>
              <w:tc>
                <w:tcPr>
                  <w:tcW w:w="525"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第1次</w:t>
                  </w:r>
                </w:p>
              </w:tc>
              <w:tc>
                <w:tcPr>
                  <w:tcW w:w="550"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第2次</w:t>
                  </w:r>
                </w:p>
              </w:tc>
              <w:tc>
                <w:tcPr>
                  <w:tcW w:w="507" w:type="pct"/>
                  <w:tcBorders>
                    <w:tl2br w:val="nil"/>
                    <w:tr2bl w:val="nil"/>
                  </w:tcBorders>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第3次</w:t>
                  </w:r>
                </w:p>
              </w:tc>
              <w:tc>
                <w:tcPr>
                  <w:tcW w:w="672" w:type="pct"/>
                  <w:vMerge w:val="continue"/>
                  <w:tcBorders>
                    <w:tl2br w:val="nil"/>
                    <w:tr2bl w:val="nil"/>
                  </w:tcBorders>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83"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废水</w:t>
                  </w:r>
                </w:p>
              </w:tc>
              <w:tc>
                <w:tcPr>
                  <w:tcW w:w="531" w:type="pct"/>
                  <w:vMerge w:val="restart"/>
                  <w:tcBorders>
                    <w:tl2br w:val="nil"/>
                    <w:tr2bl w:val="nil"/>
                  </w:tcBorders>
                  <w:vAlign w:val="center"/>
                </w:tcPr>
                <w:p>
                  <w:pPr>
                    <w:pStyle w:val="59"/>
                    <w:snapToGrid w:val="0"/>
                    <w:jc w:val="center"/>
                    <w:rPr>
                      <w:rFonts w:ascii="Times New Roman" w:hAnsi="Times New Roman"/>
                      <w:bCs/>
                      <w:color w:val="auto"/>
                      <w:sz w:val="21"/>
                      <w:szCs w:val="21"/>
                    </w:rPr>
                  </w:pPr>
                  <w:r>
                    <w:rPr>
                      <w:rFonts w:hint="eastAsia" w:ascii="Times New Roman" w:hAnsi="Times New Roman"/>
                      <w:bCs/>
                      <w:color w:val="auto"/>
                      <w:sz w:val="21"/>
                      <w:szCs w:val="21"/>
                    </w:rPr>
                    <w:t>化粪池排口W1</w:t>
                  </w:r>
                </w:p>
              </w:tc>
              <w:tc>
                <w:tcPr>
                  <w:tcW w:w="654" w:type="pct"/>
                  <w:tcBorders>
                    <w:tl2br w:val="nil"/>
                    <w:tr2bl w:val="nil"/>
                  </w:tcBorders>
                  <w:vAlign w:val="center"/>
                </w:tcPr>
                <w:p>
                  <w:pPr>
                    <w:pStyle w:val="59"/>
                    <w:snapToGrid w:val="0"/>
                    <w:jc w:val="center"/>
                    <w:rPr>
                      <w:rFonts w:ascii="Times New Roman" w:hAnsi="Times New Roman"/>
                      <w:color w:val="auto"/>
                      <w:sz w:val="21"/>
                      <w:szCs w:val="21"/>
                    </w:rPr>
                  </w:pPr>
                  <w:r>
                    <w:rPr>
                      <w:rFonts w:ascii="Times New Roman" w:hAnsi="Times New Roman"/>
                      <w:color w:val="auto"/>
                      <w:sz w:val="21"/>
                      <w:szCs w:val="21"/>
                    </w:rPr>
                    <w:t>pH</w:t>
                  </w:r>
                </w:p>
              </w:tc>
              <w:tc>
                <w:tcPr>
                  <w:tcW w:w="47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6.88</w:t>
                  </w:r>
                </w:p>
              </w:tc>
              <w:tc>
                <w:tcPr>
                  <w:tcW w:w="393"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6.88</w:t>
                  </w:r>
                </w:p>
              </w:tc>
              <w:tc>
                <w:tcPr>
                  <w:tcW w:w="40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6.86</w:t>
                  </w:r>
                </w:p>
              </w:tc>
              <w:tc>
                <w:tcPr>
                  <w:tcW w:w="52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6.85</w:t>
                  </w:r>
                </w:p>
              </w:tc>
              <w:tc>
                <w:tcPr>
                  <w:tcW w:w="55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6.83</w:t>
                  </w:r>
                </w:p>
              </w:tc>
              <w:tc>
                <w:tcPr>
                  <w:tcW w:w="507"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6.88</w:t>
                  </w:r>
                </w:p>
              </w:tc>
              <w:tc>
                <w:tcPr>
                  <w:tcW w:w="672" w:type="pct"/>
                  <w:tcBorders>
                    <w:tl2br w:val="nil"/>
                    <w:tr2bl w:val="nil"/>
                  </w:tcBorders>
                  <w:vAlign w:val="center"/>
                </w:tcPr>
                <w:p>
                  <w:pPr>
                    <w:pStyle w:val="59"/>
                    <w:snapToGrid w:val="0"/>
                    <w:jc w:val="center"/>
                    <w:rPr>
                      <w:rFonts w:ascii="Times New Roman" w:hAnsi="Times New Roman"/>
                      <w:color w:val="auto"/>
                      <w:szCs w:val="21"/>
                    </w:rPr>
                  </w:pPr>
                  <w:r>
                    <w:rPr>
                      <w:rFonts w:hint="eastAsia" w:ascii="Times New Roman" w:hAnsi="Times New Roman"/>
                      <w:color w:val="auto"/>
                      <w:sz w:val="21"/>
                      <w:szCs w:val="21"/>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pStyle w:val="59"/>
                    <w:snapToGrid w:val="0"/>
                    <w:jc w:val="center"/>
                    <w:rPr>
                      <w:rFonts w:ascii="Times New Roman" w:hAnsi="Times New Roman"/>
                      <w:bCs/>
                      <w:color w:val="auto"/>
                      <w:sz w:val="21"/>
                      <w:szCs w:val="21"/>
                    </w:rPr>
                  </w:pPr>
                </w:p>
              </w:tc>
              <w:tc>
                <w:tcPr>
                  <w:tcW w:w="654" w:type="pct"/>
                  <w:tcBorders>
                    <w:tl2br w:val="nil"/>
                    <w:tr2bl w:val="nil"/>
                  </w:tcBorders>
                  <w:vAlign w:val="center"/>
                </w:tcPr>
                <w:p>
                  <w:pPr>
                    <w:pStyle w:val="59"/>
                    <w:snapToGrid w:val="0"/>
                    <w:jc w:val="center"/>
                    <w:rPr>
                      <w:rFonts w:ascii="Times New Roman" w:hAnsi="Times New Roman"/>
                      <w:color w:val="auto"/>
                      <w:sz w:val="21"/>
                      <w:szCs w:val="21"/>
                    </w:rPr>
                  </w:pPr>
                  <w:r>
                    <w:rPr>
                      <w:rFonts w:ascii="Times New Roman" w:hAnsi="Times New Roman"/>
                      <w:color w:val="auto"/>
                      <w:sz w:val="21"/>
                      <w:szCs w:val="21"/>
                    </w:rPr>
                    <w:t>化学需氧量</w:t>
                  </w:r>
                </w:p>
              </w:tc>
              <w:tc>
                <w:tcPr>
                  <w:tcW w:w="47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166</w:t>
                  </w:r>
                </w:p>
              </w:tc>
              <w:tc>
                <w:tcPr>
                  <w:tcW w:w="393"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164</w:t>
                  </w:r>
                </w:p>
              </w:tc>
              <w:tc>
                <w:tcPr>
                  <w:tcW w:w="40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168</w:t>
                  </w:r>
                </w:p>
              </w:tc>
              <w:tc>
                <w:tcPr>
                  <w:tcW w:w="52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161</w:t>
                  </w:r>
                </w:p>
              </w:tc>
              <w:tc>
                <w:tcPr>
                  <w:tcW w:w="55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158</w:t>
                  </w:r>
                </w:p>
              </w:tc>
              <w:tc>
                <w:tcPr>
                  <w:tcW w:w="507"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163</w:t>
                  </w:r>
                </w:p>
              </w:tc>
              <w:tc>
                <w:tcPr>
                  <w:tcW w:w="672" w:type="pct"/>
                  <w:tcBorders>
                    <w:tl2br w:val="nil"/>
                    <w:tr2bl w:val="nil"/>
                  </w:tcBorders>
                  <w:vAlign w:val="center"/>
                </w:tcPr>
                <w:p>
                  <w:pPr>
                    <w:pStyle w:val="59"/>
                    <w:snapToGrid w:val="0"/>
                    <w:jc w:val="center"/>
                    <w:rPr>
                      <w:rFonts w:ascii="Times New Roman" w:hAnsi="Times New Roman"/>
                      <w:color w:val="auto"/>
                      <w:sz w:val="21"/>
                      <w:szCs w:val="21"/>
                    </w:rPr>
                  </w:pPr>
                  <w:r>
                    <w:rPr>
                      <w:rFonts w:hint="eastAsia" w:ascii="Times New Roman" w:hAnsi="Times New Roman"/>
                      <w:color w:val="auto"/>
                      <w:sz w:val="21"/>
                      <w:szCs w:val="21"/>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pStyle w:val="59"/>
                    <w:snapToGrid w:val="0"/>
                    <w:jc w:val="center"/>
                    <w:rPr>
                      <w:rFonts w:ascii="Times New Roman" w:hAnsi="Times New Roman"/>
                      <w:bCs/>
                      <w:color w:val="auto"/>
                      <w:sz w:val="21"/>
                      <w:szCs w:val="21"/>
                    </w:rPr>
                  </w:pPr>
                </w:p>
              </w:tc>
              <w:tc>
                <w:tcPr>
                  <w:tcW w:w="654" w:type="pct"/>
                  <w:tcBorders>
                    <w:tl2br w:val="nil"/>
                    <w:tr2bl w:val="nil"/>
                  </w:tcBorders>
                  <w:vAlign w:val="center"/>
                </w:tcPr>
                <w:p>
                  <w:pPr>
                    <w:pStyle w:val="59"/>
                    <w:snapToGrid w:val="0"/>
                    <w:jc w:val="center"/>
                    <w:rPr>
                      <w:rFonts w:ascii="Times New Roman" w:hAnsi="Times New Roman"/>
                      <w:color w:val="auto"/>
                      <w:sz w:val="21"/>
                      <w:szCs w:val="21"/>
                    </w:rPr>
                  </w:pPr>
                  <w:r>
                    <w:rPr>
                      <w:rFonts w:ascii="Times New Roman" w:hAnsi="Times New Roman"/>
                      <w:color w:val="auto"/>
                      <w:sz w:val="21"/>
                      <w:szCs w:val="21"/>
                    </w:rPr>
                    <w:t>五日生化需氧量</w:t>
                  </w:r>
                </w:p>
              </w:tc>
              <w:tc>
                <w:tcPr>
                  <w:tcW w:w="47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33.9</w:t>
                  </w:r>
                </w:p>
              </w:tc>
              <w:tc>
                <w:tcPr>
                  <w:tcW w:w="393"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36.8</w:t>
                  </w:r>
                </w:p>
              </w:tc>
              <w:tc>
                <w:tcPr>
                  <w:tcW w:w="40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36.7</w:t>
                  </w:r>
                </w:p>
              </w:tc>
              <w:tc>
                <w:tcPr>
                  <w:tcW w:w="52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33.8</w:t>
                  </w:r>
                </w:p>
              </w:tc>
              <w:tc>
                <w:tcPr>
                  <w:tcW w:w="55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35.2</w:t>
                  </w:r>
                </w:p>
              </w:tc>
              <w:tc>
                <w:tcPr>
                  <w:tcW w:w="507"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34.6</w:t>
                  </w:r>
                </w:p>
              </w:tc>
              <w:tc>
                <w:tcPr>
                  <w:tcW w:w="672" w:type="pct"/>
                  <w:tcBorders>
                    <w:tl2br w:val="nil"/>
                    <w:tr2bl w:val="nil"/>
                  </w:tcBorders>
                  <w:vAlign w:val="center"/>
                </w:tcPr>
                <w:p>
                  <w:pPr>
                    <w:pStyle w:val="59"/>
                    <w:snapToGrid w:val="0"/>
                    <w:jc w:val="center"/>
                    <w:rPr>
                      <w:rFonts w:ascii="Times New Roman" w:hAnsi="Times New Roman"/>
                      <w:color w:val="auto"/>
                      <w:sz w:val="21"/>
                      <w:szCs w:val="21"/>
                    </w:rPr>
                  </w:pPr>
                  <w:r>
                    <w:rPr>
                      <w:rFonts w:hint="eastAsia" w:ascii="Times New Roman" w:hAnsi="Times New Roman"/>
                      <w:color w:val="auto"/>
                      <w:sz w:val="21"/>
                      <w:szCs w:val="21"/>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pStyle w:val="59"/>
                    <w:snapToGrid w:val="0"/>
                    <w:jc w:val="center"/>
                    <w:rPr>
                      <w:rFonts w:ascii="Times New Roman" w:hAnsi="Times New Roman"/>
                      <w:bCs/>
                      <w:color w:val="auto"/>
                      <w:sz w:val="21"/>
                      <w:szCs w:val="21"/>
                    </w:rPr>
                  </w:pPr>
                </w:p>
              </w:tc>
              <w:tc>
                <w:tcPr>
                  <w:tcW w:w="654" w:type="pct"/>
                  <w:tcBorders>
                    <w:tl2br w:val="nil"/>
                    <w:tr2bl w:val="nil"/>
                  </w:tcBorders>
                  <w:vAlign w:val="center"/>
                </w:tcPr>
                <w:p>
                  <w:pPr>
                    <w:pStyle w:val="59"/>
                    <w:snapToGrid w:val="0"/>
                    <w:jc w:val="center"/>
                    <w:rPr>
                      <w:rFonts w:ascii="Times New Roman" w:hAnsi="Times New Roman"/>
                      <w:color w:val="auto"/>
                      <w:sz w:val="21"/>
                      <w:szCs w:val="21"/>
                    </w:rPr>
                  </w:pPr>
                  <w:r>
                    <w:rPr>
                      <w:rFonts w:ascii="Times New Roman" w:hAnsi="Times New Roman"/>
                      <w:color w:val="auto"/>
                      <w:sz w:val="21"/>
                      <w:szCs w:val="21"/>
                    </w:rPr>
                    <w:t>悬浮物</w:t>
                  </w:r>
                </w:p>
              </w:tc>
              <w:tc>
                <w:tcPr>
                  <w:tcW w:w="47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20</w:t>
                  </w:r>
                </w:p>
              </w:tc>
              <w:tc>
                <w:tcPr>
                  <w:tcW w:w="393"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21</w:t>
                  </w:r>
                </w:p>
              </w:tc>
              <w:tc>
                <w:tcPr>
                  <w:tcW w:w="40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23</w:t>
                  </w:r>
                </w:p>
              </w:tc>
              <w:tc>
                <w:tcPr>
                  <w:tcW w:w="52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22</w:t>
                  </w:r>
                </w:p>
              </w:tc>
              <w:tc>
                <w:tcPr>
                  <w:tcW w:w="55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21</w:t>
                  </w:r>
                </w:p>
              </w:tc>
              <w:tc>
                <w:tcPr>
                  <w:tcW w:w="507"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22</w:t>
                  </w:r>
                </w:p>
              </w:tc>
              <w:tc>
                <w:tcPr>
                  <w:tcW w:w="672" w:type="pct"/>
                  <w:tcBorders>
                    <w:tl2br w:val="nil"/>
                    <w:tr2bl w:val="nil"/>
                  </w:tcBorders>
                  <w:vAlign w:val="center"/>
                </w:tcPr>
                <w:p>
                  <w:pPr>
                    <w:pStyle w:val="59"/>
                    <w:snapToGrid w:val="0"/>
                    <w:jc w:val="center"/>
                    <w:rPr>
                      <w:rFonts w:ascii="Times New Roman" w:hAnsi="Times New Roman"/>
                      <w:color w:val="auto"/>
                      <w:sz w:val="21"/>
                      <w:szCs w:val="21"/>
                    </w:rPr>
                  </w:pPr>
                  <w:r>
                    <w:rPr>
                      <w:rFonts w:hint="eastAsia" w:ascii="Times New Roman" w:hAnsi="Times New Roman"/>
                      <w:color w:val="auto"/>
                      <w:sz w:val="21"/>
                      <w:szCs w:val="21"/>
                    </w:rPr>
                    <w:t>400mg/L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pStyle w:val="59"/>
                    <w:snapToGrid w:val="0"/>
                    <w:jc w:val="center"/>
                    <w:rPr>
                      <w:rFonts w:ascii="Times New Roman" w:hAnsi="Times New Roman"/>
                      <w:bCs/>
                      <w:color w:val="auto"/>
                      <w:sz w:val="21"/>
                      <w:szCs w:val="21"/>
                    </w:rPr>
                  </w:pPr>
                </w:p>
              </w:tc>
              <w:tc>
                <w:tcPr>
                  <w:tcW w:w="654" w:type="pct"/>
                  <w:tcBorders>
                    <w:tl2br w:val="nil"/>
                    <w:tr2bl w:val="nil"/>
                  </w:tcBorders>
                  <w:vAlign w:val="center"/>
                </w:tcPr>
                <w:p>
                  <w:pPr>
                    <w:pStyle w:val="59"/>
                    <w:snapToGrid w:val="0"/>
                    <w:jc w:val="center"/>
                    <w:rPr>
                      <w:rFonts w:ascii="Times New Roman" w:hAnsi="Times New Roman"/>
                      <w:color w:val="auto"/>
                      <w:sz w:val="21"/>
                      <w:szCs w:val="21"/>
                    </w:rPr>
                  </w:pPr>
                  <w:r>
                    <w:rPr>
                      <w:rFonts w:hint="eastAsia" w:ascii="Times New Roman" w:hAnsi="Times New Roman"/>
                      <w:color w:val="auto"/>
                      <w:sz w:val="21"/>
                      <w:szCs w:val="21"/>
                    </w:rPr>
                    <w:t>石油类</w:t>
                  </w:r>
                </w:p>
              </w:tc>
              <w:tc>
                <w:tcPr>
                  <w:tcW w:w="47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2.61</w:t>
                  </w:r>
                </w:p>
              </w:tc>
              <w:tc>
                <w:tcPr>
                  <w:tcW w:w="393"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2.63</w:t>
                  </w:r>
                </w:p>
              </w:tc>
              <w:tc>
                <w:tcPr>
                  <w:tcW w:w="40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2.64</w:t>
                  </w:r>
                </w:p>
              </w:tc>
              <w:tc>
                <w:tcPr>
                  <w:tcW w:w="52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2.66</w:t>
                  </w:r>
                </w:p>
              </w:tc>
              <w:tc>
                <w:tcPr>
                  <w:tcW w:w="55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2.67</w:t>
                  </w:r>
                </w:p>
              </w:tc>
              <w:tc>
                <w:tcPr>
                  <w:tcW w:w="507"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2.65</w:t>
                  </w:r>
                </w:p>
              </w:tc>
              <w:tc>
                <w:tcPr>
                  <w:tcW w:w="672" w:type="pct"/>
                  <w:tcBorders>
                    <w:tl2br w:val="nil"/>
                    <w:tr2bl w:val="nil"/>
                  </w:tcBorders>
                  <w:vAlign w:val="center"/>
                </w:tcPr>
                <w:p>
                  <w:pPr>
                    <w:pStyle w:val="59"/>
                    <w:snapToGrid w:val="0"/>
                    <w:jc w:val="center"/>
                    <w:rPr>
                      <w:rFonts w:ascii="Times New Roman" w:hAnsi="Times New Roman"/>
                      <w:color w:val="auto"/>
                      <w:sz w:val="21"/>
                      <w:szCs w:val="21"/>
                    </w:rPr>
                  </w:pPr>
                  <w:r>
                    <w:rPr>
                      <w:rFonts w:hint="eastAsia" w:ascii="Times New Roman" w:hAnsi="Times New Roman"/>
                      <w:color w:val="auto"/>
                      <w:sz w:val="2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531" w:type="pct"/>
                  <w:vMerge w:val="continue"/>
                  <w:tcBorders>
                    <w:tl2br w:val="nil"/>
                    <w:tr2bl w:val="nil"/>
                  </w:tcBorders>
                  <w:vAlign w:val="center"/>
                </w:tcPr>
                <w:p>
                  <w:pPr>
                    <w:pStyle w:val="59"/>
                    <w:snapToGrid w:val="0"/>
                    <w:jc w:val="center"/>
                    <w:rPr>
                      <w:rFonts w:ascii="Times New Roman" w:hAnsi="Times New Roman"/>
                      <w:bCs/>
                      <w:color w:val="auto"/>
                      <w:sz w:val="21"/>
                      <w:szCs w:val="21"/>
                    </w:rPr>
                  </w:pPr>
                </w:p>
              </w:tc>
              <w:tc>
                <w:tcPr>
                  <w:tcW w:w="654" w:type="pct"/>
                  <w:tcBorders>
                    <w:tl2br w:val="nil"/>
                    <w:tr2bl w:val="nil"/>
                  </w:tcBorders>
                  <w:vAlign w:val="center"/>
                </w:tcPr>
                <w:p>
                  <w:pPr>
                    <w:pStyle w:val="59"/>
                    <w:snapToGrid w:val="0"/>
                    <w:jc w:val="center"/>
                    <w:rPr>
                      <w:rFonts w:ascii="Times New Roman" w:hAnsi="Times New Roman"/>
                      <w:color w:val="auto"/>
                      <w:sz w:val="21"/>
                      <w:szCs w:val="21"/>
                    </w:rPr>
                  </w:pPr>
                  <w:r>
                    <w:rPr>
                      <w:rFonts w:ascii="Times New Roman" w:hAnsi="Times New Roman"/>
                      <w:color w:val="auto"/>
                      <w:sz w:val="21"/>
                      <w:szCs w:val="21"/>
                    </w:rPr>
                    <w:t>氨氮</w:t>
                  </w:r>
                </w:p>
              </w:tc>
              <w:tc>
                <w:tcPr>
                  <w:tcW w:w="47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3.34</w:t>
                  </w:r>
                </w:p>
              </w:tc>
              <w:tc>
                <w:tcPr>
                  <w:tcW w:w="393"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3.36</w:t>
                  </w:r>
                </w:p>
              </w:tc>
              <w:tc>
                <w:tcPr>
                  <w:tcW w:w="406"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3.37</w:t>
                  </w:r>
                </w:p>
              </w:tc>
              <w:tc>
                <w:tcPr>
                  <w:tcW w:w="525"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3.34</w:t>
                  </w:r>
                </w:p>
              </w:tc>
              <w:tc>
                <w:tcPr>
                  <w:tcW w:w="550"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3.37</w:t>
                  </w:r>
                </w:p>
              </w:tc>
              <w:tc>
                <w:tcPr>
                  <w:tcW w:w="507" w:type="pct"/>
                  <w:tcBorders>
                    <w:tl2br w:val="nil"/>
                    <w:tr2bl w:val="nil"/>
                  </w:tcBorders>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3.35</w:t>
                  </w:r>
                </w:p>
              </w:tc>
              <w:tc>
                <w:tcPr>
                  <w:tcW w:w="672" w:type="pct"/>
                  <w:tcBorders>
                    <w:tl2br w:val="nil"/>
                    <w:tr2bl w:val="nil"/>
                  </w:tcBorders>
                  <w:vAlign w:val="center"/>
                </w:tcPr>
                <w:p>
                  <w:pPr>
                    <w:pStyle w:val="59"/>
                    <w:snapToGrid w:val="0"/>
                    <w:jc w:val="center"/>
                    <w:rPr>
                      <w:rFonts w:ascii="Times New Roman" w:hAnsi="Times New Roman"/>
                      <w:color w:val="auto"/>
                      <w:sz w:val="21"/>
                      <w:szCs w:val="21"/>
                    </w:rPr>
                  </w:pPr>
                  <w:r>
                    <w:rPr>
                      <w:rFonts w:hint="eastAsia"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0"/>
                  <w:tcBorders>
                    <w:tl2br w:val="nil"/>
                    <w:tr2bl w:val="nil"/>
                  </w:tcBorders>
                  <w:vAlign w:val="center"/>
                </w:tcPr>
                <w:p>
                  <w:pPr>
                    <w:widowControl/>
                    <w:adjustRightInd w:val="0"/>
                    <w:snapToGrid w:val="0"/>
                    <w:jc w:val="left"/>
                    <w:textAlignment w:val="center"/>
                    <w:rPr>
                      <w:rFonts w:ascii="Times New Roman" w:hAnsi="Times New Roman"/>
                      <w:color w:val="auto"/>
                      <w:szCs w:val="21"/>
                    </w:rPr>
                  </w:pPr>
                  <w:r>
                    <w:rPr>
                      <w:rFonts w:ascii="Times New Roman" w:hAnsi="Times New Roman"/>
                      <w:color w:val="auto"/>
                      <w:szCs w:val="21"/>
                    </w:rPr>
                    <w:t>备注：</w:t>
                  </w:r>
                  <w:r>
                    <w:rPr>
                      <w:rFonts w:ascii="Times New Roman" w:hAnsi="Times New Roman"/>
                      <w:bCs/>
                      <w:color w:val="auto"/>
                      <w:kern w:val="0"/>
                      <w:szCs w:val="21"/>
                    </w:rPr>
                    <w:t>《污水综合排放标准》（GB 8978-1996）表4中三级标准限值。</w:t>
                  </w:r>
                </w:p>
              </w:tc>
            </w:tr>
          </w:tbl>
          <w:p>
            <w:pPr>
              <w:spacing w:line="360" w:lineRule="auto"/>
              <w:ind w:firstLine="480" w:firstLineChars="200"/>
              <w:rPr>
                <w:rFonts w:ascii="Times New Roman" w:hAnsi="Times New Roman"/>
                <w:color w:val="auto"/>
                <w:sz w:val="24"/>
              </w:rPr>
            </w:pPr>
            <w:r>
              <w:rPr>
                <w:rFonts w:ascii="Times New Roman" w:hAnsi="Times New Roman"/>
                <w:color w:val="auto"/>
                <w:sz w:val="24"/>
              </w:rPr>
              <w:t>根据上表监测结果可知，各监测因子达到《污水综合排放标准》（GB 8978-1996）表4中三级标准限值。本项目生活</w:t>
            </w:r>
            <w:r>
              <w:rPr>
                <w:rFonts w:hint="eastAsia" w:ascii="Times New Roman" w:hAnsi="Times New Roman"/>
                <w:color w:val="auto"/>
                <w:sz w:val="24"/>
              </w:rPr>
              <w:t>污水</w:t>
            </w:r>
            <w:r>
              <w:rPr>
                <w:rFonts w:ascii="Times New Roman" w:hAnsi="Times New Roman"/>
                <w:color w:val="auto"/>
                <w:sz w:val="24"/>
              </w:rPr>
              <w:t>达标排放。</w:t>
            </w:r>
          </w:p>
          <w:p>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3、噪声</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本项目噪声主要是</w:t>
            </w:r>
            <w:r>
              <w:rPr>
                <w:rFonts w:hint="default" w:ascii="Times New Roman" w:hAnsi="Times New Roman" w:cs="Times New Roman"/>
                <w:color w:val="auto"/>
                <w:sz w:val="24"/>
              </w:rPr>
              <w:t>设备运行时产生，噪声源声级在70-85dB。本环评委托湖南中昊检测有限公司于2021年4月21日~4月22日厂区正常工况生产下，对厂界噪声进行检测。</w:t>
            </w:r>
            <w:r>
              <w:rPr>
                <w:rFonts w:hint="default" w:ascii="Times New Roman" w:hAnsi="Times New Roman" w:cs="Times New Roman"/>
                <w:color w:val="auto"/>
                <w:sz w:val="24"/>
                <w:szCs w:val="24"/>
              </w:rPr>
              <w:t>详细监测结果见下表2-8</w:t>
            </w:r>
            <w:r>
              <w:rPr>
                <w:rFonts w:hint="eastAsia"/>
                <w:color w:val="auto"/>
                <w:sz w:val="24"/>
                <w:szCs w:val="24"/>
              </w:rPr>
              <w:t>。</w:t>
            </w:r>
          </w:p>
          <w:p>
            <w:pPr>
              <w:autoSpaceDN w:val="0"/>
              <w:jc w:val="center"/>
              <w:rPr>
                <w:rFonts w:ascii="Times New Roman" w:hAnsi="Times New Roman"/>
                <w:b/>
                <w:bCs/>
                <w:color w:val="auto"/>
                <w:szCs w:val="21"/>
              </w:rPr>
            </w:pPr>
            <w:r>
              <w:rPr>
                <w:rFonts w:ascii="Times New Roman" w:hAnsi="Times New Roman"/>
                <w:b/>
                <w:bCs/>
                <w:color w:val="auto"/>
                <w:szCs w:val="21"/>
              </w:rPr>
              <w:t>表2-</w:t>
            </w:r>
            <w:r>
              <w:rPr>
                <w:rFonts w:hint="eastAsia" w:ascii="Times New Roman" w:hAnsi="Times New Roman"/>
                <w:b/>
                <w:bCs/>
                <w:color w:val="auto"/>
                <w:szCs w:val="21"/>
              </w:rPr>
              <w:t>8</w:t>
            </w:r>
            <w:r>
              <w:rPr>
                <w:rFonts w:ascii="Times New Roman" w:hAnsi="Times New Roman"/>
                <w:b/>
                <w:bCs/>
                <w:color w:val="auto"/>
                <w:szCs w:val="21"/>
              </w:rPr>
              <w:t xml:space="preserve">  噪声检测结果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211"/>
              <w:gridCol w:w="1392"/>
              <w:gridCol w:w="1249"/>
              <w:gridCol w:w="1120"/>
              <w:gridCol w:w="1137"/>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类别</w:t>
                  </w:r>
                </w:p>
              </w:tc>
              <w:tc>
                <w:tcPr>
                  <w:tcW w:w="720"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检测点位</w:t>
                  </w:r>
                </w:p>
              </w:tc>
              <w:tc>
                <w:tcPr>
                  <w:tcW w:w="828"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检测时间</w:t>
                  </w:r>
                </w:p>
              </w:tc>
              <w:tc>
                <w:tcPr>
                  <w:tcW w:w="743"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检测时段</w:t>
                  </w:r>
                </w:p>
              </w:tc>
              <w:tc>
                <w:tcPr>
                  <w:tcW w:w="666"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检测结果</w:t>
                  </w:r>
                </w:p>
              </w:tc>
              <w:tc>
                <w:tcPr>
                  <w:tcW w:w="676"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参考限值</w:t>
                  </w:r>
                </w:p>
              </w:tc>
              <w:tc>
                <w:tcPr>
                  <w:tcW w:w="769" w:type="pc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restar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噪声</w:t>
                  </w:r>
                </w:p>
              </w:tc>
              <w:tc>
                <w:tcPr>
                  <w:tcW w:w="720" w:type="pct"/>
                  <w:vMerge w:val="restar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厂界东侧外1米N1</w:t>
                  </w:r>
                </w:p>
              </w:tc>
              <w:tc>
                <w:tcPr>
                  <w:tcW w:w="828" w:type="pct"/>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2021-04-21</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53</w:t>
                  </w:r>
                </w:p>
              </w:tc>
              <w:tc>
                <w:tcPr>
                  <w:tcW w:w="67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45</w:t>
                  </w:r>
                </w:p>
              </w:tc>
              <w:tc>
                <w:tcPr>
                  <w:tcW w:w="67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2021-04-22</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56</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47</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restar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厂界南侧外1米N2</w:t>
                  </w:r>
                </w:p>
              </w:tc>
              <w:tc>
                <w:tcPr>
                  <w:tcW w:w="1392" w:type="dxa"/>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2021-04-21</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53</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47</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1392" w:type="dxa"/>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2021-04-22</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53</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43</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restar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厂界西侧外1米N3</w:t>
                  </w:r>
                </w:p>
              </w:tc>
              <w:tc>
                <w:tcPr>
                  <w:tcW w:w="1392" w:type="dxa"/>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2021-04-21</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44</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1392" w:type="dxa"/>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2021-04-22</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52</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46</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restar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厂界北侧外1米N4</w:t>
                  </w:r>
                </w:p>
              </w:tc>
              <w:tc>
                <w:tcPr>
                  <w:tcW w:w="1392" w:type="dxa"/>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2021-04-21</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54</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44</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1392" w:type="dxa"/>
                  <w:vMerge w:val="restar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bCs/>
                      <w:color w:val="auto"/>
                      <w:sz w:val="21"/>
                      <w:szCs w:val="21"/>
                    </w:rPr>
                    <w:t>2021-04-22</w:t>
                  </w: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昼间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54</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65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vAlign w:val="center"/>
                </w:tcPr>
                <w:p>
                  <w:pPr>
                    <w:pStyle w:val="59"/>
                    <w:jc w:val="center"/>
                    <w:rPr>
                      <w:rFonts w:ascii="Times New Roman" w:hAnsi="Times New Roman"/>
                      <w:color w:val="auto"/>
                      <w:sz w:val="21"/>
                      <w:szCs w:val="21"/>
                    </w:rPr>
                  </w:pPr>
                </w:p>
              </w:tc>
              <w:tc>
                <w:tcPr>
                  <w:tcW w:w="720" w:type="pct"/>
                  <w:vMerge w:val="continue"/>
                  <w:tcBorders>
                    <w:tl2br w:val="nil"/>
                    <w:tr2bl w:val="nil"/>
                  </w:tcBorders>
                  <w:vAlign w:val="center"/>
                </w:tcPr>
                <w:p>
                  <w:pPr>
                    <w:pStyle w:val="59"/>
                    <w:jc w:val="center"/>
                    <w:rPr>
                      <w:rFonts w:ascii="Times New Roman" w:hAnsi="Times New Roman"/>
                      <w:color w:val="auto"/>
                      <w:sz w:val="21"/>
                      <w:szCs w:val="21"/>
                    </w:rPr>
                  </w:pPr>
                </w:p>
              </w:tc>
              <w:tc>
                <w:tcPr>
                  <w:tcW w:w="828" w:type="pct"/>
                  <w:vMerge w:val="continue"/>
                  <w:tcBorders>
                    <w:tl2br w:val="nil"/>
                    <w:tr2bl w:val="nil"/>
                  </w:tcBorders>
                  <w:vAlign w:val="center"/>
                </w:tcPr>
                <w:p>
                  <w:pPr>
                    <w:pStyle w:val="59"/>
                    <w:jc w:val="center"/>
                    <w:rPr>
                      <w:rFonts w:ascii="Times New Roman" w:hAnsi="Times New Roman"/>
                      <w:color w:val="auto"/>
                      <w:sz w:val="21"/>
                      <w:szCs w:val="21"/>
                    </w:rPr>
                  </w:pPr>
                </w:p>
              </w:tc>
              <w:tc>
                <w:tcPr>
                  <w:tcW w:w="743"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夜间</w:t>
                  </w:r>
                </w:p>
              </w:tc>
              <w:tc>
                <w:tcPr>
                  <w:tcW w:w="666" w:type="pct"/>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43</w:t>
                  </w:r>
                </w:p>
              </w:tc>
              <w:tc>
                <w:tcPr>
                  <w:tcW w:w="1134" w:type="dxa"/>
                  <w:tcBorders>
                    <w:tl2br w:val="nil"/>
                    <w:tr2bl w:val="nil"/>
                  </w:tcBorders>
                  <w:vAlign w:val="center"/>
                </w:tcPr>
                <w:p>
                  <w:pPr>
                    <w:pStyle w:val="59"/>
                    <w:jc w:val="center"/>
                    <w:rPr>
                      <w:rFonts w:ascii="Times New Roman" w:hAnsi="Times New Roman"/>
                      <w:color w:val="auto"/>
                      <w:sz w:val="21"/>
                      <w:szCs w:val="21"/>
                    </w:rPr>
                  </w:pPr>
                  <w:r>
                    <w:rPr>
                      <w:rFonts w:hint="eastAsia" w:ascii="Times New Roman" w:hAnsi="Times New Roman"/>
                      <w:color w:val="auto"/>
                      <w:sz w:val="21"/>
                      <w:szCs w:val="21"/>
                    </w:rPr>
                    <w:t>55</w:t>
                  </w:r>
                </w:p>
              </w:tc>
              <w:tc>
                <w:tcPr>
                  <w:tcW w:w="769" w:type="pct"/>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tcBorders>
                    <w:tl2br w:val="nil"/>
                    <w:tr2bl w:val="nil"/>
                  </w:tcBorders>
                  <w:vAlign w:val="center"/>
                </w:tcPr>
                <w:p>
                  <w:pPr>
                    <w:pStyle w:val="59"/>
                    <w:jc w:val="center"/>
                    <w:rPr>
                      <w:rFonts w:ascii="Times New Roman" w:hAnsi="Times New Roman"/>
                      <w:color w:val="auto"/>
                      <w:sz w:val="21"/>
                      <w:szCs w:val="21"/>
                    </w:rPr>
                  </w:pPr>
                  <w:r>
                    <w:rPr>
                      <w:rFonts w:ascii="Times New Roman" w:hAnsi="Times New Roman"/>
                      <w:color w:val="auto"/>
                      <w:sz w:val="21"/>
                      <w:szCs w:val="21"/>
                    </w:rPr>
                    <w:t>备注：参考《工业企业厂界环境噪声排放标准》（GB12348-2008）中</w:t>
                  </w:r>
                  <w:r>
                    <w:rPr>
                      <w:rFonts w:hint="eastAsia" w:ascii="Times New Roman" w:hAnsi="Times New Roman"/>
                      <w:color w:val="auto"/>
                      <w:sz w:val="21"/>
                      <w:szCs w:val="21"/>
                    </w:rPr>
                    <w:t>3</w:t>
                  </w:r>
                  <w:r>
                    <w:rPr>
                      <w:rFonts w:ascii="Times New Roman" w:hAnsi="Times New Roman"/>
                      <w:color w:val="auto"/>
                      <w:sz w:val="21"/>
                      <w:szCs w:val="21"/>
                    </w:rPr>
                    <w:t>类标准。</w:t>
                  </w:r>
                </w:p>
              </w:tc>
            </w:tr>
          </w:tbl>
          <w:p>
            <w:pPr>
              <w:autoSpaceDN w:val="0"/>
              <w:spacing w:line="360" w:lineRule="auto"/>
              <w:ind w:firstLine="480" w:firstLineChars="200"/>
              <w:jc w:val="left"/>
              <w:rPr>
                <w:rFonts w:ascii="Times New Roman" w:hAnsi="Times New Roman"/>
                <w:b/>
                <w:bCs/>
                <w:color w:val="auto"/>
                <w:szCs w:val="21"/>
              </w:rPr>
            </w:pPr>
            <w:r>
              <w:rPr>
                <w:rFonts w:ascii="Times New Roman" w:hAnsi="Times New Roman"/>
                <w:color w:val="auto"/>
                <w:sz w:val="24"/>
              </w:rPr>
              <w:t>根据上表监测结果可知，噪声达到《工业企业厂界环境噪声排放标准》（GB12348-2008）中</w:t>
            </w:r>
            <w:r>
              <w:rPr>
                <w:rFonts w:hint="eastAsia" w:ascii="Times New Roman" w:hAnsi="Times New Roman"/>
                <w:color w:val="auto"/>
                <w:sz w:val="24"/>
              </w:rPr>
              <w:t>3</w:t>
            </w:r>
            <w:r>
              <w:rPr>
                <w:rFonts w:ascii="Times New Roman" w:hAnsi="Times New Roman"/>
                <w:color w:val="auto"/>
                <w:sz w:val="24"/>
              </w:rPr>
              <w:t>类标准。本项目噪声达标排放。</w:t>
            </w: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pStyle w:val="21"/>
              <w:rPr>
                <w:rFonts w:ascii="Times New Roman" w:hAnsi="Times New Roman"/>
                <w:b/>
                <w:bCs/>
                <w:color w:val="auto"/>
                <w:szCs w:val="21"/>
              </w:rPr>
            </w:pPr>
          </w:p>
          <w:p>
            <w:pPr>
              <w:rPr>
                <w:rFonts w:ascii="Times New Roman" w:hAnsi="Times New Roman"/>
                <w:b/>
                <w:bCs/>
                <w:color w:val="auto"/>
                <w:szCs w:val="21"/>
              </w:rPr>
            </w:pPr>
          </w:p>
          <w:p>
            <w:pPr>
              <w:pStyle w:val="21"/>
              <w:rPr>
                <w:rFonts w:ascii="Times New Roman" w:hAnsi="Times New Roman"/>
                <w:b/>
                <w:bCs/>
                <w:color w:val="auto"/>
                <w:szCs w:val="21"/>
              </w:rPr>
            </w:pPr>
          </w:p>
          <w:p>
            <w:pPr>
              <w:rPr>
                <w:rFonts w:ascii="Times New Roman" w:hAnsi="Times New Roman"/>
                <w:b/>
                <w:bCs/>
                <w:color w:val="auto"/>
                <w:szCs w:val="21"/>
              </w:rPr>
            </w:pPr>
          </w:p>
          <w:p>
            <w:pPr>
              <w:pStyle w:val="21"/>
              <w:rPr>
                <w:rFonts w:ascii="Times New Roman" w:hAnsi="Times New Roman"/>
                <w:b/>
                <w:bCs/>
                <w:color w:val="auto"/>
                <w:szCs w:val="21"/>
              </w:rPr>
            </w:pPr>
          </w:p>
          <w:p>
            <w:pPr>
              <w:rPr>
                <w:rFonts w:ascii="Times New Roman" w:hAnsi="Times New Roman"/>
                <w:b/>
                <w:bCs/>
                <w:color w:val="auto"/>
                <w:szCs w:val="21"/>
              </w:rPr>
            </w:pPr>
          </w:p>
          <w:p>
            <w:pPr>
              <w:pStyle w:val="21"/>
              <w:rPr>
                <w:rFonts w:ascii="Times New Roman" w:hAnsi="Times New Roman"/>
                <w:b/>
                <w:bCs/>
                <w:color w:val="auto"/>
                <w:szCs w:val="21"/>
              </w:rPr>
            </w:pPr>
          </w:p>
          <w:p>
            <w:pPr>
              <w:rPr>
                <w:rFonts w:ascii="Times New Roman" w:hAnsi="Times New Roman"/>
                <w:b/>
                <w:bCs/>
                <w:color w:val="auto"/>
                <w:szCs w:val="21"/>
              </w:rPr>
            </w:pPr>
          </w:p>
          <w:p>
            <w:pPr>
              <w:pStyle w:val="21"/>
              <w:rPr>
                <w:rFonts w:ascii="Times New Roman" w:hAnsi="Times New Roman"/>
                <w:b/>
                <w:bCs/>
                <w:color w:val="auto"/>
                <w:szCs w:val="21"/>
              </w:rPr>
            </w:pPr>
          </w:p>
          <w:p>
            <w:pPr>
              <w:rPr>
                <w:rFonts w:ascii="Times New Roman" w:hAnsi="Times New Roman"/>
                <w:b/>
                <w:bCs/>
                <w:color w:val="auto"/>
                <w:szCs w:val="21"/>
              </w:rPr>
            </w:pPr>
          </w:p>
          <w:p>
            <w:pPr>
              <w:pStyle w:val="21"/>
              <w:rPr>
                <w:color w:val="auto"/>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autoSpaceDN w:val="0"/>
              <w:jc w:val="center"/>
              <w:rPr>
                <w:rFonts w:ascii="Times New Roman" w:hAnsi="Times New Roman"/>
                <w:b/>
                <w:bCs/>
                <w:color w:val="auto"/>
                <w:szCs w:val="21"/>
              </w:rPr>
            </w:pPr>
          </w:p>
          <w:p>
            <w:pPr>
              <w:pStyle w:val="2"/>
              <w:adjustRightInd w:val="0"/>
              <w:spacing w:line="360" w:lineRule="auto"/>
              <w:rPr>
                <w:rFonts w:ascii="Times New Roman" w:hAnsi="Times New Roman"/>
                <w:bCs/>
                <w:color w:val="auto"/>
                <w:szCs w:val="21"/>
              </w:rPr>
            </w:pPr>
          </w:p>
        </w:tc>
      </w:tr>
    </w:tbl>
    <w:p>
      <w:pPr>
        <w:pStyle w:val="22"/>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22"/>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pPr>
        <w:pStyle w:val="22"/>
        <w:jc w:val="center"/>
        <w:outlineLvl w:val="0"/>
        <w:rPr>
          <w:rFonts w:ascii="Times New Roman" w:hAnsi="Times New Roman" w:eastAsia="黑体"/>
          <w:snapToGrid w:val="0"/>
          <w:color w:val="auto"/>
          <w:sz w:val="30"/>
          <w:szCs w:val="30"/>
        </w:rPr>
      </w:pPr>
      <w:bookmarkStart w:id="4" w:name="_Toc14729"/>
      <w:r>
        <w:rPr>
          <w:rFonts w:ascii="Times New Roman" w:hAnsi="Times New Roman" w:eastAsia="黑体"/>
          <w:snapToGrid w:val="0"/>
          <w:color w:val="auto"/>
          <w:sz w:val="30"/>
          <w:szCs w:val="30"/>
        </w:rPr>
        <w:t>三、区域环境质量现状、环境保护目标及评价标准</w:t>
      </w:r>
      <w:bookmarkEnd w:id="4"/>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 w:type="pct"/>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区域</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环境</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质量</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现状</w:t>
            </w:r>
          </w:p>
        </w:tc>
        <w:tc>
          <w:tcPr>
            <w:tcW w:w="4783" w:type="pct"/>
            <w:vAlign w:val="center"/>
          </w:tcPr>
          <w:p>
            <w:pPr>
              <w:tabs>
                <w:tab w:val="left" w:pos="8085"/>
              </w:tabs>
              <w:spacing w:line="360" w:lineRule="auto"/>
              <w:rPr>
                <w:rFonts w:ascii="Times New Roman" w:hAnsi="Times New Roman"/>
                <w:b/>
                <w:bCs/>
                <w:color w:val="auto"/>
                <w:sz w:val="24"/>
                <w:u w:val="single"/>
              </w:rPr>
            </w:pPr>
            <w:r>
              <w:rPr>
                <w:rFonts w:hint="eastAsia" w:ascii="Times New Roman" w:hAnsi="Times New Roman"/>
                <w:b/>
                <w:bCs/>
                <w:color w:val="auto"/>
                <w:sz w:val="24"/>
                <w:u w:val="single"/>
              </w:rPr>
              <w:t>1、</w:t>
            </w:r>
            <w:r>
              <w:rPr>
                <w:rFonts w:ascii="Times New Roman" w:hAnsi="Times New Roman"/>
                <w:b/>
                <w:bCs/>
                <w:color w:val="auto"/>
                <w:sz w:val="24"/>
                <w:u w:val="single"/>
              </w:rPr>
              <w:t>大气环境质量现状：</w:t>
            </w:r>
          </w:p>
          <w:p>
            <w:pPr>
              <w:tabs>
                <w:tab w:val="left" w:pos="8085"/>
              </w:tabs>
              <w:spacing w:line="360" w:lineRule="auto"/>
              <w:ind w:firstLine="480"/>
              <w:rPr>
                <w:rFonts w:ascii="Times New Roman" w:hAnsi="Times New Roman"/>
                <w:color w:val="auto"/>
                <w:sz w:val="24"/>
                <w:u w:val="single"/>
              </w:rPr>
            </w:pPr>
            <w:r>
              <w:rPr>
                <w:rFonts w:ascii="Times New Roman" w:hAnsi="Times New Roman"/>
                <w:color w:val="auto"/>
                <w:sz w:val="24"/>
                <w:u w:val="single"/>
              </w:rPr>
              <w:t>（1）评价基准年筛选</w:t>
            </w:r>
          </w:p>
          <w:p>
            <w:pPr>
              <w:tabs>
                <w:tab w:val="left" w:pos="8085"/>
              </w:tabs>
              <w:spacing w:line="360" w:lineRule="auto"/>
              <w:ind w:firstLine="480"/>
              <w:rPr>
                <w:rFonts w:ascii="Times New Roman" w:hAnsi="Times New Roman"/>
                <w:color w:val="auto"/>
                <w:sz w:val="24"/>
                <w:u w:val="single"/>
              </w:rPr>
            </w:pPr>
            <w:r>
              <w:rPr>
                <w:rFonts w:ascii="Times New Roman" w:hAnsi="Times New Roman"/>
                <w:color w:val="auto"/>
                <w:sz w:val="24"/>
                <w:u w:val="single"/>
              </w:rPr>
              <w:t>根据评价所需气象资料数据可获得性，故本次选择</w:t>
            </w:r>
            <w:r>
              <w:rPr>
                <w:rFonts w:hint="eastAsia" w:ascii="Times New Roman" w:hAnsi="Times New Roman"/>
                <w:color w:val="auto"/>
                <w:sz w:val="24"/>
                <w:u w:val="single"/>
              </w:rPr>
              <w:t>2020</w:t>
            </w:r>
            <w:r>
              <w:rPr>
                <w:rFonts w:ascii="Times New Roman" w:hAnsi="Times New Roman"/>
                <w:color w:val="auto"/>
                <w:sz w:val="24"/>
                <w:u w:val="single"/>
              </w:rPr>
              <w:t>年作为评价基准年。</w:t>
            </w:r>
          </w:p>
          <w:p>
            <w:pPr>
              <w:tabs>
                <w:tab w:val="left" w:pos="8085"/>
              </w:tabs>
              <w:spacing w:line="360" w:lineRule="auto"/>
              <w:ind w:firstLine="480"/>
              <w:rPr>
                <w:rFonts w:ascii="Times New Roman" w:hAnsi="Times New Roman"/>
                <w:color w:val="auto"/>
                <w:sz w:val="24"/>
                <w:u w:val="single"/>
              </w:rPr>
            </w:pPr>
            <w:r>
              <w:rPr>
                <w:rFonts w:ascii="Times New Roman" w:hAnsi="Times New Roman"/>
                <w:color w:val="auto"/>
                <w:sz w:val="24"/>
                <w:u w:val="single"/>
              </w:rPr>
              <w:t>（2）基本污染物环境质量现状数据</w:t>
            </w:r>
          </w:p>
          <w:p>
            <w:pPr>
              <w:tabs>
                <w:tab w:val="left" w:pos="8085"/>
              </w:tabs>
              <w:spacing w:line="360" w:lineRule="auto"/>
              <w:ind w:firstLine="480"/>
              <w:rPr>
                <w:rFonts w:ascii="Times New Roman" w:hAnsi="Times New Roman"/>
                <w:color w:val="auto"/>
                <w:sz w:val="24"/>
                <w:u w:val="single"/>
              </w:rPr>
            </w:pPr>
            <w:r>
              <w:rPr>
                <w:rFonts w:hint="eastAsia" w:ascii="Times New Roman" w:hAnsi="Times New Roman"/>
                <w:color w:val="auto"/>
                <w:sz w:val="24"/>
                <w:u w:val="single"/>
              </w:rPr>
              <w:t>引用</w:t>
            </w:r>
            <w:r>
              <w:rPr>
                <w:rFonts w:ascii="Times New Roman" w:hAnsi="Times New Roman"/>
                <w:color w:val="auto"/>
                <w:sz w:val="24"/>
                <w:u w:val="single"/>
              </w:rPr>
              <w:t>邵东市的常规监测点20</w:t>
            </w:r>
            <w:r>
              <w:rPr>
                <w:rFonts w:hint="eastAsia" w:ascii="Times New Roman" w:hAnsi="Times New Roman"/>
                <w:color w:val="auto"/>
                <w:sz w:val="24"/>
                <w:u w:val="single"/>
              </w:rPr>
              <w:t>20</w:t>
            </w:r>
            <w:r>
              <w:rPr>
                <w:rFonts w:ascii="Times New Roman" w:hAnsi="Times New Roman"/>
                <w:color w:val="auto"/>
                <w:sz w:val="24"/>
                <w:u w:val="single"/>
              </w:rPr>
              <w:t>年1月~20</w:t>
            </w:r>
            <w:r>
              <w:rPr>
                <w:rFonts w:hint="eastAsia" w:ascii="Times New Roman" w:hAnsi="Times New Roman"/>
                <w:color w:val="auto"/>
                <w:sz w:val="24"/>
                <w:u w:val="single"/>
              </w:rPr>
              <w:t>20</w:t>
            </w:r>
            <w:r>
              <w:rPr>
                <w:rFonts w:ascii="Times New Roman" w:hAnsi="Times New Roman"/>
                <w:color w:val="auto"/>
                <w:sz w:val="24"/>
                <w:u w:val="single"/>
              </w:rPr>
              <w:t>年12月的监测数据。</w:t>
            </w:r>
          </w:p>
          <w:p>
            <w:pPr>
              <w:tabs>
                <w:tab w:val="left" w:pos="8085"/>
              </w:tabs>
              <w:spacing w:line="360" w:lineRule="auto"/>
              <w:ind w:firstLine="480"/>
              <w:rPr>
                <w:rFonts w:ascii="Times New Roman" w:hAnsi="Times New Roman"/>
                <w:color w:val="auto"/>
                <w:sz w:val="24"/>
                <w:u w:val="single"/>
              </w:rPr>
            </w:pPr>
            <w:r>
              <w:rPr>
                <w:rFonts w:ascii="Times New Roman" w:hAnsi="Times New Roman"/>
                <w:color w:val="auto"/>
                <w:sz w:val="24"/>
                <w:u w:val="single"/>
              </w:rPr>
              <w:t>（3）空气质量达标区判定</w:t>
            </w:r>
          </w:p>
          <w:p>
            <w:pPr>
              <w:tabs>
                <w:tab w:val="left" w:pos="8085"/>
              </w:tabs>
              <w:spacing w:line="360" w:lineRule="auto"/>
              <w:ind w:firstLine="480"/>
              <w:rPr>
                <w:rFonts w:ascii="Times New Roman" w:hAnsi="Times New Roman"/>
                <w:color w:val="auto"/>
                <w:sz w:val="24"/>
                <w:u w:val="single"/>
              </w:rPr>
            </w:pPr>
            <w:r>
              <w:rPr>
                <w:rFonts w:ascii="Times New Roman" w:hAnsi="Times New Roman"/>
                <w:color w:val="auto"/>
                <w:sz w:val="24"/>
                <w:u w:val="single"/>
              </w:rPr>
              <w:t>项目所在区域空气质量现状评价见表</w:t>
            </w:r>
            <w:r>
              <w:rPr>
                <w:rFonts w:hint="eastAsia" w:ascii="Times New Roman" w:hAnsi="Times New Roman"/>
                <w:color w:val="auto"/>
                <w:sz w:val="24"/>
                <w:u w:val="single"/>
              </w:rPr>
              <w:t>3-1</w:t>
            </w:r>
            <w:r>
              <w:rPr>
                <w:rFonts w:ascii="Times New Roman" w:hAnsi="Times New Roman"/>
                <w:color w:val="auto"/>
                <w:sz w:val="24"/>
                <w:u w:val="single"/>
              </w:rPr>
              <w:t>。</w:t>
            </w:r>
          </w:p>
          <w:p>
            <w:pPr>
              <w:spacing w:line="360" w:lineRule="auto"/>
              <w:jc w:val="center"/>
              <w:rPr>
                <w:color w:val="auto"/>
                <w:u w:val="single"/>
              </w:rPr>
            </w:pPr>
            <w:r>
              <w:rPr>
                <w:rFonts w:ascii="Times New Roman" w:hAnsi="Times New Roman"/>
                <w:b/>
                <w:bCs/>
                <w:color w:val="auto"/>
                <w:szCs w:val="21"/>
                <w:u w:val="single"/>
              </w:rPr>
              <w:t>表</w:t>
            </w:r>
            <w:r>
              <w:rPr>
                <w:rFonts w:hint="eastAsia" w:ascii="Times New Roman" w:hAnsi="Times New Roman"/>
                <w:b/>
                <w:bCs/>
                <w:color w:val="auto"/>
                <w:szCs w:val="21"/>
                <w:u w:val="single"/>
              </w:rPr>
              <w:t>3-1</w:t>
            </w:r>
            <w:r>
              <w:rPr>
                <w:rFonts w:ascii="Times New Roman" w:hAnsi="Times New Roman"/>
                <w:b/>
                <w:bCs/>
                <w:color w:val="auto"/>
                <w:szCs w:val="21"/>
                <w:u w:val="single"/>
              </w:rPr>
              <w:t xml:space="preserve">  20</w:t>
            </w:r>
            <w:r>
              <w:rPr>
                <w:rFonts w:hint="eastAsia" w:ascii="Times New Roman" w:hAnsi="Times New Roman"/>
                <w:b/>
                <w:bCs/>
                <w:color w:val="auto"/>
                <w:szCs w:val="21"/>
                <w:u w:val="single"/>
              </w:rPr>
              <w:t>20</w:t>
            </w:r>
            <w:r>
              <w:rPr>
                <w:rFonts w:ascii="Times New Roman" w:hAnsi="Times New Roman"/>
                <w:b/>
                <w:bCs/>
                <w:color w:val="auto"/>
                <w:szCs w:val="21"/>
                <w:u w:val="single"/>
              </w:rPr>
              <w:t>年度邵东</w:t>
            </w:r>
            <w:r>
              <w:rPr>
                <w:rFonts w:hint="eastAsia" w:ascii="Times New Roman" w:hAnsi="Times New Roman"/>
                <w:b/>
                <w:bCs/>
                <w:color w:val="auto"/>
                <w:szCs w:val="21"/>
                <w:u w:val="single"/>
              </w:rPr>
              <w:t>市</w:t>
            </w:r>
            <w:r>
              <w:rPr>
                <w:rFonts w:ascii="Times New Roman" w:hAnsi="Times New Roman"/>
                <w:b/>
                <w:bCs/>
                <w:color w:val="auto"/>
                <w:szCs w:val="21"/>
                <w:u w:val="single"/>
              </w:rPr>
              <w:t>空气质量现状评价表</w:t>
            </w:r>
            <w:r>
              <w:rPr>
                <w:rFonts w:hint="eastAsia" w:ascii="Times New Roman" w:hAnsi="Times New Roman"/>
                <w:b/>
                <w:bCs/>
                <w:color w:val="auto"/>
                <w:szCs w:val="21"/>
                <w:u w:val="single"/>
              </w:rPr>
              <w:t xml:space="preserve">   单位：mg/m</w:t>
            </w:r>
            <w:r>
              <w:rPr>
                <w:rFonts w:hint="eastAsia" w:ascii="Times New Roman" w:hAnsi="Times New Roman"/>
                <w:b/>
                <w:bCs/>
                <w:color w:val="auto"/>
                <w:szCs w:val="21"/>
                <w:u w:val="single"/>
                <w:vertAlign w:val="superscript"/>
              </w:rPr>
              <w:t>3</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2432"/>
              <w:gridCol w:w="1368"/>
              <w:gridCol w:w="1368"/>
              <w:gridCol w:w="1309"/>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82" w:type="pct"/>
                  <w:vMerge w:val="restart"/>
                  <w:tcBorders>
                    <w:tl2br w:val="nil"/>
                    <w:tr2bl w:val="nil"/>
                  </w:tcBorders>
                  <w:vAlign w:val="center"/>
                </w:tcPr>
                <w:p>
                  <w:pPr>
                    <w:pStyle w:val="69"/>
                    <w:spacing w:line="360" w:lineRule="auto"/>
                    <w:ind w:firstLine="0" w:firstLineChars="0"/>
                    <w:jc w:val="center"/>
                    <w:rPr>
                      <w:rFonts w:ascii="Times New Roman" w:hAnsi="Times New Roman"/>
                      <w:b/>
                      <w:color w:val="auto"/>
                      <w:sz w:val="21"/>
                      <w:szCs w:val="21"/>
                      <w:u w:val="single"/>
                    </w:rPr>
                  </w:pPr>
                  <w:r>
                    <w:rPr>
                      <w:rFonts w:ascii="Times New Roman" w:hAnsi="Times New Roman"/>
                      <w:b/>
                      <w:color w:val="auto"/>
                      <w:sz w:val="21"/>
                      <w:szCs w:val="21"/>
                      <w:u w:val="single"/>
                    </w:rPr>
                    <w:t>污染物</w:t>
                  </w:r>
                </w:p>
              </w:tc>
              <w:tc>
                <w:tcPr>
                  <w:tcW w:w="1364" w:type="pct"/>
                  <w:vMerge w:val="restart"/>
                  <w:tcBorders>
                    <w:tl2br w:val="nil"/>
                    <w:tr2bl w:val="nil"/>
                  </w:tcBorders>
                  <w:vAlign w:val="center"/>
                </w:tcPr>
                <w:p>
                  <w:pPr>
                    <w:pStyle w:val="69"/>
                    <w:spacing w:line="360" w:lineRule="auto"/>
                    <w:ind w:firstLine="0" w:firstLineChars="0"/>
                    <w:jc w:val="center"/>
                    <w:rPr>
                      <w:rFonts w:ascii="Times New Roman" w:hAnsi="Times New Roman"/>
                      <w:b/>
                      <w:color w:val="auto"/>
                      <w:sz w:val="21"/>
                      <w:szCs w:val="21"/>
                      <w:u w:val="single"/>
                    </w:rPr>
                  </w:pPr>
                  <w:r>
                    <w:rPr>
                      <w:rFonts w:ascii="Times New Roman" w:hAnsi="Times New Roman"/>
                      <w:b/>
                      <w:color w:val="auto"/>
                      <w:sz w:val="21"/>
                      <w:szCs w:val="21"/>
                      <w:u w:val="single"/>
                    </w:rPr>
                    <w:t>年评价指标</w:t>
                  </w:r>
                </w:p>
              </w:tc>
              <w:tc>
                <w:tcPr>
                  <w:tcW w:w="767" w:type="pct"/>
                  <w:vMerge w:val="restart"/>
                  <w:tcBorders>
                    <w:tl2br w:val="nil"/>
                    <w:tr2bl w:val="nil"/>
                  </w:tcBorders>
                  <w:vAlign w:val="center"/>
                </w:tcPr>
                <w:p>
                  <w:pPr>
                    <w:pStyle w:val="69"/>
                    <w:spacing w:line="360" w:lineRule="auto"/>
                    <w:ind w:firstLine="0" w:firstLineChars="0"/>
                    <w:jc w:val="center"/>
                    <w:rPr>
                      <w:rFonts w:ascii="Times New Roman" w:hAnsi="Times New Roman"/>
                      <w:b/>
                      <w:color w:val="auto"/>
                      <w:sz w:val="21"/>
                      <w:szCs w:val="21"/>
                      <w:u w:val="single"/>
                    </w:rPr>
                  </w:pPr>
                  <w:r>
                    <w:rPr>
                      <w:rFonts w:ascii="Times New Roman" w:hAnsi="Times New Roman"/>
                      <w:b/>
                      <w:color w:val="auto"/>
                      <w:sz w:val="21"/>
                      <w:szCs w:val="21"/>
                      <w:u w:val="single"/>
                    </w:rPr>
                    <w:t>现状浓度/（ug/m</w:t>
                  </w:r>
                  <w:r>
                    <w:rPr>
                      <w:rFonts w:ascii="Times New Roman" w:hAnsi="Times New Roman"/>
                      <w:b/>
                      <w:color w:val="auto"/>
                      <w:sz w:val="21"/>
                      <w:szCs w:val="21"/>
                      <w:u w:val="single"/>
                      <w:vertAlign w:val="superscript"/>
                    </w:rPr>
                    <w:t>3</w:t>
                  </w:r>
                  <w:r>
                    <w:rPr>
                      <w:rFonts w:ascii="Times New Roman" w:hAnsi="Times New Roman"/>
                      <w:b/>
                      <w:color w:val="auto"/>
                      <w:sz w:val="21"/>
                      <w:szCs w:val="21"/>
                      <w:u w:val="single"/>
                    </w:rPr>
                    <w:t>）</w:t>
                  </w:r>
                </w:p>
              </w:tc>
              <w:tc>
                <w:tcPr>
                  <w:tcW w:w="767" w:type="pct"/>
                  <w:vMerge w:val="restart"/>
                  <w:tcBorders>
                    <w:tl2br w:val="nil"/>
                    <w:tr2bl w:val="nil"/>
                  </w:tcBorders>
                  <w:vAlign w:val="center"/>
                </w:tcPr>
                <w:p>
                  <w:pPr>
                    <w:pStyle w:val="69"/>
                    <w:spacing w:line="360" w:lineRule="auto"/>
                    <w:ind w:firstLine="0" w:firstLineChars="0"/>
                    <w:jc w:val="center"/>
                    <w:rPr>
                      <w:rFonts w:ascii="Times New Roman" w:hAnsi="Times New Roman"/>
                      <w:b/>
                      <w:color w:val="auto"/>
                      <w:sz w:val="21"/>
                      <w:szCs w:val="21"/>
                      <w:u w:val="single"/>
                    </w:rPr>
                  </w:pPr>
                  <w:r>
                    <w:rPr>
                      <w:rFonts w:ascii="Times New Roman" w:hAnsi="Times New Roman"/>
                      <w:b/>
                      <w:color w:val="auto"/>
                      <w:sz w:val="21"/>
                      <w:szCs w:val="21"/>
                      <w:u w:val="single"/>
                    </w:rPr>
                    <w:t>标准值/（ug/m</w:t>
                  </w:r>
                  <w:r>
                    <w:rPr>
                      <w:rFonts w:ascii="Times New Roman" w:hAnsi="Times New Roman"/>
                      <w:b/>
                      <w:color w:val="auto"/>
                      <w:sz w:val="21"/>
                      <w:szCs w:val="21"/>
                      <w:u w:val="single"/>
                      <w:vertAlign w:val="superscript"/>
                    </w:rPr>
                    <w:t>3</w:t>
                  </w:r>
                  <w:r>
                    <w:rPr>
                      <w:rFonts w:ascii="Times New Roman" w:hAnsi="Times New Roman"/>
                      <w:b/>
                      <w:color w:val="auto"/>
                      <w:sz w:val="21"/>
                      <w:szCs w:val="21"/>
                      <w:u w:val="single"/>
                    </w:rPr>
                    <w:t>）</w:t>
                  </w:r>
                </w:p>
              </w:tc>
              <w:tc>
                <w:tcPr>
                  <w:tcW w:w="734" w:type="pct"/>
                  <w:vMerge w:val="restart"/>
                  <w:tcBorders>
                    <w:tl2br w:val="nil"/>
                    <w:tr2bl w:val="nil"/>
                  </w:tcBorders>
                  <w:vAlign w:val="center"/>
                </w:tcPr>
                <w:p>
                  <w:pPr>
                    <w:pStyle w:val="69"/>
                    <w:spacing w:line="360" w:lineRule="auto"/>
                    <w:ind w:firstLine="0" w:firstLineChars="0"/>
                    <w:jc w:val="center"/>
                    <w:rPr>
                      <w:rFonts w:ascii="Times New Roman" w:hAnsi="Times New Roman"/>
                      <w:b/>
                      <w:color w:val="auto"/>
                      <w:sz w:val="21"/>
                      <w:szCs w:val="21"/>
                      <w:u w:val="single"/>
                    </w:rPr>
                  </w:pPr>
                  <w:r>
                    <w:rPr>
                      <w:rFonts w:ascii="Times New Roman" w:hAnsi="Times New Roman"/>
                      <w:b/>
                      <w:color w:val="auto"/>
                      <w:sz w:val="21"/>
                      <w:szCs w:val="21"/>
                      <w:u w:val="single"/>
                    </w:rPr>
                    <w:t>占标率/%</w:t>
                  </w:r>
                </w:p>
              </w:tc>
              <w:tc>
                <w:tcPr>
                  <w:tcW w:w="684" w:type="pct"/>
                  <w:vMerge w:val="restart"/>
                  <w:tcBorders>
                    <w:tl2br w:val="nil"/>
                    <w:tr2bl w:val="nil"/>
                  </w:tcBorders>
                  <w:vAlign w:val="center"/>
                </w:tcPr>
                <w:p>
                  <w:pPr>
                    <w:pStyle w:val="69"/>
                    <w:spacing w:line="360" w:lineRule="auto"/>
                    <w:ind w:firstLine="0" w:firstLineChars="0"/>
                    <w:jc w:val="center"/>
                    <w:rPr>
                      <w:rFonts w:ascii="Times New Roman" w:hAnsi="Times New Roman"/>
                      <w:b/>
                      <w:color w:val="auto"/>
                      <w:sz w:val="21"/>
                      <w:szCs w:val="21"/>
                      <w:u w:val="single"/>
                    </w:rPr>
                  </w:pPr>
                  <w:r>
                    <w:rPr>
                      <w:rFonts w:ascii="Times New Roman" w:hAnsi="Times New Roman"/>
                      <w:b/>
                      <w:color w:val="auto"/>
                      <w:sz w:val="21"/>
                      <w:szCs w:val="21"/>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82" w:type="pct"/>
                  <w:vMerge w:val="continue"/>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p>
              </w:tc>
              <w:tc>
                <w:tcPr>
                  <w:tcW w:w="1364" w:type="pct"/>
                  <w:vMerge w:val="continue"/>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p>
              </w:tc>
              <w:tc>
                <w:tcPr>
                  <w:tcW w:w="767" w:type="pct"/>
                  <w:vMerge w:val="continue"/>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p>
              </w:tc>
              <w:tc>
                <w:tcPr>
                  <w:tcW w:w="767" w:type="pct"/>
                  <w:vMerge w:val="continue"/>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p>
              </w:tc>
              <w:tc>
                <w:tcPr>
                  <w:tcW w:w="734" w:type="pct"/>
                  <w:vMerge w:val="continue"/>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p>
              </w:tc>
              <w:tc>
                <w:tcPr>
                  <w:tcW w:w="684" w:type="pct"/>
                  <w:vMerge w:val="continue"/>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SO</w:t>
                  </w:r>
                  <w:r>
                    <w:rPr>
                      <w:rFonts w:ascii="Times New Roman" w:hAnsi="Times New Roman"/>
                      <w:color w:val="auto"/>
                      <w:sz w:val="21"/>
                      <w:szCs w:val="21"/>
                      <w:u w:val="single"/>
                      <w:vertAlign w:val="subscript"/>
                    </w:rPr>
                    <w:t>2</w:t>
                  </w:r>
                </w:p>
              </w:tc>
              <w:tc>
                <w:tcPr>
                  <w:tcW w:w="136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年平均质量浓度</w:t>
                  </w:r>
                </w:p>
              </w:tc>
              <w:tc>
                <w:tcPr>
                  <w:tcW w:w="767" w:type="pct"/>
                  <w:tcBorders>
                    <w:tl2br w:val="nil"/>
                    <w:tr2bl w:val="nil"/>
                  </w:tcBorders>
                  <w:vAlign w:val="center"/>
                </w:tcPr>
                <w:p>
                  <w:pPr>
                    <w:pStyle w:val="62"/>
                    <w:widowControl w:val="0"/>
                    <w:spacing w:line="360" w:lineRule="auto"/>
                    <w:outlineLvl w:val="0"/>
                    <w:rPr>
                      <w:rFonts w:cs="Times New Roman"/>
                      <w:color w:val="auto"/>
                      <w:u w:val="single"/>
                    </w:rPr>
                  </w:pPr>
                  <w:r>
                    <w:rPr>
                      <w:rStyle w:val="63"/>
                      <w:rFonts w:cs="Times New Roman"/>
                      <w:b w:val="0"/>
                      <w:color w:val="auto"/>
                      <w:u w:val="single"/>
                    </w:rPr>
                    <w:t>15</w:t>
                  </w:r>
                </w:p>
              </w:tc>
              <w:tc>
                <w:tcPr>
                  <w:tcW w:w="767"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60</w:t>
                  </w:r>
                </w:p>
              </w:tc>
              <w:tc>
                <w:tcPr>
                  <w:tcW w:w="734"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25</w:t>
                  </w:r>
                </w:p>
              </w:tc>
              <w:tc>
                <w:tcPr>
                  <w:tcW w:w="68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82"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NO</w:t>
                  </w:r>
                  <w:r>
                    <w:rPr>
                      <w:rFonts w:ascii="Times New Roman" w:hAnsi="Times New Roman"/>
                      <w:color w:val="auto"/>
                      <w:sz w:val="21"/>
                      <w:szCs w:val="21"/>
                      <w:u w:val="single"/>
                      <w:vertAlign w:val="subscript"/>
                    </w:rPr>
                    <w:t>2</w:t>
                  </w:r>
                </w:p>
              </w:tc>
              <w:tc>
                <w:tcPr>
                  <w:tcW w:w="136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年平均质量浓度</w:t>
                  </w:r>
                </w:p>
              </w:tc>
              <w:tc>
                <w:tcPr>
                  <w:tcW w:w="767" w:type="pct"/>
                  <w:tcBorders>
                    <w:tl2br w:val="nil"/>
                    <w:tr2bl w:val="nil"/>
                  </w:tcBorders>
                  <w:vAlign w:val="center"/>
                </w:tcPr>
                <w:p>
                  <w:pPr>
                    <w:pStyle w:val="62"/>
                    <w:widowControl w:val="0"/>
                    <w:spacing w:line="360" w:lineRule="auto"/>
                    <w:outlineLvl w:val="0"/>
                    <w:rPr>
                      <w:rFonts w:cs="Times New Roman"/>
                      <w:color w:val="auto"/>
                      <w:u w:val="single"/>
                    </w:rPr>
                  </w:pPr>
                  <w:r>
                    <w:rPr>
                      <w:rFonts w:cs="Times New Roman"/>
                      <w:b w:val="0"/>
                      <w:color w:val="auto"/>
                      <w:u w:val="single"/>
                    </w:rPr>
                    <w:t>21</w:t>
                  </w:r>
                </w:p>
              </w:tc>
              <w:tc>
                <w:tcPr>
                  <w:tcW w:w="767"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40</w:t>
                  </w:r>
                </w:p>
              </w:tc>
              <w:tc>
                <w:tcPr>
                  <w:tcW w:w="734"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52.5</w:t>
                  </w:r>
                </w:p>
              </w:tc>
              <w:tc>
                <w:tcPr>
                  <w:tcW w:w="68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PM</w:t>
                  </w:r>
                  <w:r>
                    <w:rPr>
                      <w:rFonts w:ascii="Times New Roman" w:hAnsi="Times New Roman"/>
                      <w:color w:val="auto"/>
                      <w:sz w:val="21"/>
                      <w:szCs w:val="21"/>
                      <w:u w:val="single"/>
                      <w:vertAlign w:val="subscript"/>
                    </w:rPr>
                    <w:t>10</w:t>
                  </w:r>
                </w:p>
              </w:tc>
              <w:tc>
                <w:tcPr>
                  <w:tcW w:w="136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年平均质量浓度</w:t>
                  </w:r>
                </w:p>
              </w:tc>
              <w:tc>
                <w:tcPr>
                  <w:tcW w:w="767" w:type="pct"/>
                  <w:tcBorders>
                    <w:tl2br w:val="nil"/>
                    <w:tr2bl w:val="nil"/>
                  </w:tcBorders>
                  <w:vAlign w:val="center"/>
                </w:tcPr>
                <w:p>
                  <w:pPr>
                    <w:pStyle w:val="62"/>
                    <w:widowControl w:val="0"/>
                    <w:spacing w:line="360" w:lineRule="auto"/>
                    <w:outlineLvl w:val="0"/>
                    <w:rPr>
                      <w:rFonts w:cs="Times New Roman"/>
                      <w:color w:val="auto"/>
                      <w:u w:val="single"/>
                    </w:rPr>
                  </w:pPr>
                  <w:r>
                    <w:rPr>
                      <w:rStyle w:val="63"/>
                      <w:rFonts w:cs="Times New Roman"/>
                      <w:b w:val="0"/>
                      <w:color w:val="auto"/>
                      <w:u w:val="single"/>
                    </w:rPr>
                    <w:t>58</w:t>
                  </w:r>
                </w:p>
              </w:tc>
              <w:tc>
                <w:tcPr>
                  <w:tcW w:w="767"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70</w:t>
                  </w:r>
                </w:p>
              </w:tc>
              <w:tc>
                <w:tcPr>
                  <w:tcW w:w="734"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82.85</w:t>
                  </w:r>
                </w:p>
              </w:tc>
              <w:tc>
                <w:tcPr>
                  <w:tcW w:w="68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PM</w:t>
                  </w:r>
                  <w:r>
                    <w:rPr>
                      <w:rFonts w:ascii="Times New Roman" w:hAnsi="Times New Roman"/>
                      <w:color w:val="auto"/>
                      <w:sz w:val="21"/>
                      <w:szCs w:val="21"/>
                      <w:u w:val="single"/>
                      <w:vertAlign w:val="subscript"/>
                    </w:rPr>
                    <w:t>2.5</w:t>
                  </w:r>
                </w:p>
              </w:tc>
              <w:tc>
                <w:tcPr>
                  <w:tcW w:w="136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年平均质量浓度</w:t>
                  </w:r>
                </w:p>
              </w:tc>
              <w:tc>
                <w:tcPr>
                  <w:tcW w:w="767" w:type="pct"/>
                  <w:tcBorders>
                    <w:tl2br w:val="nil"/>
                    <w:tr2bl w:val="nil"/>
                  </w:tcBorders>
                  <w:vAlign w:val="center"/>
                </w:tcPr>
                <w:p>
                  <w:pPr>
                    <w:pStyle w:val="62"/>
                    <w:widowControl w:val="0"/>
                    <w:spacing w:line="360" w:lineRule="auto"/>
                    <w:outlineLvl w:val="0"/>
                    <w:rPr>
                      <w:rFonts w:cs="Times New Roman"/>
                      <w:color w:val="auto"/>
                      <w:u w:val="single"/>
                    </w:rPr>
                  </w:pPr>
                  <w:r>
                    <w:rPr>
                      <w:rFonts w:cs="Times New Roman"/>
                      <w:b w:val="0"/>
                      <w:color w:val="auto"/>
                      <w:u w:val="single"/>
                    </w:rPr>
                    <w:t>44</w:t>
                  </w:r>
                </w:p>
              </w:tc>
              <w:tc>
                <w:tcPr>
                  <w:tcW w:w="767"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35</w:t>
                  </w:r>
                </w:p>
              </w:tc>
              <w:tc>
                <w:tcPr>
                  <w:tcW w:w="734"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125.71</w:t>
                  </w:r>
                </w:p>
              </w:tc>
              <w:tc>
                <w:tcPr>
                  <w:tcW w:w="68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CO</w:t>
                  </w:r>
                </w:p>
              </w:tc>
              <w:tc>
                <w:tcPr>
                  <w:tcW w:w="136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第95百分位数24h平均质量浓度</w:t>
                  </w:r>
                </w:p>
              </w:tc>
              <w:tc>
                <w:tcPr>
                  <w:tcW w:w="767" w:type="pct"/>
                  <w:tcBorders>
                    <w:tl2br w:val="nil"/>
                    <w:tr2bl w:val="nil"/>
                  </w:tcBorders>
                  <w:vAlign w:val="center"/>
                </w:tcPr>
                <w:p>
                  <w:pPr>
                    <w:pStyle w:val="62"/>
                    <w:widowControl w:val="0"/>
                    <w:spacing w:line="360" w:lineRule="auto"/>
                    <w:outlineLvl w:val="0"/>
                    <w:rPr>
                      <w:rFonts w:cs="Times New Roman"/>
                      <w:color w:val="auto"/>
                      <w:u w:val="single"/>
                    </w:rPr>
                  </w:pPr>
                  <w:r>
                    <w:rPr>
                      <w:rStyle w:val="63"/>
                      <w:rFonts w:cs="Times New Roman"/>
                      <w:b w:val="0"/>
                      <w:color w:val="auto"/>
                      <w:u w:val="single"/>
                    </w:rPr>
                    <w:t>1.2</w:t>
                  </w:r>
                </w:p>
              </w:tc>
              <w:tc>
                <w:tcPr>
                  <w:tcW w:w="767"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4</w:t>
                  </w:r>
                </w:p>
              </w:tc>
              <w:tc>
                <w:tcPr>
                  <w:tcW w:w="734"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0.3</w:t>
                  </w:r>
                </w:p>
              </w:tc>
              <w:tc>
                <w:tcPr>
                  <w:tcW w:w="68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O</w:t>
                  </w:r>
                  <w:r>
                    <w:rPr>
                      <w:rFonts w:ascii="Times New Roman" w:hAnsi="Times New Roman"/>
                      <w:color w:val="auto"/>
                      <w:sz w:val="21"/>
                      <w:szCs w:val="21"/>
                      <w:u w:val="single"/>
                      <w:vertAlign w:val="subscript"/>
                    </w:rPr>
                    <w:t>3</w:t>
                  </w:r>
                </w:p>
              </w:tc>
              <w:tc>
                <w:tcPr>
                  <w:tcW w:w="136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第90百分位数最大8h平均质量浓度</w:t>
                  </w:r>
                </w:p>
              </w:tc>
              <w:tc>
                <w:tcPr>
                  <w:tcW w:w="767" w:type="pct"/>
                  <w:tcBorders>
                    <w:tl2br w:val="nil"/>
                    <w:tr2bl w:val="nil"/>
                  </w:tcBorders>
                  <w:vAlign w:val="center"/>
                </w:tcPr>
                <w:p>
                  <w:pPr>
                    <w:pStyle w:val="62"/>
                    <w:widowControl w:val="0"/>
                    <w:spacing w:line="360" w:lineRule="auto"/>
                    <w:outlineLvl w:val="0"/>
                    <w:rPr>
                      <w:rFonts w:cs="Times New Roman"/>
                      <w:color w:val="auto"/>
                      <w:u w:val="single"/>
                    </w:rPr>
                  </w:pPr>
                  <w:r>
                    <w:rPr>
                      <w:rStyle w:val="63"/>
                      <w:rFonts w:cs="Times New Roman"/>
                      <w:b w:val="0"/>
                      <w:color w:val="auto"/>
                      <w:u w:val="single"/>
                    </w:rPr>
                    <w:t>145</w:t>
                  </w:r>
                </w:p>
              </w:tc>
              <w:tc>
                <w:tcPr>
                  <w:tcW w:w="767"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160</w:t>
                  </w:r>
                </w:p>
              </w:tc>
              <w:tc>
                <w:tcPr>
                  <w:tcW w:w="734"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90.63</w:t>
                  </w:r>
                </w:p>
              </w:tc>
              <w:tc>
                <w:tcPr>
                  <w:tcW w:w="684" w:type="pct"/>
                  <w:tcBorders>
                    <w:tl2br w:val="nil"/>
                    <w:tr2bl w:val="nil"/>
                  </w:tcBorders>
                  <w:vAlign w:val="center"/>
                </w:tcPr>
                <w:p>
                  <w:pPr>
                    <w:pStyle w:val="69"/>
                    <w:spacing w:line="360" w:lineRule="auto"/>
                    <w:ind w:firstLine="0" w:firstLineChars="0"/>
                    <w:jc w:val="center"/>
                    <w:rPr>
                      <w:rFonts w:ascii="Times New Roman" w:hAnsi="Times New Roman"/>
                      <w:color w:val="auto"/>
                      <w:sz w:val="21"/>
                      <w:szCs w:val="21"/>
                      <w:u w:val="single"/>
                    </w:rPr>
                  </w:pPr>
                  <w:r>
                    <w:rPr>
                      <w:rFonts w:ascii="Times New Roman" w:hAnsi="Times New Roman"/>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000" w:type="pct"/>
                  <w:gridSpan w:val="6"/>
                  <w:tcBorders>
                    <w:tl2br w:val="nil"/>
                    <w:tr2bl w:val="nil"/>
                  </w:tcBorders>
                  <w:vAlign w:val="center"/>
                </w:tcPr>
                <w:p>
                  <w:pPr>
                    <w:pStyle w:val="69"/>
                    <w:spacing w:line="360" w:lineRule="auto"/>
                    <w:ind w:firstLine="0" w:firstLineChars="0"/>
                    <w:jc w:val="left"/>
                    <w:rPr>
                      <w:rFonts w:ascii="Times New Roman" w:hAnsi="Times New Roman"/>
                      <w:color w:val="auto"/>
                      <w:sz w:val="21"/>
                      <w:szCs w:val="21"/>
                      <w:u w:val="single"/>
                    </w:rPr>
                  </w:pPr>
                  <w:r>
                    <w:rPr>
                      <w:rFonts w:ascii="Times New Roman" w:hAnsi="Times New Roman"/>
                      <w:bCs/>
                      <w:color w:val="auto"/>
                      <w:sz w:val="21"/>
                      <w:szCs w:val="21"/>
                      <w:u w:val="single"/>
                    </w:rPr>
                    <w:t>备注：根据《环境空气质量评价技术规范（试行）》(HJ633-2013)，CO取城市日均值百分之95位数；臭氧取城市日最大8小时平均百分之90位数。</w:t>
                  </w:r>
                </w:p>
              </w:tc>
            </w:tr>
          </w:tbl>
          <w:p>
            <w:pPr>
              <w:widowControl/>
              <w:spacing w:line="360" w:lineRule="auto"/>
              <w:ind w:firstLine="480" w:firstLineChars="200"/>
              <w:rPr>
                <w:rFonts w:ascii="Times New Roman" w:hAnsi="Times New Roman"/>
                <w:color w:val="auto"/>
                <w:sz w:val="24"/>
                <w:szCs w:val="22"/>
                <w:u w:val="single"/>
                <w:lang w:bidi="ar"/>
              </w:rPr>
            </w:pPr>
            <w:r>
              <w:rPr>
                <w:rFonts w:ascii="Times New Roman" w:hAnsi="Times New Roman"/>
                <w:color w:val="auto"/>
                <w:sz w:val="24"/>
                <w:szCs w:val="22"/>
                <w:u w:val="single"/>
                <w:lang w:bidi="ar"/>
              </w:rPr>
              <w:t>由上表可知，本项目所在区域的基本污染物PM</w:t>
            </w:r>
            <w:r>
              <w:rPr>
                <w:rFonts w:ascii="Times New Roman" w:hAnsi="Times New Roman"/>
                <w:color w:val="auto"/>
                <w:sz w:val="24"/>
                <w:szCs w:val="22"/>
                <w:u w:val="single"/>
                <w:vertAlign w:val="subscript"/>
                <w:lang w:bidi="ar"/>
              </w:rPr>
              <w:t>2.5</w:t>
            </w:r>
            <w:r>
              <w:rPr>
                <w:rFonts w:ascii="Times New Roman" w:hAnsi="Times New Roman"/>
                <w:color w:val="auto"/>
                <w:sz w:val="24"/>
                <w:szCs w:val="22"/>
                <w:u w:val="single"/>
                <w:lang w:bidi="ar"/>
              </w:rPr>
              <w:t>存在超标的情况，判定该区域为不达标区。</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主要原因分析：①城市建设、房屋建设工程较多，施工场地扬尘量较大，施工扬尘防治措施未落实到位；②冬季不利气候条件；建议相关部门加强监管，严格按照蓝天保卫战的大气污染防治要求落实各项防治措施。</w:t>
            </w:r>
          </w:p>
          <w:p>
            <w:pPr>
              <w:spacing w:line="360" w:lineRule="auto"/>
              <w:rPr>
                <w:rFonts w:ascii="Times New Roman" w:hAnsi="Times New Roman"/>
                <w:b/>
                <w:bCs/>
                <w:color w:val="auto"/>
                <w:sz w:val="24"/>
                <w:u w:val="single"/>
              </w:rPr>
            </w:pPr>
            <w:r>
              <w:rPr>
                <w:rFonts w:hint="eastAsia" w:ascii="Times New Roman" w:hAnsi="Times New Roman"/>
                <w:b/>
                <w:bCs/>
                <w:color w:val="auto"/>
                <w:sz w:val="24"/>
                <w:u w:val="single"/>
              </w:rPr>
              <w:t>2、</w:t>
            </w:r>
            <w:r>
              <w:rPr>
                <w:rFonts w:ascii="Times New Roman" w:hAnsi="Times New Roman"/>
                <w:b/>
                <w:bCs/>
                <w:color w:val="auto"/>
                <w:sz w:val="24"/>
                <w:u w:val="single"/>
              </w:rPr>
              <w:t>地表水环境质量现状：</w:t>
            </w:r>
          </w:p>
          <w:p>
            <w:pPr>
              <w:spacing w:line="360" w:lineRule="auto"/>
              <w:ind w:firstLine="480" w:firstLineChars="200"/>
              <w:jc w:val="left"/>
              <w:rPr>
                <w:rFonts w:ascii="Times New Roman" w:hAnsi="Times New Roman"/>
                <w:color w:val="auto"/>
                <w:sz w:val="24"/>
                <w:u w:val="single"/>
              </w:rPr>
            </w:pPr>
            <w:r>
              <w:rPr>
                <w:rFonts w:ascii="Times New Roman" w:hAnsi="Times New Roman"/>
                <w:color w:val="auto"/>
                <w:sz w:val="24"/>
                <w:u w:val="single"/>
              </w:rPr>
              <w:t>为了解项目西侧槎江的水环境质量现状，本环评引用了《邵东县仙槎桥镇黄小明五金工具制造厂年产10000吨钳子生产线建设项目环境影响报告表》中郴州市立方检测技术股份有限公司于2018年11月2日~4日的监测数据。</w:t>
            </w:r>
            <w:r>
              <w:rPr>
                <w:rFonts w:hint="eastAsia" w:ascii="Times New Roman" w:hAnsi="Times New Roman"/>
                <w:color w:val="auto"/>
                <w:sz w:val="24"/>
                <w:u w:val="single"/>
              </w:rPr>
              <w:t>该监测断面位于</w:t>
            </w:r>
            <w:r>
              <w:rPr>
                <w:rFonts w:ascii="Times New Roman" w:hAnsi="Times New Roman"/>
                <w:color w:val="auto"/>
                <w:sz w:val="24"/>
                <w:u w:val="single"/>
              </w:rPr>
              <w:t>项目地西侧槎江上游500m</w:t>
            </w:r>
            <w:r>
              <w:rPr>
                <w:rFonts w:hint="eastAsia" w:ascii="Times New Roman" w:hAnsi="Times New Roman"/>
                <w:color w:val="auto"/>
                <w:sz w:val="24"/>
                <w:u w:val="single"/>
              </w:rPr>
              <w:t>及</w:t>
            </w:r>
            <w:r>
              <w:rPr>
                <w:rFonts w:ascii="Times New Roman" w:hAnsi="Times New Roman"/>
                <w:color w:val="auto"/>
                <w:sz w:val="24"/>
                <w:u w:val="single"/>
              </w:rPr>
              <w:t>项目地西侧槎江下游1000m，</w:t>
            </w:r>
            <w:r>
              <w:rPr>
                <w:rFonts w:hint="eastAsia" w:ascii="Times New Roman" w:hAnsi="Times New Roman"/>
                <w:color w:val="auto"/>
                <w:sz w:val="24"/>
                <w:u w:val="single"/>
              </w:rPr>
              <w:t>监测数据在三年内，数据具有代表性及有效性</w:t>
            </w:r>
            <w:r>
              <w:rPr>
                <w:rFonts w:hint="eastAsia" w:ascii="Times New Roman" w:hAnsi="Times New Roman"/>
                <w:color w:val="auto"/>
                <w:sz w:val="24"/>
                <w:u w:val="single"/>
                <w:lang w:eastAsia="zh-CN"/>
              </w:rPr>
              <w:t>，且监测后该区域污染源无明天变化具有代表性</w:t>
            </w:r>
            <w:r>
              <w:rPr>
                <w:rFonts w:hint="eastAsia" w:ascii="Times New Roman" w:hAnsi="Times New Roman"/>
                <w:color w:val="auto"/>
                <w:sz w:val="24"/>
                <w:u w:val="single"/>
              </w:rPr>
              <w:t>。</w:t>
            </w:r>
            <w:r>
              <w:rPr>
                <w:rFonts w:ascii="Times New Roman" w:hAnsi="Times New Roman"/>
                <w:color w:val="auto"/>
                <w:sz w:val="24"/>
                <w:u w:val="single"/>
              </w:rPr>
              <w:t>监测结果详见表3-2。</w:t>
            </w:r>
          </w:p>
          <w:p>
            <w:pPr>
              <w:spacing w:line="360" w:lineRule="auto"/>
              <w:jc w:val="center"/>
              <w:rPr>
                <w:rFonts w:ascii="Times New Roman" w:hAnsi="Times New Roman"/>
                <w:b/>
                <w:color w:val="auto"/>
                <w:szCs w:val="21"/>
                <w:u w:val="single"/>
              </w:rPr>
            </w:pPr>
            <w:r>
              <w:rPr>
                <w:rFonts w:ascii="Times New Roman" w:hAnsi="Times New Roman"/>
                <w:b/>
                <w:color w:val="auto"/>
                <w:szCs w:val="21"/>
                <w:u w:val="single"/>
              </w:rPr>
              <w:t>表</w:t>
            </w:r>
            <w:r>
              <w:rPr>
                <w:rFonts w:hint="eastAsia" w:ascii="Times New Roman" w:hAnsi="Times New Roman"/>
                <w:b/>
                <w:color w:val="auto"/>
                <w:szCs w:val="21"/>
                <w:u w:val="single"/>
              </w:rPr>
              <w:t xml:space="preserve">3-2  </w:t>
            </w:r>
            <w:r>
              <w:rPr>
                <w:rFonts w:ascii="Times New Roman" w:hAnsi="Times New Roman"/>
                <w:b/>
                <w:color w:val="auto"/>
                <w:szCs w:val="21"/>
                <w:u w:val="single"/>
              </w:rPr>
              <w:t>地表水水质监测结果</w:t>
            </w:r>
            <w:r>
              <w:rPr>
                <w:rFonts w:hint="eastAsia" w:ascii="Times New Roman" w:hAnsi="Times New Roman"/>
                <w:b/>
                <w:color w:val="auto"/>
                <w:szCs w:val="21"/>
                <w:u w:val="single"/>
              </w:rPr>
              <w:t xml:space="preserve">    </w:t>
            </w:r>
            <w:r>
              <w:rPr>
                <w:rFonts w:ascii="Times New Roman" w:hAnsi="Times New Roman"/>
                <w:b/>
                <w:color w:val="auto"/>
                <w:szCs w:val="21"/>
                <w:u w:val="single"/>
              </w:rPr>
              <w:t>单位：mg/L，</w:t>
            </w:r>
            <w:r>
              <w:rPr>
                <w:rFonts w:ascii="Times New Roman" w:hAnsi="Times New Roman"/>
                <w:b/>
                <w:bCs/>
                <w:color w:val="auto"/>
                <w:szCs w:val="21"/>
                <w:u w:val="single"/>
              </w:rPr>
              <w:t>pH无量纲</w:t>
            </w:r>
          </w:p>
          <w:tbl>
            <w:tblPr>
              <w:tblStyle w:val="26"/>
              <w:tblW w:w="49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2"/>
              <w:gridCol w:w="1463"/>
              <w:gridCol w:w="1497"/>
              <w:gridCol w:w="1343"/>
              <w:gridCol w:w="1738"/>
              <w:gridCol w:w="1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tcBorders>
                    <w:tl2br w:val="nil"/>
                    <w:tr2bl w:val="nil"/>
                  </w:tcBorders>
                  <w:vAlign w:val="center"/>
                </w:tcPr>
                <w:p>
                  <w:pPr>
                    <w:pStyle w:val="66"/>
                    <w:adjustRightInd w:val="0"/>
                    <w:spacing w:after="0" w:line="360" w:lineRule="auto"/>
                    <w:ind w:firstLine="0" w:firstLineChars="0"/>
                    <w:rPr>
                      <w:rFonts w:ascii="Times New Roman" w:hAnsi="Times New Roman"/>
                      <w:b/>
                      <w:color w:val="auto"/>
                      <w:sz w:val="21"/>
                      <w:szCs w:val="21"/>
                      <w:u w:val="single"/>
                    </w:rPr>
                  </w:pPr>
                  <w:r>
                    <w:rPr>
                      <w:rFonts w:ascii="Times New Roman" w:hAnsi="Times New Roman"/>
                      <w:b/>
                      <w:color w:val="auto"/>
                      <w:sz w:val="21"/>
                      <w:szCs w:val="21"/>
                      <w:u w:val="single"/>
                    </w:rPr>
                    <w:t>监测点</w:t>
                  </w:r>
                </w:p>
              </w:tc>
              <w:tc>
                <w:tcPr>
                  <w:tcW w:w="830" w:type="pct"/>
                  <w:tcBorders>
                    <w:tl2br w:val="nil"/>
                    <w:tr2bl w:val="nil"/>
                  </w:tcBorders>
                  <w:vAlign w:val="center"/>
                </w:tcPr>
                <w:p>
                  <w:pPr>
                    <w:pStyle w:val="66"/>
                    <w:adjustRightInd w:val="0"/>
                    <w:spacing w:after="0" w:line="360" w:lineRule="auto"/>
                    <w:ind w:firstLine="0" w:firstLineChars="0"/>
                    <w:rPr>
                      <w:rFonts w:ascii="Times New Roman" w:hAnsi="Times New Roman"/>
                      <w:b/>
                      <w:color w:val="auto"/>
                      <w:sz w:val="21"/>
                      <w:szCs w:val="21"/>
                      <w:u w:val="single"/>
                    </w:rPr>
                  </w:pPr>
                  <w:r>
                    <w:rPr>
                      <w:rFonts w:ascii="Times New Roman" w:hAnsi="Times New Roman"/>
                      <w:b/>
                      <w:color w:val="auto"/>
                      <w:sz w:val="21"/>
                      <w:szCs w:val="21"/>
                      <w:u w:val="single"/>
                    </w:rPr>
                    <w:t>监测因子</w:t>
                  </w:r>
                </w:p>
              </w:tc>
              <w:tc>
                <w:tcPr>
                  <w:tcW w:w="849" w:type="pct"/>
                  <w:tcBorders>
                    <w:tl2br w:val="nil"/>
                    <w:tr2bl w:val="nil"/>
                  </w:tcBorders>
                  <w:vAlign w:val="center"/>
                </w:tcPr>
                <w:p>
                  <w:pPr>
                    <w:pStyle w:val="66"/>
                    <w:adjustRightInd w:val="0"/>
                    <w:spacing w:after="0" w:line="360" w:lineRule="auto"/>
                    <w:ind w:firstLine="0" w:firstLineChars="0"/>
                    <w:rPr>
                      <w:rFonts w:ascii="Times New Roman" w:hAnsi="Times New Roman"/>
                      <w:b/>
                      <w:color w:val="auto"/>
                      <w:sz w:val="21"/>
                      <w:szCs w:val="21"/>
                      <w:u w:val="single"/>
                    </w:rPr>
                  </w:pPr>
                  <w:r>
                    <w:rPr>
                      <w:rFonts w:ascii="Times New Roman" w:hAnsi="Times New Roman"/>
                      <w:b/>
                      <w:color w:val="auto"/>
                      <w:sz w:val="21"/>
                      <w:szCs w:val="21"/>
                      <w:u w:val="single"/>
                    </w:rPr>
                    <w:t>监测值</w:t>
                  </w:r>
                </w:p>
              </w:tc>
              <w:tc>
                <w:tcPr>
                  <w:tcW w:w="762" w:type="pct"/>
                  <w:tcBorders>
                    <w:tl2br w:val="nil"/>
                    <w:tr2bl w:val="nil"/>
                  </w:tcBorders>
                  <w:vAlign w:val="center"/>
                </w:tcPr>
                <w:p>
                  <w:pPr>
                    <w:pStyle w:val="66"/>
                    <w:adjustRightInd w:val="0"/>
                    <w:spacing w:after="0" w:line="360" w:lineRule="auto"/>
                    <w:ind w:firstLine="0" w:firstLineChars="0"/>
                    <w:rPr>
                      <w:rFonts w:ascii="Times New Roman" w:hAnsi="Times New Roman"/>
                      <w:b/>
                      <w:color w:val="auto"/>
                      <w:sz w:val="21"/>
                      <w:szCs w:val="21"/>
                      <w:u w:val="single"/>
                    </w:rPr>
                  </w:pPr>
                  <w:r>
                    <w:rPr>
                      <w:rFonts w:ascii="Times New Roman" w:hAnsi="Times New Roman"/>
                      <w:b/>
                      <w:color w:val="auto"/>
                      <w:sz w:val="21"/>
                      <w:szCs w:val="21"/>
                      <w:u w:val="single"/>
                    </w:rPr>
                    <w:t>标准限值</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b/>
                      <w:color w:val="auto"/>
                      <w:sz w:val="21"/>
                      <w:szCs w:val="21"/>
                      <w:u w:val="single"/>
                    </w:rPr>
                  </w:pPr>
                  <w:r>
                    <w:rPr>
                      <w:rFonts w:ascii="Times New Roman" w:hAnsi="Times New Roman"/>
                      <w:b/>
                      <w:color w:val="auto"/>
                      <w:sz w:val="21"/>
                      <w:szCs w:val="21"/>
                      <w:u w:val="single"/>
                    </w:rPr>
                    <w:t>最大超标倍数</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b/>
                      <w:color w:val="auto"/>
                      <w:sz w:val="21"/>
                      <w:szCs w:val="21"/>
                      <w:u w:val="single"/>
                    </w:rPr>
                  </w:pPr>
                  <w:r>
                    <w:rPr>
                      <w:rFonts w:ascii="Times New Roman" w:hAnsi="Times New Roman"/>
                      <w:b/>
                      <w:color w:val="auto"/>
                      <w:sz w:val="21"/>
                      <w:szCs w:val="21"/>
                      <w:u w:val="single"/>
                    </w:rPr>
                    <w:t>超标率（</w:t>
                  </w:r>
                  <w:r>
                    <w:rPr>
                      <w:rFonts w:hint="eastAsia" w:ascii="Times New Roman" w:hAnsi="Times New Roman"/>
                      <w:b/>
                      <w:color w:val="auto"/>
                      <w:sz w:val="21"/>
                      <w:szCs w:val="21"/>
                      <w:u w:val="single"/>
                    </w:rPr>
                    <w:t>%</w:t>
                  </w:r>
                  <w:r>
                    <w:rPr>
                      <w:rFonts w:ascii="Times New Roman" w:hAnsi="Times New Roman"/>
                      <w:b/>
                      <w:color w:val="auto"/>
                      <w:sz w:val="21"/>
                      <w:szCs w:val="21"/>
                      <w:u w:val="singl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restar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kern w:val="0"/>
                      <w:szCs w:val="21"/>
                      <w:u w:val="single"/>
                    </w:rPr>
                    <w:t>W1槎江上游500m</w:t>
                  </w: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pH</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7.01-7.45</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6~9</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COD</w:t>
                  </w:r>
                  <w:r>
                    <w:rPr>
                      <w:rFonts w:ascii="Times New Roman" w:hAnsi="Times New Roman"/>
                      <w:color w:val="auto"/>
                      <w:szCs w:val="21"/>
                      <w:u w:val="single"/>
                      <w:vertAlign w:val="subscript"/>
                    </w:rPr>
                    <w:t>cr</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8</w:t>
                  </w:r>
                  <w:r>
                    <w:rPr>
                      <w:rFonts w:hint="eastAsia" w:ascii="Times New Roman" w:hAnsi="Times New Roman"/>
                      <w:color w:val="auto"/>
                      <w:szCs w:val="21"/>
                      <w:u w:val="single"/>
                    </w:rPr>
                    <w:t>.4-10.2</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BOD</w:t>
                  </w:r>
                  <w:r>
                    <w:rPr>
                      <w:rFonts w:ascii="Times New Roman" w:hAnsi="Times New Roman"/>
                      <w:color w:val="auto"/>
                      <w:szCs w:val="21"/>
                      <w:u w:val="single"/>
                      <w:vertAlign w:val="subscript"/>
                    </w:rPr>
                    <w:t>5</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2.5-3.1</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≤4.0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NH</w:t>
                  </w:r>
                  <w:r>
                    <w:rPr>
                      <w:rFonts w:ascii="Times New Roman" w:hAnsi="Times New Roman"/>
                      <w:color w:val="auto"/>
                      <w:szCs w:val="21"/>
                      <w:u w:val="single"/>
                      <w:vertAlign w:val="subscript"/>
                    </w:rPr>
                    <w:t>3</w:t>
                  </w:r>
                  <w:r>
                    <w:rPr>
                      <w:rFonts w:ascii="Times New Roman" w:hAnsi="Times New Roman"/>
                      <w:color w:val="auto"/>
                      <w:szCs w:val="21"/>
                      <w:u w:val="single"/>
                    </w:rPr>
                    <w:t>-N</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0.052-0.084</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≤1.0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SS</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8-1</w:t>
                  </w:r>
                  <w:r>
                    <w:rPr>
                      <w:rFonts w:hint="eastAsia" w:ascii="Times New Roman" w:hAnsi="Times New Roman"/>
                      <w:color w:val="auto"/>
                      <w:szCs w:val="21"/>
                      <w:u w:val="single"/>
                    </w:rPr>
                    <w:t>0</w:t>
                  </w:r>
                </w:p>
              </w:tc>
              <w:tc>
                <w:tcPr>
                  <w:tcW w:w="762" w:type="pct"/>
                  <w:tcBorders>
                    <w:tl2br w:val="nil"/>
                    <w:tr2bl w:val="nil"/>
                  </w:tcBorders>
                  <w:vAlign w:val="center"/>
                </w:tcPr>
                <w:p>
                  <w:pPr>
                    <w:adjustRightInd w:val="0"/>
                    <w:snapToGrid w:val="0"/>
                    <w:spacing w:line="360" w:lineRule="auto"/>
                    <w:jc w:val="center"/>
                    <w:rPr>
                      <w:rFonts w:ascii="Times New Roman" w:hAnsi="Times New Roman"/>
                      <w:bCs/>
                      <w:color w:val="auto"/>
                      <w:szCs w:val="21"/>
                      <w:u w:val="single"/>
                    </w:rPr>
                  </w:pPr>
                  <w:r>
                    <w:rPr>
                      <w:rFonts w:ascii="Times New Roman" w:hAnsi="Times New Roman"/>
                      <w:color w:val="auto"/>
                      <w:szCs w:val="21"/>
                      <w:u w:val="single"/>
                    </w:rPr>
                    <w:t>/</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石油类</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0.03-0.04</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≤0.05</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粪大肠菌群</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230-430</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≤10000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restar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kern w:val="0"/>
                      <w:szCs w:val="21"/>
                      <w:u w:val="single"/>
                    </w:rPr>
                    <w:t>W2槎江下游1000m</w:t>
                  </w: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pH</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6.95-7.41</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6~9</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COD</w:t>
                  </w:r>
                  <w:r>
                    <w:rPr>
                      <w:rFonts w:ascii="Times New Roman" w:hAnsi="Times New Roman"/>
                      <w:color w:val="auto"/>
                      <w:szCs w:val="21"/>
                      <w:u w:val="single"/>
                      <w:vertAlign w:val="subscript"/>
                    </w:rPr>
                    <w:t>cr</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hint="eastAsia" w:ascii="Times New Roman" w:hAnsi="Times New Roman"/>
                      <w:color w:val="auto"/>
                      <w:szCs w:val="21"/>
                      <w:u w:val="single"/>
                    </w:rPr>
                    <w:t>7.3-9.9</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BOD</w:t>
                  </w:r>
                  <w:r>
                    <w:rPr>
                      <w:rFonts w:ascii="Times New Roman" w:hAnsi="Times New Roman"/>
                      <w:color w:val="auto"/>
                      <w:szCs w:val="21"/>
                      <w:u w:val="single"/>
                      <w:vertAlign w:val="subscript"/>
                    </w:rPr>
                    <w:t>5</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2.2-3.0</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≤4.0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NH</w:t>
                  </w:r>
                  <w:r>
                    <w:rPr>
                      <w:rFonts w:ascii="Times New Roman" w:hAnsi="Times New Roman"/>
                      <w:color w:val="auto"/>
                      <w:szCs w:val="21"/>
                      <w:u w:val="single"/>
                      <w:vertAlign w:val="subscript"/>
                    </w:rPr>
                    <w:t>3</w:t>
                  </w:r>
                  <w:r>
                    <w:rPr>
                      <w:rFonts w:ascii="Times New Roman" w:hAnsi="Times New Roman"/>
                      <w:color w:val="auto"/>
                      <w:szCs w:val="21"/>
                      <w:u w:val="single"/>
                    </w:rPr>
                    <w:t>-N</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hint="eastAsia" w:ascii="Times New Roman" w:hAnsi="Times New Roman"/>
                      <w:color w:val="auto"/>
                      <w:szCs w:val="21"/>
                      <w:u w:val="single"/>
                    </w:rPr>
                    <w:t>0.058-0.081</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≤1.0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SS</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6-10</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石油类</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0.02-0.04</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≤0.05</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50" w:type="pct"/>
                  <w:vMerge w:val="continue"/>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p>
              </w:tc>
              <w:tc>
                <w:tcPr>
                  <w:tcW w:w="830"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粪大肠菌群</w:t>
                  </w:r>
                </w:p>
              </w:tc>
              <w:tc>
                <w:tcPr>
                  <w:tcW w:w="849"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270-330</w:t>
                  </w:r>
                </w:p>
              </w:tc>
              <w:tc>
                <w:tcPr>
                  <w:tcW w:w="762" w:type="pct"/>
                  <w:tcBorders>
                    <w:tl2br w:val="nil"/>
                    <w:tr2bl w:val="nil"/>
                  </w:tcBorders>
                  <w:vAlign w:val="center"/>
                </w:tcPr>
                <w:p>
                  <w:pPr>
                    <w:adjustRightInd w:val="0"/>
                    <w:snapToGrid w:val="0"/>
                    <w:spacing w:line="360" w:lineRule="auto"/>
                    <w:jc w:val="center"/>
                    <w:rPr>
                      <w:rFonts w:ascii="Times New Roman" w:hAnsi="Times New Roman"/>
                      <w:color w:val="auto"/>
                      <w:szCs w:val="21"/>
                      <w:u w:val="single"/>
                    </w:rPr>
                  </w:pPr>
                  <w:r>
                    <w:rPr>
                      <w:rFonts w:ascii="Times New Roman" w:hAnsi="Times New Roman"/>
                      <w:color w:val="auto"/>
                      <w:szCs w:val="21"/>
                      <w:u w:val="single"/>
                    </w:rPr>
                    <w:t>≤10000</w:t>
                  </w:r>
                </w:p>
              </w:tc>
              <w:tc>
                <w:tcPr>
                  <w:tcW w:w="986"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c>
                <w:tcPr>
                  <w:tcW w:w="820" w:type="pct"/>
                  <w:tcBorders>
                    <w:tl2br w:val="nil"/>
                    <w:tr2bl w:val="nil"/>
                  </w:tcBorders>
                  <w:vAlign w:val="center"/>
                </w:tcPr>
                <w:p>
                  <w:pPr>
                    <w:pStyle w:val="66"/>
                    <w:adjustRightInd w:val="0"/>
                    <w:spacing w:after="0" w:line="360" w:lineRule="auto"/>
                    <w:ind w:firstLine="0" w:firstLineChars="0"/>
                    <w:rPr>
                      <w:rFonts w:ascii="Times New Roman" w:hAnsi="Times New Roman"/>
                      <w:color w:val="auto"/>
                      <w:sz w:val="21"/>
                      <w:szCs w:val="21"/>
                      <w:u w:val="single"/>
                    </w:rPr>
                  </w:pPr>
                  <w:r>
                    <w:rPr>
                      <w:rFonts w:ascii="Times New Roman" w:hAnsi="Times New Roman"/>
                      <w:color w:val="auto"/>
                      <w:sz w:val="21"/>
                      <w:szCs w:val="21"/>
                      <w:u w:val="single"/>
                    </w:rPr>
                    <w:t>0</w:t>
                  </w:r>
                </w:p>
              </w:tc>
            </w:tr>
          </w:tbl>
          <w:p>
            <w:pPr>
              <w:spacing w:line="360" w:lineRule="auto"/>
              <w:jc w:val="right"/>
              <w:rPr>
                <w:rFonts w:ascii="Times New Roman" w:hAnsi="Times New Roman"/>
                <w:b/>
                <w:color w:val="auto"/>
                <w:szCs w:val="21"/>
                <w:u w:val="single"/>
              </w:rPr>
            </w:pPr>
          </w:p>
          <w:p>
            <w:pPr>
              <w:pStyle w:val="67"/>
              <w:spacing w:line="360" w:lineRule="auto"/>
              <w:rPr>
                <w:rFonts w:ascii="Times New Roman" w:hAnsi="Times New Roman"/>
                <w:color w:val="auto"/>
                <w:u w:val="single"/>
              </w:rPr>
            </w:pPr>
            <w:r>
              <w:rPr>
                <w:rFonts w:hint="eastAsia" w:ascii="Times New Roman" w:hAnsi="Times New Roman"/>
                <w:color w:val="auto"/>
                <w:szCs w:val="24"/>
                <w:u w:val="single"/>
              </w:rPr>
              <w:t>由上表监测结果可知，区域污染源排放无明显变化，监测数据具有代表性。</w:t>
            </w:r>
            <w:r>
              <w:rPr>
                <w:rFonts w:ascii="Times New Roman" w:hAnsi="Times New Roman"/>
                <w:color w:val="auto"/>
                <w:szCs w:val="24"/>
                <w:u w:val="single"/>
              </w:rPr>
              <w:t>项目地东侧槎江各监测因子浓度均符合足《地表水环境质量标准》（GB3838-2002）中的Ⅲ类标准要求，槎江</w:t>
            </w:r>
            <w:r>
              <w:rPr>
                <w:rFonts w:hint="eastAsia" w:ascii="Times New Roman" w:hAnsi="Times New Roman"/>
                <w:color w:val="auto"/>
                <w:szCs w:val="24"/>
                <w:u w:val="single"/>
              </w:rPr>
              <w:t>地表水环境质量良好</w:t>
            </w:r>
            <w:r>
              <w:rPr>
                <w:rFonts w:ascii="Times New Roman" w:hAnsi="Times New Roman"/>
                <w:color w:val="auto"/>
                <w:u w:val="single"/>
              </w:rPr>
              <w:t>。</w:t>
            </w:r>
          </w:p>
          <w:p>
            <w:pPr>
              <w:tabs>
                <w:tab w:val="left" w:pos="8085"/>
              </w:tabs>
              <w:spacing w:line="360" w:lineRule="auto"/>
              <w:rPr>
                <w:rFonts w:ascii="Times New Roman" w:hAnsi="Times New Roman"/>
                <w:b/>
                <w:bCs/>
                <w:color w:val="auto"/>
                <w:sz w:val="24"/>
                <w:u w:val="single"/>
              </w:rPr>
            </w:pPr>
            <w:r>
              <w:rPr>
                <w:rFonts w:hint="eastAsia" w:ascii="Times New Roman" w:hAnsi="Times New Roman"/>
                <w:b/>
                <w:bCs/>
                <w:color w:val="auto"/>
                <w:sz w:val="24"/>
                <w:u w:val="single"/>
              </w:rPr>
              <w:t>3、</w:t>
            </w:r>
            <w:r>
              <w:rPr>
                <w:rFonts w:ascii="Times New Roman" w:hAnsi="Times New Roman"/>
                <w:b/>
                <w:bCs/>
                <w:color w:val="auto"/>
                <w:sz w:val="24"/>
                <w:u w:val="single"/>
              </w:rPr>
              <w:t>声环境质量现状：</w:t>
            </w:r>
          </w:p>
          <w:p>
            <w:pPr>
              <w:snapToGrid w:val="0"/>
              <w:spacing w:line="360" w:lineRule="auto"/>
              <w:ind w:firstLine="480" w:firstLineChars="200"/>
              <w:rPr>
                <w:rFonts w:ascii="Times New Roman" w:hAnsi="Times New Roman"/>
                <w:color w:val="auto"/>
                <w:sz w:val="24"/>
                <w:u w:val="single"/>
              </w:rPr>
            </w:pPr>
            <w:r>
              <w:rPr>
                <w:rFonts w:ascii="Times New Roman" w:hAnsi="Times New Roman"/>
                <w:color w:val="auto"/>
                <w:kern w:val="0"/>
                <w:sz w:val="24"/>
                <w:u w:val="single"/>
              </w:rPr>
              <w:t>根据《建设项目环境影响报告表编制技术指南（</w:t>
            </w:r>
            <w:r>
              <w:rPr>
                <w:rFonts w:hint="eastAsia" w:ascii="Times New Roman" w:hAnsi="Times New Roman"/>
                <w:color w:val="auto"/>
                <w:kern w:val="0"/>
                <w:sz w:val="24"/>
                <w:u w:val="single"/>
              </w:rPr>
              <w:t>污染</w:t>
            </w:r>
            <w:r>
              <w:rPr>
                <w:rFonts w:ascii="Times New Roman" w:hAnsi="Times New Roman"/>
                <w:color w:val="auto"/>
                <w:kern w:val="0"/>
                <w:sz w:val="24"/>
                <w:u w:val="single"/>
              </w:rPr>
              <w:t>影响类）（试行）》</w:t>
            </w:r>
            <w:r>
              <w:rPr>
                <w:rFonts w:hint="eastAsia" w:ascii="Times New Roman" w:hAnsi="Times New Roman"/>
                <w:color w:val="auto"/>
                <w:kern w:val="0"/>
                <w:sz w:val="24"/>
                <w:u w:val="single"/>
              </w:rPr>
              <w:t>：“厂界外周边50米范围内存在声环境保护目标的建设项目，应监测保护目标声环境质量现状并评价达标情况。”根据现场勘查，本项目处于五金工业园内，且厂界周边50米范围内不存在居民等声环境保护目标，故本项目未进行</w:t>
            </w:r>
            <w:r>
              <w:rPr>
                <w:color w:val="auto"/>
                <w:sz w:val="24"/>
                <w:u w:val="single"/>
              </w:rPr>
              <w:t>声环境质量现状</w:t>
            </w:r>
            <w:r>
              <w:rPr>
                <w:rFonts w:hint="eastAsia"/>
                <w:color w:val="auto"/>
                <w:sz w:val="24"/>
                <w:u w:val="single"/>
              </w:rPr>
              <w:t>监测。</w:t>
            </w:r>
          </w:p>
          <w:p>
            <w:pPr>
              <w:adjustRightInd w:val="0"/>
              <w:snapToGrid w:val="0"/>
              <w:spacing w:line="360" w:lineRule="auto"/>
              <w:rPr>
                <w:b/>
                <w:bCs/>
                <w:color w:val="auto"/>
                <w:kern w:val="0"/>
                <w:sz w:val="24"/>
                <w:u w:val="single"/>
              </w:rPr>
            </w:pPr>
            <w:r>
              <w:rPr>
                <w:rFonts w:hint="eastAsia" w:ascii="Times New Roman" w:hAnsi="Times New Roman"/>
                <w:b/>
                <w:bCs/>
                <w:color w:val="auto"/>
                <w:sz w:val="24"/>
                <w:u w:val="single"/>
              </w:rPr>
              <w:t>4、</w:t>
            </w:r>
            <w:r>
              <w:rPr>
                <w:b/>
                <w:bCs/>
                <w:color w:val="auto"/>
                <w:kern w:val="0"/>
                <w:sz w:val="24"/>
                <w:u w:val="single"/>
              </w:rPr>
              <w:t>土壤现状调查与评价</w:t>
            </w:r>
          </w:p>
          <w:p>
            <w:pPr>
              <w:widowControl/>
              <w:adjustRightInd w:val="0"/>
              <w:snapToGrid w:val="0"/>
              <w:spacing w:line="360" w:lineRule="auto"/>
              <w:ind w:firstLine="480" w:firstLineChars="200"/>
              <w:jc w:val="left"/>
              <w:rPr>
                <w:rFonts w:ascii="Times New Roman" w:hAnsi="Times New Roman"/>
                <w:color w:val="auto"/>
                <w:sz w:val="24"/>
                <w:u w:val="single"/>
              </w:rPr>
            </w:pPr>
            <w:r>
              <w:rPr>
                <w:rFonts w:ascii="Times New Roman" w:hAnsi="Times New Roman"/>
                <w:color w:val="auto"/>
                <w:sz w:val="24"/>
                <w:u w:val="single"/>
              </w:rPr>
              <w:t>经查阅《环境影响评价技术导则土壤环境（试行）》（HJ964-2018）附录A表A.1，本项目属于</w:t>
            </w:r>
            <w:r>
              <w:rPr>
                <w:rFonts w:hint="eastAsia" w:ascii="Times New Roman" w:hAnsi="Times New Roman"/>
                <w:color w:val="auto"/>
                <w:sz w:val="24"/>
                <w:u w:val="single"/>
              </w:rPr>
              <w:t>手工具制造</w:t>
            </w:r>
            <w:r>
              <w:rPr>
                <w:rFonts w:ascii="Times New Roman" w:hAnsi="Times New Roman"/>
                <w:color w:val="auto"/>
                <w:sz w:val="24"/>
                <w:u w:val="single"/>
              </w:rPr>
              <w:t>，属于附录A土壤环境影响评价行业分类表中</w:t>
            </w:r>
            <w:r>
              <w:rPr>
                <w:rFonts w:hint="eastAsia" w:ascii="Times New Roman" w:hAnsi="Times New Roman"/>
                <w:color w:val="auto"/>
                <w:sz w:val="24"/>
                <w:u w:val="single"/>
              </w:rPr>
              <w:t>“</w:t>
            </w:r>
            <w:r>
              <w:rPr>
                <w:rFonts w:ascii="Times New Roman" w:hAnsi="Times New Roman"/>
                <w:color w:val="auto"/>
                <w:sz w:val="24"/>
                <w:u w:val="single"/>
              </w:rPr>
              <w:t>设备制造、金属制造、汽车制造及其他用品制造</w:t>
            </w:r>
            <w:r>
              <w:rPr>
                <w:rFonts w:hint="eastAsia" w:ascii="Times New Roman" w:hAnsi="Times New Roman"/>
                <w:color w:val="auto"/>
                <w:sz w:val="24"/>
                <w:u w:val="single"/>
              </w:rPr>
              <w:t>”</w:t>
            </w:r>
            <w:r>
              <w:rPr>
                <w:rFonts w:ascii="Times New Roman" w:hAnsi="Times New Roman"/>
                <w:color w:val="auto"/>
                <w:sz w:val="24"/>
                <w:u w:val="single"/>
              </w:rPr>
              <w:t>行业--</w:t>
            </w:r>
            <w:r>
              <w:rPr>
                <w:rFonts w:hint="eastAsia" w:ascii="Times New Roman" w:hAnsi="Times New Roman"/>
                <w:color w:val="auto"/>
                <w:sz w:val="24"/>
                <w:u w:val="single"/>
              </w:rPr>
              <w:t>“其他”</w:t>
            </w:r>
            <w:r>
              <w:rPr>
                <w:rFonts w:ascii="Times New Roman" w:hAnsi="Times New Roman"/>
                <w:color w:val="auto"/>
                <w:sz w:val="24"/>
                <w:u w:val="single"/>
              </w:rPr>
              <w:t>判断类别为Ⅲ类项目，占地规模为小型，土壤敏感程度为</w:t>
            </w:r>
            <w:r>
              <w:rPr>
                <w:rFonts w:hint="eastAsia" w:ascii="Times New Roman" w:hAnsi="Times New Roman"/>
                <w:color w:val="auto"/>
                <w:sz w:val="24"/>
                <w:u w:val="single"/>
              </w:rPr>
              <w:t>不</w:t>
            </w:r>
            <w:r>
              <w:rPr>
                <w:rFonts w:ascii="Times New Roman" w:hAnsi="Times New Roman"/>
                <w:color w:val="auto"/>
                <w:sz w:val="24"/>
                <w:u w:val="single"/>
              </w:rPr>
              <w:t>敏感，本项目</w:t>
            </w:r>
            <w:r>
              <w:rPr>
                <w:rFonts w:hint="eastAsia" w:ascii="Times New Roman" w:hAnsi="Times New Roman"/>
                <w:color w:val="auto"/>
                <w:sz w:val="24"/>
                <w:u w:val="single"/>
              </w:rPr>
              <w:t>原则上可不展开</w:t>
            </w:r>
            <w:r>
              <w:rPr>
                <w:rFonts w:ascii="Times New Roman" w:hAnsi="Times New Roman"/>
                <w:color w:val="auto"/>
                <w:sz w:val="24"/>
                <w:u w:val="single"/>
              </w:rPr>
              <w:t>土壤环境质量现状调查。</w:t>
            </w:r>
          </w:p>
          <w:p>
            <w:pPr>
              <w:tabs>
                <w:tab w:val="left" w:pos="8085"/>
              </w:tabs>
              <w:spacing w:line="360" w:lineRule="auto"/>
              <w:rPr>
                <w:rFonts w:ascii="Times New Roman" w:hAnsi="Times New Roman"/>
                <w:b/>
                <w:bCs/>
                <w:color w:val="auto"/>
                <w:sz w:val="24"/>
                <w:u w:val="single"/>
              </w:rPr>
            </w:pPr>
            <w:r>
              <w:rPr>
                <w:rFonts w:hint="eastAsia" w:ascii="Times New Roman" w:hAnsi="Times New Roman"/>
                <w:b/>
                <w:bCs/>
                <w:color w:val="auto"/>
                <w:sz w:val="24"/>
                <w:u w:val="single"/>
              </w:rPr>
              <w:t>5、</w:t>
            </w:r>
            <w:r>
              <w:rPr>
                <w:rFonts w:ascii="Times New Roman" w:hAnsi="Times New Roman"/>
                <w:b/>
                <w:bCs/>
                <w:color w:val="auto"/>
                <w:sz w:val="24"/>
                <w:u w:val="single"/>
              </w:rPr>
              <w:t>地下水环境现状调查与评价：</w:t>
            </w:r>
          </w:p>
          <w:p>
            <w:pPr>
              <w:pStyle w:val="11"/>
              <w:spacing w:line="360" w:lineRule="auto"/>
              <w:ind w:firstLine="480" w:firstLineChars="200"/>
              <w:rPr>
                <w:rFonts w:ascii="Times New Roman" w:hAnsi="Times New Roman"/>
                <w:color w:val="auto"/>
                <w:kern w:val="0"/>
                <w:szCs w:val="21"/>
              </w:rPr>
            </w:pPr>
            <w:r>
              <w:rPr>
                <w:rFonts w:ascii="Times New Roman" w:hAnsi="Times New Roman"/>
                <w:color w:val="auto"/>
                <w:sz w:val="24"/>
                <w:u w:val="single"/>
              </w:rPr>
              <w:t>根据《环境影响评价技术导则地下水环境》（HJ 610-2016）中规定，本项目属于附录A中</w:t>
            </w:r>
            <w:r>
              <w:rPr>
                <w:rFonts w:hint="eastAsia" w:ascii="宋体" w:hAnsi="宋体" w:cs="宋体"/>
                <w:color w:val="auto"/>
                <w:sz w:val="24"/>
                <w:u w:val="single"/>
              </w:rPr>
              <w:t>“</w:t>
            </w:r>
            <w:r>
              <w:rPr>
                <w:rFonts w:ascii="Times New Roman" w:hAnsi="Times New Roman"/>
                <w:color w:val="auto"/>
                <w:sz w:val="24"/>
                <w:u w:val="single"/>
              </w:rPr>
              <w:t>I 金属制品 53金属制品加工制</w:t>
            </w:r>
            <w:r>
              <w:rPr>
                <w:rFonts w:hint="eastAsia" w:ascii="宋体" w:hAnsi="宋体" w:cs="宋体"/>
                <w:color w:val="auto"/>
                <w:sz w:val="24"/>
                <w:u w:val="single"/>
              </w:rPr>
              <w:t>造”中</w:t>
            </w:r>
            <w:r>
              <w:rPr>
                <w:rFonts w:ascii="Times New Roman" w:hAnsi="Times New Roman"/>
                <w:color w:val="auto"/>
                <w:sz w:val="24"/>
                <w:u w:val="single"/>
              </w:rPr>
              <w:t>IV类项目，</w:t>
            </w:r>
            <w:r>
              <w:rPr>
                <w:rFonts w:hint="eastAsia"/>
                <w:color w:val="auto"/>
                <w:u w:val="single"/>
              </w:rPr>
              <w:t>项目不存在地下水土壤途径污染</w:t>
            </w:r>
            <w:r>
              <w:rPr>
                <w:rFonts w:hint="eastAsia"/>
                <w:color w:val="auto"/>
                <w:u w:val="single"/>
                <w:lang w:eastAsia="zh-CN"/>
              </w:rPr>
              <w:t>。</w:t>
            </w:r>
            <w:r>
              <w:rPr>
                <w:rFonts w:ascii="Times New Roman" w:hAnsi="Times New Roman"/>
                <w:color w:val="auto"/>
                <w:sz w:val="24"/>
                <w:u w:val="single"/>
              </w:rPr>
              <w:t>因此本项目</w:t>
            </w:r>
            <w:r>
              <w:rPr>
                <w:rFonts w:hint="eastAsia" w:ascii="Times New Roman" w:hAnsi="Times New Roman"/>
                <w:color w:val="auto"/>
                <w:sz w:val="24"/>
                <w:u w:val="single"/>
              </w:rPr>
              <w:t>原则上</w:t>
            </w:r>
            <w:r>
              <w:rPr>
                <w:rFonts w:ascii="Times New Roman" w:hAnsi="Times New Roman"/>
                <w:color w:val="auto"/>
                <w:sz w:val="24"/>
                <w:u w:val="single"/>
              </w:rPr>
              <w:t>可不开展地下水环境影响评价</w:t>
            </w:r>
            <w:r>
              <w:rPr>
                <w:rFonts w:ascii="Times New Roman" w:hAnsi="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 w:type="pct"/>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环境</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保护</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目标</w:t>
            </w:r>
          </w:p>
        </w:tc>
        <w:tc>
          <w:tcPr>
            <w:tcW w:w="4783" w:type="pct"/>
            <w:vAlign w:val="center"/>
          </w:tcPr>
          <w:p>
            <w:pPr>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评价范围内无自然保护区、风景旅游点和文物古迹等需要特殊保护的环境敏感对象，总体上不因本项目的实施而改变区域环境现有功能，具体环境保护目标如下：</w:t>
            </w:r>
          </w:p>
          <w:p>
            <w:pPr>
              <w:jc w:val="center"/>
              <w:rPr>
                <w:rFonts w:ascii="Times New Roman" w:hAnsi="Times New Roman"/>
                <w:b/>
                <w:bCs/>
                <w:color w:val="auto"/>
                <w:szCs w:val="21"/>
              </w:rPr>
            </w:pPr>
            <w:r>
              <w:rPr>
                <w:rFonts w:ascii="Times New Roman" w:hAnsi="Times New Roman"/>
                <w:b/>
                <w:bCs/>
                <w:color w:val="auto"/>
                <w:szCs w:val="21"/>
              </w:rPr>
              <w:t>表</w:t>
            </w:r>
            <w:r>
              <w:rPr>
                <w:rFonts w:hint="eastAsia" w:ascii="Times New Roman" w:hAnsi="Times New Roman"/>
                <w:b/>
                <w:bCs/>
                <w:color w:val="auto"/>
                <w:szCs w:val="21"/>
              </w:rPr>
              <w:t xml:space="preserve">3-3 </w:t>
            </w:r>
            <w:r>
              <w:rPr>
                <w:rFonts w:ascii="Times New Roman" w:hAnsi="Times New Roman"/>
                <w:b/>
                <w:bCs/>
                <w:color w:val="auto"/>
                <w:szCs w:val="21"/>
              </w:rPr>
              <w:t xml:space="preserve"> 本项目周边主要境敏感保护目标</w:t>
            </w:r>
          </w:p>
          <w:tbl>
            <w:tblPr>
              <w:tblStyle w:val="26"/>
              <w:tblW w:w="4997" w:type="pct"/>
              <w:tblInd w:w="0" w:type="dxa"/>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8"/>
              <w:gridCol w:w="1689"/>
              <w:gridCol w:w="833"/>
              <w:gridCol w:w="833"/>
              <w:gridCol w:w="1423"/>
              <w:gridCol w:w="1404"/>
              <w:gridCol w:w="2035"/>
            </w:tblGrid>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392" w:type="pct"/>
                  <w:vMerge w:val="restar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类别</w:t>
                  </w:r>
                </w:p>
              </w:tc>
              <w:tc>
                <w:tcPr>
                  <w:tcW w:w="947" w:type="pct"/>
                  <w:vMerge w:val="restar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主要保护目标</w:t>
                  </w:r>
                </w:p>
              </w:tc>
              <w:tc>
                <w:tcPr>
                  <w:tcW w:w="934" w:type="pct"/>
                  <w:gridSpan w:val="2"/>
                  <w:tcBorders>
                    <w:tl2br w:val="nil"/>
                    <w:tr2bl w:val="nil"/>
                  </w:tcBorders>
                  <w:vAlign w:val="center"/>
                </w:tcPr>
                <w:p>
                  <w:pPr>
                    <w:jc w:val="center"/>
                    <w:rPr>
                      <w:rFonts w:ascii="Times New Roman" w:hAnsi="Times New Roman"/>
                      <w:b/>
                      <w:bCs/>
                      <w:color w:val="auto"/>
                      <w:szCs w:val="21"/>
                    </w:rPr>
                  </w:pPr>
                  <w:r>
                    <w:rPr>
                      <w:rFonts w:hint="eastAsia" w:ascii="Times New Roman" w:hAnsi="Times New Roman"/>
                      <w:b/>
                      <w:bCs/>
                      <w:color w:val="auto"/>
                      <w:szCs w:val="21"/>
                    </w:rPr>
                    <w:t>坐标/m</w:t>
                  </w:r>
                </w:p>
              </w:tc>
              <w:tc>
                <w:tcPr>
                  <w:tcW w:w="798" w:type="pct"/>
                  <w:vMerge w:val="restart"/>
                  <w:tcBorders>
                    <w:tl2br w:val="nil"/>
                    <w:tr2bl w:val="nil"/>
                  </w:tcBorders>
                  <w:vAlign w:val="center"/>
                </w:tcPr>
                <w:p>
                  <w:pPr>
                    <w:jc w:val="center"/>
                    <w:rPr>
                      <w:rFonts w:ascii="Times New Roman" w:hAnsi="Times New Roman"/>
                      <w:b/>
                      <w:bCs/>
                      <w:color w:val="auto"/>
                      <w:szCs w:val="21"/>
                    </w:rPr>
                  </w:pPr>
                  <w:r>
                    <w:rPr>
                      <w:rFonts w:hint="eastAsia" w:ascii="Times New Roman" w:hAnsi="Times New Roman"/>
                      <w:b/>
                      <w:bCs/>
                      <w:color w:val="auto"/>
                      <w:szCs w:val="21"/>
                    </w:rPr>
                    <w:t>功能</w:t>
                  </w:r>
                  <w:r>
                    <w:rPr>
                      <w:rFonts w:ascii="Times New Roman" w:hAnsi="Times New Roman"/>
                      <w:b/>
                      <w:bCs/>
                      <w:color w:val="auto"/>
                      <w:szCs w:val="21"/>
                    </w:rPr>
                    <w:t>规模</w:t>
                  </w:r>
                </w:p>
              </w:tc>
              <w:tc>
                <w:tcPr>
                  <w:tcW w:w="786" w:type="pct"/>
                  <w:vMerge w:val="restar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方位，距离</w:t>
                  </w:r>
                </w:p>
              </w:tc>
              <w:tc>
                <w:tcPr>
                  <w:tcW w:w="1141" w:type="pct"/>
                  <w:vMerge w:val="restart"/>
                  <w:tcBorders>
                    <w:tl2br w:val="nil"/>
                    <w:tr2bl w:val="nil"/>
                  </w:tcBorders>
                  <w:vAlign w:val="center"/>
                </w:tcPr>
                <w:p>
                  <w:pPr>
                    <w:jc w:val="center"/>
                    <w:rPr>
                      <w:rFonts w:ascii="Times New Roman" w:hAnsi="Times New Roman"/>
                      <w:b/>
                      <w:bCs/>
                      <w:color w:val="auto"/>
                      <w:szCs w:val="21"/>
                    </w:rPr>
                  </w:pPr>
                  <w:r>
                    <w:rPr>
                      <w:rFonts w:ascii="Times New Roman" w:hAnsi="Times New Roman"/>
                      <w:b/>
                      <w:bCs/>
                      <w:color w:val="auto"/>
                      <w:szCs w:val="21"/>
                    </w:rPr>
                    <w:t>保护级别</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392" w:type="pct"/>
                  <w:vMerge w:val="continue"/>
                  <w:tcBorders>
                    <w:tl2br w:val="nil"/>
                    <w:tr2bl w:val="nil"/>
                  </w:tcBorders>
                  <w:vAlign w:val="center"/>
                </w:tcPr>
                <w:p>
                  <w:pPr>
                    <w:jc w:val="center"/>
                    <w:rPr>
                      <w:rFonts w:ascii="Times New Roman" w:hAnsi="Times New Roman"/>
                      <w:color w:val="auto"/>
                      <w:szCs w:val="21"/>
                    </w:rPr>
                  </w:pPr>
                </w:p>
              </w:tc>
              <w:tc>
                <w:tcPr>
                  <w:tcW w:w="947" w:type="pct"/>
                  <w:vMerge w:val="continue"/>
                  <w:tcBorders>
                    <w:tl2br w:val="nil"/>
                    <w:tr2bl w:val="nil"/>
                  </w:tcBorders>
                  <w:vAlign w:val="center"/>
                </w:tcPr>
                <w:p>
                  <w:pPr>
                    <w:jc w:val="center"/>
                    <w:rPr>
                      <w:rFonts w:ascii="Times New Roman" w:hAnsi="Times New Roman"/>
                      <w:color w:val="auto"/>
                      <w:szCs w:val="21"/>
                    </w:rPr>
                  </w:pPr>
                </w:p>
              </w:tc>
              <w:tc>
                <w:tcPr>
                  <w:tcW w:w="467"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X</w:t>
                  </w:r>
                </w:p>
              </w:tc>
              <w:tc>
                <w:tcPr>
                  <w:tcW w:w="467"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Y</w:t>
                  </w:r>
                </w:p>
              </w:tc>
              <w:tc>
                <w:tcPr>
                  <w:tcW w:w="798" w:type="pct"/>
                  <w:vMerge w:val="continue"/>
                  <w:tcBorders>
                    <w:tl2br w:val="nil"/>
                    <w:tr2bl w:val="nil"/>
                  </w:tcBorders>
                  <w:vAlign w:val="center"/>
                </w:tcPr>
                <w:p>
                  <w:pPr>
                    <w:jc w:val="center"/>
                    <w:rPr>
                      <w:rFonts w:ascii="Times New Roman" w:hAnsi="Times New Roman"/>
                      <w:color w:val="auto"/>
                      <w:szCs w:val="21"/>
                    </w:rPr>
                  </w:pPr>
                </w:p>
              </w:tc>
              <w:tc>
                <w:tcPr>
                  <w:tcW w:w="786" w:type="pct"/>
                  <w:vMerge w:val="continue"/>
                  <w:tcBorders>
                    <w:tl2br w:val="nil"/>
                    <w:tr2bl w:val="nil"/>
                  </w:tcBorders>
                  <w:vAlign w:val="center"/>
                </w:tcPr>
                <w:p>
                  <w:pPr>
                    <w:jc w:val="center"/>
                    <w:rPr>
                      <w:rFonts w:ascii="Times New Roman" w:hAnsi="Times New Roman"/>
                      <w:color w:val="auto"/>
                      <w:szCs w:val="21"/>
                    </w:rPr>
                  </w:pPr>
                </w:p>
              </w:tc>
              <w:tc>
                <w:tcPr>
                  <w:tcW w:w="1141" w:type="pct"/>
                  <w:vMerge w:val="continue"/>
                  <w:tcBorders>
                    <w:tl2br w:val="nil"/>
                    <w:tr2bl w:val="nil"/>
                  </w:tcBorders>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大气</w:t>
                  </w:r>
                </w:p>
                <w:p>
                  <w:pPr>
                    <w:jc w:val="center"/>
                    <w:rPr>
                      <w:rFonts w:ascii="Times New Roman" w:hAnsi="Times New Roman"/>
                      <w:color w:val="auto"/>
                      <w:szCs w:val="21"/>
                    </w:rPr>
                  </w:pPr>
                  <w:r>
                    <w:rPr>
                      <w:rFonts w:ascii="Times New Roman" w:hAnsi="Times New Roman"/>
                      <w:color w:val="auto"/>
                      <w:szCs w:val="21"/>
                    </w:rPr>
                    <w:t>环境</w:t>
                  </w:r>
                </w:p>
              </w:tc>
              <w:tc>
                <w:tcPr>
                  <w:tcW w:w="947"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邵东县第十一中学</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233</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259</w:t>
                  </w:r>
                </w:p>
              </w:tc>
              <w:tc>
                <w:tcPr>
                  <w:tcW w:w="798"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中学，</w:t>
                  </w:r>
                  <w:r>
                    <w:rPr>
                      <w:rFonts w:ascii="Times New Roman" w:hAnsi="Times New Roman"/>
                      <w:color w:val="auto"/>
                      <w:sz w:val="21"/>
                      <w:szCs w:val="21"/>
                    </w:rPr>
                    <w:t>约600人</w:t>
                  </w:r>
                </w:p>
              </w:tc>
              <w:tc>
                <w:tcPr>
                  <w:tcW w:w="786"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东北，220米</w:t>
                  </w:r>
                </w:p>
              </w:tc>
              <w:tc>
                <w:tcPr>
                  <w:tcW w:w="1141"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《环境空气质量标准》</w:t>
                  </w:r>
                </w:p>
                <w:p>
                  <w:pPr>
                    <w:jc w:val="center"/>
                    <w:rPr>
                      <w:rFonts w:ascii="Times New Roman" w:hAnsi="Times New Roman"/>
                      <w:color w:val="auto"/>
                      <w:szCs w:val="21"/>
                    </w:rPr>
                  </w:pPr>
                  <w:r>
                    <w:rPr>
                      <w:rFonts w:ascii="Times New Roman" w:hAnsi="Times New Roman"/>
                      <w:color w:val="auto"/>
                      <w:szCs w:val="21"/>
                    </w:rPr>
                    <w:t>（GB3095-2012）（2018修改）中二级标准</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vMerge w:val="continue"/>
                  <w:tcBorders>
                    <w:tl2br w:val="nil"/>
                    <w:tr2bl w:val="nil"/>
                  </w:tcBorders>
                  <w:vAlign w:val="center"/>
                </w:tcPr>
                <w:p>
                  <w:pPr>
                    <w:jc w:val="center"/>
                    <w:rPr>
                      <w:rFonts w:ascii="Times New Roman" w:hAnsi="Times New Roman"/>
                      <w:color w:val="auto"/>
                      <w:szCs w:val="21"/>
                    </w:rPr>
                  </w:pPr>
                </w:p>
              </w:tc>
              <w:tc>
                <w:tcPr>
                  <w:tcW w:w="947"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仙槎桥镇第二完全小学</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125</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190</w:t>
                  </w:r>
                </w:p>
              </w:tc>
              <w:tc>
                <w:tcPr>
                  <w:tcW w:w="798"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小学，</w:t>
                  </w:r>
                  <w:r>
                    <w:rPr>
                      <w:rFonts w:ascii="Times New Roman" w:hAnsi="Times New Roman"/>
                      <w:color w:val="auto"/>
                      <w:sz w:val="21"/>
                      <w:szCs w:val="21"/>
                    </w:rPr>
                    <w:t>约150人</w:t>
                  </w:r>
                </w:p>
              </w:tc>
              <w:tc>
                <w:tcPr>
                  <w:tcW w:w="786"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东北，220米</w:t>
                  </w:r>
                </w:p>
              </w:tc>
              <w:tc>
                <w:tcPr>
                  <w:tcW w:w="1141" w:type="pct"/>
                  <w:vMerge w:val="continue"/>
                  <w:tcBorders>
                    <w:tl2br w:val="nil"/>
                    <w:tr2bl w:val="nil"/>
                  </w:tcBorders>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vMerge w:val="continue"/>
                  <w:tcBorders>
                    <w:tl2br w:val="nil"/>
                    <w:tr2bl w:val="nil"/>
                  </w:tcBorders>
                  <w:vAlign w:val="center"/>
                </w:tcPr>
                <w:p>
                  <w:pPr>
                    <w:jc w:val="center"/>
                    <w:rPr>
                      <w:rFonts w:ascii="Times New Roman" w:hAnsi="Times New Roman"/>
                      <w:color w:val="auto"/>
                      <w:szCs w:val="21"/>
                    </w:rPr>
                  </w:pPr>
                </w:p>
              </w:tc>
              <w:tc>
                <w:tcPr>
                  <w:tcW w:w="94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崇福庵村居民</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334</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111</w:t>
                  </w:r>
                </w:p>
              </w:tc>
              <w:tc>
                <w:tcPr>
                  <w:tcW w:w="798"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居民，</w:t>
                  </w:r>
                  <w:r>
                    <w:rPr>
                      <w:rFonts w:ascii="Times New Roman" w:hAnsi="Times New Roman"/>
                      <w:color w:val="auto"/>
                      <w:sz w:val="21"/>
                      <w:szCs w:val="21"/>
                    </w:rPr>
                    <w:t>约</w:t>
                  </w:r>
                  <w:r>
                    <w:rPr>
                      <w:rFonts w:hint="eastAsia" w:ascii="Times New Roman" w:hAnsi="Times New Roman"/>
                      <w:color w:val="auto"/>
                      <w:sz w:val="21"/>
                      <w:szCs w:val="21"/>
                    </w:rPr>
                    <w:t>40</w:t>
                  </w:r>
                  <w:r>
                    <w:rPr>
                      <w:rFonts w:ascii="Times New Roman" w:hAnsi="Times New Roman"/>
                      <w:color w:val="auto"/>
                      <w:sz w:val="21"/>
                      <w:szCs w:val="21"/>
                    </w:rPr>
                    <w:t>人</w:t>
                  </w:r>
                </w:p>
              </w:tc>
              <w:tc>
                <w:tcPr>
                  <w:tcW w:w="786"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东北，</w:t>
                  </w:r>
                  <w:r>
                    <w:rPr>
                      <w:rFonts w:ascii="Times New Roman" w:hAnsi="Times New Roman"/>
                      <w:color w:val="auto"/>
                      <w:sz w:val="21"/>
                      <w:szCs w:val="21"/>
                    </w:rPr>
                    <w:t>2</w:t>
                  </w:r>
                  <w:r>
                    <w:rPr>
                      <w:rFonts w:hint="eastAsia" w:ascii="Times New Roman" w:hAnsi="Times New Roman"/>
                      <w:color w:val="auto"/>
                      <w:sz w:val="21"/>
                      <w:szCs w:val="21"/>
                    </w:rPr>
                    <w:t>84米</w:t>
                  </w:r>
                </w:p>
              </w:tc>
              <w:tc>
                <w:tcPr>
                  <w:tcW w:w="1141" w:type="pct"/>
                  <w:vMerge w:val="continue"/>
                  <w:tcBorders>
                    <w:tl2br w:val="nil"/>
                    <w:tr2bl w:val="nil"/>
                  </w:tcBorders>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vMerge w:val="continue"/>
                  <w:tcBorders>
                    <w:tl2br w:val="nil"/>
                    <w:tr2bl w:val="nil"/>
                  </w:tcBorders>
                  <w:vAlign w:val="center"/>
                </w:tcPr>
                <w:p>
                  <w:pPr>
                    <w:jc w:val="center"/>
                    <w:rPr>
                      <w:rFonts w:ascii="Times New Roman" w:hAnsi="Times New Roman"/>
                      <w:color w:val="auto"/>
                      <w:szCs w:val="21"/>
                    </w:rPr>
                  </w:pPr>
                </w:p>
              </w:tc>
              <w:tc>
                <w:tcPr>
                  <w:tcW w:w="94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仙槎桥镇居民</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-218</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-208</w:t>
                  </w:r>
                </w:p>
              </w:tc>
              <w:tc>
                <w:tcPr>
                  <w:tcW w:w="798"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居民，约400人</w:t>
                  </w:r>
                </w:p>
              </w:tc>
              <w:tc>
                <w:tcPr>
                  <w:tcW w:w="786"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南，</w:t>
                  </w:r>
                  <w:r>
                    <w:rPr>
                      <w:rFonts w:ascii="Times New Roman" w:hAnsi="Times New Roman"/>
                      <w:color w:val="auto"/>
                      <w:sz w:val="21"/>
                      <w:szCs w:val="21"/>
                    </w:rPr>
                    <w:t>215~495</w:t>
                  </w:r>
                  <w:r>
                    <w:rPr>
                      <w:rFonts w:hint="eastAsia" w:ascii="Times New Roman" w:hAnsi="Times New Roman"/>
                      <w:color w:val="auto"/>
                      <w:sz w:val="21"/>
                      <w:szCs w:val="21"/>
                    </w:rPr>
                    <w:t>米</w:t>
                  </w:r>
                </w:p>
              </w:tc>
              <w:tc>
                <w:tcPr>
                  <w:tcW w:w="1141" w:type="pct"/>
                  <w:vMerge w:val="continue"/>
                  <w:tcBorders>
                    <w:tl2br w:val="nil"/>
                    <w:tr2bl w:val="nil"/>
                  </w:tcBorders>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vMerge w:val="continue"/>
                  <w:tcBorders>
                    <w:tl2br w:val="nil"/>
                    <w:tr2bl w:val="nil"/>
                  </w:tcBorders>
                  <w:vAlign w:val="center"/>
                </w:tcPr>
                <w:p>
                  <w:pPr>
                    <w:jc w:val="center"/>
                    <w:rPr>
                      <w:rFonts w:ascii="Times New Roman" w:hAnsi="Times New Roman"/>
                      <w:color w:val="auto"/>
                      <w:szCs w:val="21"/>
                    </w:rPr>
                  </w:pPr>
                </w:p>
              </w:tc>
              <w:tc>
                <w:tcPr>
                  <w:tcW w:w="94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丰实村居民</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-141</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-522</w:t>
                  </w:r>
                </w:p>
              </w:tc>
              <w:tc>
                <w:tcPr>
                  <w:tcW w:w="798"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居民，约50人</w:t>
                  </w:r>
                </w:p>
              </w:tc>
              <w:tc>
                <w:tcPr>
                  <w:tcW w:w="786"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东南，383米</w:t>
                  </w:r>
                </w:p>
              </w:tc>
              <w:tc>
                <w:tcPr>
                  <w:tcW w:w="1141" w:type="pct"/>
                  <w:vMerge w:val="continue"/>
                  <w:tcBorders>
                    <w:tl2br w:val="nil"/>
                    <w:tr2bl w:val="nil"/>
                  </w:tcBorders>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vMerge w:val="continue"/>
                  <w:tcBorders>
                    <w:tl2br w:val="nil"/>
                    <w:tr2bl w:val="nil"/>
                  </w:tcBorders>
                  <w:vAlign w:val="center"/>
                </w:tcPr>
                <w:p>
                  <w:pPr>
                    <w:jc w:val="center"/>
                    <w:rPr>
                      <w:rFonts w:ascii="Times New Roman" w:hAnsi="Times New Roman"/>
                      <w:color w:val="auto"/>
                      <w:szCs w:val="21"/>
                    </w:rPr>
                  </w:pPr>
                </w:p>
              </w:tc>
              <w:tc>
                <w:tcPr>
                  <w:tcW w:w="94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燕龙桥村居民</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-268</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285</w:t>
                  </w:r>
                </w:p>
              </w:tc>
              <w:tc>
                <w:tcPr>
                  <w:tcW w:w="798"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居民，约200人</w:t>
                  </w:r>
                </w:p>
              </w:tc>
              <w:tc>
                <w:tcPr>
                  <w:tcW w:w="786" w:type="pct"/>
                  <w:tcBorders>
                    <w:tl2br w:val="nil"/>
                    <w:tr2bl w:val="nil"/>
                  </w:tcBorders>
                  <w:vAlign w:val="center"/>
                </w:tcPr>
                <w:p>
                  <w:pPr>
                    <w:pStyle w:val="21"/>
                    <w:ind w:left="0"/>
                    <w:jc w:val="center"/>
                    <w:rPr>
                      <w:rFonts w:ascii="Times New Roman" w:hAnsi="Times New Roman"/>
                      <w:color w:val="auto"/>
                      <w:sz w:val="21"/>
                      <w:szCs w:val="21"/>
                    </w:rPr>
                  </w:pPr>
                  <w:r>
                    <w:rPr>
                      <w:rFonts w:hint="eastAsia" w:ascii="Times New Roman" w:hAnsi="Times New Roman"/>
                      <w:color w:val="auto"/>
                      <w:sz w:val="21"/>
                      <w:szCs w:val="21"/>
                    </w:rPr>
                    <w:t>西，</w:t>
                  </w:r>
                  <w:r>
                    <w:rPr>
                      <w:rFonts w:ascii="Times New Roman" w:hAnsi="Times New Roman"/>
                      <w:color w:val="auto"/>
                      <w:sz w:val="21"/>
                      <w:szCs w:val="21"/>
                    </w:rPr>
                    <w:t>350</w:t>
                  </w:r>
                  <w:r>
                    <w:rPr>
                      <w:rFonts w:hint="eastAsia" w:ascii="Times New Roman" w:hAnsi="Times New Roman"/>
                      <w:color w:val="auto"/>
                      <w:sz w:val="21"/>
                      <w:szCs w:val="21"/>
                    </w:rPr>
                    <w:t>米</w:t>
                  </w:r>
                </w:p>
              </w:tc>
              <w:tc>
                <w:tcPr>
                  <w:tcW w:w="1141" w:type="pct"/>
                  <w:vMerge w:val="continue"/>
                  <w:tcBorders>
                    <w:tl2br w:val="nil"/>
                    <w:tr2bl w:val="nil"/>
                  </w:tcBorders>
                  <w:vAlign w:val="center"/>
                </w:tcPr>
                <w:p>
                  <w:pPr>
                    <w:jc w:val="center"/>
                    <w:rPr>
                      <w:rFonts w:ascii="Times New Roman" w:hAnsi="Times New Roman"/>
                      <w:color w:val="auto"/>
                      <w:szCs w:val="21"/>
                    </w:rPr>
                  </w:pP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90" w:hRule="atLeast"/>
              </w:trPr>
              <w:tc>
                <w:tcPr>
                  <w:tcW w:w="39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水环境</w:t>
                  </w:r>
                </w:p>
              </w:tc>
              <w:tc>
                <w:tcPr>
                  <w:tcW w:w="947"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槎江</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478</w:t>
                  </w:r>
                </w:p>
              </w:tc>
              <w:tc>
                <w:tcPr>
                  <w:tcW w:w="467" w:type="pc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rPr>
                    <w:t>/</w:t>
                  </w:r>
                </w:p>
              </w:tc>
              <w:tc>
                <w:tcPr>
                  <w:tcW w:w="798" w:type="pct"/>
                  <w:tcBorders>
                    <w:tl2br w:val="nil"/>
                    <w:tr2bl w:val="nil"/>
                  </w:tcBorders>
                  <w:vAlign w:val="center"/>
                </w:tcPr>
                <w:p>
                  <w:pPr>
                    <w:jc w:val="center"/>
                    <w:rPr>
                      <w:rFonts w:ascii="Times New Roman" w:hAnsi="Times New Roman"/>
                      <w:color w:val="auto"/>
                      <w:szCs w:val="21"/>
                    </w:rPr>
                  </w:pPr>
                  <w:r>
                    <w:rPr>
                      <w:rFonts w:ascii="Times New Roman" w:hAnsi="Times New Roman"/>
                      <w:bCs/>
                      <w:color w:val="auto"/>
                      <w:szCs w:val="21"/>
                      <w:lang w:val="zh-CN"/>
                    </w:rPr>
                    <w:t>渔业用水，中河</w:t>
                  </w:r>
                </w:p>
              </w:tc>
              <w:tc>
                <w:tcPr>
                  <w:tcW w:w="786"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西，</w:t>
                  </w:r>
                  <w:r>
                    <w:rPr>
                      <w:rFonts w:hint="eastAsia" w:ascii="Times New Roman" w:hAnsi="Times New Roman"/>
                      <w:color w:val="auto"/>
                      <w:szCs w:val="21"/>
                    </w:rPr>
                    <w:t>447米</w:t>
                  </w:r>
                </w:p>
              </w:tc>
              <w:tc>
                <w:tcPr>
                  <w:tcW w:w="114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《地表水环境质量标准》（GB3838-2002）III类标准</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PrEx>
              <w:trPr>
                <w:trHeight w:val="284" w:hRule="atLeast"/>
              </w:trPr>
              <w:tc>
                <w:tcPr>
                  <w:tcW w:w="392"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声环境</w:t>
                  </w:r>
                </w:p>
              </w:tc>
              <w:tc>
                <w:tcPr>
                  <w:tcW w:w="3466" w:type="pct"/>
                  <w:gridSpan w:val="5"/>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项目50m范围内无居民点</w:t>
                  </w:r>
                </w:p>
              </w:tc>
              <w:tc>
                <w:tcPr>
                  <w:tcW w:w="114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《声环境质量标准》（GB3096-2008）中</w:t>
                  </w:r>
                  <w:r>
                    <w:rPr>
                      <w:rFonts w:hint="eastAsia" w:ascii="Times New Roman" w:hAnsi="Times New Roman"/>
                      <w:color w:val="auto"/>
                      <w:szCs w:val="21"/>
                    </w:rPr>
                    <w:t>3</w:t>
                  </w:r>
                  <w:r>
                    <w:rPr>
                      <w:rFonts w:ascii="Times New Roman" w:hAnsi="Times New Roman"/>
                      <w:color w:val="auto"/>
                      <w:szCs w:val="21"/>
                    </w:rPr>
                    <w:t>类标准</w:t>
                  </w:r>
                </w:p>
              </w:tc>
            </w:tr>
          </w:tbl>
          <w:p>
            <w:pPr>
              <w:pStyle w:val="25"/>
              <w:ind w:left="0" w:leftChars="0" w:firstLine="0" w:firstLineChars="0"/>
              <w:rPr>
                <w:rFonts w:hint="default"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216" w:type="pct"/>
            <w:tcMar>
              <w:left w:w="28" w:type="dxa"/>
              <w:right w:w="28" w:type="dxa"/>
            </w:tcMar>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污染</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物排</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放控</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制标</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准</w:t>
            </w:r>
          </w:p>
        </w:tc>
        <w:tc>
          <w:tcPr>
            <w:tcW w:w="4783" w:type="pct"/>
            <w:vAlign w:val="center"/>
          </w:tcPr>
          <w:p>
            <w:pPr>
              <w:spacing w:line="360" w:lineRule="auto"/>
              <w:rPr>
                <w:rFonts w:ascii="Times New Roman" w:hAnsi="Times New Roman"/>
                <w:color w:val="auto"/>
                <w:sz w:val="24"/>
              </w:rPr>
            </w:pPr>
            <w:r>
              <w:rPr>
                <w:rFonts w:hint="eastAsia" w:ascii="Times New Roman" w:hAnsi="Times New Roman"/>
                <w:b/>
                <w:bCs/>
                <w:color w:val="auto"/>
                <w:sz w:val="24"/>
              </w:rPr>
              <w:t>6、废气</w:t>
            </w:r>
            <w:r>
              <w:rPr>
                <w:rFonts w:ascii="Times New Roman" w:hAnsi="Times New Roman"/>
                <w:b/>
                <w:bCs/>
                <w:color w:val="auto"/>
                <w:sz w:val="24"/>
              </w:rPr>
              <w:t>：</w:t>
            </w:r>
            <w:r>
              <w:rPr>
                <w:rFonts w:hint="eastAsia" w:ascii="Times New Roman" w:hAnsi="Times New Roman"/>
                <w:color w:val="auto"/>
                <w:sz w:val="24"/>
              </w:rPr>
              <w:t>本项目所产生的颗粒物</w:t>
            </w:r>
            <w:r>
              <w:rPr>
                <w:rFonts w:ascii="Times New Roman" w:hAnsi="Times New Roman"/>
                <w:color w:val="auto"/>
                <w:sz w:val="24"/>
              </w:rPr>
              <w:t>执行</w:t>
            </w:r>
            <w:r>
              <w:rPr>
                <w:rFonts w:hint="eastAsia" w:ascii="宋体" w:hAnsi="宋体" w:cs="宋体"/>
                <w:color w:val="auto"/>
                <w:kern w:val="0"/>
                <w:sz w:val="24"/>
                <w:lang w:bidi="ar"/>
              </w:rPr>
              <w:t>《大气污染物综合排放标准》（</w:t>
            </w:r>
            <w:r>
              <w:rPr>
                <w:rFonts w:ascii="Times New Roman" w:hAnsi="Times New Roman"/>
                <w:color w:val="auto"/>
                <w:kern w:val="0"/>
                <w:sz w:val="24"/>
                <w:lang w:bidi="ar"/>
              </w:rPr>
              <w:t>GB16297-1996</w:t>
            </w:r>
            <w:r>
              <w:rPr>
                <w:rFonts w:hint="eastAsia" w:ascii="宋体" w:hAnsi="宋体" w:cs="宋体"/>
                <w:color w:val="auto"/>
                <w:kern w:val="0"/>
                <w:sz w:val="24"/>
                <w:lang w:bidi="ar"/>
              </w:rPr>
              <w:t>）</w:t>
            </w:r>
            <w:r>
              <w:rPr>
                <w:rFonts w:ascii="Times New Roman" w:hAnsi="Times New Roman"/>
                <w:color w:val="auto"/>
                <w:sz w:val="24"/>
              </w:rPr>
              <w:t>表2无组织排放监控浓度限值</w:t>
            </w:r>
            <w:r>
              <w:rPr>
                <w:rFonts w:hint="eastAsia" w:ascii="Times New Roman" w:hAnsi="Times New Roman"/>
                <w:color w:val="auto"/>
                <w:sz w:val="24"/>
              </w:rPr>
              <w:t>。</w:t>
            </w:r>
          </w:p>
          <w:p>
            <w:pPr>
              <w:ind w:firstLine="422" w:firstLineChars="200"/>
              <w:jc w:val="center"/>
              <w:rPr>
                <w:rFonts w:ascii="Times New Roman" w:hAnsi="Times New Roman"/>
                <w:b/>
                <w:color w:val="auto"/>
                <w:sz w:val="24"/>
              </w:rPr>
            </w:pPr>
            <w:r>
              <w:rPr>
                <w:rFonts w:ascii="Times New Roman" w:hAnsi="Times New Roman"/>
                <w:b/>
                <w:color w:val="auto"/>
                <w:szCs w:val="21"/>
              </w:rPr>
              <w:t>表</w:t>
            </w:r>
            <w:r>
              <w:rPr>
                <w:rFonts w:hint="eastAsia" w:ascii="Times New Roman" w:hAnsi="Times New Roman"/>
                <w:b/>
                <w:color w:val="auto"/>
                <w:szCs w:val="21"/>
              </w:rPr>
              <w:t>3-4</w:t>
            </w:r>
            <w:r>
              <w:rPr>
                <w:rFonts w:ascii="Times New Roman" w:hAnsi="Times New Roman"/>
                <w:b/>
                <w:color w:val="auto"/>
                <w:szCs w:val="21"/>
              </w:rPr>
              <w:t xml:space="preserve">  </w:t>
            </w:r>
            <w:r>
              <w:rPr>
                <w:rFonts w:hint="eastAsia" w:ascii="Times New Roman" w:hAnsi="Times New Roman"/>
                <w:b/>
                <w:color w:val="auto"/>
                <w:szCs w:val="21"/>
              </w:rPr>
              <w:t>《大气污染物综合排放标准》（GB16297-1996）</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1"/>
              <w:gridCol w:w="6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42" w:type="pct"/>
                  <w:vMerge w:val="restart"/>
                  <w:tcBorders>
                    <w:tl2br w:val="nil"/>
                    <w:tr2bl w:val="nil"/>
                  </w:tcBorders>
                  <w:vAlign w:val="center"/>
                </w:tcPr>
                <w:p>
                  <w:pPr>
                    <w:jc w:val="center"/>
                    <w:rPr>
                      <w:rFonts w:ascii="Times New Roman" w:hAnsi="Times New Roman"/>
                      <w:b/>
                      <w:bCs/>
                      <w:color w:val="auto"/>
                    </w:rPr>
                  </w:pPr>
                  <w:r>
                    <w:rPr>
                      <w:rFonts w:ascii="Times New Roman" w:hAnsi="Times New Roman"/>
                      <w:b/>
                      <w:bCs/>
                      <w:color w:val="auto"/>
                    </w:rPr>
                    <w:t>污染物</w:t>
                  </w:r>
                </w:p>
              </w:tc>
              <w:tc>
                <w:tcPr>
                  <w:tcW w:w="3457" w:type="pct"/>
                  <w:tcBorders>
                    <w:tl2br w:val="nil"/>
                    <w:tr2bl w:val="nil"/>
                  </w:tcBorders>
                  <w:vAlign w:val="center"/>
                </w:tcPr>
                <w:p>
                  <w:pPr>
                    <w:jc w:val="center"/>
                    <w:rPr>
                      <w:rFonts w:ascii="Times New Roman" w:hAnsi="Times New Roman"/>
                      <w:b/>
                      <w:bCs/>
                      <w:color w:val="auto"/>
                    </w:rPr>
                  </w:pPr>
                  <w:r>
                    <w:rPr>
                      <w:rFonts w:ascii="Times New Roman" w:hAnsi="Times New Roman"/>
                      <w:b/>
                      <w:bCs/>
                      <w:color w:val="auto"/>
                    </w:rPr>
                    <w:t>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pct"/>
                  <w:vMerge w:val="continue"/>
                  <w:tcBorders>
                    <w:tl2br w:val="nil"/>
                    <w:tr2bl w:val="nil"/>
                  </w:tcBorders>
                  <w:vAlign w:val="center"/>
                </w:tcPr>
                <w:p>
                  <w:pPr>
                    <w:jc w:val="center"/>
                    <w:rPr>
                      <w:rFonts w:ascii="Times New Roman" w:hAnsi="Times New Roman"/>
                      <w:b/>
                      <w:bCs/>
                      <w:color w:val="auto"/>
                    </w:rPr>
                  </w:pPr>
                </w:p>
              </w:tc>
              <w:tc>
                <w:tcPr>
                  <w:tcW w:w="3457" w:type="pct"/>
                  <w:tcBorders>
                    <w:tl2br w:val="nil"/>
                    <w:tr2bl w:val="nil"/>
                  </w:tcBorders>
                  <w:vAlign w:val="center"/>
                </w:tcPr>
                <w:p>
                  <w:pPr>
                    <w:jc w:val="center"/>
                    <w:rPr>
                      <w:rFonts w:ascii="Times New Roman" w:hAnsi="Times New Roman"/>
                      <w:b/>
                      <w:bCs/>
                      <w:color w:val="auto"/>
                    </w:rPr>
                  </w:pPr>
                  <w:r>
                    <w:rPr>
                      <w:rFonts w:ascii="Times New Roman" w:hAnsi="Times New Roman"/>
                      <w:b/>
                      <w:bCs/>
                      <w:color w:val="auto"/>
                    </w:rPr>
                    <w:t>mg/m</w:t>
                  </w:r>
                  <w:r>
                    <w:rPr>
                      <w:rFonts w:ascii="Times New Roman" w:hAnsi="Times New Roman"/>
                      <w:b/>
                      <w:bCs/>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pct"/>
                  <w:tcBorders>
                    <w:tl2br w:val="nil"/>
                    <w:tr2bl w:val="nil"/>
                  </w:tcBorders>
                  <w:vAlign w:val="center"/>
                </w:tcPr>
                <w:p>
                  <w:pPr>
                    <w:jc w:val="center"/>
                    <w:rPr>
                      <w:rFonts w:ascii="Times New Roman" w:hAnsi="Times New Roman"/>
                      <w:color w:val="auto"/>
                    </w:rPr>
                  </w:pPr>
                  <w:r>
                    <w:rPr>
                      <w:rFonts w:hint="eastAsia" w:ascii="Times New Roman" w:hAnsi="Times New Roman"/>
                      <w:color w:val="auto"/>
                    </w:rPr>
                    <w:t>无组织</w:t>
                  </w:r>
                  <w:r>
                    <w:rPr>
                      <w:rFonts w:ascii="Times New Roman" w:hAnsi="Times New Roman"/>
                      <w:color w:val="auto"/>
                    </w:rPr>
                    <w:t>颗粒物</w:t>
                  </w:r>
                </w:p>
              </w:tc>
              <w:tc>
                <w:tcPr>
                  <w:tcW w:w="3457" w:type="pct"/>
                  <w:tcBorders>
                    <w:tl2br w:val="nil"/>
                    <w:tr2bl w:val="nil"/>
                  </w:tcBorders>
                  <w:vAlign w:val="center"/>
                </w:tcPr>
                <w:p>
                  <w:pPr>
                    <w:jc w:val="center"/>
                    <w:rPr>
                      <w:rFonts w:ascii="Times New Roman" w:hAnsi="Times New Roman"/>
                      <w:color w:val="auto"/>
                    </w:rPr>
                  </w:pPr>
                  <w:r>
                    <w:rPr>
                      <w:rFonts w:hint="eastAsia" w:ascii="Times New Roman" w:hAnsi="Times New Roman"/>
                      <w:color w:val="auto"/>
                    </w:rPr>
                    <w:t>1.0</w:t>
                  </w:r>
                </w:p>
              </w:tc>
            </w:tr>
          </w:tbl>
          <w:p>
            <w:pPr>
              <w:spacing w:line="360" w:lineRule="auto"/>
              <w:jc w:val="left"/>
              <w:rPr>
                <w:rFonts w:ascii="Times New Roman" w:hAnsi="Times New Roman"/>
                <w:color w:val="auto"/>
                <w:sz w:val="24"/>
              </w:rPr>
            </w:pPr>
            <w:r>
              <w:rPr>
                <w:rFonts w:hint="eastAsia" w:ascii="Times New Roman" w:hAnsi="Times New Roman"/>
                <w:b/>
                <w:bCs/>
                <w:color w:val="auto"/>
                <w:sz w:val="24"/>
              </w:rPr>
              <w:t>7、废水</w:t>
            </w:r>
            <w:r>
              <w:rPr>
                <w:rFonts w:ascii="Times New Roman" w:hAnsi="Times New Roman"/>
                <w:b/>
                <w:bCs/>
                <w:color w:val="auto"/>
                <w:sz w:val="24"/>
              </w:rPr>
              <w:t>：</w:t>
            </w:r>
            <w:r>
              <w:rPr>
                <w:rFonts w:ascii="Times New Roman" w:hAnsi="Times New Roman"/>
                <w:color w:val="auto"/>
                <w:sz w:val="24"/>
              </w:rPr>
              <w:t>本项目无生产废水产生，生活污水经化粪池处理达到《污水综合排放标准》（GB8978-1996）中的三级标准后进入仙槎桥镇污水处理厂处理，</w:t>
            </w:r>
            <w:r>
              <w:rPr>
                <w:rFonts w:ascii="Times New Roman" w:hAnsi="Times New Roman"/>
                <w:color w:val="auto"/>
                <w:kern w:val="0"/>
                <w:sz w:val="24"/>
              </w:rPr>
              <w:t>处理后达《城镇污水处理厂污染物排放标准》（GB18918-2002）一级A标准后排入槎江</w:t>
            </w:r>
            <w:r>
              <w:rPr>
                <w:rFonts w:ascii="Times New Roman" w:hAnsi="Times New Roman"/>
                <w:color w:val="auto"/>
                <w:sz w:val="24"/>
              </w:rPr>
              <w:t>。</w:t>
            </w:r>
          </w:p>
          <w:p>
            <w:pPr>
              <w:jc w:val="center"/>
              <w:rPr>
                <w:rFonts w:ascii="Times New Roman" w:hAnsi="Times New Roman"/>
                <w:color w:val="auto"/>
                <w:sz w:val="24"/>
              </w:rPr>
            </w:pPr>
            <w:r>
              <w:rPr>
                <w:rFonts w:ascii="Times New Roman" w:hAnsi="Times New Roman"/>
                <w:b/>
                <w:color w:val="auto"/>
                <w:szCs w:val="21"/>
              </w:rPr>
              <w:t>表</w:t>
            </w:r>
            <w:r>
              <w:rPr>
                <w:rFonts w:hint="eastAsia" w:ascii="Times New Roman" w:hAnsi="Times New Roman"/>
                <w:b/>
                <w:color w:val="auto"/>
                <w:szCs w:val="21"/>
              </w:rPr>
              <w:t>3-5</w:t>
            </w:r>
            <w:r>
              <w:rPr>
                <w:rFonts w:ascii="Times New Roman" w:hAnsi="Times New Roman"/>
                <w:b/>
                <w:color w:val="auto"/>
                <w:szCs w:val="21"/>
              </w:rPr>
              <w:t xml:space="preserve">  </w:t>
            </w:r>
            <w:r>
              <w:rPr>
                <w:rFonts w:hint="eastAsia" w:ascii="Times New Roman" w:hAnsi="Times New Roman"/>
                <w:b/>
                <w:color w:val="auto"/>
                <w:szCs w:val="21"/>
              </w:rPr>
              <w:t>本项目废水外排执行标准</w:t>
            </w:r>
            <w:r>
              <w:rPr>
                <w:b/>
                <w:color w:val="auto"/>
                <w:szCs w:val="21"/>
              </w:rPr>
              <w:t>单位</w:t>
            </w:r>
            <w:r>
              <w:rPr>
                <w:rFonts w:hint="eastAsia"/>
                <w:b/>
                <w:color w:val="auto"/>
                <w:szCs w:val="21"/>
              </w:rPr>
              <w:t xml:space="preserve">      </w:t>
            </w:r>
            <w:r>
              <w:rPr>
                <w:rFonts w:ascii="Times New Roman" w:hAnsi="Times New Roman"/>
                <w:b/>
                <w:color w:val="auto"/>
                <w:szCs w:val="21"/>
              </w:rPr>
              <w:t>mg/L，pH无量纲</w:t>
            </w:r>
          </w:p>
          <w:tbl>
            <w:tblPr>
              <w:tblStyle w:val="26"/>
              <w:tblW w:w="4998"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2444"/>
              <w:gridCol w:w="260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5" w:type="pct"/>
                  <w:tcBorders>
                    <w:tl2br w:val="nil"/>
                    <w:tr2bl w:val="nil"/>
                  </w:tcBorders>
                  <w:vAlign w:val="center"/>
                </w:tcPr>
                <w:p>
                  <w:pPr>
                    <w:ind w:left="1"/>
                    <w:jc w:val="center"/>
                    <w:textAlignment w:val="bottom"/>
                    <w:rPr>
                      <w:rFonts w:ascii="Times New Roman" w:hAnsi="Times New Roman"/>
                      <w:b/>
                      <w:bCs/>
                      <w:color w:val="auto"/>
                      <w:szCs w:val="21"/>
                    </w:rPr>
                  </w:pPr>
                  <w:r>
                    <w:rPr>
                      <w:rFonts w:ascii="Times New Roman" w:hAnsi="Times New Roman"/>
                      <w:b/>
                      <w:bCs/>
                      <w:color w:val="auto"/>
                      <w:szCs w:val="21"/>
                    </w:rPr>
                    <w:t>标准</w:t>
                  </w:r>
                </w:p>
              </w:tc>
              <w:tc>
                <w:tcPr>
                  <w:tcW w:w="1370" w:type="pct"/>
                  <w:tcBorders>
                    <w:tl2br w:val="nil"/>
                    <w:tr2bl w:val="nil"/>
                  </w:tcBorders>
                  <w:vAlign w:val="center"/>
                </w:tcPr>
                <w:p>
                  <w:pPr>
                    <w:ind w:left="1"/>
                    <w:jc w:val="center"/>
                    <w:textAlignment w:val="bottom"/>
                    <w:rPr>
                      <w:rFonts w:ascii="Times New Roman" w:hAnsi="Times New Roman"/>
                      <w:b/>
                      <w:bCs/>
                      <w:color w:val="auto"/>
                      <w:szCs w:val="21"/>
                    </w:rPr>
                  </w:pPr>
                  <w:r>
                    <w:rPr>
                      <w:rFonts w:ascii="Times New Roman" w:hAnsi="Times New Roman"/>
                      <w:b/>
                      <w:bCs/>
                      <w:color w:val="auto"/>
                      <w:szCs w:val="21"/>
                    </w:rPr>
                    <w:t>GB8978-1996表4三级标准</w:t>
                  </w:r>
                </w:p>
              </w:tc>
              <w:tc>
                <w:tcPr>
                  <w:tcW w:w="1459" w:type="pct"/>
                  <w:tcBorders>
                    <w:tl2br w:val="nil"/>
                    <w:tr2bl w:val="nil"/>
                  </w:tcBorders>
                  <w:vAlign w:val="center"/>
                </w:tcPr>
                <w:p>
                  <w:pPr>
                    <w:ind w:left="1"/>
                    <w:jc w:val="center"/>
                    <w:textAlignment w:val="bottom"/>
                    <w:rPr>
                      <w:rFonts w:ascii="Times New Roman" w:hAnsi="Times New Roman"/>
                      <w:b/>
                      <w:bCs/>
                      <w:color w:val="auto"/>
                      <w:szCs w:val="21"/>
                    </w:rPr>
                  </w:pPr>
                  <w:r>
                    <w:rPr>
                      <w:rFonts w:ascii="Times New Roman" w:hAnsi="Times New Roman"/>
                      <w:b/>
                      <w:bCs/>
                      <w:color w:val="auto"/>
                      <w:szCs w:val="21"/>
                    </w:rPr>
                    <w:t>GB18918-2002一级A标准</w:t>
                  </w:r>
                </w:p>
              </w:tc>
              <w:tc>
                <w:tcPr>
                  <w:tcW w:w="1145" w:type="pct"/>
                  <w:tcBorders>
                    <w:tl2br w:val="nil"/>
                    <w:tr2bl w:val="nil"/>
                  </w:tcBorders>
                  <w:vAlign w:val="center"/>
                </w:tcPr>
                <w:p>
                  <w:pPr>
                    <w:ind w:left="1"/>
                    <w:jc w:val="center"/>
                    <w:textAlignment w:val="bottom"/>
                    <w:rPr>
                      <w:rFonts w:ascii="Times New Roman" w:hAnsi="Times New Roman"/>
                      <w:b/>
                      <w:bCs/>
                      <w:color w:val="auto"/>
                      <w:szCs w:val="21"/>
                    </w:rPr>
                  </w:pPr>
                  <w:r>
                    <w:rPr>
                      <w:rFonts w:ascii="Times New Roman" w:hAnsi="Times New Roman"/>
                      <w:b/>
                      <w:bCs/>
                      <w:color w:val="auto"/>
                      <w:szCs w:val="21"/>
                    </w:rPr>
                    <w:t>本项目废水外排执行标准值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pH</w:t>
                  </w:r>
                </w:p>
              </w:tc>
              <w:tc>
                <w:tcPr>
                  <w:tcW w:w="1370"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6-9</w:t>
                  </w:r>
                </w:p>
              </w:tc>
              <w:tc>
                <w:tcPr>
                  <w:tcW w:w="1459"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6-9</w:t>
                  </w:r>
                </w:p>
              </w:tc>
              <w:tc>
                <w:tcPr>
                  <w:tcW w:w="114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COD</w:t>
                  </w:r>
                  <w:r>
                    <w:rPr>
                      <w:rFonts w:ascii="Times New Roman" w:hAnsi="Times New Roman"/>
                      <w:color w:val="auto"/>
                      <w:szCs w:val="21"/>
                      <w:vertAlign w:val="subscript"/>
                    </w:rPr>
                    <w:t>Cr</w:t>
                  </w:r>
                </w:p>
              </w:tc>
              <w:tc>
                <w:tcPr>
                  <w:tcW w:w="1370"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500</w:t>
                  </w:r>
                </w:p>
              </w:tc>
              <w:tc>
                <w:tcPr>
                  <w:tcW w:w="1459"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50</w:t>
                  </w:r>
                </w:p>
              </w:tc>
              <w:tc>
                <w:tcPr>
                  <w:tcW w:w="114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BOD</w:t>
                  </w:r>
                  <w:r>
                    <w:rPr>
                      <w:rFonts w:ascii="Times New Roman" w:hAnsi="Times New Roman"/>
                      <w:color w:val="auto"/>
                      <w:szCs w:val="21"/>
                      <w:vertAlign w:val="subscript"/>
                    </w:rPr>
                    <w:t>5</w:t>
                  </w:r>
                </w:p>
              </w:tc>
              <w:tc>
                <w:tcPr>
                  <w:tcW w:w="1370"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300</w:t>
                  </w:r>
                </w:p>
              </w:tc>
              <w:tc>
                <w:tcPr>
                  <w:tcW w:w="1459"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10</w:t>
                  </w:r>
                </w:p>
              </w:tc>
              <w:tc>
                <w:tcPr>
                  <w:tcW w:w="114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hint="eastAsia" w:ascii="Times New Roman" w:hAnsi="Times New Roman"/>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SS</w:t>
                  </w:r>
                </w:p>
              </w:tc>
              <w:tc>
                <w:tcPr>
                  <w:tcW w:w="1370"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400</w:t>
                  </w:r>
                </w:p>
              </w:tc>
              <w:tc>
                <w:tcPr>
                  <w:tcW w:w="1459"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10</w:t>
                  </w:r>
                </w:p>
              </w:tc>
              <w:tc>
                <w:tcPr>
                  <w:tcW w:w="114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p>
              </w:tc>
              <w:tc>
                <w:tcPr>
                  <w:tcW w:w="1370"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hint="eastAsia" w:ascii="Times New Roman" w:hAnsi="Times New Roman"/>
                      <w:color w:val="auto"/>
                      <w:szCs w:val="21"/>
                    </w:rPr>
                    <w:t>/</w:t>
                  </w:r>
                </w:p>
              </w:tc>
              <w:tc>
                <w:tcPr>
                  <w:tcW w:w="1459"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5</w:t>
                  </w:r>
                </w:p>
              </w:tc>
              <w:tc>
                <w:tcPr>
                  <w:tcW w:w="114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石油类</w:t>
                  </w:r>
                </w:p>
              </w:tc>
              <w:tc>
                <w:tcPr>
                  <w:tcW w:w="1370"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hint="eastAsia" w:ascii="Times New Roman" w:hAnsi="Times New Roman"/>
                      <w:color w:val="auto"/>
                      <w:szCs w:val="21"/>
                    </w:rPr>
                    <w:t>20</w:t>
                  </w:r>
                </w:p>
              </w:tc>
              <w:tc>
                <w:tcPr>
                  <w:tcW w:w="1459"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ascii="Times New Roman" w:hAnsi="Times New Roman"/>
                      <w:color w:val="auto"/>
                      <w:szCs w:val="21"/>
                    </w:rPr>
                    <w:t>1</w:t>
                  </w:r>
                </w:p>
              </w:tc>
              <w:tc>
                <w:tcPr>
                  <w:tcW w:w="1145" w:type="pct"/>
                  <w:tcBorders>
                    <w:tl2br w:val="nil"/>
                    <w:tr2bl w:val="nil"/>
                  </w:tcBorders>
                  <w:vAlign w:val="center"/>
                </w:tcPr>
                <w:p>
                  <w:pPr>
                    <w:spacing w:line="320" w:lineRule="exact"/>
                    <w:ind w:left="1"/>
                    <w:jc w:val="center"/>
                    <w:textAlignment w:val="bottom"/>
                    <w:rPr>
                      <w:rFonts w:ascii="Times New Roman" w:hAnsi="Times New Roman"/>
                      <w:color w:val="auto"/>
                      <w:szCs w:val="21"/>
                    </w:rPr>
                  </w:pPr>
                  <w:r>
                    <w:rPr>
                      <w:rFonts w:hint="eastAsia" w:ascii="Times New Roman" w:hAnsi="Times New Roman"/>
                      <w:color w:val="auto"/>
                      <w:szCs w:val="21"/>
                    </w:rPr>
                    <w:t>20</w:t>
                  </w:r>
                </w:p>
              </w:tc>
            </w:tr>
          </w:tbl>
          <w:p>
            <w:pPr>
              <w:spacing w:line="360" w:lineRule="auto"/>
              <w:rPr>
                <w:rFonts w:ascii="Times New Roman" w:hAnsi="Times New Roman"/>
                <w:color w:val="auto"/>
                <w:sz w:val="24"/>
              </w:rPr>
            </w:pPr>
            <w:r>
              <w:rPr>
                <w:rFonts w:hint="eastAsia" w:ascii="Times New Roman" w:hAnsi="Times New Roman"/>
                <w:b/>
                <w:bCs/>
                <w:color w:val="auto"/>
                <w:sz w:val="24"/>
              </w:rPr>
              <w:t>8、</w:t>
            </w:r>
            <w:r>
              <w:rPr>
                <w:rFonts w:ascii="Times New Roman" w:hAnsi="Times New Roman"/>
                <w:b/>
                <w:bCs/>
                <w:color w:val="auto"/>
                <w:sz w:val="24"/>
              </w:rPr>
              <w:t>噪声：</w:t>
            </w:r>
            <w:r>
              <w:rPr>
                <w:rFonts w:ascii="Times New Roman" w:hAnsi="Times New Roman"/>
                <w:color w:val="auto"/>
                <w:sz w:val="24"/>
              </w:rPr>
              <w:t>执行《工业企业厂界环境噪声排放标准》（GB12348-2008）中</w:t>
            </w:r>
            <w:r>
              <w:rPr>
                <w:rFonts w:hint="eastAsia" w:ascii="Times New Roman" w:hAnsi="Times New Roman"/>
                <w:color w:val="auto"/>
                <w:sz w:val="24"/>
              </w:rPr>
              <w:t>3</w:t>
            </w:r>
            <w:r>
              <w:rPr>
                <w:rFonts w:ascii="Times New Roman" w:hAnsi="Times New Roman"/>
                <w:color w:val="auto"/>
                <w:sz w:val="24"/>
              </w:rPr>
              <w:t>类标准。</w:t>
            </w:r>
          </w:p>
          <w:p>
            <w:pPr>
              <w:jc w:val="center"/>
              <w:rPr>
                <w:rFonts w:ascii="Times New Roman" w:hAnsi="Times New Roman"/>
                <w:b/>
                <w:snapToGrid w:val="0"/>
                <w:color w:val="auto"/>
                <w:kern w:val="0"/>
              </w:rPr>
            </w:pPr>
            <w:r>
              <w:rPr>
                <w:rFonts w:ascii="Times New Roman" w:hAnsi="Times New Roman"/>
                <w:b/>
                <w:snapToGrid w:val="0"/>
                <w:color w:val="auto"/>
                <w:kern w:val="0"/>
              </w:rPr>
              <w:t>表</w:t>
            </w:r>
            <w:r>
              <w:rPr>
                <w:rFonts w:hint="eastAsia" w:ascii="Times New Roman" w:hAnsi="Times New Roman"/>
                <w:b/>
                <w:snapToGrid w:val="0"/>
                <w:color w:val="auto"/>
                <w:kern w:val="0"/>
              </w:rPr>
              <w:t>3-5</w:t>
            </w:r>
            <w:r>
              <w:rPr>
                <w:rFonts w:ascii="Times New Roman" w:hAnsi="Times New Roman"/>
                <w:b/>
                <w:snapToGrid w:val="0"/>
                <w:color w:val="auto"/>
                <w:kern w:val="0"/>
              </w:rPr>
              <w:t xml:space="preserve">  工业企业厂界环境噪声排放标准  dB(A)</w:t>
            </w:r>
          </w:p>
          <w:tbl>
            <w:tblPr>
              <w:tblStyle w:val="26"/>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4"/>
              <w:gridCol w:w="3632"/>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4" w:type="dxa"/>
                  <w:tcBorders>
                    <w:tl2br w:val="nil"/>
                    <w:tr2bl w:val="nil"/>
                  </w:tcBorders>
                  <w:vAlign w:val="center"/>
                </w:tcPr>
                <w:p>
                  <w:pPr>
                    <w:adjustRightInd w:val="0"/>
                    <w:snapToGrid w:val="0"/>
                    <w:spacing w:line="240" w:lineRule="atLeast"/>
                    <w:jc w:val="center"/>
                    <w:rPr>
                      <w:rFonts w:ascii="Times New Roman" w:hAnsi="Times New Roman"/>
                      <w:b/>
                      <w:bCs/>
                      <w:color w:val="auto"/>
                    </w:rPr>
                  </w:pPr>
                  <w:r>
                    <w:rPr>
                      <w:rFonts w:ascii="Times New Roman" w:hAnsi="Times New Roman"/>
                      <w:b/>
                      <w:bCs/>
                      <w:color w:val="auto"/>
                    </w:rPr>
                    <w:t>类别</w:t>
                  </w:r>
                </w:p>
              </w:tc>
              <w:tc>
                <w:tcPr>
                  <w:tcW w:w="3632" w:type="dxa"/>
                  <w:tcBorders>
                    <w:tl2br w:val="nil"/>
                    <w:tr2bl w:val="nil"/>
                  </w:tcBorders>
                  <w:vAlign w:val="center"/>
                </w:tcPr>
                <w:p>
                  <w:pPr>
                    <w:adjustRightInd w:val="0"/>
                    <w:snapToGrid w:val="0"/>
                    <w:spacing w:line="240" w:lineRule="atLeast"/>
                    <w:jc w:val="center"/>
                    <w:rPr>
                      <w:rFonts w:ascii="Times New Roman" w:hAnsi="Times New Roman"/>
                      <w:b/>
                      <w:bCs/>
                      <w:color w:val="auto"/>
                    </w:rPr>
                  </w:pPr>
                  <w:r>
                    <w:rPr>
                      <w:rFonts w:ascii="Times New Roman" w:hAnsi="Times New Roman"/>
                      <w:b/>
                      <w:bCs/>
                      <w:color w:val="auto"/>
                    </w:rPr>
                    <w:t>评价标准</w:t>
                  </w:r>
                </w:p>
              </w:tc>
              <w:tc>
                <w:tcPr>
                  <w:tcW w:w="2970" w:type="dxa"/>
                  <w:tcBorders>
                    <w:tl2br w:val="nil"/>
                    <w:tr2bl w:val="nil"/>
                  </w:tcBorders>
                  <w:vAlign w:val="center"/>
                </w:tcPr>
                <w:p>
                  <w:pPr>
                    <w:adjustRightInd w:val="0"/>
                    <w:snapToGrid w:val="0"/>
                    <w:spacing w:line="240" w:lineRule="atLeast"/>
                    <w:jc w:val="center"/>
                    <w:rPr>
                      <w:rFonts w:ascii="Times New Roman" w:hAnsi="Times New Roman"/>
                      <w:b/>
                      <w:bCs/>
                      <w:color w:val="auto"/>
                    </w:rPr>
                  </w:pPr>
                  <w:r>
                    <w:rPr>
                      <w:rFonts w:ascii="Times New Roman" w:hAnsi="Times New Roman"/>
                      <w:b/>
                      <w:bCs/>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4" w:type="dxa"/>
                  <w:tcBorders>
                    <w:tl2br w:val="nil"/>
                    <w:tr2bl w:val="nil"/>
                  </w:tcBorders>
                  <w:vAlign w:val="center"/>
                </w:tcPr>
                <w:p>
                  <w:pPr>
                    <w:adjustRightInd w:val="0"/>
                    <w:snapToGrid w:val="0"/>
                    <w:spacing w:line="240" w:lineRule="atLeast"/>
                    <w:jc w:val="center"/>
                    <w:rPr>
                      <w:rFonts w:ascii="Times New Roman" w:hAnsi="Times New Roman"/>
                      <w:color w:val="auto"/>
                    </w:rPr>
                  </w:pPr>
                  <w:r>
                    <w:rPr>
                      <w:rFonts w:ascii="Times New Roman" w:hAnsi="Times New Roman"/>
                      <w:color w:val="auto"/>
                    </w:rPr>
                    <w:t>厂界噪声</w:t>
                  </w:r>
                </w:p>
              </w:tc>
              <w:tc>
                <w:tcPr>
                  <w:tcW w:w="3632" w:type="dxa"/>
                  <w:tcBorders>
                    <w:tl2br w:val="nil"/>
                    <w:tr2bl w:val="nil"/>
                  </w:tcBorders>
                  <w:vAlign w:val="center"/>
                </w:tcPr>
                <w:p>
                  <w:pPr>
                    <w:adjustRightInd w:val="0"/>
                    <w:snapToGrid w:val="0"/>
                    <w:spacing w:line="240" w:lineRule="atLeast"/>
                    <w:jc w:val="center"/>
                    <w:rPr>
                      <w:rFonts w:ascii="Times New Roman" w:hAnsi="Times New Roman"/>
                      <w:color w:val="auto"/>
                    </w:rPr>
                  </w:pPr>
                  <w:r>
                    <w:rPr>
                      <w:rFonts w:ascii="Times New Roman" w:hAnsi="Times New Roman"/>
                      <w:color w:val="auto"/>
                    </w:rPr>
                    <w:t>《工业企业厂界环境噪声排放标准》（GB12348—2008）</w:t>
                  </w:r>
                  <w:r>
                    <w:rPr>
                      <w:rFonts w:hint="eastAsia" w:ascii="Times New Roman" w:hAnsi="Times New Roman"/>
                      <w:color w:val="auto"/>
                    </w:rPr>
                    <w:t>3</w:t>
                  </w:r>
                  <w:r>
                    <w:rPr>
                      <w:rFonts w:ascii="Times New Roman" w:hAnsi="Times New Roman"/>
                      <w:color w:val="auto"/>
                    </w:rPr>
                    <w:t>类</w:t>
                  </w:r>
                </w:p>
              </w:tc>
              <w:tc>
                <w:tcPr>
                  <w:tcW w:w="2970" w:type="dxa"/>
                  <w:tcBorders>
                    <w:tl2br w:val="nil"/>
                    <w:tr2bl w:val="nil"/>
                  </w:tcBorders>
                  <w:vAlign w:val="center"/>
                </w:tcPr>
                <w:p>
                  <w:pPr>
                    <w:adjustRightInd w:val="0"/>
                    <w:snapToGrid w:val="0"/>
                    <w:spacing w:line="240" w:lineRule="atLeast"/>
                    <w:jc w:val="center"/>
                    <w:rPr>
                      <w:rFonts w:ascii="Times New Roman" w:hAnsi="Times New Roman"/>
                      <w:color w:val="auto"/>
                    </w:rPr>
                  </w:pPr>
                  <w:r>
                    <w:rPr>
                      <w:rFonts w:ascii="Times New Roman" w:hAnsi="Times New Roman"/>
                      <w:color w:val="auto"/>
                    </w:rPr>
                    <w:t>昼间：</w:t>
                  </w:r>
                  <w:r>
                    <w:rPr>
                      <w:rFonts w:hint="eastAsia" w:ascii="Times New Roman" w:hAnsi="Times New Roman"/>
                      <w:color w:val="auto"/>
                    </w:rPr>
                    <w:t>65</w:t>
                  </w:r>
                </w:p>
                <w:p>
                  <w:pPr>
                    <w:adjustRightInd w:val="0"/>
                    <w:snapToGrid w:val="0"/>
                    <w:spacing w:line="240" w:lineRule="atLeast"/>
                    <w:jc w:val="center"/>
                    <w:rPr>
                      <w:rFonts w:ascii="Times New Roman" w:hAnsi="Times New Roman"/>
                      <w:color w:val="auto"/>
                    </w:rPr>
                  </w:pPr>
                  <w:r>
                    <w:rPr>
                      <w:rFonts w:ascii="Times New Roman" w:hAnsi="Times New Roman"/>
                      <w:color w:val="auto"/>
                    </w:rPr>
                    <w:t>夜间：</w:t>
                  </w:r>
                  <w:r>
                    <w:rPr>
                      <w:rFonts w:hint="eastAsia" w:ascii="Times New Roman" w:hAnsi="Times New Roman"/>
                      <w:color w:val="auto"/>
                    </w:rPr>
                    <w:t>55</w:t>
                  </w:r>
                </w:p>
              </w:tc>
            </w:tr>
          </w:tbl>
          <w:p>
            <w:pPr>
              <w:widowControl/>
              <w:spacing w:line="360" w:lineRule="auto"/>
              <w:jc w:val="left"/>
              <w:rPr>
                <w:color w:val="auto"/>
              </w:rPr>
            </w:pPr>
            <w:r>
              <w:rPr>
                <w:rFonts w:hint="eastAsia" w:ascii="Times New Roman" w:hAnsi="Times New Roman"/>
                <w:b/>
                <w:bCs/>
                <w:color w:val="auto"/>
                <w:sz w:val="24"/>
              </w:rPr>
              <w:t>9、</w:t>
            </w:r>
            <w:r>
              <w:rPr>
                <w:rFonts w:ascii="Times New Roman" w:hAnsi="Times New Roman"/>
                <w:b/>
                <w:bCs/>
                <w:color w:val="auto"/>
                <w:sz w:val="24"/>
              </w:rPr>
              <w:t>固体废物：</w:t>
            </w:r>
            <w:r>
              <w:rPr>
                <w:rFonts w:ascii="Times New Roman" w:hAnsi="Times New Roman"/>
                <w:color w:val="auto"/>
                <w:sz w:val="24"/>
              </w:rPr>
              <w:t>生活垃圾执行</w:t>
            </w:r>
            <w:r>
              <w:rPr>
                <w:rFonts w:hint="eastAsia" w:ascii="宋体" w:hAnsi="宋体" w:cs="宋体"/>
                <w:color w:val="auto"/>
                <w:kern w:val="0"/>
                <w:sz w:val="24"/>
                <w:lang w:bidi="ar"/>
              </w:rPr>
              <w:t>《生活垃圾填埋污染物控制标准》（</w:t>
            </w:r>
            <w:r>
              <w:rPr>
                <w:rFonts w:ascii="Times New Roman" w:hAnsi="Times New Roman"/>
                <w:color w:val="auto"/>
                <w:kern w:val="0"/>
                <w:sz w:val="24"/>
                <w:lang w:bidi="ar"/>
              </w:rPr>
              <w:t>GB16889-2008</w:t>
            </w:r>
            <w:r>
              <w:rPr>
                <w:rFonts w:hint="eastAsia" w:ascii="宋体" w:hAnsi="宋体" w:cs="宋体"/>
                <w:color w:val="auto"/>
                <w:kern w:val="0"/>
                <w:sz w:val="24"/>
                <w:lang w:bidi="ar"/>
              </w:rPr>
              <w:t>）</w:t>
            </w:r>
          </w:p>
          <w:p>
            <w:pPr>
              <w:spacing w:line="360" w:lineRule="auto"/>
              <w:rPr>
                <w:rFonts w:ascii="Times New Roman" w:hAnsi="Times New Roman"/>
                <w:color w:val="auto"/>
                <w:kern w:val="0"/>
                <w:szCs w:val="21"/>
              </w:rPr>
            </w:pPr>
            <w:r>
              <w:rPr>
                <w:rFonts w:ascii="Times New Roman" w:hAnsi="Times New Roman"/>
                <w:color w:val="auto"/>
                <w:sz w:val="24"/>
              </w:rPr>
              <w:t>；一般工业固体废物执行《一般工业固体废物贮存、处置场污染控制标准》（GB18599-2001）及其2013年修改单；危险废物执行《危险废物贮存污染控制标准》（GB18597-2001）及其2013年修改单。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216" w:type="pct"/>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总量</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控制</w:t>
            </w:r>
          </w:p>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指标</w:t>
            </w:r>
          </w:p>
        </w:tc>
        <w:tc>
          <w:tcPr>
            <w:tcW w:w="4783" w:type="pct"/>
            <w:vAlign w:val="center"/>
          </w:tcPr>
          <w:p>
            <w:pPr>
              <w:spacing w:line="360" w:lineRule="auto"/>
              <w:ind w:firstLine="480"/>
              <w:rPr>
                <w:rFonts w:ascii="Times New Roman" w:hAnsi="Times New Roman"/>
                <w:color w:val="auto"/>
                <w:sz w:val="24"/>
              </w:rPr>
            </w:pPr>
            <w:r>
              <w:rPr>
                <w:rFonts w:ascii="Times New Roman" w:hAnsi="Times New Roman"/>
                <w:color w:val="auto"/>
                <w:sz w:val="24"/>
              </w:rPr>
              <w:t>根据</w:t>
            </w:r>
            <w:r>
              <w:rPr>
                <w:rFonts w:hint="eastAsia" w:ascii="宋体" w:hAnsi="宋体" w:cs="宋体"/>
                <w:color w:val="auto"/>
                <w:sz w:val="24"/>
              </w:rPr>
              <w:t>“十三五”</w:t>
            </w:r>
            <w:r>
              <w:rPr>
                <w:rFonts w:ascii="Times New Roman" w:hAnsi="Times New Roman"/>
                <w:color w:val="auto"/>
                <w:sz w:val="24"/>
              </w:rPr>
              <w:t>总量规划，主要污染物实施国家总量控制指标有COD、NH3-N、挥发性有机物、二氧化硫、氮氧化物五项。</w:t>
            </w:r>
          </w:p>
          <w:p>
            <w:pPr>
              <w:spacing w:line="360" w:lineRule="auto"/>
              <w:ind w:firstLine="480"/>
              <w:rPr>
                <w:rFonts w:ascii="宋体" w:hAnsi="宋体" w:cs="宋体"/>
                <w:color w:val="auto"/>
                <w:sz w:val="24"/>
              </w:rPr>
            </w:pPr>
            <w:r>
              <w:rPr>
                <w:rFonts w:ascii="宋体" w:hAnsi="宋体" w:cs="宋体"/>
                <w:color w:val="auto"/>
                <w:sz w:val="24"/>
              </w:rPr>
              <w:t>本项目废气中无二氧化硫、氮氧化物产生，</w:t>
            </w:r>
            <w:r>
              <w:rPr>
                <w:rFonts w:hint="eastAsia" w:ascii="Times New Roman" w:hAnsi="Times New Roman"/>
                <w:color w:val="auto"/>
                <w:sz w:val="24"/>
              </w:rPr>
              <w:t>本项目产生的生活污水经化粪池达标处理后，</w:t>
            </w:r>
            <w:r>
              <w:rPr>
                <w:rFonts w:hint="eastAsia" w:ascii="Times New Roman" w:hAnsi="Times New Roman"/>
                <w:color w:val="auto"/>
                <w:sz w:val="24"/>
                <w:shd w:val="clear"/>
              </w:rPr>
              <w:t>排入仙槎桥镇污水处理厂。本项目生活污水中COD（0.0</w:t>
            </w:r>
            <w:r>
              <w:rPr>
                <w:rFonts w:hint="eastAsia" w:ascii="Times New Roman" w:hAnsi="Times New Roman"/>
                <w:color w:val="auto"/>
                <w:sz w:val="24"/>
                <w:shd w:val="clear"/>
                <w:lang w:val="en-US" w:eastAsia="zh-CN"/>
              </w:rPr>
              <w:t>103</w:t>
            </w:r>
            <w:r>
              <w:rPr>
                <w:rStyle w:val="30"/>
                <w:rFonts w:hint="eastAsia"/>
                <w:color w:val="auto"/>
                <w:kern w:val="0"/>
                <w:szCs w:val="20"/>
                <w:shd w:val="clear"/>
              </w:rPr>
              <w:t>t/a</w:t>
            </w:r>
            <w:r>
              <w:rPr>
                <w:rFonts w:hint="eastAsia" w:ascii="Times New Roman" w:hAnsi="Times New Roman"/>
                <w:color w:val="auto"/>
                <w:sz w:val="24"/>
                <w:shd w:val="clear"/>
              </w:rPr>
              <w:t>）、NH</w:t>
            </w:r>
            <w:r>
              <w:rPr>
                <w:rFonts w:hint="eastAsia" w:ascii="Times New Roman" w:hAnsi="Times New Roman"/>
                <w:color w:val="auto"/>
                <w:sz w:val="24"/>
                <w:shd w:val="clear"/>
                <w:vertAlign w:val="subscript"/>
              </w:rPr>
              <w:t>3</w:t>
            </w:r>
            <w:r>
              <w:rPr>
                <w:rFonts w:hint="eastAsia" w:ascii="Times New Roman" w:hAnsi="Times New Roman"/>
                <w:color w:val="auto"/>
                <w:sz w:val="24"/>
                <w:shd w:val="clear"/>
              </w:rPr>
              <w:t>-N（0.00</w:t>
            </w:r>
            <w:r>
              <w:rPr>
                <w:rFonts w:hint="eastAsia" w:ascii="Times New Roman" w:hAnsi="Times New Roman"/>
                <w:color w:val="auto"/>
                <w:sz w:val="24"/>
                <w:shd w:val="clear"/>
                <w:lang w:val="en-US" w:eastAsia="zh-CN"/>
              </w:rPr>
              <w:t>16</w:t>
            </w:r>
            <w:r>
              <w:rPr>
                <w:rFonts w:hint="eastAsia" w:ascii="Times New Roman" w:hAnsi="Times New Roman"/>
                <w:color w:val="auto"/>
                <w:sz w:val="24"/>
                <w:shd w:val="clear"/>
              </w:rPr>
              <w:t>t/a）</w:t>
            </w:r>
            <w:r>
              <w:rPr>
                <w:rFonts w:hint="eastAsia" w:ascii="Times New Roman" w:hAnsi="Times New Roman"/>
                <w:color w:val="auto"/>
                <w:sz w:val="24"/>
              </w:rPr>
              <w:t>总量指标纳入仙槎桥镇污水处理厂的指标中。</w:t>
            </w:r>
          </w:p>
          <w:p>
            <w:pPr>
              <w:spacing w:line="360" w:lineRule="auto"/>
              <w:ind w:firstLine="480"/>
              <w:rPr>
                <w:rFonts w:ascii="宋体" w:hAnsi="宋体" w:cs="宋体"/>
                <w:color w:val="auto"/>
                <w:sz w:val="24"/>
              </w:rPr>
            </w:pPr>
          </w:p>
          <w:p>
            <w:pPr>
              <w:spacing w:line="360" w:lineRule="auto"/>
              <w:ind w:firstLine="480"/>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pStyle w:val="21"/>
              <w:rPr>
                <w:rFonts w:ascii="宋体" w:hAnsi="宋体" w:cs="宋体"/>
                <w:color w:val="auto"/>
                <w:sz w:val="24"/>
              </w:rPr>
            </w:pPr>
          </w:p>
          <w:p>
            <w:pPr>
              <w:rPr>
                <w:rFonts w:ascii="宋体" w:hAnsi="宋体" w:cs="宋体"/>
                <w:color w:val="auto"/>
                <w:sz w:val="24"/>
              </w:rPr>
            </w:pPr>
          </w:p>
          <w:p>
            <w:pPr>
              <w:spacing w:line="360" w:lineRule="auto"/>
              <w:rPr>
                <w:rFonts w:ascii="Times New Roman" w:hAnsi="Times New Roman"/>
                <w:color w:val="auto"/>
                <w:kern w:val="0"/>
                <w:szCs w:val="21"/>
              </w:rPr>
            </w:pPr>
          </w:p>
        </w:tc>
      </w:tr>
    </w:tbl>
    <w:p>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5" w:name="_Toc1721"/>
      <w:r>
        <w:rPr>
          <w:rFonts w:ascii="Times New Roman" w:hAnsi="Times New Roman" w:eastAsia="黑体"/>
          <w:snapToGrid w:val="0"/>
          <w:color w:val="auto"/>
          <w:sz w:val="30"/>
          <w:szCs w:val="30"/>
        </w:rPr>
        <w:t>四、主要环境影响和保护措施</w:t>
      </w:r>
      <w:bookmarkEnd w:id="5"/>
    </w:p>
    <w:tbl>
      <w:tblPr>
        <w:tblStyle w:val="26"/>
        <w:tblW w:w="4999" w:type="pct"/>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
        <w:gridCol w:w="394"/>
        <w:gridCol w:w="46"/>
        <w:gridCol w:w="9005"/>
        <w:gridCol w:w="17"/>
        <w:gridCol w:w="10"/>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PrEx>
        <w:trPr>
          <w:gridBefore w:val="1"/>
          <w:gridAfter w:val="1"/>
          <w:wBefore w:w="11" w:type="pct"/>
          <w:wAfter w:w="3" w:type="pct"/>
          <w:trHeight w:val="23" w:hRule="atLeast"/>
          <w:jc w:val="center"/>
        </w:trPr>
        <w:tc>
          <w:tcPr>
            <w:tcW w:w="232" w:type="pct"/>
            <w:gridSpan w:val="2"/>
            <w:tcBorders>
              <w:tl2br w:val="nil"/>
              <w:tr2bl w:val="nil"/>
            </w:tcBorders>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pPr>
              <w:pStyle w:val="22"/>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4751" w:type="pct"/>
            <w:gridSpan w:val="2"/>
            <w:tcBorders>
              <w:tl2br w:val="nil"/>
              <w:tr2bl w:val="nil"/>
            </w:tcBorders>
            <w:vAlign w:val="center"/>
          </w:tcPr>
          <w:p>
            <w:pPr>
              <w:spacing w:line="360" w:lineRule="auto"/>
              <w:ind w:firstLine="480" w:firstLineChars="200"/>
              <w:rPr>
                <w:color w:val="auto"/>
              </w:rPr>
            </w:pPr>
            <w:r>
              <w:rPr>
                <w:rFonts w:ascii="Times New Roman" w:hAnsi="Times New Roman"/>
                <w:color w:val="auto"/>
                <w:sz w:val="24"/>
              </w:rPr>
              <w:t>本项目的实施主要分为施工期、运营期两个阶段。由于本项目于2005已经建成投产，所以不对施工期进行分析。本次环评只对项目运营期进行分析。</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2" w:hRule="atLeast"/>
          <w:jc w:val="center"/>
        </w:trPr>
        <w:tc>
          <w:tcPr>
            <w:tcW w:w="219" w:type="pct"/>
            <w:gridSpan w:val="2"/>
            <w:tcBorders>
              <w:tl2br w:val="nil"/>
              <w:tr2bl w:val="nil"/>
            </w:tcBorders>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运营</w:t>
            </w:r>
          </w:p>
          <w:p>
            <w:pPr>
              <w:adjustRightInd w:val="0"/>
              <w:snapToGrid w:val="0"/>
              <w:jc w:val="center"/>
              <w:rPr>
                <w:rFonts w:ascii="Times New Roman" w:hAnsi="Times New Roman"/>
                <w:bCs/>
                <w:color w:val="auto"/>
                <w:szCs w:val="21"/>
              </w:rPr>
            </w:pPr>
            <w:r>
              <w:rPr>
                <w:rFonts w:ascii="Times New Roman" w:hAnsi="Times New Roman"/>
                <w:bCs/>
                <w:color w:val="auto"/>
                <w:szCs w:val="21"/>
              </w:rPr>
              <w:t>期环</w:t>
            </w:r>
          </w:p>
          <w:p>
            <w:pPr>
              <w:adjustRightInd w:val="0"/>
              <w:snapToGrid w:val="0"/>
              <w:jc w:val="center"/>
              <w:rPr>
                <w:rFonts w:ascii="Times New Roman" w:hAnsi="Times New Roman"/>
                <w:bCs/>
                <w:color w:val="auto"/>
                <w:szCs w:val="21"/>
              </w:rPr>
            </w:pPr>
            <w:r>
              <w:rPr>
                <w:rFonts w:ascii="Times New Roman" w:hAnsi="Times New Roman"/>
                <w:bCs/>
                <w:color w:val="auto"/>
                <w:szCs w:val="21"/>
              </w:rPr>
              <w:t>境影</w:t>
            </w:r>
          </w:p>
          <w:p>
            <w:pPr>
              <w:adjustRightInd w:val="0"/>
              <w:snapToGrid w:val="0"/>
              <w:jc w:val="center"/>
              <w:rPr>
                <w:rFonts w:ascii="Times New Roman" w:hAnsi="Times New Roman"/>
                <w:bCs/>
                <w:color w:val="auto"/>
                <w:szCs w:val="21"/>
              </w:rPr>
            </w:pPr>
            <w:r>
              <w:rPr>
                <w:rFonts w:ascii="Times New Roman" w:hAnsi="Times New Roman"/>
                <w:bCs/>
                <w:color w:val="auto"/>
                <w:szCs w:val="21"/>
              </w:rPr>
              <w:t>响和</w:t>
            </w:r>
          </w:p>
          <w:p>
            <w:pPr>
              <w:adjustRightInd w:val="0"/>
              <w:snapToGrid w:val="0"/>
              <w:jc w:val="center"/>
              <w:rPr>
                <w:color w:val="auto"/>
              </w:rPr>
            </w:pPr>
            <w:r>
              <w:rPr>
                <w:rFonts w:ascii="Times New Roman" w:hAnsi="Times New Roman"/>
                <w:bCs/>
                <w:color w:val="auto"/>
                <w:szCs w:val="21"/>
              </w:rPr>
              <w:t>保护措施</w:t>
            </w:r>
          </w:p>
        </w:tc>
        <w:tc>
          <w:tcPr>
            <w:tcW w:w="4780" w:type="pct"/>
            <w:gridSpan w:val="4"/>
            <w:tcBorders>
              <w:tl2br w:val="nil"/>
              <w:tr2bl w:val="nil"/>
            </w:tcBorders>
          </w:tcPr>
          <w:p>
            <w:pPr>
              <w:rPr>
                <w:rFonts w:ascii="Times New Roman" w:hAnsi="Times New Roman"/>
                <w:b/>
                <w:bCs/>
                <w:color w:val="auto"/>
                <w:sz w:val="24"/>
                <w:u w:val="single"/>
              </w:rPr>
            </w:pPr>
            <w:r>
              <w:rPr>
                <w:rFonts w:hint="eastAsia" w:ascii="Times New Roman" w:hAnsi="Times New Roman"/>
                <w:b/>
                <w:bCs/>
                <w:color w:val="auto"/>
                <w:sz w:val="24"/>
                <w:u w:val="single"/>
              </w:rPr>
              <w:t>1、</w:t>
            </w:r>
            <w:r>
              <w:rPr>
                <w:rFonts w:ascii="Times New Roman" w:hAnsi="Times New Roman"/>
                <w:b/>
                <w:bCs/>
                <w:color w:val="auto"/>
                <w:sz w:val="24"/>
                <w:u w:val="single"/>
              </w:rPr>
              <w:t>运营期废气环境影响和保护措施：</w:t>
            </w:r>
          </w:p>
          <w:p>
            <w:pPr>
              <w:jc w:val="center"/>
              <w:rPr>
                <w:rFonts w:ascii="Times New Roman" w:hAnsi="Times New Roman"/>
                <w:b/>
                <w:bCs/>
                <w:color w:val="auto"/>
                <w:u w:val="single"/>
              </w:rPr>
            </w:pPr>
            <w:r>
              <w:rPr>
                <w:rFonts w:ascii="Times New Roman" w:hAnsi="Times New Roman"/>
                <w:b/>
                <w:bCs/>
                <w:color w:val="auto"/>
                <w:u w:val="single"/>
              </w:rPr>
              <w:t>表</w:t>
            </w:r>
            <w:r>
              <w:rPr>
                <w:rFonts w:hint="eastAsia" w:ascii="Times New Roman" w:hAnsi="Times New Roman"/>
                <w:b/>
                <w:bCs/>
                <w:color w:val="auto"/>
                <w:u w:val="single"/>
              </w:rPr>
              <w:t xml:space="preserve">4-1 </w:t>
            </w:r>
            <w:r>
              <w:rPr>
                <w:rFonts w:ascii="Times New Roman" w:hAnsi="Times New Roman"/>
                <w:b/>
                <w:bCs/>
                <w:color w:val="auto"/>
                <w:u w:val="single"/>
              </w:rPr>
              <w:t xml:space="preserve"> 废气污染源源强核算结果及相关参数一览表</w:t>
            </w:r>
          </w:p>
          <w:tbl>
            <w:tblPr>
              <w:tblStyle w:val="26"/>
              <w:tblpPr w:leftFromText="180" w:rightFromText="180" w:vertAnchor="text" w:horzAnchor="page" w:tblpX="139" w:tblpY="2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
              <w:gridCol w:w="391"/>
              <w:gridCol w:w="391"/>
              <w:gridCol w:w="391"/>
              <w:gridCol w:w="391"/>
              <w:gridCol w:w="1055"/>
              <w:gridCol w:w="954"/>
              <w:gridCol w:w="391"/>
              <w:gridCol w:w="751"/>
              <w:gridCol w:w="391"/>
              <w:gridCol w:w="1041"/>
              <w:gridCol w:w="1055"/>
              <w:gridCol w:w="867"/>
              <w:gridCol w:w="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vMerge w:val="restar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生产线</w:t>
                  </w:r>
                </w:p>
              </w:tc>
              <w:tc>
                <w:tcPr>
                  <w:tcW w:w="220" w:type="pct"/>
                  <w:vMerge w:val="restar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装置</w:t>
                  </w:r>
                </w:p>
              </w:tc>
              <w:tc>
                <w:tcPr>
                  <w:tcW w:w="220" w:type="pct"/>
                  <w:vMerge w:val="restar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污染源</w:t>
                  </w:r>
                </w:p>
              </w:tc>
              <w:tc>
                <w:tcPr>
                  <w:tcW w:w="220" w:type="pct"/>
                  <w:vMerge w:val="restar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污染物</w:t>
                  </w:r>
                </w:p>
              </w:tc>
              <w:tc>
                <w:tcPr>
                  <w:tcW w:w="1355" w:type="pct"/>
                  <w:gridSpan w:val="3"/>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污染物产生</w:t>
                  </w:r>
                </w:p>
              </w:tc>
              <w:tc>
                <w:tcPr>
                  <w:tcW w:w="645" w:type="pct"/>
                  <w:gridSpan w:val="2"/>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治理措施</w:t>
                  </w:r>
                </w:p>
              </w:tc>
              <w:tc>
                <w:tcPr>
                  <w:tcW w:w="1894" w:type="pct"/>
                  <w:gridSpan w:val="4"/>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污染物排放</w:t>
                  </w:r>
                </w:p>
              </w:tc>
              <w:tc>
                <w:tcPr>
                  <w:tcW w:w="221" w:type="pct"/>
                  <w:vMerge w:val="restar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hint="eastAsia" w:ascii="Times New Roman" w:hAnsi="Times New Roman"/>
                      <w:b/>
                      <w:color w:val="auto"/>
                      <w:spacing w:val="-10"/>
                      <w:szCs w:val="21"/>
                      <w:u w:val="single"/>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p>
              </w:tc>
              <w:tc>
                <w:tcPr>
                  <w:tcW w:w="220" w:type="pct"/>
                  <w:vMerge w:val="continue"/>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p>
              </w:tc>
              <w:tc>
                <w:tcPr>
                  <w:tcW w:w="220" w:type="pct"/>
                  <w:vMerge w:val="continue"/>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p>
              </w:tc>
              <w:tc>
                <w:tcPr>
                  <w:tcW w:w="220" w:type="pct"/>
                  <w:vMerge w:val="continue"/>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p>
              </w:tc>
              <w:tc>
                <w:tcPr>
                  <w:tcW w:w="220"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核算方法</w:t>
                  </w:r>
                </w:p>
              </w:tc>
              <w:tc>
                <w:tcPr>
                  <w:tcW w:w="595"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产生浓度（mg/m</w:t>
                  </w:r>
                  <w:r>
                    <w:rPr>
                      <w:rFonts w:ascii="Times New Roman" w:hAnsi="Times New Roman"/>
                      <w:b/>
                      <w:color w:val="auto"/>
                      <w:spacing w:val="-10"/>
                      <w:szCs w:val="21"/>
                      <w:u w:val="single"/>
                      <w:vertAlign w:val="superscript"/>
                    </w:rPr>
                    <w:t>3</w:t>
                  </w:r>
                  <w:r>
                    <w:rPr>
                      <w:rFonts w:ascii="Times New Roman" w:hAnsi="Times New Roman"/>
                      <w:b/>
                      <w:color w:val="auto"/>
                      <w:spacing w:val="-10"/>
                      <w:szCs w:val="21"/>
                      <w:u w:val="single"/>
                    </w:rPr>
                    <w:t>）</w:t>
                  </w:r>
                </w:p>
              </w:tc>
              <w:tc>
                <w:tcPr>
                  <w:tcW w:w="538"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产生量（</w:t>
                  </w:r>
                  <w:r>
                    <w:rPr>
                      <w:rFonts w:hint="eastAsia" w:ascii="Times New Roman" w:hAnsi="Times New Roman"/>
                      <w:b/>
                      <w:color w:val="auto"/>
                      <w:spacing w:val="-10"/>
                      <w:szCs w:val="21"/>
                      <w:u w:val="single"/>
                    </w:rPr>
                    <w:t>t/a</w:t>
                  </w:r>
                  <w:r>
                    <w:rPr>
                      <w:rFonts w:ascii="Times New Roman" w:hAnsi="Times New Roman"/>
                      <w:b/>
                      <w:color w:val="auto"/>
                      <w:spacing w:val="-10"/>
                      <w:szCs w:val="21"/>
                      <w:u w:val="single"/>
                    </w:rPr>
                    <w:t>）</w:t>
                  </w:r>
                </w:p>
              </w:tc>
              <w:tc>
                <w:tcPr>
                  <w:tcW w:w="220"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工艺</w:t>
                  </w:r>
                </w:p>
              </w:tc>
              <w:tc>
                <w:tcPr>
                  <w:tcW w:w="424"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效率（%）</w:t>
                  </w:r>
                </w:p>
              </w:tc>
              <w:tc>
                <w:tcPr>
                  <w:tcW w:w="220"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核算方法</w:t>
                  </w:r>
                </w:p>
              </w:tc>
              <w:tc>
                <w:tcPr>
                  <w:tcW w:w="588"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hint="eastAsia"/>
                      <w:b/>
                      <w:color w:val="auto"/>
                      <w:kern w:val="0"/>
                      <w:szCs w:val="21"/>
                      <w:u w:val="single"/>
                    </w:rPr>
                    <w:t>废气排放速率</w:t>
                  </w:r>
                  <w:r>
                    <w:rPr>
                      <w:rFonts w:ascii="Times New Roman" w:hAnsi="Times New Roman"/>
                      <w:b/>
                      <w:color w:val="auto"/>
                      <w:spacing w:val="-10"/>
                      <w:szCs w:val="21"/>
                      <w:u w:val="single"/>
                    </w:rPr>
                    <w:t>（</w:t>
                  </w:r>
                  <w:r>
                    <w:rPr>
                      <w:rFonts w:hint="eastAsia" w:ascii="Times New Roman" w:hAnsi="Times New Roman"/>
                      <w:b/>
                      <w:color w:val="auto"/>
                      <w:spacing w:val="-10"/>
                      <w:szCs w:val="21"/>
                      <w:u w:val="single"/>
                    </w:rPr>
                    <w:t>kg</w:t>
                  </w:r>
                  <w:r>
                    <w:rPr>
                      <w:rFonts w:ascii="Times New Roman" w:hAnsi="Times New Roman"/>
                      <w:b/>
                      <w:color w:val="auto"/>
                      <w:spacing w:val="-10"/>
                      <w:szCs w:val="21"/>
                      <w:u w:val="single"/>
                    </w:rPr>
                    <w:t>/h）</w:t>
                  </w:r>
                </w:p>
              </w:tc>
              <w:tc>
                <w:tcPr>
                  <w:tcW w:w="595"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排放浓度（mg/m</w:t>
                  </w:r>
                  <w:r>
                    <w:rPr>
                      <w:rFonts w:ascii="Times New Roman" w:hAnsi="Times New Roman"/>
                      <w:b/>
                      <w:color w:val="auto"/>
                      <w:spacing w:val="-10"/>
                      <w:szCs w:val="21"/>
                      <w:u w:val="single"/>
                      <w:vertAlign w:val="superscript"/>
                    </w:rPr>
                    <w:t>3</w:t>
                  </w:r>
                  <w:r>
                    <w:rPr>
                      <w:rFonts w:ascii="Times New Roman" w:hAnsi="Times New Roman"/>
                      <w:b/>
                      <w:color w:val="auto"/>
                      <w:spacing w:val="-10"/>
                      <w:szCs w:val="21"/>
                      <w:u w:val="single"/>
                    </w:rPr>
                    <w:t>）</w:t>
                  </w:r>
                </w:p>
              </w:tc>
              <w:tc>
                <w:tcPr>
                  <w:tcW w:w="489" w:type="pct"/>
                  <w:tcBorders>
                    <w:tl2br w:val="nil"/>
                    <w:tr2bl w:val="nil"/>
                  </w:tcBorders>
                  <w:vAlign w:val="center"/>
                </w:tcPr>
                <w:p>
                  <w:pPr>
                    <w:pStyle w:val="15"/>
                    <w:numPr>
                      <w:ilvl w:val="0"/>
                      <w:numId w:val="0"/>
                    </w:numPr>
                    <w:jc w:val="center"/>
                    <w:rPr>
                      <w:rFonts w:ascii="Times New Roman" w:hAnsi="Times New Roman"/>
                      <w:b/>
                      <w:color w:val="auto"/>
                      <w:spacing w:val="-10"/>
                      <w:szCs w:val="21"/>
                      <w:u w:val="single"/>
                    </w:rPr>
                  </w:pPr>
                  <w:r>
                    <w:rPr>
                      <w:rFonts w:ascii="Times New Roman" w:hAnsi="Times New Roman"/>
                      <w:b/>
                      <w:color w:val="auto"/>
                      <w:spacing w:val="-10"/>
                      <w:szCs w:val="21"/>
                      <w:u w:val="single"/>
                    </w:rPr>
                    <w:t>排放量（</w:t>
                  </w:r>
                  <w:r>
                    <w:rPr>
                      <w:rFonts w:hint="eastAsia" w:ascii="Times New Roman" w:hAnsi="Times New Roman"/>
                      <w:b/>
                      <w:color w:val="auto"/>
                      <w:spacing w:val="-10"/>
                      <w:szCs w:val="21"/>
                      <w:u w:val="single"/>
                    </w:rPr>
                    <w:t>t/a</w:t>
                  </w:r>
                  <w:r>
                    <w:rPr>
                      <w:rFonts w:ascii="Times New Roman" w:hAnsi="Times New Roman"/>
                      <w:b/>
                      <w:color w:val="auto"/>
                      <w:spacing w:val="-10"/>
                      <w:szCs w:val="21"/>
                      <w:u w:val="single"/>
                    </w:rPr>
                    <w:t>）</w:t>
                  </w:r>
                </w:p>
              </w:tc>
              <w:tc>
                <w:tcPr>
                  <w:tcW w:w="221" w:type="pct"/>
                  <w:vMerge w:val="continue"/>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trPr>
              <w:tc>
                <w:tcPr>
                  <w:tcW w:w="220" w:type="pct"/>
                  <w:vMerge w:val="restar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两用扳手</w:t>
                  </w:r>
                  <w:r>
                    <w:rPr>
                      <w:rFonts w:ascii="Times New Roman" w:hAnsi="Times New Roman"/>
                      <w:bCs/>
                      <w:color w:val="auto"/>
                      <w:spacing w:val="-10"/>
                      <w:szCs w:val="21"/>
                      <w:u w:val="single"/>
                    </w:rPr>
                    <w:t>生产线</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打磨机</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打磨机</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粉尘</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ascii="Times New Roman" w:hAnsi="Times New Roman"/>
                      <w:bCs/>
                      <w:color w:val="auto"/>
                      <w:spacing w:val="-10"/>
                      <w:szCs w:val="21"/>
                      <w:u w:val="single"/>
                    </w:rPr>
                    <w:t>排污系数法</w:t>
                  </w:r>
                </w:p>
              </w:tc>
              <w:tc>
                <w:tcPr>
                  <w:tcW w:w="595"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w:t>
                  </w:r>
                </w:p>
              </w:tc>
              <w:tc>
                <w:tcPr>
                  <w:tcW w:w="538"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0.1523</w:t>
                  </w:r>
                </w:p>
              </w:tc>
              <w:tc>
                <w:tcPr>
                  <w:tcW w:w="220" w:type="pct"/>
                  <w:tcBorders>
                    <w:tl2br w:val="nil"/>
                    <w:tr2bl w:val="nil"/>
                  </w:tcBorders>
                  <w:vAlign w:val="center"/>
                </w:tcPr>
                <w:p>
                  <w:pPr>
                    <w:pStyle w:val="15"/>
                    <w:numPr>
                      <w:ilvl w:val="0"/>
                      <w:numId w:val="0"/>
                    </w:numPr>
                    <w:rPr>
                      <w:rFonts w:ascii="Times New Roman" w:hAnsi="Times New Roman"/>
                      <w:bCs/>
                      <w:color w:val="auto"/>
                      <w:spacing w:val="-10"/>
                      <w:szCs w:val="21"/>
                      <w:u w:val="single"/>
                    </w:rPr>
                  </w:pPr>
                  <w:r>
                    <w:rPr>
                      <w:rFonts w:hint="eastAsia" w:ascii="Times New Roman" w:hAnsi="Times New Roman"/>
                      <w:bCs/>
                      <w:color w:val="auto"/>
                      <w:spacing w:val="-10"/>
                      <w:szCs w:val="21"/>
                      <w:u w:val="single"/>
                    </w:rPr>
                    <w:t>水幕除尘</w:t>
                  </w:r>
                </w:p>
              </w:tc>
              <w:tc>
                <w:tcPr>
                  <w:tcW w:w="424"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80</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ascii="Times New Roman" w:hAnsi="Times New Roman"/>
                      <w:bCs/>
                      <w:color w:val="auto"/>
                      <w:spacing w:val="-10"/>
                      <w:szCs w:val="21"/>
                      <w:u w:val="single"/>
                    </w:rPr>
                    <w:t>排污系数法</w:t>
                  </w:r>
                </w:p>
              </w:tc>
              <w:tc>
                <w:tcPr>
                  <w:tcW w:w="588"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0.0122</w:t>
                  </w:r>
                </w:p>
              </w:tc>
              <w:tc>
                <w:tcPr>
                  <w:tcW w:w="595"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w:t>
                  </w:r>
                </w:p>
              </w:tc>
              <w:tc>
                <w:tcPr>
                  <w:tcW w:w="489"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0.027414</w:t>
                  </w:r>
                </w:p>
              </w:tc>
              <w:tc>
                <w:tcPr>
                  <w:tcW w:w="221"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 w:type="pct"/>
                  <w:vMerge w:val="continue"/>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喷砂机</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喷砂机</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粉尘</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ascii="Times New Roman" w:hAnsi="Times New Roman"/>
                      <w:bCs/>
                      <w:color w:val="auto"/>
                      <w:spacing w:val="-10"/>
                      <w:szCs w:val="21"/>
                      <w:u w:val="single"/>
                    </w:rPr>
                    <w:t>排污系数法</w:t>
                  </w:r>
                </w:p>
              </w:tc>
              <w:tc>
                <w:tcPr>
                  <w:tcW w:w="595"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w:t>
                  </w:r>
                </w:p>
              </w:tc>
              <w:tc>
                <w:tcPr>
                  <w:tcW w:w="538"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0.0003875</w:t>
                  </w:r>
                </w:p>
              </w:tc>
              <w:tc>
                <w:tcPr>
                  <w:tcW w:w="220" w:type="pct"/>
                  <w:tcBorders>
                    <w:tl2br w:val="nil"/>
                    <w:tr2bl w:val="nil"/>
                  </w:tcBorders>
                  <w:vAlign w:val="center"/>
                </w:tcPr>
                <w:p>
                  <w:pPr>
                    <w:pStyle w:val="15"/>
                    <w:numPr>
                      <w:ilvl w:val="0"/>
                      <w:numId w:val="0"/>
                    </w:numPr>
                    <w:rPr>
                      <w:rFonts w:ascii="Times New Roman" w:hAnsi="Times New Roman"/>
                      <w:bCs/>
                      <w:color w:val="auto"/>
                      <w:spacing w:val="-10"/>
                      <w:szCs w:val="21"/>
                      <w:u w:val="single"/>
                    </w:rPr>
                  </w:pPr>
                  <w:r>
                    <w:rPr>
                      <w:rFonts w:hint="eastAsia" w:ascii="Times New Roman" w:hAnsi="Times New Roman"/>
                      <w:bCs/>
                      <w:color w:val="auto"/>
                      <w:spacing w:val="-10"/>
                      <w:szCs w:val="21"/>
                      <w:u w:val="single"/>
                    </w:rPr>
                    <w:t>自带布袋除尘</w:t>
                  </w:r>
                </w:p>
              </w:tc>
              <w:tc>
                <w:tcPr>
                  <w:tcW w:w="424"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99</w:t>
                  </w:r>
                </w:p>
              </w:tc>
              <w:tc>
                <w:tcPr>
                  <w:tcW w:w="220"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ascii="Times New Roman" w:hAnsi="Times New Roman"/>
                      <w:bCs/>
                      <w:color w:val="auto"/>
                      <w:spacing w:val="-10"/>
                      <w:szCs w:val="21"/>
                      <w:u w:val="single"/>
                    </w:rPr>
                    <w:t>排污系数法</w:t>
                  </w:r>
                </w:p>
              </w:tc>
              <w:tc>
                <w:tcPr>
                  <w:tcW w:w="588"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0.00000179</w:t>
                  </w:r>
                </w:p>
              </w:tc>
              <w:tc>
                <w:tcPr>
                  <w:tcW w:w="595"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w:t>
                  </w:r>
                </w:p>
              </w:tc>
              <w:tc>
                <w:tcPr>
                  <w:tcW w:w="489"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0.000004</w:t>
                  </w:r>
                </w:p>
              </w:tc>
              <w:tc>
                <w:tcPr>
                  <w:tcW w:w="221" w:type="pct"/>
                  <w:tcBorders>
                    <w:tl2br w:val="nil"/>
                    <w:tr2bl w:val="nil"/>
                  </w:tcBorders>
                  <w:vAlign w:val="center"/>
                </w:tcPr>
                <w:p>
                  <w:pPr>
                    <w:pStyle w:val="15"/>
                    <w:numPr>
                      <w:ilvl w:val="0"/>
                      <w:numId w:val="0"/>
                    </w:numPr>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是</w:t>
                  </w:r>
                </w:p>
              </w:tc>
            </w:tr>
          </w:tbl>
          <w:p>
            <w:pPr>
              <w:pStyle w:val="15"/>
              <w:numPr>
                <w:ilvl w:val="0"/>
                <w:numId w:val="0"/>
              </w:numPr>
              <w:rPr>
                <w:color w:val="auto"/>
              </w:rPr>
            </w:pP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PrEx>
        <w:trPr>
          <w:gridBefore w:val="1"/>
          <w:gridAfter w:val="2"/>
          <w:wBefore w:w="11" w:type="pct"/>
          <w:wAfter w:w="13" w:type="pct"/>
          <w:trHeight w:val="23" w:hRule="atLeast"/>
          <w:jc w:val="center"/>
        </w:trPr>
        <w:tc>
          <w:tcPr>
            <w:tcW w:w="232" w:type="pct"/>
            <w:gridSpan w:val="2"/>
            <w:tcBorders>
              <w:tl2br w:val="nil"/>
              <w:tr2bl w:val="nil"/>
            </w:tcBorders>
            <w:tcMar>
              <w:left w:w="28" w:type="dxa"/>
              <w:right w:w="28" w:type="dxa"/>
            </w:tcMar>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运营</w:t>
            </w:r>
          </w:p>
          <w:p>
            <w:pPr>
              <w:adjustRightInd w:val="0"/>
              <w:snapToGrid w:val="0"/>
              <w:jc w:val="center"/>
              <w:rPr>
                <w:rFonts w:ascii="Times New Roman" w:hAnsi="Times New Roman"/>
                <w:bCs/>
                <w:color w:val="auto"/>
                <w:szCs w:val="21"/>
              </w:rPr>
            </w:pPr>
            <w:r>
              <w:rPr>
                <w:rFonts w:ascii="Times New Roman" w:hAnsi="Times New Roman"/>
                <w:bCs/>
                <w:color w:val="auto"/>
                <w:szCs w:val="21"/>
              </w:rPr>
              <w:t>期环</w:t>
            </w:r>
          </w:p>
          <w:p>
            <w:pPr>
              <w:adjustRightInd w:val="0"/>
              <w:snapToGrid w:val="0"/>
              <w:jc w:val="center"/>
              <w:rPr>
                <w:rFonts w:ascii="Times New Roman" w:hAnsi="Times New Roman"/>
                <w:bCs/>
                <w:color w:val="auto"/>
                <w:szCs w:val="21"/>
              </w:rPr>
            </w:pPr>
            <w:r>
              <w:rPr>
                <w:rFonts w:ascii="Times New Roman" w:hAnsi="Times New Roman"/>
                <w:bCs/>
                <w:color w:val="auto"/>
                <w:szCs w:val="21"/>
              </w:rPr>
              <w:t>境影</w:t>
            </w:r>
          </w:p>
          <w:p>
            <w:pPr>
              <w:adjustRightInd w:val="0"/>
              <w:snapToGrid w:val="0"/>
              <w:jc w:val="center"/>
              <w:rPr>
                <w:rFonts w:ascii="Times New Roman" w:hAnsi="Times New Roman"/>
                <w:bCs/>
                <w:color w:val="auto"/>
                <w:szCs w:val="21"/>
              </w:rPr>
            </w:pPr>
            <w:r>
              <w:rPr>
                <w:rFonts w:ascii="Times New Roman" w:hAnsi="Times New Roman"/>
                <w:bCs/>
                <w:color w:val="auto"/>
                <w:szCs w:val="21"/>
              </w:rPr>
              <w:t>响和</w:t>
            </w:r>
          </w:p>
          <w:p>
            <w:pPr>
              <w:adjustRightInd w:val="0"/>
              <w:snapToGrid w:val="0"/>
              <w:jc w:val="center"/>
              <w:rPr>
                <w:rFonts w:ascii="Times New Roman" w:hAnsi="Times New Roman"/>
                <w:bCs/>
                <w:color w:val="auto"/>
                <w:szCs w:val="21"/>
              </w:rPr>
            </w:pPr>
            <w:r>
              <w:rPr>
                <w:rFonts w:ascii="Times New Roman" w:hAnsi="Times New Roman"/>
                <w:bCs/>
                <w:color w:val="auto"/>
                <w:szCs w:val="21"/>
              </w:rPr>
              <w:t>保护</w:t>
            </w:r>
          </w:p>
          <w:p>
            <w:pPr>
              <w:adjustRightInd w:val="0"/>
              <w:snapToGrid w:val="0"/>
              <w:jc w:val="center"/>
              <w:rPr>
                <w:rFonts w:ascii="Times New Roman" w:hAnsi="Times New Roman"/>
                <w:bCs/>
                <w:color w:val="auto"/>
                <w:szCs w:val="21"/>
              </w:rPr>
            </w:pPr>
            <w:r>
              <w:rPr>
                <w:rFonts w:ascii="Times New Roman" w:hAnsi="Times New Roman"/>
                <w:bCs/>
                <w:color w:val="auto"/>
                <w:szCs w:val="21"/>
              </w:rPr>
              <w:t>措施</w:t>
            </w:r>
          </w:p>
        </w:tc>
        <w:tc>
          <w:tcPr>
            <w:tcW w:w="4742" w:type="pct"/>
            <w:tcBorders>
              <w:tl2br w:val="nil"/>
              <w:tr2bl w:val="nil"/>
            </w:tcBorders>
            <w:vAlign w:val="center"/>
          </w:tcPr>
          <w:p>
            <w:pPr>
              <w:jc w:val="center"/>
              <w:rPr>
                <w:rFonts w:ascii="Times New Roman" w:hAnsi="Times New Roman"/>
                <w:b/>
                <w:bCs/>
                <w:color w:val="auto"/>
                <w:u w:val="single"/>
              </w:rPr>
            </w:pPr>
            <w:r>
              <w:rPr>
                <w:rFonts w:ascii="Times New Roman" w:hAnsi="Times New Roman"/>
                <w:b/>
                <w:bCs/>
                <w:color w:val="auto"/>
                <w:u w:val="single"/>
              </w:rPr>
              <w:t>表4</w:t>
            </w:r>
            <w:r>
              <w:rPr>
                <w:rFonts w:hint="eastAsia" w:ascii="Times New Roman" w:hAnsi="Times New Roman"/>
                <w:b/>
                <w:bCs/>
                <w:color w:val="auto"/>
                <w:u w:val="single"/>
              </w:rPr>
              <w:t xml:space="preserve">-2 </w:t>
            </w:r>
            <w:r>
              <w:rPr>
                <w:rFonts w:ascii="Times New Roman" w:hAnsi="Times New Roman"/>
                <w:b/>
                <w:bCs/>
                <w:color w:val="auto"/>
                <w:u w:val="single"/>
              </w:rPr>
              <w:t xml:space="preserve"> </w:t>
            </w:r>
            <w:r>
              <w:rPr>
                <w:rFonts w:hint="eastAsia" w:ascii="Times New Roman" w:hAnsi="Times New Roman"/>
                <w:b/>
                <w:bCs/>
                <w:color w:val="auto"/>
                <w:u w:val="single"/>
              </w:rPr>
              <w:t>大气污染物无组织排放信息</w:t>
            </w:r>
          </w:p>
          <w:tbl>
            <w:tblPr>
              <w:tblStyle w:val="26"/>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062"/>
              <w:gridCol w:w="1062"/>
              <w:gridCol w:w="1108"/>
              <w:gridCol w:w="1062"/>
              <w:gridCol w:w="2179"/>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95" w:type="pct"/>
                  <w:vMerge w:val="restart"/>
                  <w:tcBorders>
                    <w:tl2br w:val="nil"/>
                    <w:tr2bl w:val="nil"/>
                  </w:tcBorders>
                  <w:vAlign w:val="center"/>
                </w:tcPr>
                <w:p>
                  <w:pPr>
                    <w:jc w:val="center"/>
                    <w:rPr>
                      <w:b/>
                      <w:bCs/>
                      <w:color w:val="auto"/>
                      <w:u w:val="single"/>
                    </w:rPr>
                  </w:pPr>
                  <w:r>
                    <w:rPr>
                      <w:rFonts w:hint="eastAsia"/>
                      <w:b/>
                      <w:bCs/>
                      <w:color w:val="auto"/>
                      <w:u w:val="single"/>
                    </w:rPr>
                    <w:t>行业</w:t>
                  </w:r>
                </w:p>
              </w:tc>
              <w:tc>
                <w:tcPr>
                  <w:tcW w:w="605" w:type="pct"/>
                  <w:vMerge w:val="restart"/>
                  <w:tcBorders>
                    <w:tl2br w:val="nil"/>
                    <w:tr2bl w:val="nil"/>
                  </w:tcBorders>
                  <w:vAlign w:val="center"/>
                </w:tcPr>
                <w:p>
                  <w:pPr>
                    <w:jc w:val="center"/>
                    <w:rPr>
                      <w:b/>
                      <w:bCs/>
                      <w:color w:val="auto"/>
                      <w:u w:val="single"/>
                    </w:rPr>
                  </w:pPr>
                  <w:r>
                    <w:rPr>
                      <w:rFonts w:hint="eastAsia"/>
                      <w:b/>
                      <w:bCs/>
                      <w:color w:val="auto"/>
                      <w:u w:val="single"/>
                    </w:rPr>
                    <w:t>生产设施编号</w:t>
                  </w:r>
                </w:p>
              </w:tc>
              <w:tc>
                <w:tcPr>
                  <w:tcW w:w="605" w:type="pct"/>
                  <w:vMerge w:val="restart"/>
                  <w:tcBorders>
                    <w:tl2br w:val="nil"/>
                    <w:tr2bl w:val="nil"/>
                  </w:tcBorders>
                  <w:vAlign w:val="center"/>
                </w:tcPr>
                <w:p>
                  <w:pPr>
                    <w:jc w:val="center"/>
                    <w:rPr>
                      <w:b/>
                      <w:bCs/>
                      <w:color w:val="auto"/>
                      <w:u w:val="single"/>
                    </w:rPr>
                  </w:pPr>
                  <w:r>
                    <w:rPr>
                      <w:rFonts w:hint="eastAsia"/>
                      <w:b/>
                      <w:bCs/>
                      <w:color w:val="auto"/>
                      <w:u w:val="single"/>
                    </w:rPr>
                    <w:t>产污环节</w:t>
                  </w:r>
                </w:p>
              </w:tc>
              <w:tc>
                <w:tcPr>
                  <w:tcW w:w="631" w:type="pct"/>
                  <w:vMerge w:val="restart"/>
                  <w:tcBorders>
                    <w:tl2br w:val="nil"/>
                    <w:tr2bl w:val="nil"/>
                  </w:tcBorders>
                  <w:vAlign w:val="center"/>
                </w:tcPr>
                <w:p>
                  <w:pPr>
                    <w:jc w:val="center"/>
                    <w:rPr>
                      <w:b/>
                      <w:bCs/>
                      <w:color w:val="auto"/>
                      <w:u w:val="single"/>
                    </w:rPr>
                  </w:pPr>
                  <w:r>
                    <w:rPr>
                      <w:rFonts w:hint="eastAsia"/>
                      <w:b/>
                      <w:bCs/>
                      <w:color w:val="auto"/>
                      <w:u w:val="single"/>
                    </w:rPr>
                    <w:t>污染物种类</w:t>
                  </w:r>
                </w:p>
              </w:tc>
              <w:tc>
                <w:tcPr>
                  <w:tcW w:w="605" w:type="pct"/>
                  <w:vMerge w:val="restart"/>
                  <w:tcBorders>
                    <w:tl2br w:val="nil"/>
                    <w:tr2bl w:val="nil"/>
                  </w:tcBorders>
                  <w:vAlign w:val="center"/>
                </w:tcPr>
                <w:p>
                  <w:pPr>
                    <w:jc w:val="center"/>
                    <w:rPr>
                      <w:b/>
                      <w:bCs/>
                      <w:color w:val="auto"/>
                      <w:u w:val="single"/>
                    </w:rPr>
                  </w:pPr>
                  <w:r>
                    <w:rPr>
                      <w:rFonts w:hint="eastAsia"/>
                      <w:b/>
                      <w:bCs/>
                      <w:color w:val="auto"/>
                      <w:u w:val="single"/>
                    </w:rPr>
                    <w:t>主要污染防治措施</w:t>
                  </w:r>
                </w:p>
              </w:tc>
              <w:tc>
                <w:tcPr>
                  <w:tcW w:w="1957" w:type="pct"/>
                  <w:gridSpan w:val="2"/>
                  <w:tcBorders>
                    <w:tl2br w:val="nil"/>
                    <w:tr2bl w:val="nil"/>
                  </w:tcBorders>
                  <w:vAlign w:val="center"/>
                </w:tcPr>
                <w:p>
                  <w:pPr>
                    <w:jc w:val="center"/>
                    <w:rPr>
                      <w:b/>
                      <w:bCs/>
                      <w:color w:val="auto"/>
                      <w:u w:val="single"/>
                    </w:rPr>
                  </w:pPr>
                  <w:r>
                    <w:rPr>
                      <w:rFonts w:hint="eastAsia"/>
                      <w:b/>
                      <w:bCs/>
                      <w:color w:val="auto"/>
                      <w:u w:val="single"/>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95" w:type="pct"/>
                  <w:vMerge w:val="continue"/>
                  <w:tcBorders>
                    <w:tl2br w:val="nil"/>
                    <w:tr2bl w:val="nil"/>
                  </w:tcBorders>
                  <w:vAlign w:val="center"/>
                </w:tcPr>
                <w:p>
                  <w:pPr>
                    <w:jc w:val="center"/>
                    <w:rPr>
                      <w:b/>
                      <w:bCs/>
                      <w:color w:val="auto"/>
                      <w:u w:val="single"/>
                    </w:rPr>
                  </w:pPr>
                </w:p>
              </w:tc>
              <w:tc>
                <w:tcPr>
                  <w:tcW w:w="605" w:type="pct"/>
                  <w:vMerge w:val="continue"/>
                  <w:tcBorders>
                    <w:tl2br w:val="nil"/>
                    <w:tr2bl w:val="nil"/>
                  </w:tcBorders>
                  <w:vAlign w:val="center"/>
                </w:tcPr>
                <w:p>
                  <w:pPr>
                    <w:jc w:val="center"/>
                    <w:rPr>
                      <w:b/>
                      <w:bCs/>
                      <w:color w:val="auto"/>
                      <w:u w:val="single"/>
                    </w:rPr>
                  </w:pPr>
                </w:p>
              </w:tc>
              <w:tc>
                <w:tcPr>
                  <w:tcW w:w="605" w:type="pct"/>
                  <w:vMerge w:val="continue"/>
                  <w:tcBorders>
                    <w:tl2br w:val="nil"/>
                    <w:tr2bl w:val="nil"/>
                  </w:tcBorders>
                  <w:vAlign w:val="center"/>
                </w:tcPr>
                <w:p>
                  <w:pPr>
                    <w:jc w:val="center"/>
                    <w:rPr>
                      <w:b/>
                      <w:bCs/>
                      <w:color w:val="auto"/>
                      <w:u w:val="single"/>
                    </w:rPr>
                  </w:pPr>
                </w:p>
              </w:tc>
              <w:tc>
                <w:tcPr>
                  <w:tcW w:w="631" w:type="pct"/>
                  <w:vMerge w:val="continue"/>
                  <w:tcBorders>
                    <w:tl2br w:val="nil"/>
                    <w:tr2bl w:val="nil"/>
                  </w:tcBorders>
                  <w:vAlign w:val="center"/>
                </w:tcPr>
                <w:p>
                  <w:pPr>
                    <w:jc w:val="center"/>
                    <w:rPr>
                      <w:b/>
                      <w:bCs/>
                      <w:color w:val="auto"/>
                      <w:u w:val="single"/>
                    </w:rPr>
                  </w:pPr>
                </w:p>
              </w:tc>
              <w:tc>
                <w:tcPr>
                  <w:tcW w:w="605" w:type="pct"/>
                  <w:vMerge w:val="continue"/>
                  <w:tcBorders>
                    <w:tl2br w:val="nil"/>
                    <w:tr2bl w:val="nil"/>
                  </w:tcBorders>
                  <w:vAlign w:val="center"/>
                </w:tcPr>
                <w:p>
                  <w:pPr>
                    <w:jc w:val="center"/>
                    <w:rPr>
                      <w:b/>
                      <w:bCs/>
                      <w:color w:val="auto"/>
                      <w:u w:val="single"/>
                    </w:rPr>
                  </w:pPr>
                </w:p>
              </w:tc>
              <w:tc>
                <w:tcPr>
                  <w:tcW w:w="1241" w:type="pct"/>
                  <w:tcBorders>
                    <w:tl2br w:val="nil"/>
                    <w:tr2bl w:val="nil"/>
                  </w:tcBorders>
                  <w:vAlign w:val="center"/>
                </w:tcPr>
                <w:p>
                  <w:pPr>
                    <w:jc w:val="center"/>
                    <w:rPr>
                      <w:b/>
                      <w:bCs/>
                      <w:color w:val="auto"/>
                      <w:u w:val="single"/>
                    </w:rPr>
                  </w:pPr>
                  <w:r>
                    <w:rPr>
                      <w:rFonts w:hint="eastAsia"/>
                      <w:b/>
                      <w:bCs/>
                      <w:color w:val="auto"/>
                      <w:u w:val="single"/>
                    </w:rPr>
                    <w:t>标准名称</w:t>
                  </w:r>
                </w:p>
              </w:tc>
              <w:tc>
                <w:tcPr>
                  <w:tcW w:w="715" w:type="pct"/>
                  <w:tcBorders>
                    <w:tl2br w:val="nil"/>
                    <w:tr2bl w:val="nil"/>
                  </w:tcBorders>
                  <w:vAlign w:val="center"/>
                </w:tcPr>
                <w:p>
                  <w:pPr>
                    <w:jc w:val="center"/>
                    <w:rPr>
                      <w:b/>
                      <w:bCs/>
                      <w:color w:val="auto"/>
                      <w:u w:val="single"/>
                    </w:rPr>
                  </w:pPr>
                  <w:r>
                    <w:rPr>
                      <w:rFonts w:hint="eastAsia"/>
                      <w:b/>
                      <w:bCs/>
                      <w:color w:val="auto"/>
                      <w:u w:val="single"/>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95" w:type="pct"/>
                  <w:vMerge w:val="restart"/>
                  <w:tcBorders>
                    <w:tl2br w:val="nil"/>
                    <w:tr2bl w:val="nil"/>
                  </w:tcBorders>
                  <w:vAlign w:val="center"/>
                </w:tcPr>
                <w:p>
                  <w:pPr>
                    <w:jc w:val="center"/>
                    <w:rPr>
                      <w:color w:val="auto"/>
                      <w:u w:val="single"/>
                    </w:rPr>
                  </w:pPr>
                  <w:r>
                    <w:rPr>
                      <w:rFonts w:hint="eastAsia"/>
                      <w:color w:val="auto"/>
                      <w:u w:val="single"/>
                    </w:rPr>
                    <w:t>手工具制造</w:t>
                  </w:r>
                </w:p>
              </w:tc>
              <w:tc>
                <w:tcPr>
                  <w:tcW w:w="605" w:type="pct"/>
                  <w:vMerge w:val="restart"/>
                  <w:tcBorders>
                    <w:tl2br w:val="nil"/>
                    <w:tr2bl w:val="nil"/>
                  </w:tcBorders>
                  <w:vAlign w:val="center"/>
                </w:tcPr>
                <w:p>
                  <w:pPr>
                    <w:jc w:val="center"/>
                    <w:rPr>
                      <w:color w:val="auto"/>
                      <w:u w:val="single"/>
                    </w:rPr>
                  </w:pPr>
                  <w:r>
                    <w:rPr>
                      <w:rFonts w:hint="eastAsia"/>
                      <w:color w:val="auto"/>
                      <w:u w:val="single"/>
                    </w:rPr>
                    <w:t>厂界</w:t>
                  </w:r>
                </w:p>
              </w:tc>
              <w:tc>
                <w:tcPr>
                  <w:tcW w:w="605" w:type="pct"/>
                  <w:tcBorders>
                    <w:tl2br w:val="nil"/>
                    <w:tr2bl w:val="nil"/>
                  </w:tcBorders>
                  <w:vAlign w:val="center"/>
                </w:tcPr>
                <w:p>
                  <w:pPr>
                    <w:jc w:val="center"/>
                    <w:rPr>
                      <w:color w:val="auto"/>
                      <w:u w:val="single"/>
                    </w:rPr>
                  </w:pPr>
                  <w:r>
                    <w:rPr>
                      <w:rFonts w:hint="eastAsia"/>
                      <w:color w:val="auto"/>
                      <w:u w:val="single"/>
                    </w:rPr>
                    <w:t>打磨</w:t>
                  </w:r>
                </w:p>
              </w:tc>
              <w:tc>
                <w:tcPr>
                  <w:tcW w:w="631" w:type="pct"/>
                  <w:vMerge w:val="restart"/>
                  <w:tcBorders>
                    <w:tl2br w:val="nil"/>
                    <w:tr2bl w:val="nil"/>
                  </w:tcBorders>
                  <w:vAlign w:val="center"/>
                </w:tcPr>
                <w:p>
                  <w:pPr>
                    <w:jc w:val="center"/>
                    <w:rPr>
                      <w:color w:val="auto"/>
                      <w:u w:val="single"/>
                    </w:rPr>
                  </w:pPr>
                  <w:r>
                    <w:rPr>
                      <w:rFonts w:hint="eastAsia"/>
                      <w:color w:val="auto"/>
                      <w:u w:val="single"/>
                    </w:rPr>
                    <w:t>颗粒物</w:t>
                  </w:r>
                </w:p>
              </w:tc>
              <w:tc>
                <w:tcPr>
                  <w:tcW w:w="605" w:type="pct"/>
                  <w:vMerge w:val="restart"/>
                  <w:tcBorders>
                    <w:tl2br w:val="nil"/>
                    <w:tr2bl w:val="nil"/>
                  </w:tcBorders>
                  <w:vAlign w:val="center"/>
                </w:tcPr>
                <w:p>
                  <w:pPr>
                    <w:jc w:val="center"/>
                    <w:rPr>
                      <w:color w:val="auto"/>
                      <w:u w:val="single"/>
                    </w:rPr>
                  </w:pPr>
                  <w:r>
                    <w:rPr>
                      <w:rFonts w:hint="eastAsia"/>
                      <w:color w:val="auto"/>
                      <w:u w:val="single"/>
                    </w:rPr>
                    <w:t>加强厂区内通风</w:t>
                  </w:r>
                </w:p>
              </w:tc>
              <w:tc>
                <w:tcPr>
                  <w:tcW w:w="1241" w:type="pct"/>
                  <w:vMerge w:val="restart"/>
                  <w:tcBorders>
                    <w:tl2br w:val="nil"/>
                    <w:tr2bl w:val="nil"/>
                  </w:tcBorders>
                  <w:vAlign w:val="center"/>
                </w:tcPr>
                <w:p>
                  <w:pPr>
                    <w:jc w:val="center"/>
                    <w:rPr>
                      <w:color w:val="auto"/>
                      <w:u w:val="single"/>
                    </w:rPr>
                  </w:pPr>
                  <w:r>
                    <w:rPr>
                      <w:rFonts w:ascii="Times New Roman" w:hAnsi="Times New Roman"/>
                      <w:color w:val="auto"/>
                      <w:szCs w:val="21"/>
                      <w:u w:val="single"/>
                    </w:rPr>
                    <w:t>《大气污染物综合排放标准》（GB16297-1996）表2</w:t>
                  </w:r>
                  <w:r>
                    <w:rPr>
                      <w:rFonts w:hint="eastAsia" w:ascii="Times New Roman" w:hAnsi="Times New Roman"/>
                      <w:color w:val="auto"/>
                      <w:szCs w:val="21"/>
                      <w:u w:val="single"/>
                    </w:rPr>
                    <w:t>无组织</w:t>
                  </w:r>
                  <w:r>
                    <w:rPr>
                      <w:rFonts w:ascii="Times New Roman" w:hAnsi="Times New Roman"/>
                      <w:color w:val="auto"/>
                      <w:szCs w:val="21"/>
                      <w:u w:val="single"/>
                    </w:rPr>
                    <w:t>标准限值</w:t>
                  </w:r>
                </w:p>
              </w:tc>
              <w:tc>
                <w:tcPr>
                  <w:tcW w:w="715" w:type="pct"/>
                  <w:vMerge w:val="restart"/>
                  <w:tcBorders>
                    <w:tl2br w:val="nil"/>
                    <w:tr2bl w:val="nil"/>
                  </w:tcBorders>
                  <w:vAlign w:val="center"/>
                </w:tcPr>
                <w:p>
                  <w:pPr>
                    <w:jc w:val="center"/>
                    <w:rPr>
                      <w:color w:val="auto"/>
                      <w:u w:val="single"/>
                    </w:rPr>
                  </w:pPr>
                  <w:r>
                    <w:rPr>
                      <w:rFonts w:hint="eastAsia"/>
                      <w:color w:val="auto"/>
                      <w:u w:val="single"/>
                    </w:rPr>
                    <w:t>1.0mg/m</w:t>
                  </w:r>
                  <w:r>
                    <w:rPr>
                      <w:rFonts w:hint="eastAsia"/>
                      <w:color w:val="auto"/>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tcBorders>
                    <w:tl2br w:val="nil"/>
                    <w:tr2bl w:val="nil"/>
                  </w:tcBorders>
                  <w:vAlign w:val="center"/>
                </w:tcPr>
                <w:p>
                  <w:pPr>
                    <w:jc w:val="center"/>
                    <w:rPr>
                      <w:color w:val="auto"/>
                      <w:u w:val="single"/>
                    </w:rPr>
                  </w:pPr>
                </w:p>
              </w:tc>
              <w:tc>
                <w:tcPr>
                  <w:tcW w:w="605" w:type="pct"/>
                  <w:vMerge w:val="continue"/>
                  <w:tcBorders>
                    <w:tl2br w:val="nil"/>
                    <w:tr2bl w:val="nil"/>
                  </w:tcBorders>
                  <w:vAlign w:val="center"/>
                </w:tcPr>
                <w:p>
                  <w:pPr>
                    <w:jc w:val="center"/>
                    <w:rPr>
                      <w:color w:val="auto"/>
                      <w:u w:val="single"/>
                    </w:rPr>
                  </w:pPr>
                </w:p>
              </w:tc>
              <w:tc>
                <w:tcPr>
                  <w:tcW w:w="605" w:type="pct"/>
                  <w:tcBorders>
                    <w:tl2br w:val="nil"/>
                    <w:tr2bl w:val="nil"/>
                  </w:tcBorders>
                  <w:vAlign w:val="center"/>
                </w:tcPr>
                <w:p>
                  <w:pPr>
                    <w:jc w:val="center"/>
                    <w:rPr>
                      <w:color w:val="auto"/>
                      <w:u w:val="single"/>
                    </w:rPr>
                  </w:pPr>
                  <w:r>
                    <w:rPr>
                      <w:rFonts w:hint="eastAsia"/>
                      <w:color w:val="auto"/>
                      <w:u w:val="single"/>
                    </w:rPr>
                    <w:t>喷砂</w:t>
                  </w:r>
                </w:p>
              </w:tc>
              <w:tc>
                <w:tcPr>
                  <w:tcW w:w="631" w:type="pct"/>
                  <w:vMerge w:val="continue"/>
                  <w:tcBorders>
                    <w:tl2br w:val="nil"/>
                    <w:tr2bl w:val="nil"/>
                  </w:tcBorders>
                  <w:vAlign w:val="center"/>
                </w:tcPr>
                <w:p>
                  <w:pPr>
                    <w:jc w:val="center"/>
                    <w:rPr>
                      <w:color w:val="auto"/>
                      <w:u w:val="single"/>
                    </w:rPr>
                  </w:pPr>
                </w:p>
              </w:tc>
              <w:tc>
                <w:tcPr>
                  <w:tcW w:w="605" w:type="pct"/>
                  <w:vMerge w:val="continue"/>
                  <w:tcBorders>
                    <w:tl2br w:val="nil"/>
                    <w:tr2bl w:val="nil"/>
                  </w:tcBorders>
                  <w:vAlign w:val="center"/>
                </w:tcPr>
                <w:p>
                  <w:pPr>
                    <w:jc w:val="center"/>
                    <w:rPr>
                      <w:color w:val="auto"/>
                      <w:u w:val="single"/>
                    </w:rPr>
                  </w:pPr>
                </w:p>
              </w:tc>
              <w:tc>
                <w:tcPr>
                  <w:tcW w:w="1241" w:type="pct"/>
                  <w:vMerge w:val="continue"/>
                  <w:tcBorders>
                    <w:tl2br w:val="nil"/>
                    <w:tr2bl w:val="nil"/>
                  </w:tcBorders>
                  <w:vAlign w:val="center"/>
                </w:tcPr>
                <w:p>
                  <w:pPr>
                    <w:jc w:val="center"/>
                    <w:rPr>
                      <w:rFonts w:ascii="Times New Roman" w:hAnsi="Times New Roman"/>
                      <w:color w:val="auto"/>
                      <w:szCs w:val="21"/>
                      <w:u w:val="single"/>
                    </w:rPr>
                  </w:pPr>
                </w:p>
              </w:tc>
              <w:tc>
                <w:tcPr>
                  <w:tcW w:w="715" w:type="pct"/>
                  <w:vMerge w:val="continue"/>
                  <w:tcBorders>
                    <w:tl2br w:val="nil"/>
                    <w:tr2bl w:val="nil"/>
                  </w:tcBorders>
                  <w:vAlign w:val="center"/>
                </w:tcPr>
                <w:p>
                  <w:pPr>
                    <w:jc w:val="center"/>
                    <w:rPr>
                      <w:color w:val="auto"/>
                      <w:u w:val="single"/>
                    </w:rPr>
                  </w:pPr>
                </w:p>
              </w:tc>
            </w:tr>
          </w:tbl>
          <w:p>
            <w:pPr>
              <w:spacing w:line="360" w:lineRule="auto"/>
              <w:ind w:firstLine="482" w:firstLineChars="200"/>
              <w:rPr>
                <w:rFonts w:ascii="Times New Roman" w:hAnsi="Times New Roman"/>
                <w:color w:val="auto"/>
                <w:sz w:val="24"/>
                <w:u w:val="single"/>
              </w:rPr>
            </w:pPr>
            <w:r>
              <w:rPr>
                <w:rFonts w:hint="eastAsia" w:ascii="Times New Roman" w:hAnsi="Times New Roman"/>
                <w:b/>
                <w:bCs/>
                <w:color w:val="auto"/>
                <w:sz w:val="24"/>
                <w:u w:val="single"/>
              </w:rPr>
              <w:t>（1）</w:t>
            </w:r>
            <w:r>
              <w:rPr>
                <w:rFonts w:ascii="Times New Roman" w:hAnsi="Times New Roman"/>
                <w:b/>
                <w:bCs/>
                <w:color w:val="auto"/>
                <w:sz w:val="24"/>
                <w:u w:val="single"/>
              </w:rPr>
              <w:t>废气：</w:t>
            </w:r>
          </w:p>
          <w:p>
            <w:pPr>
              <w:spacing w:line="360" w:lineRule="auto"/>
              <w:ind w:firstLine="480" w:firstLineChars="200"/>
              <w:rPr>
                <w:rFonts w:ascii="Times New Roman" w:hAnsi="Times New Roman"/>
                <w:color w:val="auto"/>
                <w:sz w:val="24"/>
                <w:u w:val="single"/>
              </w:rPr>
            </w:pPr>
            <w:r>
              <w:rPr>
                <w:rFonts w:hint="eastAsia" w:ascii="Times New Roman" w:hAnsi="Times New Roman"/>
                <w:color w:val="auto"/>
                <w:sz w:val="24"/>
                <w:u w:val="single"/>
              </w:rPr>
              <w:t>项目废气均为</w:t>
            </w:r>
            <w:r>
              <w:rPr>
                <w:rFonts w:ascii="Times New Roman" w:hAnsi="Times New Roman"/>
                <w:color w:val="auto"/>
                <w:sz w:val="24"/>
                <w:u w:val="single"/>
              </w:rPr>
              <w:t>无组织</w:t>
            </w:r>
            <w:r>
              <w:rPr>
                <w:rFonts w:hint="eastAsia" w:ascii="Times New Roman" w:hAnsi="Times New Roman"/>
                <w:color w:val="auto"/>
                <w:sz w:val="24"/>
                <w:u w:val="single"/>
              </w:rPr>
              <w:t>排放</w:t>
            </w:r>
            <w:r>
              <w:rPr>
                <w:rFonts w:ascii="Times New Roman" w:hAnsi="Times New Roman"/>
                <w:color w:val="auto"/>
                <w:sz w:val="24"/>
                <w:u w:val="single"/>
              </w:rPr>
              <w:t>废气</w:t>
            </w:r>
            <w:r>
              <w:rPr>
                <w:rFonts w:hint="eastAsia" w:ascii="Times New Roman" w:hAnsi="Times New Roman"/>
                <w:color w:val="auto"/>
                <w:sz w:val="24"/>
                <w:u w:val="single"/>
              </w:rPr>
              <w:t>。</w:t>
            </w:r>
          </w:p>
          <w:p>
            <w:pPr>
              <w:pStyle w:val="11"/>
              <w:spacing w:line="360" w:lineRule="auto"/>
              <w:ind w:firstLine="480" w:firstLineChars="200"/>
              <w:rPr>
                <w:color w:val="auto"/>
                <w:u w:val="single"/>
              </w:rPr>
            </w:pPr>
            <w:r>
              <w:rPr>
                <w:rFonts w:hint="eastAsia"/>
                <w:color w:val="auto"/>
                <w:u w:val="single"/>
              </w:rPr>
              <w:t>①打磨粉尘</w:t>
            </w:r>
          </w:p>
          <w:p>
            <w:pPr>
              <w:widowControl/>
              <w:spacing w:line="360" w:lineRule="auto"/>
              <w:ind w:firstLine="480" w:firstLineChars="200"/>
              <w:jc w:val="left"/>
              <w:rPr>
                <w:rFonts w:ascii="Times New Roman" w:hAnsi="Times New Roman"/>
                <w:color w:val="auto"/>
                <w:sz w:val="24"/>
                <w:u w:val="single"/>
              </w:rPr>
            </w:pPr>
            <w:r>
              <w:rPr>
                <w:rFonts w:ascii="Times New Roman" w:hAnsi="Times New Roman"/>
                <w:color w:val="auto"/>
                <w:kern w:val="0"/>
                <w:sz w:val="24"/>
                <w:u w:val="single"/>
                <w:lang w:bidi="ar"/>
              </w:rPr>
              <w:t>打磨粉尘产生量根据《金属结构制造业产排污系数表》，金属粉尘产生系数为1.523kg/t（产品），项目年生产两用扳手总重100t/a，所以此过程产生的金属粉尘量为0.1523t/a</w:t>
            </w:r>
            <w:r>
              <w:rPr>
                <w:rFonts w:ascii="Times New Roman" w:hAnsi="Times New Roman"/>
                <w:color w:val="auto"/>
                <w:sz w:val="24"/>
                <w:u w:val="single"/>
              </w:rPr>
              <w:t>，在打磨工位下设置集气罩收集后，经由水幕除尘器处理后通过1</w:t>
            </w:r>
            <w:r>
              <w:rPr>
                <w:rFonts w:hint="eastAsia" w:ascii="Times New Roman" w:hAnsi="Times New Roman"/>
                <w:color w:val="auto"/>
                <w:sz w:val="24"/>
                <w:u w:val="single"/>
              </w:rPr>
              <w:t>.2</w:t>
            </w:r>
            <w:r>
              <w:rPr>
                <w:rFonts w:ascii="Times New Roman" w:hAnsi="Times New Roman"/>
                <w:color w:val="auto"/>
                <w:sz w:val="24"/>
                <w:u w:val="single"/>
              </w:rPr>
              <w:t>m</w:t>
            </w:r>
            <w:r>
              <w:rPr>
                <w:rFonts w:hint="eastAsia" w:ascii="Times New Roman" w:hAnsi="Times New Roman"/>
                <w:color w:val="auto"/>
                <w:sz w:val="24"/>
                <w:u w:val="single"/>
              </w:rPr>
              <w:t>出风口</w:t>
            </w:r>
            <w:r>
              <w:rPr>
                <w:rFonts w:ascii="Times New Roman" w:hAnsi="Times New Roman"/>
                <w:color w:val="auto"/>
                <w:sz w:val="24"/>
                <w:u w:val="single"/>
              </w:rPr>
              <w:t>外排，集气罩的收集效率为90%，水幕除尘器的除尘效率为80%，除尘器的风量为11000m</w:t>
            </w:r>
            <w:r>
              <w:rPr>
                <w:rFonts w:ascii="Times New Roman" w:hAnsi="Times New Roman"/>
                <w:color w:val="auto"/>
                <w:sz w:val="24"/>
                <w:u w:val="single"/>
                <w:vertAlign w:val="superscript"/>
              </w:rPr>
              <w:t>3</w:t>
            </w:r>
            <w:r>
              <w:rPr>
                <w:rFonts w:ascii="Times New Roman" w:hAnsi="Times New Roman"/>
                <w:color w:val="auto"/>
                <w:sz w:val="24"/>
                <w:u w:val="single"/>
              </w:rPr>
              <w:t>/h，经水幕除尘器处理后，金属粉尘的排放量为</w:t>
            </w:r>
            <w:r>
              <w:rPr>
                <w:rFonts w:hint="eastAsia" w:ascii="Times New Roman" w:hAnsi="Times New Roman"/>
                <w:color w:val="auto"/>
                <w:sz w:val="24"/>
                <w:u w:val="single"/>
              </w:rPr>
              <w:t>0.027414</w:t>
            </w:r>
            <w:r>
              <w:rPr>
                <w:rFonts w:ascii="Times New Roman" w:hAnsi="Times New Roman"/>
                <w:color w:val="auto"/>
                <w:sz w:val="24"/>
                <w:u w:val="single"/>
              </w:rPr>
              <w:t>t/a</w:t>
            </w:r>
            <w:r>
              <w:rPr>
                <w:rFonts w:hint="eastAsia" w:ascii="Times New Roman" w:hAnsi="Times New Roman"/>
                <w:color w:val="auto"/>
                <w:sz w:val="24"/>
                <w:u w:val="single"/>
              </w:rPr>
              <w:t>，排放速率为0.0122kg/h</w:t>
            </w:r>
            <w:r>
              <w:rPr>
                <w:rFonts w:ascii="Times New Roman" w:hAnsi="Times New Roman"/>
                <w:color w:val="auto"/>
                <w:sz w:val="24"/>
                <w:u w:val="single"/>
              </w:rPr>
              <w:t>。</w:t>
            </w:r>
            <w:r>
              <w:rPr>
                <w:rFonts w:hint="eastAsia" w:ascii="Times New Roman" w:hAnsi="Times New Roman"/>
                <w:color w:val="auto"/>
                <w:sz w:val="24"/>
                <w:u w:val="single"/>
              </w:rPr>
              <w:t>核实打磨粉尘、喷砂粉尘产生情况、收集效率、排气筒设置情况、排放方式、排放情况及监测要求，说明排放口基本情况。</w:t>
            </w:r>
          </w:p>
          <w:p>
            <w:pPr>
              <w:pStyle w:val="11"/>
              <w:spacing w:line="360" w:lineRule="auto"/>
              <w:ind w:firstLine="480" w:firstLineChars="200"/>
              <w:rPr>
                <w:color w:val="auto"/>
                <w:u w:val="single"/>
              </w:rPr>
            </w:pPr>
            <w:r>
              <w:rPr>
                <w:rFonts w:hint="eastAsia"/>
                <w:color w:val="auto"/>
                <w:u w:val="single"/>
              </w:rPr>
              <w:t>②喷砂粉尘</w:t>
            </w:r>
          </w:p>
          <w:p>
            <w:pPr>
              <w:pStyle w:val="11"/>
              <w:spacing w:line="360" w:lineRule="auto"/>
              <w:ind w:firstLine="480" w:firstLineChars="200"/>
              <w:rPr>
                <w:color w:val="auto"/>
                <w:szCs w:val="24"/>
                <w:u w:val="single"/>
              </w:rPr>
            </w:pPr>
            <w:r>
              <w:rPr>
                <w:rFonts w:ascii="Times New Roman" w:hAnsi="Times New Roman"/>
                <w:color w:val="auto"/>
                <w:szCs w:val="24"/>
                <w:u w:val="single"/>
                <w:lang w:bidi="ar"/>
              </w:rPr>
              <w:t>喷砂的作用是去除表面污物，本项目砂的使用量为0.5t/a，根据美国俄亥俄州环境保护局和污染工程分公司编制的《逸散性工业粉尘控制技术》喷砂逸散排放因子为0.775kg/t（进料），因此项目砂粉尘产生量约为0.0003875t/a。</w:t>
            </w:r>
            <w:r>
              <w:rPr>
                <w:rFonts w:ascii="Times New Roman" w:hAnsi="Times New Roman"/>
                <w:color w:val="auto"/>
                <w:szCs w:val="24"/>
                <w:u w:val="single"/>
              </w:rPr>
              <w:t>根据业主提供资料可知，项目喷砂过程产生的粉尘自带布袋除尘器处理，收集效率90%，除尘效率在99%以上，</w:t>
            </w:r>
            <w:r>
              <w:rPr>
                <w:rFonts w:hint="eastAsia" w:ascii="宋体" w:hAnsi="宋体" w:cs="宋体"/>
                <w:color w:val="auto"/>
                <w:szCs w:val="24"/>
                <w:u w:val="single"/>
                <w:lang w:bidi="ar"/>
              </w:rPr>
              <w:t>其中布袋收集粉尘为</w:t>
            </w:r>
            <w:r>
              <w:rPr>
                <w:rFonts w:hint="eastAsia" w:ascii="Times New Roman" w:hAnsi="Times New Roman"/>
                <w:color w:val="auto"/>
                <w:szCs w:val="24"/>
                <w:u w:val="single"/>
                <w:lang w:bidi="ar"/>
              </w:rPr>
              <w:t>0.000349</w:t>
            </w:r>
            <w:r>
              <w:rPr>
                <w:rFonts w:ascii="Times New Roman" w:hAnsi="Times New Roman"/>
                <w:color w:val="auto"/>
                <w:szCs w:val="24"/>
                <w:u w:val="single"/>
                <w:lang w:bidi="ar"/>
              </w:rPr>
              <w:t>t/a</w:t>
            </w:r>
            <w:r>
              <w:rPr>
                <w:rFonts w:hint="eastAsia" w:ascii="宋体" w:hAnsi="宋体" w:cs="宋体"/>
                <w:color w:val="auto"/>
                <w:szCs w:val="24"/>
                <w:u w:val="single"/>
                <w:lang w:bidi="ar"/>
              </w:rPr>
              <w:t>，无组织喷砂粉尘排放量为</w:t>
            </w:r>
            <w:r>
              <w:rPr>
                <w:rFonts w:ascii="Times New Roman" w:hAnsi="Times New Roman"/>
                <w:color w:val="auto"/>
                <w:szCs w:val="24"/>
                <w:u w:val="single"/>
                <w:lang w:bidi="ar"/>
              </w:rPr>
              <w:t>0.</w:t>
            </w:r>
            <w:r>
              <w:rPr>
                <w:rFonts w:hint="eastAsia" w:ascii="Times New Roman" w:hAnsi="Times New Roman"/>
                <w:color w:val="auto"/>
                <w:szCs w:val="24"/>
                <w:u w:val="single"/>
                <w:lang w:bidi="ar"/>
              </w:rPr>
              <w:t>000004t</w:t>
            </w:r>
            <w:r>
              <w:rPr>
                <w:rFonts w:ascii="Times New Roman" w:hAnsi="Times New Roman"/>
                <w:color w:val="auto"/>
                <w:szCs w:val="24"/>
                <w:u w:val="single"/>
                <w:lang w:bidi="ar"/>
              </w:rPr>
              <w:t>/a</w:t>
            </w:r>
            <w:r>
              <w:rPr>
                <w:rFonts w:hint="eastAsia" w:ascii="Times New Roman" w:hAnsi="Times New Roman"/>
                <w:color w:val="auto"/>
                <w:szCs w:val="24"/>
                <w:u w:val="single"/>
                <w:lang w:bidi="ar"/>
              </w:rPr>
              <w:t>，排</w:t>
            </w:r>
            <w:r>
              <w:rPr>
                <w:rFonts w:hint="eastAsia" w:ascii="Times New Roman" w:hAnsi="Times New Roman"/>
                <w:color w:val="auto"/>
                <w:u w:val="single"/>
              </w:rPr>
              <w:t>放速率为0.00000179kg/h</w:t>
            </w:r>
            <w:r>
              <w:rPr>
                <w:rFonts w:hint="eastAsia" w:ascii="Times New Roman" w:hAnsi="Times New Roman"/>
                <w:color w:val="auto"/>
                <w:szCs w:val="24"/>
                <w:u w:val="single"/>
                <w:lang w:bidi="ar"/>
              </w:rPr>
              <w:t>。</w:t>
            </w:r>
          </w:p>
          <w:p>
            <w:pPr>
              <w:spacing w:line="360" w:lineRule="auto"/>
              <w:ind w:firstLine="482" w:firstLineChars="200"/>
              <w:rPr>
                <w:rFonts w:hint="eastAsia" w:ascii="Times New Roman" w:hAnsi="Times New Roman" w:eastAsia="宋体"/>
                <w:b/>
                <w:bCs/>
                <w:color w:val="auto"/>
                <w:sz w:val="24"/>
                <w:u w:val="single"/>
                <w:lang w:eastAsia="zh-CN"/>
              </w:rPr>
            </w:pPr>
            <w:r>
              <w:rPr>
                <w:rFonts w:hint="eastAsia" w:ascii="Times New Roman" w:hAnsi="Times New Roman"/>
                <w:b/>
                <w:bCs/>
                <w:color w:val="auto"/>
                <w:sz w:val="24"/>
                <w:u w:val="single"/>
                <w:lang w:eastAsia="zh-CN"/>
              </w:rPr>
              <w:t>（</w:t>
            </w:r>
            <w:r>
              <w:rPr>
                <w:rFonts w:hint="eastAsia" w:ascii="Times New Roman" w:hAnsi="Times New Roman"/>
                <w:b/>
                <w:bCs/>
                <w:color w:val="auto"/>
                <w:sz w:val="24"/>
                <w:u w:val="single"/>
                <w:lang w:val="en-US" w:eastAsia="zh-CN"/>
              </w:rPr>
              <w:t>2</w:t>
            </w:r>
            <w:r>
              <w:rPr>
                <w:rFonts w:hint="eastAsia" w:ascii="Times New Roman" w:hAnsi="Times New Roman"/>
                <w:b/>
                <w:bCs/>
                <w:color w:val="auto"/>
                <w:sz w:val="24"/>
                <w:u w:val="single"/>
                <w:lang w:eastAsia="zh-CN"/>
              </w:rPr>
              <w:t>）项目现在无组织废气监测</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本项目打磨、</w:t>
            </w:r>
            <w:r>
              <w:rPr>
                <w:rFonts w:hint="eastAsia" w:ascii="Times New Roman" w:hAnsi="Times New Roman"/>
                <w:color w:val="auto"/>
                <w:sz w:val="24"/>
                <w:u w:val="single"/>
              </w:rPr>
              <w:t>喷砂</w:t>
            </w:r>
            <w:r>
              <w:rPr>
                <w:rFonts w:ascii="Times New Roman" w:hAnsi="Times New Roman"/>
                <w:color w:val="auto"/>
                <w:sz w:val="24"/>
                <w:u w:val="single"/>
              </w:rPr>
              <w:t>产生的粉尘无组织排放。本环评委托湖南中昊检测有限公司于</w:t>
            </w:r>
            <w:r>
              <w:rPr>
                <w:rFonts w:hint="eastAsia" w:ascii="Times New Roman" w:hAnsi="Times New Roman"/>
                <w:color w:val="auto"/>
                <w:sz w:val="24"/>
                <w:u w:val="single"/>
              </w:rPr>
              <w:t>2021</w:t>
            </w:r>
            <w:r>
              <w:rPr>
                <w:rFonts w:ascii="Times New Roman" w:hAnsi="Times New Roman"/>
                <w:color w:val="auto"/>
                <w:sz w:val="24"/>
                <w:u w:val="single"/>
              </w:rPr>
              <w:t>年</w:t>
            </w:r>
            <w:r>
              <w:rPr>
                <w:rFonts w:hint="eastAsia" w:ascii="Times New Roman" w:hAnsi="Times New Roman"/>
                <w:color w:val="auto"/>
                <w:sz w:val="24"/>
                <w:u w:val="single"/>
              </w:rPr>
              <w:t>4</w:t>
            </w:r>
            <w:r>
              <w:rPr>
                <w:rFonts w:ascii="Times New Roman" w:hAnsi="Times New Roman"/>
                <w:color w:val="auto"/>
                <w:sz w:val="24"/>
                <w:u w:val="single"/>
              </w:rPr>
              <w:t>月</w:t>
            </w:r>
            <w:r>
              <w:rPr>
                <w:rFonts w:hint="eastAsia" w:ascii="Times New Roman" w:hAnsi="Times New Roman"/>
                <w:color w:val="auto"/>
                <w:sz w:val="24"/>
                <w:u w:val="single"/>
              </w:rPr>
              <w:t>21</w:t>
            </w:r>
            <w:r>
              <w:rPr>
                <w:rFonts w:ascii="Times New Roman" w:hAnsi="Times New Roman"/>
                <w:color w:val="auto"/>
                <w:sz w:val="24"/>
                <w:u w:val="single"/>
              </w:rPr>
              <w:t>日~</w:t>
            </w:r>
            <w:r>
              <w:rPr>
                <w:rFonts w:hint="eastAsia" w:ascii="Times New Roman" w:hAnsi="Times New Roman"/>
                <w:color w:val="auto"/>
                <w:sz w:val="24"/>
                <w:u w:val="single"/>
              </w:rPr>
              <w:t>4</w:t>
            </w:r>
            <w:r>
              <w:rPr>
                <w:rFonts w:ascii="Times New Roman" w:hAnsi="Times New Roman"/>
                <w:color w:val="auto"/>
                <w:sz w:val="24"/>
                <w:u w:val="single"/>
              </w:rPr>
              <w:t>月</w:t>
            </w:r>
            <w:r>
              <w:rPr>
                <w:rFonts w:hint="eastAsia" w:ascii="Times New Roman" w:hAnsi="Times New Roman"/>
                <w:color w:val="auto"/>
                <w:sz w:val="24"/>
                <w:u w:val="single"/>
              </w:rPr>
              <w:t>22</w:t>
            </w:r>
            <w:r>
              <w:rPr>
                <w:rFonts w:ascii="Times New Roman" w:hAnsi="Times New Roman"/>
                <w:color w:val="auto"/>
                <w:sz w:val="24"/>
                <w:u w:val="single"/>
              </w:rPr>
              <w:t>日，对厂界无组织废气进行检测，监测因子是颗粒物。详细监测结果见下表</w:t>
            </w:r>
            <w:r>
              <w:rPr>
                <w:rFonts w:hint="eastAsia" w:ascii="Times New Roman" w:hAnsi="Times New Roman"/>
                <w:color w:val="auto"/>
                <w:sz w:val="24"/>
                <w:u w:val="single"/>
              </w:rPr>
              <w:t>2-6</w:t>
            </w:r>
            <w:r>
              <w:rPr>
                <w:rFonts w:ascii="Times New Roman" w:hAnsi="Times New Roman"/>
                <w:color w:val="auto"/>
                <w:sz w:val="24"/>
                <w:u w:val="single"/>
              </w:rPr>
              <w:t>。</w:t>
            </w:r>
          </w:p>
          <w:p>
            <w:pPr>
              <w:autoSpaceDN w:val="0"/>
              <w:jc w:val="center"/>
              <w:rPr>
                <w:rFonts w:ascii="Times New Roman" w:hAnsi="Times New Roman"/>
                <w:b/>
                <w:bCs/>
                <w:color w:val="auto"/>
                <w:szCs w:val="21"/>
                <w:u w:val="single"/>
              </w:rPr>
            </w:pPr>
            <w:r>
              <w:rPr>
                <w:rFonts w:ascii="Times New Roman" w:hAnsi="Times New Roman"/>
                <w:b/>
                <w:bCs/>
                <w:color w:val="auto"/>
                <w:szCs w:val="21"/>
                <w:u w:val="single"/>
              </w:rPr>
              <w:t>表</w:t>
            </w:r>
            <w:r>
              <w:rPr>
                <w:rFonts w:hint="eastAsia" w:ascii="Times New Roman" w:hAnsi="Times New Roman"/>
                <w:b/>
                <w:bCs/>
                <w:color w:val="auto"/>
                <w:szCs w:val="21"/>
                <w:u w:val="single"/>
                <w:lang w:val="en-US" w:eastAsia="zh-CN"/>
              </w:rPr>
              <w:t>4-3</w:t>
            </w:r>
            <w:r>
              <w:rPr>
                <w:rFonts w:ascii="Times New Roman" w:hAnsi="Times New Roman"/>
                <w:b/>
                <w:bCs/>
                <w:color w:val="auto"/>
                <w:szCs w:val="21"/>
                <w:u w:val="single"/>
              </w:rPr>
              <w:t xml:space="preserve">  无组织废气检测结果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457"/>
              <w:gridCol w:w="643"/>
              <w:gridCol w:w="840"/>
              <w:gridCol w:w="698"/>
              <w:gridCol w:w="719"/>
              <w:gridCol w:w="929"/>
              <w:gridCol w:w="975"/>
              <w:gridCol w:w="889"/>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 w:type="pct"/>
                  <w:vMerge w:val="restar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检测类别</w:t>
                  </w:r>
                </w:p>
              </w:tc>
              <w:tc>
                <w:tcPr>
                  <w:tcW w:w="843" w:type="pct"/>
                  <w:vMerge w:val="restar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检测点位</w:t>
                  </w:r>
                </w:p>
              </w:tc>
              <w:tc>
                <w:tcPr>
                  <w:tcW w:w="379" w:type="pct"/>
                  <w:vMerge w:val="restar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检测项目</w:t>
                  </w:r>
                </w:p>
              </w:tc>
              <w:tc>
                <w:tcPr>
                  <w:tcW w:w="2952" w:type="pct"/>
                  <w:gridSpan w:val="6"/>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检测结果</w:t>
                  </w:r>
                </w:p>
              </w:tc>
              <w:tc>
                <w:tcPr>
                  <w:tcW w:w="521" w:type="pct"/>
                  <w:vMerge w:val="restar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参考限值</w:t>
                  </w:r>
                </w:p>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843"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379"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1323" w:type="pct"/>
                  <w:gridSpan w:val="3"/>
                  <w:tcBorders>
                    <w:tl2br w:val="nil"/>
                    <w:tr2bl w:val="nil"/>
                  </w:tcBorders>
                  <w:vAlign w:val="center"/>
                </w:tcPr>
                <w:p>
                  <w:pPr>
                    <w:adjustRightInd w:val="0"/>
                    <w:snapToGrid w:val="0"/>
                    <w:jc w:val="center"/>
                    <w:rPr>
                      <w:rFonts w:ascii="Times New Roman" w:hAnsi="Times New Roman"/>
                      <w:b/>
                      <w:bCs/>
                      <w:color w:val="auto"/>
                      <w:szCs w:val="21"/>
                      <w:u w:val="single"/>
                    </w:rPr>
                  </w:pPr>
                  <w:r>
                    <w:rPr>
                      <w:rFonts w:hint="eastAsia" w:ascii="Times New Roman" w:hAnsi="Times New Roman"/>
                      <w:b/>
                      <w:bCs/>
                      <w:color w:val="auto"/>
                      <w:szCs w:val="21"/>
                      <w:u w:val="single"/>
                    </w:rPr>
                    <w:t>2021-4-21</w:t>
                  </w:r>
                </w:p>
              </w:tc>
              <w:tc>
                <w:tcPr>
                  <w:tcW w:w="1628" w:type="pct"/>
                  <w:gridSpan w:val="3"/>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202</w:t>
                  </w:r>
                  <w:r>
                    <w:rPr>
                      <w:rFonts w:hint="eastAsia" w:ascii="Times New Roman" w:hAnsi="Times New Roman"/>
                      <w:b/>
                      <w:bCs/>
                      <w:color w:val="auto"/>
                      <w:szCs w:val="21"/>
                      <w:u w:val="single"/>
                    </w:rPr>
                    <w:t>1-4-22</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843"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379"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491" w:type="pc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第1次</w:t>
                  </w:r>
                </w:p>
              </w:tc>
              <w:tc>
                <w:tcPr>
                  <w:tcW w:w="410" w:type="pc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第2次</w:t>
                  </w:r>
                </w:p>
              </w:tc>
              <w:tc>
                <w:tcPr>
                  <w:tcW w:w="422" w:type="pc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第3次</w:t>
                  </w:r>
                </w:p>
              </w:tc>
              <w:tc>
                <w:tcPr>
                  <w:tcW w:w="542" w:type="pc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第1次</w:t>
                  </w:r>
                </w:p>
              </w:tc>
              <w:tc>
                <w:tcPr>
                  <w:tcW w:w="568" w:type="pc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第2次</w:t>
                  </w:r>
                </w:p>
              </w:tc>
              <w:tc>
                <w:tcPr>
                  <w:tcW w:w="516" w:type="pct"/>
                  <w:tcBorders>
                    <w:tl2br w:val="nil"/>
                    <w:tr2bl w:val="nil"/>
                  </w:tcBorders>
                  <w:vAlign w:val="center"/>
                </w:tcPr>
                <w:p>
                  <w:pPr>
                    <w:adjustRightInd w:val="0"/>
                    <w:snapToGrid w:val="0"/>
                    <w:jc w:val="center"/>
                    <w:rPr>
                      <w:rFonts w:ascii="Times New Roman" w:hAnsi="Times New Roman"/>
                      <w:b/>
                      <w:bCs/>
                      <w:color w:val="auto"/>
                      <w:szCs w:val="21"/>
                      <w:u w:val="single"/>
                    </w:rPr>
                  </w:pPr>
                  <w:r>
                    <w:rPr>
                      <w:rFonts w:ascii="Times New Roman" w:hAnsi="Times New Roman"/>
                      <w:b/>
                      <w:bCs/>
                      <w:color w:val="auto"/>
                      <w:szCs w:val="21"/>
                      <w:u w:val="single"/>
                    </w:rPr>
                    <w:t>第3次</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restart"/>
                  <w:tcBorders>
                    <w:tl2br w:val="nil"/>
                    <w:tr2bl w:val="nil"/>
                  </w:tcBorders>
                  <w:vAlign w:val="center"/>
                </w:tcPr>
                <w:p>
                  <w:pPr>
                    <w:adjustRightInd w:val="0"/>
                    <w:snapToGrid w:val="0"/>
                    <w:jc w:val="center"/>
                    <w:rPr>
                      <w:rFonts w:ascii="Times New Roman" w:hAnsi="Times New Roman"/>
                      <w:color w:val="auto"/>
                      <w:szCs w:val="21"/>
                      <w:u w:val="single"/>
                    </w:rPr>
                  </w:pPr>
                  <w:r>
                    <w:rPr>
                      <w:rFonts w:ascii="Times New Roman" w:hAnsi="Times New Roman"/>
                      <w:color w:val="auto"/>
                      <w:szCs w:val="21"/>
                      <w:u w:val="single"/>
                    </w:rPr>
                    <w:t>无组织废气</w:t>
                  </w:r>
                </w:p>
              </w:tc>
              <w:tc>
                <w:tcPr>
                  <w:tcW w:w="843" w:type="pct"/>
                  <w:tcBorders>
                    <w:tl2br w:val="nil"/>
                    <w:tr2bl w:val="nil"/>
                  </w:tcBorders>
                  <w:vAlign w:val="center"/>
                </w:tcPr>
                <w:p>
                  <w:pPr>
                    <w:pStyle w:val="59"/>
                    <w:snapToGrid w:val="0"/>
                    <w:jc w:val="center"/>
                    <w:rPr>
                      <w:rFonts w:ascii="Times New Roman" w:hAnsi="Times New Roman"/>
                      <w:bCs/>
                      <w:color w:val="auto"/>
                      <w:sz w:val="21"/>
                      <w:szCs w:val="21"/>
                      <w:u w:val="single"/>
                    </w:rPr>
                  </w:pPr>
                  <w:r>
                    <w:rPr>
                      <w:rFonts w:ascii="Times New Roman" w:hAnsi="Times New Roman"/>
                      <w:bCs/>
                      <w:color w:val="auto"/>
                      <w:sz w:val="21"/>
                      <w:szCs w:val="21"/>
                      <w:u w:val="single"/>
                    </w:rPr>
                    <w:t>厂界上风向</w:t>
                  </w:r>
                  <w:r>
                    <w:rPr>
                      <w:rFonts w:hint="eastAsia" w:ascii="Times New Roman" w:hAnsi="Times New Roman"/>
                      <w:bCs/>
                      <w:color w:val="auto"/>
                      <w:sz w:val="21"/>
                      <w:szCs w:val="21"/>
                      <w:u w:val="single"/>
                    </w:rPr>
                    <w:t>G1</w:t>
                  </w:r>
                </w:p>
              </w:tc>
              <w:tc>
                <w:tcPr>
                  <w:tcW w:w="379" w:type="pct"/>
                  <w:vMerge w:val="restart"/>
                  <w:tcBorders>
                    <w:tl2br w:val="nil"/>
                    <w:tr2bl w:val="nil"/>
                  </w:tcBorders>
                  <w:vAlign w:val="center"/>
                </w:tcPr>
                <w:p>
                  <w:pPr>
                    <w:pStyle w:val="59"/>
                    <w:snapToGrid w:val="0"/>
                    <w:jc w:val="center"/>
                    <w:rPr>
                      <w:rFonts w:ascii="Times New Roman" w:hAnsi="Times New Roman"/>
                      <w:color w:val="auto"/>
                      <w:sz w:val="21"/>
                      <w:szCs w:val="21"/>
                      <w:u w:val="single"/>
                    </w:rPr>
                  </w:pPr>
                  <w:r>
                    <w:rPr>
                      <w:rFonts w:ascii="Times New Roman" w:hAnsi="Times New Roman"/>
                      <w:color w:val="auto"/>
                      <w:sz w:val="21"/>
                      <w:szCs w:val="21"/>
                      <w:u w:val="single"/>
                    </w:rPr>
                    <w:t>颗粒物</w:t>
                  </w:r>
                </w:p>
              </w:tc>
              <w:tc>
                <w:tcPr>
                  <w:tcW w:w="491"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0.116</w:t>
                  </w:r>
                </w:p>
              </w:tc>
              <w:tc>
                <w:tcPr>
                  <w:tcW w:w="410"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0.109</w:t>
                  </w:r>
                </w:p>
              </w:tc>
              <w:tc>
                <w:tcPr>
                  <w:tcW w:w="422"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0.114</w:t>
                  </w:r>
                </w:p>
              </w:tc>
              <w:tc>
                <w:tcPr>
                  <w:tcW w:w="542"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0.108</w:t>
                  </w:r>
                </w:p>
              </w:tc>
              <w:tc>
                <w:tcPr>
                  <w:tcW w:w="568"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0.119</w:t>
                  </w:r>
                </w:p>
              </w:tc>
              <w:tc>
                <w:tcPr>
                  <w:tcW w:w="516"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0.117</w:t>
                  </w:r>
                </w:p>
              </w:tc>
              <w:tc>
                <w:tcPr>
                  <w:tcW w:w="521" w:type="pct"/>
                  <w:vMerge w:val="restart"/>
                  <w:tcBorders>
                    <w:tl2br w:val="nil"/>
                    <w:tr2bl w:val="nil"/>
                  </w:tcBorders>
                  <w:vAlign w:val="center"/>
                </w:tcPr>
                <w:p>
                  <w:pPr>
                    <w:pStyle w:val="59"/>
                    <w:snapToGrid w:val="0"/>
                    <w:jc w:val="center"/>
                    <w:rPr>
                      <w:rFonts w:ascii="Times New Roman" w:hAnsi="Times New Roman"/>
                      <w:color w:val="auto"/>
                      <w:szCs w:val="21"/>
                      <w:u w:val="single"/>
                    </w:rPr>
                  </w:pPr>
                  <w:r>
                    <w:rPr>
                      <w:rFonts w:ascii="Times New Roman" w:hAnsi="Times New Roman"/>
                      <w:color w:val="auto"/>
                      <w:sz w:val="21"/>
                      <w:szCs w:val="21"/>
                      <w:u w:val="single"/>
                    </w:rPr>
                    <w:t>1.0</w:t>
                  </w:r>
                  <w:r>
                    <w:rPr>
                      <w:rFonts w:ascii="Times New Roman" w:hAnsi="Times New Roman"/>
                      <w:color w:val="auto"/>
                      <w:szCs w:val="21"/>
                      <w:u w:val="single"/>
                    </w:rPr>
                    <w:t>mg/m</w:t>
                  </w:r>
                  <w:r>
                    <w:rPr>
                      <w:rFonts w:ascii="Times New Roman" w:hAnsi="Times New Roman"/>
                      <w:color w:val="auto"/>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843" w:type="pct"/>
                  <w:tcBorders>
                    <w:tl2br w:val="nil"/>
                    <w:tr2bl w:val="nil"/>
                  </w:tcBorders>
                  <w:vAlign w:val="center"/>
                </w:tcPr>
                <w:p>
                  <w:pPr>
                    <w:pStyle w:val="59"/>
                    <w:snapToGrid w:val="0"/>
                    <w:jc w:val="center"/>
                    <w:rPr>
                      <w:rFonts w:ascii="Times New Roman" w:hAnsi="Times New Roman"/>
                      <w:bCs/>
                      <w:color w:val="auto"/>
                      <w:sz w:val="21"/>
                      <w:szCs w:val="21"/>
                      <w:u w:val="single"/>
                    </w:rPr>
                  </w:pPr>
                  <w:r>
                    <w:rPr>
                      <w:rFonts w:ascii="Times New Roman" w:hAnsi="Times New Roman"/>
                      <w:bCs/>
                      <w:color w:val="auto"/>
                      <w:sz w:val="21"/>
                      <w:szCs w:val="21"/>
                      <w:u w:val="single"/>
                    </w:rPr>
                    <w:t>厂界下风向</w:t>
                  </w:r>
                  <w:r>
                    <w:rPr>
                      <w:rFonts w:hint="eastAsia" w:ascii="Times New Roman" w:hAnsi="Times New Roman"/>
                      <w:bCs/>
                      <w:color w:val="auto"/>
                      <w:sz w:val="21"/>
                      <w:szCs w:val="21"/>
                      <w:u w:val="single"/>
                    </w:rPr>
                    <w:t>G2</w:t>
                  </w:r>
                </w:p>
              </w:tc>
              <w:tc>
                <w:tcPr>
                  <w:tcW w:w="379" w:type="pct"/>
                  <w:vMerge w:val="continue"/>
                  <w:tcBorders>
                    <w:tl2br w:val="nil"/>
                    <w:tr2bl w:val="nil"/>
                  </w:tcBorders>
                  <w:vAlign w:val="center"/>
                </w:tcPr>
                <w:p>
                  <w:pPr>
                    <w:pStyle w:val="59"/>
                    <w:snapToGrid w:val="0"/>
                    <w:jc w:val="center"/>
                    <w:rPr>
                      <w:rFonts w:ascii="Times New Roman" w:hAnsi="Times New Roman"/>
                      <w:color w:val="auto"/>
                      <w:sz w:val="21"/>
                      <w:szCs w:val="21"/>
                      <w:u w:val="single"/>
                    </w:rPr>
                  </w:pPr>
                </w:p>
              </w:tc>
              <w:tc>
                <w:tcPr>
                  <w:tcW w:w="491"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0.217</w:t>
                  </w:r>
                </w:p>
              </w:tc>
              <w:tc>
                <w:tcPr>
                  <w:tcW w:w="410"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0.223</w:t>
                  </w:r>
                </w:p>
              </w:tc>
              <w:tc>
                <w:tcPr>
                  <w:tcW w:w="422"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0.212</w:t>
                  </w:r>
                </w:p>
              </w:tc>
              <w:tc>
                <w:tcPr>
                  <w:tcW w:w="542"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0.227</w:t>
                  </w:r>
                </w:p>
              </w:tc>
              <w:tc>
                <w:tcPr>
                  <w:tcW w:w="568"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0.226</w:t>
                  </w:r>
                </w:p>
              </w:tc>
              <w:tc>
                <w:tcPr>
                  <w:tcW w:w="516"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0.229</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2"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c>
                <w:tcPr>
                  <w:tcW w:w="843" w:type="pct"/>
                  <w:tcBorders>
                    <w:tl2br w:val="nil"/>
                    <w:tr2bl w:val="nil"/>
                  </w:tcBorders>
                  <w:vAlign w:val="center"/>
                </w:tcPr>
                <w:p>
                  <w:pPr>
                    <w:pStyle w:val="59"/>
                    <w:snapToGrid w:val="0"/>
                    <w:jc w:val="center"/>
                    <w:rPr>
                      <w:rFonts w:ascii="Times New Roman" w:hAnsi="Times New Roman"/>
                      <w:bCs/>
                      <w:color w:val="auto"/>
                      <w:sz w:val="21"/>
                      <w:szCs w:val="21"/>
                      <w:u w:val="single"/>
                    </w:rPr>
                  </w:pPr>
                  <w:r>
                    <w:rPr>
                      <w:rFonts w:ascii="Times New Roman" w:hAnsi="Times New Roman"/>
                      <w:bCs/>
                      <w:color w:val="auto"/>
                      <w:sz w:val="21"/>
                      <w:szCs w:val="21"/>
                      <w:u w:val="single"/>
                    </w:rPr>
                    <w:t>厂界下风向</w:t>
                  </w:r>
                  <w:r>
                    <w:rPr>
                      <w:rFonts w:hint="eastAsia" w:ascii="Times New Roman" w:hAnsi="Times New Roman"/>
                      <w:bCs/>
                      <w:color w:val="auto"/>
                      <w:sz w:val="21"/>
                      <w:szCs w:val="21"/>
                      <w:u w:val="single"/>
                    </w:rPr>
                    <w:t>G3</w:t>
                  </w:r>
                </w:p>
              </w:tc>
              <w:tc>
                <w:tcPr>
                  <w:tcW w:w="379" w:type="pct"/>
                  <w:vMerge w:val="continue"/>
                  <w:tcBorders>
                    <w:tl2br w:val="nil"/>
                    <w:tr2bl w:val="nil"/>
                  </w:tcBorders>
                  <w:vAlign w:val="center"/>
                </w:tcPr>
                <w:p>
                  <w:pPr>
                    <w:pStyle w:val="59"/>
                    <w:snapToGrid w:val="0"/>
                    <w:jc w:val="center"/>
                    <w:rPr>
                      <w:rFonts w:ascii="Times New Roman" w:hAnsi="Times New Roman"/>
                      <w:color w:val="auto"/>
                      <w:sz w:val="21"/>
                      <w:szCs w:val="21"/>
                      <w:u w:val="single"/>
                    </w:rPr>
                  </w:pPr>
                </w:p>
              </w:tc>
              <w:tc>
                <w:tcPr>
                  <w:tcW w:w="491"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0.233</w:t>
                  </w:r>
                </w:p>
              </w:tc>
              <w:tc>
                <w:tcPr>
                  <w:tcW w:w="410"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0.232</w:t>
                  </w:r>
                </w:p>
              </w:tc>
              <w:tc>
                <w:tcPr>
                  <w:tcW w:w="422"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0.234</w:t>
                  </w:r>
                </w:p>
              </w:tc>
              <w:tc>
                <w:tcPr>
                  <w:tcW w:w="542"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0.235</w:t>
                  </w:r>
                </w:p>
              </w:tc>
              <w:tc>
                <w:tcPr>
                  <w:tcW w:w="568"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0.234</w:t>
                  </w:r>
                </w:p>
              </w:tc>
              <w:tc>
                <w:tcPr>
                  <w:tcW w:w="516" w:type="pct"/>
                  <w:tcBorders>
                    <w:tl2br w:val="nil"/>
                    <w:tr2bl w:val="nil"/>
                  </w:tcBorders>
                  <w:vAlign w:val="center"/>
                </w:tcPr>
                <w:p>
                  <w:pPr>
                    <w:adjustRightInd w:val="0"/>
                    <w:snapToGrid w:val="0"/>
                    <w:jc w:val="center"/>
                    <w:rPr>
                      <w:rFonts w:ascii="Times New Roman" w:hAnsi="Times New Roman"/>
                      <w:color w:val="auto"/>
                      <w:szCs w:val="21"/>
                      <w:u w:val="single"/>
                    </w:rPr>
                  </w:pPr>
                  <w:r>
                    <w:rPr>
                      <w:rFonts w:hint="eastAsia" w:ascii="Times New Roman" w:hAnsi="Times New Roman"/>
                      <w:color w:val="auto"/>
                      <w:szCs w:val="21"/>
                      <w:u w:val="single"/>
                    </w:rPr>
                    <w:t>0.244</w:t>
                  </w:r>
                </w:p>
              </w:tc>
              <w:tc>
                <w:tcPr>
                  <w:tcW w:w="521" w:type="pct"/>
                  <w:vMerge w:val="continue"/>
                  <w:tcBorders>
                    <w:tl2br w:val="nil"/>
                    <w:tr2bl w:val="nil"/>
                  </w:tcBorders>
                  <w:vAlign w:val="center"/>
                </w:tcPr>
                <w:p>
                  <w:pPr>
                    <w:adjustRightInd w:val="0"/>
                    <w:snapToGrid w:val="0"/>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gridSpan w:val="10"/>
                  <w:tcBorders>
                    <w:tl2br w:val="nil"/>
                    <w:tr2bl w:val="nil"/>
                  </w:tcBorders>
                  <w:vAlign w:val="center"/>
                </w:tcPr>
                <w:p>
                  <w:pPr>
                    <w:widowControl/>
                    <w:adjustRightInd w:val="0"/>
                    <w:snapToGrid w:val="0"/>
                    <w:jc w:val="left"/>
                    <w:textAlignment w:val="center"/>
                    <w:rPr>
                      <w:rFonts w:ascii="Times New Roman" w:hAnsi="Times New Roman"/>
                      <w:color w:val="auto"/>
                      <w:szCs w:val="21"/>
                      <w:u w:val="single"/>
                    </w:rPr>
                  </w:pPr>
                  <w:r>
                    <w:rPr>
                      <w:rFonts w:ascii="Times New Roman" w:hAnsi="Times New Roman"/>
                      <w:color w:val="auto"/>
                      <w:szCs w:val="21"/>
                      <w:u w:val="single"/>
                    </w:rPr>
                    <w:t>备注：颗粒物参考《大气污染物综合排放标准》（GB16297-1996）表2无组织排放标准；</w:t>
                  </w:r>
                </w:p>
              </w:tc>
            </w:tr>
          </w:tbl>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根据上表监测结果可知，本项目厂界颗粒物满足《大气污染物综合排放标准》（GB16297-1996）表2无组织排放标准。</w:t>
            </w:r>
          </w:p>
          <w:p>
            <w:pPr>
              <w:spacing w:line="360" w:lineRule="auto"/>
              <w:ind w:firstLine="482" w:firstLineChars="200"/>
              <w:rPr>
                <w:rFonts w:ascii="Times New Roman" w:hAnsi="Times New Roman"/>
                <w:b/>
                <w:bCs/>
                <w:color w:val="auto"/>
                <w:sz w:val="24"/>
                <w:u w:val="single"/>
              </w:rPr>
            </w:pPr>
            <w:r>
              <w:rPr>
                <w:rFonts w:hint="eastAsia" w:ascii="Times New Roman" w:hAnsi="Times New Roman"/>
                <w:b/>
                <w:bCs/>
                <w:color w:val="auto"/>
                <w:sz w:val="24"/>
                <w:u w:val="single"/>
              </w:rPr>
              <w:t>（</w:t>
            </w:r>
            <w:r>
              <w:rPr>
                <w:rFonts w:hint="eastAsia" w:ascii="Times New Roman" w:hAnsi="Times New Roman"/>
                <w:b/>
                <w:bCs/>
                <w:color w:val="auto"/>
                <w:sz w:val="24"/>
                <w:u w:val="single"/>
                <w:lang w:val="en-US" w:eastAsia="zh-CN"/>
              </w:rPr>
              <w:t>3</w:t>
            </w:r>
            <w:r>
              <w:rPr>
                <w:rFonts w:hint="eastAsia" w:ascii="Times New Roman" w:hAnsi="Times New Roman"/>
                <w:b/>
                <w:bCs/>
                <w:color w:val="auto"/>
                <w:sz w:val="24"/>
                <w:u w:val="single"/>
              </w:rPr>
              <w:t>）</w:t>
            </w:r>
            <w:r>
              <w:rPr>
                <w:rFonts w:ascii="Times New Roman" w:hAnsi="Times New Roman"/>
                <w:b/>
                <w:bCs/>
                <w:color w:val="auto"/>
                <w:sz w:val="24"/>
                <w:u w:val="single"/>
              </w:rPr>
              <w:t>废气环境影响分析：</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综上所述，本项目无组织排放废气中</w:t>
            </w:r>
            <w:r>
              <w:rPr>
                <w:rFonts w:hint="eastAsia" w:ascii="Times New Roman" w:hAnsi="Times New Roman"/>
                <w:color w:val="auto"/>
                <w:sz w:val="24"/>
                <w:u w:val="single"/>
              </w:rPr>
              <w:t>打磨的金属粉尘排放量为0.027414</w:t>
            </w:r>
            <w:r>
              <w:rPr>
                <w:rFonts w:ascii="Times New Roman" w:hAnsi="Times New Roman"/>
                <w:color w:val="auto"/>
                <w:sz w:val="24"/>
                <w:u w:val="single"/>
              </w:rPr>
              <w:t>t/a</w:t>
            </w:r>
            <w:r>
              <w:rPr>
                <w:rFonts w:hint="eastAsia" w:ascii="Times New Roman" w:hAnsi="Times New Roman"/>
                <w:color w:val="auto"/>
                <w:sz w:val="24"/>
                <w:u w:val="single"/>
              </w:rPr>
              <w:t>（排放速率为0.0122kg/h），喷砂粉尘的</w:t>
            </w:r>
            <w:r>
              <w:rPr>
                <w:rFonts w:ascii="Times New Roman" w:hAnsi="Times New Roman"/>
                <w:color w:val="auto"/>
                <w:sz w:val="24"/>
                <w:u w:val="single"/>
              </w:rPr>
              <w:t>排放</w:t>
            </w:r>
            <w:r>
              <w:rPr>
                <w:rFonts w:hint="eastAsia" w:ascii="Times New Roman" w:hAnsi="Times New Roman"/>
                <w:color w:val="auto"/>
                <w:sz w:val="24"/>
                <w:u w:val="single"/>
              </w:rPr>
              <w:t>量</w:t>
            </w:r>
            <w:r>
              <w:rPr>
                <w:rFonts w:ascii="Times New Roman" w:hAnsi="Times New Roman"/>
                <w:color w:val="auto"/>
                <w:sz w:val="24"/>
                <w:u w:val="single"/>
              </w:rPr>
              <w:t>为0.00</w:t>
            </w:r>
            <w:r>
              <w:rPr>
                <w:rFonts w:hint="eastAsia" w:ascii="Times New Roman" w:hAnsi="Times New Roman"/>
                <w:color w:val="auto"/>
                <w:sz w:val="24"/>
                <w:u w:val="single"/>
              </w:rPr>
              <w:t>0004</w:t>
            </w:r>
            <w:r>
              <w:rPr>
                <w:rFonts w:ascii="Times New Roman" w:hAnsi="Times New Roman"/>
                <w:color w:val="auto"/>
                <w:sz w:val="24"/>
                <w:u w:val="single"/>
              </w:rPr>
              <w:t>t/a</w:t>
            </w:r>
            <w:r>
              <w:rPr>
                <w:rFonts w:hint="eastAsia" w:ascii="Times New Roman" w:hAnsi="Times New Roman"/>
                <w:color w:val="auto"/>
                <w:sz w:val="24"/>
                <w:u w:val="single"/>
              </w:rPr>
              <w:t>（排放速率为0.00000179kg/h）</w:t>
            </w:r>
            <w:r>
              <w:rPr>
                <w:rFonts w:ascii="Times New Roman" w:hAnsi="Times New Roman"/>
                <w:color w:val="auto"/>
                <w:sz w:val="24"/>
                <w:u w:val="single"/>
              </w:rPr>
              <w:t>，</w:t>
            </w:r>
            <w:r>
              <w:rPr>
                <w:rFonts w:hint="eastAsia" w:ascii="Times New Roman" w:hAnsi="Times New Roman"/>
                <w:color w:val="auto"/>
                <w:sz w:val="24"/>
                <w:u w:val="single"/>
              </w:rPr>
              <w:t>项目</w:t>
            </w:r>
            <w:r>
              <w:rPr>
                <w:rFonts w:ascii="Times New Roman" w:hAnsi="Times New Roman"/>
                <w:color w:val="auto"/>
                <w:sz w:val="24"/>
                <w:u w:val="single"/>
              </w:rPr>
              <w:t>外排废气对周边大气环境影响较小</w:t>
            </w:r>
            <w:r>
              <w:rPr>
                <w:rFonts w:hint="eastAsia" w:ascii="Times New Roman" w:hAnsi="Times New Roman"/>
                <w:color w:val="auto"/>
                <w:sz w:val="24"/>
                <w:u w:val="single"/>
                <w:lang w:eastAsia="zh-CN"/>
              </w:rPr>
              <w:t>，且根据项目现状的无组织监测数据，厂界的排放量远远低于相应排放标准，故项目无组织排放可行</w:t>
            </w:r>
            <w:r>
              <w:rPr>
                <w:rFonts w:ascii="Times New Roman" w:hAnsi="Times New Roman"/>
                <w:color w:val="auto"/>
                <w:sz w:val="24"/>
                <w:u w:val="single"/>
              </w:rPr>
              <w:t>。</w:t>
            </w:r>
          </w:p>
          <w:p>
            <w:pPr>
              <w:spacing w:line="360" w:lineRule="auto"/>
              <w:ind w:firstLine="482" w:firstLineChars="200"/>
              <w:rPr>
                <w:rFonts w:ascii="Times New Roman" w:hAnsi="Times New Roman"/>
                <w:b/>
                <w:bCs/>
                <w:color w:val="auto"/>
                <w:sz w:val="24"/>
                <w:u w:val="single"/>
              </w:rPr>
            </w:pPr>
            <w:r>
              <w:rPr>
                <w:rFonts w:hint="eastAsia" w:ascii="Times New Roman" w:hAnsi="Times New Roman"/>
                <w:b/>
                <w:bCs/>
                <w:color w:val="auto"/>
                <w:sz w:val="24"/>
                <w:u w:val="single"/>
              </w:rPr>
              <w:t>（</w:t>
            </w:r>
            <w:r>
              <w:rPr>
                <w:rFonts w:hint="eastAsia" w:ascii="Times New Roman" w:hAnsi="Times New Roman"/>
                <w:b/>
                <w:bCs/>
                <w:color w:val="auto"/>
                <w:sz w:val="24"/>
                <w:u w:val="single"/>
                <w:lang w:val="en-US" w:eastAsia="zh-CN"/>
              </w:rPr>
              <w:t>4</w:t>
            </w:r>
            <w:r>
              <w:rPr>
                <w:rFonts w:hint="eastAsia" w:ascii="Times New Roman" w:hAnsi="Times New Roman"/>
                <w:b/>
                <w:bCs/>
                <w:color w:val="auto"/>
                <w:sz w:val="24"/>
                <w:u w:val="single"/>
              </w:rPr>
              <w:t>）废气监测要求</w:t>
            </w:r>
            <w:r>
              <w:rPr>
                <w:rFonts w:ascii="Times New Roman" w:hAnsi="Times New Roman"/>
                <w:b/>
                <w:bCs/>
                <w:color w:val="auto"/>
                <w:sz w:val="24"/>
                <w:u w:val="single"/>
              </w:rPr>
              <w:t>：</w:t>
            </w:r>
          </w:p>
          <w:p>
            <w:pPr>
              <w:autoSpaceDE w:val="0"/>
              <w:autoSpaceDN w:val="0"/>
              <w:adjustRightInd w:val="0"/>
              <w:snapToGrid w:val="0"/>
              <w:ind w:firstLine="422" w:firstLineChars="200"/>
              <w:jc w:val="center"/>
              <w:rPr>
                <w:rFonts w:ascii="Times New Roman" w:hAnsi="Times New Roman"/>
                <w:bCs/>
                <w:snapToGrid w:val="0"/>
                <w:color w:val="auto"/>
                <w:szCs w:val="21"/>
                <w:u w:val="single"/>
              </w:rPr>
            </w:pPr>
            <w:r>
              <w:rPr>
                <w:rFonts w:ascii="Times New Roman" w:hAnsi="Times New Roman"/>
                <w:b/>
                <w:snapToGrid w:val="0"/>
                <w:color w:val="auto"/>
                <w:szCs w:val="21"/>
                <w:u w:val="single"/>
              </w:rPr>
              <w:t>表4-</w:t>
            </w:r>
            <w:r>
              <w:rPr>
                <w:rFonts w:hint="eastAsia" w:ascii="Times New Roman" w:hAnsi="Times New Roman"/>
                <w:b/>
                <w:snapToGrid w:val="0"/>
                <w:color w:val="auto"/>
                <w:szCs w:val="21"/>
                <w:u w:val="single"/>
                <w:lang w:val="en-US" w:eastAsia="zh-CN"/>
              </w:rPr>
              <w:t>4</w:t>
            </w:r>
            <w:r>
              <w:rPr>
                <w:rFonts w:ascii="Times New Roman" w:hAnsi="Times New Roman"/>
                <w:b/>
                <w:snapToGrid w:val="0"/>
                <w:color w:val="auto"/>
                <w:szCs w:val="21"/>
                <w:u w:val="single"/>
              </w:rPr>
              <w:t xml:space="preserve">  废气污染源监测计划表</w:t>
            </w:r>
          </w:p>
          <w:tbl>
            <w:tblPr>
              <w:tblStyle w:val="26"/>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457"/>
              <w:gridCol w:w="1141"/>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89"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u w:val="single"/>
                    </w:rPr>
                  </w:pPr>
                  <w:r>
                    <w:rPr>
                      <w:rFonts w:ascii="Times New Roman" w:hAnsi="Times New Roman"/>
                      <w:b/>
                      <w:color w:val="auto"/>
                      <w:spacing w:val="-10"/>
                      <w:szCs w:val="21"/>
                      <w:u w:val="single"/>
                    </w:rPr>
                    <w:t>监测点位</w:t>
                  </w:r>
                </w:p>
              </w:tc>
              <w:tc>
                <w:tcPr>
                  <w:tcW w:w="830"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u w:val="single"/>
                    </w:rPr>
                  </w:pPr>
                  <w:r>
                    <w:rPr>
                      <w:rFonts w:ascii="Times New Roman" w:hAnsi="Times New Roman"/>
                      <w:b/>
                      <w:color w:val="auto"/>
                      <w:spacing w:val="-10"/>
                      <w:szCs w:val="21"/>
                      <w:u w:val="single"/>
                    </w:rPr>
                    <w:t>监测指标</w:t>
                  </w:r>
                </w:p>
              </w:tc>
              <w:tc>
                <w:tcPr>
                  <w:tcW w:w="650"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u w:val="single"/>
                    </w:rPr>
                  </w:pPr>
                  <w:r>
                    <w:rPr>
                      <w:rFonts w:ascii="Times New Roman" w:hAnsi="Times New Roman"/>
                      <w:b/>
                      <w:color w:val="auto"/>
                      <w:spacing w:val="-10"/>
                      <w:szCs w:val="21"/>
                      <w:u w:val="single"/>
                    </w:rPr>
                    <w:t>监测频次</w:t>
                  </w:r>
                </w:p>
              </w:tc>
              <w:tc>
                <w:tcPr>
                  <w:tcW w:w="2730"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u w:val="single"/>
                    </w:rPr>
                  </w:pPr>
                  <w:r>
                    <w:rPr>
                      <w:rFonts w:ascii="Times New Roman" w:hAnsi="Times New Roman"/>
                      <w:b/>
                      <w:color w:val="auto"/>
                      <w:spacing w:val="-10"/>
                      <w:szCs w:val="21"/>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89" w:type="pct"/>
                  <w:tcBorders>
                    <w:tl2br w:val="nil"/>
                    <w:tr2bl w:val="nil"/>
                  </w:tcBorders>
                  <w:vAlign w:val="center"/>
                </w:tcPr>
                <w:p>
                  <w:pPr>
                    <w:autoSpaceDE w:val="0"/>
                    <w:autoSpaceDN w:val="0"/>
                    <w:adjustRightInd w:val="0"/>
                    <w:snapToGrid w:val="0"/>
                    <w:spacing w:line="360" w:lineRule="auto"/>
                    <w:jc w:val="center"/>
                    <w:rPr>
                      <w:rFonts w:ascii="Times New Roman" w:hAnsi="Times New Roman"/>
                      <w:bCs/>
                      <w:color w:val="auto"/>
                      <w:spacing w:val="-10"/>
                      <w:szCs w:val="21"/>
                      <w:u w:val="single"/>
                    </w:rPr>
                  </w:pPr>
                  <w:r>
                    <w:rPr>
                      <w:rFonts w:ascii="Times New Roman" w:hAnsi="Times New Roman"/>
                      <w:bCs/>
                      <w:color w:val="auto"/>
                      <w:spacing w:val="-10"/>
                      <w:szCs w:val="21"/>
                      <w:u w:val="single"/>
                    </w:rPr>
                    <w:t>无组织监控点</w:t>
                  </w:r>
                </w:p>
              </w:tc>
              <w:tc>
                <w:tcPr>
                  <w:tcW w:w="830" w:type="pct"/>
                  <w:tcBorders>
                    <w:tl2br w:val="nil"/>
                    <w:tr2bl w:val="nil"/>
                  </w:tcBorders>
                  <w:vAlign w:val="center"/>
                </w:tcPr>
                <w:p>
                  <w:pPr>
                    <w:autoSpaceDE w:val="0"/>
                    <w:autoSpaceDN w:val="0"/>
                    <w:adjustRightInd w:val="0"/>
                    <w:snapToGrid w:val="0"/>
                    <w:spacing w:line="360" w:lineRule="auto"/>
                    <w:jc w:val="center"/>
                    <w:rPr>
                      <w:rFonts w:ascii="Times New Roman" w:hAnsi="Times New Roman"/>
                      <w:bCs/>
                      <w:color w:val="auto"/>
                      <w:spacing w:val="-10"/>
                      <w:szCs w:val="21"/>
                      <w:u w:val="single"/>
                    </w:rPr>
                  </w:pPr>
                  <w:r>
                    <w:rPr>
                      <w:rFonts w:hint="eastAsia" w:ascii="Times New Roman" w:hAnsi="Times New Roman"/>
                      <w:bCs/>
                      <w:color w:val="auto"/>
                      <w:spacing w:val="-10"/>
                      <w:szCs w:val="21"/>
                      <w:u w:val="single"/>
                    </w:rPr>
                    <w:t>颗粒物</w:t>
                  </w:r>
                </w:p>
              </w:tc>
              <w:tc>
                <w:tcPr>
                  <w:tcW w:w="650" w:type="pct"/>
                  <w:tcBorders>
                    <w:tl2br w:val="nil"/>
                    <w:tr2bl w:val="nil"/>
                  </w:tcBorders>
                  <w:vAlign w:val="center"/>
                </w:tcPr>
                <w:p>
                  <w:pPr>
                    <w:autoSpaceDE w:val="0"/>
                    <w:autoSpaceDN w:val="0"/>
                    <w:adjustRightInd w:val="0"/>
                    <w:snapToGrid w:val="0"/>
                    <w:spacing w:line="360" w:lineRule="auto"/>
                    <w:jc w:val="center"/>
                    <w:rPr>
                      <w:rFonts w:ascii="Times New Roman" w:hAnsi="Times New Roman"/>
                      <w:bCs/>
                      <w:color w:val="auto"/>
                      <w:spacing w:val="-10"/>
                      <w:szCs w:val="21"/>
                      <w:u w:val="single"/>
                    </w:rPr>
                  </w:pPr>
                  <w:r>
                    <w:rPr>
                      <w:rFonts w:ascii="Times New Roman" w:hAnsi="Times New Roman"/>
                      <w:bCs/>
                      <w:color w:val="auto"/>
                      <w:spacing w:val="-10"/>
                      <w:szCs w:val="21"/>
                      <w:u w:val="single"/>
                    </w:rPr>
                    <w:t>每年一次</w:t>
                  </w:r>
                </w:p>
              </w:tc>
              <w:tc>
                <w:tcPr>
                  <w:tcW w:w="2730" w:type="pct"/>
                  <w:tcBorders>
                    <w:tl2br w:val="nil"/>
                    <w:tr2bl w:val="nil"/>
                  </w:tcBorders>
                  <w:vAlign w:val="center"/>
                </w:tcPr>
                <w:p>
                  <w:pPr>
                    <w:autoSpaceDE w:val="0"/>
                    <w:autoSpaceDN w:val="0"/>
                    <w:adjustRightInd w:val="0"/>
                    <w:snapToGrid w:val="0"/>
                    <w:spacing w:line="360" w:lineRule="auto"/>
                    <w:jc w:val="center"/>
                    <w:rPr>
                      <w:rFonts w:ascii="Times New Roman" w:hAnsi="Times New Roman"/>
                      <w:bCs/>
                      <w:color w:val="auto"/>
                      <w:spacing w:val="-10"/>
                      <w:szCs w:val="21"/>
                      <w:u w:val="single"/>
                    </w:rPr>
                  </w:pPr>
                  <w:r>
                    <w:rPr>
                      <w:rFonts w:ascii="Times New Roman" w:hAnsi="Times New Roman"/>
                      <w:bCs/>
                      <w:color w:val="auto"/>
                      <w:spacing w:val="-10"/>
                      <w:szCs w:val="21"/>
                      <w:u w:val="single"/>
                    </w:rPr>
                    <w:t>《大气污染物综合排放标准》（GB16297-1996）</w:t>
                  </w:r>
                  <w:r>
                    <w:rPr>
                      <w:rFonts w:hint="eastAsia" w:ascii="Times New Roman" w:hAnsi="Times New Roman"/>
                      <w:bCs/>
                      <w:color w:val="auto"/>
                      <w:spacing w:val="-10"/>
                      <w:szCs w:val="21"/>
                      <w:u w:val="single"/>
                    </w:rPr>
                    <w:t>表2无组织排放监控浓度限值</w:t>
                  </w:r>
                </w:p>
              </w:tc>
            </w:tr>
          </w:tbl>
          <w:p>
            <w:pPr>
              <w:spacing w:line="360" w:lineRule="auto"/>
              <w:rPr>
                <w:rFonts w:ascii="Times New Roman" w:hAnsi="Times New Roman"/>
                <w:b/>
                <w:bCs/>
                <w:color w:val="auto"/>
                <w:sz w:val="24"/>
              </w:rPr>
            </w:pPr>
            <w:r>
              <w:rPr>
                <w:rFonts w:hint="eastAsia" w:ascii="Times New Roman" w:hAnsi="Times New Roman"/>
                <w:b/>
                <w:bCs/>
                <w:color w:val="auto"/>
                <w:sz w:val="24"/>
              </w:rPr>
              <w:t>2、</w:t>
            </w:r>
            <w:r>
              <w:rPr>
                <w:rFonts w:ascii="Times New Roman" w:hAnsi="Times New Roman"/>
                <w:b/>
                <w:bCs/>
                <w:color w:val="auto"/>
                <w:sz w:val="24"/>
              </w:rPr>
              <w:t>运营期废水环境影响和保护措施：</w:t>
            </w:r>
          </w:p>
          <w:p>
            <w:pPr>
              <w:adjustRightInd w:val="0"/>
              <w:snapToGrid w:val="0"/>
              <w:spacing w:line="360" w:lineRule="auto"/>
              <w:ind w:firstLine="482" w:firstLineChars="200"/>
              <w:rPr>
                <w:rFonts w:ascii="Times New Roman" w:hAnsi="Times New Roman"/>
                <w:b/>
                <w:bCs/>
                <w:color w:val="auto"/>
                <w:kern w:val="1"/>
                <w:sz w:val="24"/>
              </w:rPr>
            </w:pPr>
            <w:r>
              <w:rPr>
                <w:rFonts w:hint="eastAsia" w:ascii="Times New Roman" w:hAnsi="Times New Roman"/>
                <w:b/>
                <w:bCs/>
                <w:color w:val="auto"/>
                <w:kern w:val="1"/>
                <w:sz w:val="24"/>
              </w:rPr>
              <w:t>（1）废水</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kern w:val="1"/>
                <w:sz w:val="24"/>
              </w:rPr>
              <w:t>①</w:t>
            </w:r>
            <w:r>
              <w:rPr>
                <w:rFonts w:ascii="Times New Roman" w:hAnsi="Times New Roman"/>
                <w:color w:val="auto"/>
                <w:sz w:val="24"/>
              </w:rPr>
              <w:t>根据《湖南省地方标准用水定额》（DB43/T388-20</w:t>
            </w:r>
            <w:r>
              <w:rPr>
                <w:rFonts w:hint="eastAsia" w:ascii="Times New Roman" w:hAnsi="Times New Roman"/>
                <w:color w:val="auto"/>
                <w:sz w:val="24"/>
              </w:rPr>
              <w:t>20</w:t>
            </w:r>
            <w:r>
              <w:rPr>
                <w:rFonts w:ascii="Times New Roman" w:hAnsi="Times New Roman"/>
                <w:color w:val="auto"/>
                <w:sz w:val="24"/>
              </w:rPr>
              <w:t>），职工生活用水定额按</w:t>
            </w:r>
            <w:r>
              <w:rPr>
                <w:rFonts w:hint="eastAsia" w:ascii="Times New Roman" w:hAnsi="Times New Roman"/>
                <w:color w:val="auto"/>
                <w:sz w:val="24"/>
                <w:lang w:val="en-US" w:eastAsia="zh-CN"/>
              </w:rPr>
              <w:t>38</w:t>
            </w:r>
            <w:r>
              <w:rPr>
                <w:rFonts w:ascii="Times New Roman" w:hAnsi="Times New Roman"/>
                <w:color w:val="auto"/>
                <w:sz w:val="24"/>
              </w:rPr>
              <w:t>L/人·d计算，本项目定员26人，则用水量</w:t>
            </w:r>
            <w:r>
              <w:rPr>
                <w:rFonts w:hint="eastAsia" w:ascii="Times New Roman" w:hAnsi="Times New Roman"/>
                <w:color w:val="auto"/>
                <w:sz w:val="24"/>
                <w:lang w:val="en-US" w:eastAsia="zh-CN"/>
              </w:rPr>
              <w:t>0.988</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w:t>
            </w:r>
            <w:r>
              <w:rPr>
                <w:rFonts w:hint="eastAsia" w:ascii="Times New Roman" w:hAnsi="Times New Roman"/>
                <w:color w:val="auto"/>
                <w:sz w:val="24"/>
                <w:lang w:val="en-US" w:eastAsia="zh-CN"/>
              </w:rPr>
              <w:t>256.88</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/a），项目职工生活污水排放系数取0.8，则员工生活污水</w:t>
            </w:r>
            <w:r>
              <w:rPr>
                <w:rFonts w:hint="eastAsia" w:ascii="Times New Roman" w:hAnsi="Times New Roman"/>
                <w:color w:val="auto"/>
                <w:sz w:val="24"/>
              </w:rPr>
              <w:t>排放</w:t>
            </w:r>
            <w:r>
              <w:rPr>
                <w:rFonts w:ascii="Times New Roman" w:hAnsi="Times New Roman"/>
                <w:color w:val="auto"/>
                <w:sz w:val="24"/>
              </w:rPr>
              <w:t>量为</w:t>
            </w:r>
            <w:r>
              <w:rPr>
                <w:rFonts w:hint="eastAsia" w:ascii="Times New Roman" w:hAnsi="Times New Roman"/>
                <w:color w:val="auto"/>
                <w:sz w:val="24"/>
                <w:lang w:val="en-US" w:eastAsia="zh-CN"/>
              </w:rPr>
              <w:t>205.5</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/a。</w:t>
            </w:r>
            <w:r>
              <w:rPr>
                <w:rFonts w:ascii="Times New Roman" w:hAnsi="Times New Roman"/>
                <w:color w:val="auto"/>
                <w:kern w:val="0"/>
                <w:sz w:val="24"/>
              </w:rPr>
              <w:t>生活污水污染物浓度为COD：300mg/L、SS：200mg/L、氨氮：30mg/L、BOD</w:t>
            </w:r>
            <w:r>
              <w:rPr>
                <w:rFonts w:ascii="Times New Roman" w:hAnsi="Times New Roman"/>
                <w:color w:val="auto"/>
                <w:kern w:val="0"/>
                <w:sz w:val="24"/>
                <w:vertAlign w:val="subscript"/>
              </w:rPr>
              <w:t>5</w:t>
            </w:r>
            <w:r>
              <w:rPr>
                <w:rFonts w:ascii="Times New Roman" w:hAnsi="Times New Roman"/>
                <w:color w:val="auto"/>
                <w:kern w:val="0"/>
                <w:sz w:val="24"/>
              </w:rPr>
              <w:t>：180mg/L</w:t>
            </w:r>
            <w:r>
              <w:rPr>
                <w:rFonts w:ascii="Times New Roman" w:hAnsi="Times New Roman"/>
                <w:color w:val="auto"/>
                <w:sz w:val="24"/>
              </w:rPr>
              <w:t>。本项目废水排放见表4</w:t>
            </w:r>
            <w:r>
              <w:rPr>
                <w:rFonts w:hint="eastAsia" w:ascii="Times New Roman" w:hAnsi="Times New Roman"/>
                <w:color w:val="auto"/>
                <w:sz w:val="24"/>
              </w:rPr>
              <w:t>-</w:t>
            </w:r>
            <w:r>
              <w:rPr>
                <w:rFonts w:hint="eastAsia" w:ascii="Times New Roman" w:hAnsi="Times New Roman"/>
                <w:color w:val="auto"/>
                <w:sz w:val="24"/>
                <w:lang w:val="en-US" w:eastAsia="zh-CN"/>
              </w:rPr>
              <w:t>7</w:t>
            </w:r>
            <w:r>
              <w:rPr>
                <w:rFonts w:ascii="Times New Roman" w:hAnsi="Times New Roman"/>
                <w:color w:val="auto"/>
                <w:sz w:val="24"/>
              </w:rPr>
              <w:t>。产生生活污水，</w:t>
            </w:r>
            <w:r>
              <w:rPr>
                <w:rFonts w:ascii="Times New Roman" w:hAnsi="Times New Roman"/>
                <w:color w:val="auto"/>
                <w:kern w:val="0"/>
                <w:sz w:val="24"/>
              </w:rPr>
              <w:t>经</w:t>
            </w:r>
            <w:r>
              <w:rPr>
                <w:rFonts w:ascii="Times New Roman" w:hAnsi="Times New Roman"/>
                <w:color w:val="auto"/>
                <w:sz w:val="24"/>
              </w:rPr>
              <w:t>化粪池处理后达到《污水综合排放标准》（GB8978-1996）中的三级标准后排入位于产业园区西北的仙槎桥污水处理厂，由污水处理厂处理达到《城镇污水处理厂污染物排放标准》（GB18918-2002）中的一级A标后排入槎江。</w:t>
            </w:r>
          </w:p>
          <w:p>
            <w:pPr>
              <w:adjustRightInd w:val="0"/>
              <w:snapToGrid w:val="0"/>
              <w:spacing w:line="360" w:lineRule="auto"/>
              <w:ind w:firstLine="480" w:firstLineChars="200"/>
              <w:rPr>
                <w:color w:val="auto"/>
                <w:sz w:val="24"/>
              </w:rPr>
            </w:pPr>
            <w:r>
              <w:rPr>
                <w:rFonts w:hint="eastAsia" w:ascii="Times New Roman" w:hAnsi="Times New Roman"/>
                <w:color w:val="auto"/>
                <w:kern w:val="1"/>
                <w:sz w:val="24"/>
              </w:rPr>
              <w:t>②电</w:t>
            </w:r>
            <w:r>
              <w:rPr>
                <w:rFonts w:hint="eastAsia"/>
                <w:color w:val="auto"/>
                <w:sz w:val="24"/>
              </w:rPr>
              <w:t>炉冷却废水：高温废水排入冷却池冷却后回用做冷却水。</w:t>
            </w:r>
          </w:p>
          <w:p>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kern w:val="1"/>
                <w:sz w:val="24"/>
              </w:rPr>
              <w:t>③水</w:t>
            </w:r>
            <w:r>
              <w:rPr>
                <w:rFonts w:hint="eastAsia" w:hAnsi="宋体" w:cs="宋体"/>
                <w:color w:val="auto"/>
                <w:sz w:val="24"/>
              </w:rPr>
              <w:t>幕除尘废水与抛光废水经三级沉淀池沉淀后，进行回用为循环废水不外排</w:t>
            </w:r>
            <w:r>
              <w:rPr>
                <w:rFonts w:hint="eastAsia" w:hAnsi="宋体" w:cs="宋体"/>
                <w:color w:val="auto"/>
                <w:szCs w:val="21"/>
              </w:rPr>
              <w:t>。</w:t>
            </w:r>
          </w:p>
          <w:p>
            <w:pPr>
              <w:pStyle w:val="24"/>
              <w:widowControl w:val="0"/>
              <w:snapToGrid/>
              <w:spacing w:after="0"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rPr>
              <w:t>4-</w:t>
            </w:r>
            <w:r>
              <w:rPr>
                <w:rFonts w:hint="eastAsia" w:ascii="Times New Roman" w:hAnsi="Times New Roman"/>
                <w:b/>
                <w:bCs/>
                <w:color w:val="auto"/>
                <w:sz w:val="21"/>
                <w:szCs w:val="21"/>
                <w:lang w:val="en-US" w:eastAsia="zh-CN"/>
              </w:rPr>
              <w:t>5</w:t>
            </w:r>
            <w:r>
              <w:rPr>
                <w:rFonts w:ascii="Times New Roman" w:hAnsi="Times New Roman"/>
                <w:b/>
                <w:bCs/>
                <w:color w:val="auto"/>
                <w:sz w:val="21"/>
                <w:szCs w:val="21"/>
              </w:rPr>
              <w:t xml:space="preserve">  项目废水</w:t>
            </w:r>
            <w:r>
              <w:rPr>
                <w:rFonts w:hint="eastAsia" w:ascii="Times New Roman" w:hAnsi="Times New Roman"/>
                <w:b/>
                <w:bCs/>
                <w:color w:val="auto"/>
                <w:sz w:val="21"/>
                <w:szCs w:val="21"/>
              </w:rPr>
              <w:t>排</w:t>
            </w:r>
            <w:r>
              <w:rPr>
                <w:rFonts w:ascii="Times New Roman" w:hAnsi="Times New Roman"/>
                <w:b/>
                <w:bCs/>
                <w:color w:val="auto"/>
                <w:sz w:val="21"/>
                <w:szCs w:val="21"/>
              </w:rPr>
              <w:t>放情况表</w:t>
            </w:r>
          </w:p>
          <w:tbl>
            <w:tblPr>
              <w:tblStyle w:val="26"/>
              <w:tblW w:w="4996" w:type="pct"/>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20"/>
              <w:gridCol w:w="1420"/>
              <w:gridCol w:w="1497"/>
              <w:gridCol w:w="1230"/>
              <w:gridCol w:w="1230"/>
              <w:gridCol w:w="1234"/>
              <w:gridCol w:w="1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524"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污染源</w:t>
                  </w:r>
                </w:p>
              </w:tc>
              <w:tc>
                <w:tcPr>
                  <w:tcW w:w="809"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废水</w:t>
                  </w:r>
                  <w:r>
                    <w:rPr>
                      <w:rFonts w:hint="eastAsia" w:eastAsia="宋体"/>
                      <w:b/>
                      <w:bCs/>
                      <w:color w:val="auto"/>
                    </w:rPr>
                    <w:t>排放</w:t>
                  </w:r>
                  <w:r>
                    <w:rPr>
                      <w:rFonts w:eastAsia="宋体"/>
                      <w:b/>
                      <w:bCs/>
                      <w:color w:val="auto"/>
                    </w:rPr>
                    <w:t>量</w:t>
                  </w:r>
                </w:p>
              </w:tc>
              <w:tc>
                <w:tcPr>
                  <w:tcW w:w="853"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污染物名称</w:t>
                  </w:r>
                </w:p>
              </w:tc>
              <w:tc>
                <w:tcPr>
                  <w:tcW w:w="701"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产生浓度</w:t>
                  </w:r>
                </w:p>
                <w:p>
                  <w:pPr>
                    <w:pStyle w:val="52"/>
                    <w:spacing w:before="95"/>
                    <w:ind w:left="121" w:right="96"/>
                    <w:rPr>
                      <w:rFonts w:eastAsia="宋体"/>
                      <w:b/>
                      <w:bCs/>
                      <w:color w:val="auto"/>
                      <w:lang w:val="en-US"/>
                    </w:rPr>
                  </w:pPr>
                  <w:r>
                    <w:rPr>
                      <w:rFonts w:eastAsia="宋体"/>
                      <w:b/>
                      <w:bCs/>
                      <w:color w:val="auto"/>
                      <w:lang w:val="en-US"/>
                    </w:rPr>
                    <w:t>mg/L</w:t>
                  </w:r>
                </w:p>
              </w:tc>
              <w:tc>
                <w:tcPr>
                  <w:tcW w:w="701"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年产生量</w:t>
                  </w:r>
                </w:p>
                <w:p>
                  <w:pPr>
                    <w:pStyle w:val="52"/>
                    <w:spacing w:before="95"/>
                    <w:ind w:left="121" w:right="96"/>
                    <w:rPr>
                      <w:rFonts w:eastAsia="宋体"/>
                      <w:b/>
                      <w:bCs/>
                      <w:color w:val="auto"/>
                      <w:lang w:val="en-US"/>
                    </w:rPr>
                  </w:pPr>
                  <w:r>
                    <w:rPr>
                      <w:rFonts w:eastAsia="宋体"/>
                      <w:b/>
                      <w:bCs/>
                      <w:color w:val="auto"/>
                      <w:lang w:val="en-US"/>
                    </w:rPr>
                    <w:t>t/a</w:t>
                  </w:r>
                </w:p>
              </w:tc>
              <w:tc>
                <w:tcPr>
                  <w:tcW w:w="703"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排放浓度</w:t>
                  </w:r>
                </w:p>
                <w:p>
                  <w:pPr>
                    <w:pStyle w:val="52"/>
                    <w:spacing w:before="95"/>
                    <w:ind w:left="121" w:right="96"/>
                    <w:rPr>
                      <w:rFonts w:eastAsia="宋体"/>
                      <w:b/>
                      <w:bCs/>
                      <w:color w:val="auto"/>
                      <w:lang w:val="en-US"/>
                    </w:rPr>
                  </w:pPr>
                  <w:r>
                    <w:rPr>
                      <w:rFonts w:eastAsia="宋体"/>
                      <w:b/>
                      <w:bCs/>
                      <w:color w:val="auto"/>
                      <w:lang w:val="en-US"/>
                    </w:rPr>
                    <w:t>mg/L</w:t>
                  </w:r>
                </w:p>
              </w:tc>
              <w:tc>
                <w:tcPr>
                  <w:tcW w:w="707" w:type="pct"/>
                  <w:tcBorders>
                    <w:tl2br w:val="nil"/>
                    <w:tr2bl w:val="nil"/>
                  </w:tcBorders>
                  <w:vAlign w:val="center"/>
                </w:tcPr>
                <w:p>
                  <w:pPr>
                    <w:pStyle w:val="52"/>
                    <w:spacing w:before="95"/>
                    <w:ind w:left="121" w:right="96"/>
                    <w:rPr>
                      <w:rFonts w:eastAsia="宋体"/>
                      <w:b/>
                      <w:bCs/>
                      <w:color w:val="auto"/>
                      <w:lang w:val="en-US"/>
                    </w:rPr>
                  </w:pPr>
                  <w:r>
                    <w:rPr>
                      <w:rFonts w:eastAsia="宋体"/>
                      <w:b/>
                      <w:bCs/>
                      <w:color w:val="auto"/>
                    </w:rPr>
                    <w:t>年排放量</w:t>
                  </w:r>
                </w:p>
                <w:p>
                  <w:pPr>
                    <w:pStyle w:val="52"/>
                    <w:spacing w:before="95"/>
                    <w:ind w:left="121" w:right="96"/>
                    <w:rPr>
                      <w:rFonts w:eastAsia="宋体"/>
                      <w:b/>
                      <w:bCs/>
                      <w:color w:val="auto"/>
                      <w:lang w:val="en-US"/>
                    </w:rPr>
                  </w:pPr>
                  <w:r>
                    <w:rPr>
                      <w:rFonts w:eastAsia="宋体"/>
                      <w:b/>
                      <w:bCs/>
                      <w:color w:val="auto"/>
                      <w:lang w:val="en-US"/>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24" w:type="pct"/>
                  <w:vMerge w:val="restart"/>
                  <w:tcBorders>
                    <w:tl2br w:val="nil"/>
                    <w:tr2bl w:val="nil"/>
                  </w:tcBorders>
                  <w:vAlign w:val="center"/>
                </w:tcPr>
                <w:p>
                  <w:pPr>
                    <w:pStyle w:val="52"/>
                    <w:ind w:left="311" w:right="292"/>
                    <w:rPr>
                      <w:rFonts w:eastAsia="宋体"/>
                      <w:color w:val="auto"/>
                      <w:lang w:val="en-US"/>
                    </w:rPr>
                  </w:pPr>
                  <w:r>
                    <w:rPr>
                      <w:rFonts w:eastAsia="宋体"/>
                      <w:color w:val="auto"/>
                    </w:rPr>
                    <w:t>生活污水</w:t>
                  </w:r>
                </w:p>
              </w:tc>
              <w:tc>
                <w:tcPr>
                  <w:tcW w:w="809" w:type="pct"/>
                  <w:vMerge w:val="restart"/>
                  <w:tcBorders>
                    <w:tl2br w:val="nil"/>
                    <w:tr2bl w:val="nil"/>
                  </w:tcBorders>
                  <w:vAlign w:val="center"/>
                </w:tcPr>
                <w:p>
                  <w:pPr>
                    <w:pStyle w:val="52"/>
                    <w:spacing w:before="110"/>
                    <w:ind w:left="122" w:right="96"/>
                    <w:rPr>
                      <w:rFonts w:eastAsia="宋体"/>
                      <w:color w:val="auto"/>
                      <w:lang w:val="en-US"/>
                    </w:rPr>
                  </w:pPr>
                  <w:r>
                    <w:rPr>
                      <w:rFonts w:hint="eastAsia" w:eastAsia="宋体"/>
                      <w:color w:val="auto"/>
                      <w:lang w:val="en-US" w:eastAsia="zh-CN"/>
                    </w:rPr>
                    <w:t>205.5</w:t>
                  </w:r>
                  <w:r>
                    <w:rPr>
                      <w:rFonts w:eastAsia="宋体"/>
                      <w:color w:val="auto"/>
                      <w:szCs w:val="21"/>
                      <w:lang w:val="en-US"/>
                    </w:rPr>
                    <w:t>m</w:t>
                  </w:r>
                  <w:r>
                    <w:rPr>
                      <w:rFonts w:eastAsia="宋体"/>
                      <w:color w:val="auto"/>
                      <w:szCs w:val="21"/>
                      <w:vertAlign w:val="superscript"/>
                      <w:lang w:val="en-US"/>
                    </w:rPr>
                    <w:t>3</w:t>
                  </w:r>
                  <w:r>
                    <w:rPr>
                      <w:rFonts w:eastAsia="宋体"/>
                      <w:color w:val="auto"/>
                      <w:szCs w:val="21"/>
                      <w:lang w:val="en-US"/>
                    </w:rPr>
                    <w:t>/a</w:t>
                  </w:r>
                </w:p>
              </w:tc>
              <w:tc>
                <w:tcPr>
                  <w:tcW w:w="853" w:type="pct"/>
                  <w:tcBorders>
                    <w:tl2br w:val="nil"/>
                    <w:tr2bl w:val="nil"/>
                  </w:tcBorders>
                  <w:vAlign w:val="center"/>
                </w:tcPr>
                <w:p>
                  <w:pPr>
                    <w:pStyle w:val="52"/>
                    <w:spacing w:before="123"/>
                    <w:ind w:left="124" w:right="94"/>
                    <w:rPr>
                      <w:rFonts w:eastAsia="宋体"/>
                      <w:color w:val="auto"/>
                      <w:lang w:val="en-US"/>
                    </w:rPr>
                  </w:pPr>
                  <w:r>
                    <w:rPr>
                      <w:rFonts w:eastAsia="宋体"/>
                      <w:color w:val="auto"/>
                      <w:lang w:val="en-US"/>
                    </w:rPr>
                    <w:t>COD</w:t>
                  </w:r>
                </w:p>
              </w:tc>
              <w:tc>
                <w:tcPr>
                  <w:tcW w:w="701" w:type="pct"/>
                  <w:tcBorders>
                    <w:tl2br w:val="nil"/>
                    <w:tr2bl w:val="nil"/>
                  </w:tcBorders>
                  <w:shd w:val="clear" w:color="auto" w:fill="auto"/>
                  <w:vAlign w:val="center"/>
                </w:tcPr>
                <w:p>
                  <w:pPr>
                    <w:pStyle w:val="52"/>
                    <w:spacing w:before="110"/>
                    <w:ind w:left="122" w:right="96"/>
                    <w:rPr>
                      <w:rFonts w:eastAsia="宋体"/>
                      <w:color w:val="auto"/>
                      <w:highlight w:val="none"/>
                      <w:lang w:val="en-US"/>
                    </w:rPr>
                  </w:pPr>
                  <w:r>
                    <w:rPr>
                      <w:rFonts w:eastAsia="宋体"/>
                      <w:color w:val="auto"/>
                      <w:highlight w:val="none"/>
                      <w:lang w:val="en-US"/>
                    </w:rPr>
                    <w:t>300</w:t>
                  </w:r>
                </w:p>
              </w:tc>
              <w:tc>
                <w:tcPr>
                  <w:tcW w:w="701" w:type="pct"/>
                  <w:tcBorders>
                    <w:tl2br w:val="nil"/>
                    <w:tr2bl w:val="nil"/>
                  </w:tcBorders>
                  <w:shd w:val="clear" w:color="auto" w:fill="auto"/>
                  <w:vAlign w:val="center"/>
                </w:tcPr>
                <w:p>
                  <w:pPr>
                    <w:pStyle w:val="52"/>
                    <w:spacing w:before="110"/>
                    <w:ind w:left="122" w:right="96"/>
                    <w:rPr>
                      <w:rFonts w:hint="default" w:eastAsia="宋体"/>
                      <w:color w:val="auto"/>
                      <w:highlight w:val="none"/>
                      <w:lang w:val="en-US" w:eastAsia="zh-CN"/>
                    </w:rPr>
                  </w:pPr>
                  <w:r>
                    <w:rPr>
                      <w:rFonts w:hint="eastAsia" w:eastAsia="宋体"/>
                      <w:color w:val="auto"/>
                      <w:highlight w:val="none"/>
                      <w:lang w:val="en-US" w:eastAsia="zh-CN"/>
                    </w:rPr>
                    <w:t>0.0617</w:t>
                  </w:r>
                </w:p>
              </w:tc>
              <w:tc>
                <w:tcPr>
                  <w:tcW w:w="1238" w:type="dxa"/>
                  <w:tcBorders>
                    <w:tl2br w:val="nil"/>
                    <w:tr2bl w:val="nil"/>
                  </w:tcBorders>
                  <w:shd w:val="clear" w:color="auto" w:fill="auto"/>
                  <w:vAlign w:val="center"/>
                </w:tcPr>
                <w:p>
                  <w:pPr>
                    <w:pStyle w:val="52"/>
                    <w:spacing w:before="110"/>
                    <w:ind w:left="122" w:leftChars="0" w:right="96" w:rightChars="0"/>
                    <w:rPr>
                      <w:rFonts w:eastAsia="宋体"/>
                      <w:color w:val="auto"/>
                      <w:lang w:val="en-US"/>
                    </w:rPr>
                  </w:pPr>
                  <w:r>
                    <w:rPr>
                      <w:rFonts w:hint="eastAsia" w:eastAsia="宋体"/>
                      <w:color w:val="auto"/>
                      <w:lang w:val="en-US"/>
                    </w:rPr>
                    <w:t>50</w:t>
                  </w:r>
                </w:p>
              </w:tc>
              <w:tc>
                <w:tcPr>
                  <w:tcW w:w="1237" w:type="dxa"/>
                  <w:tcBorders>
                    <w:tl2br w:val="nil"/>
                    <w:tr2bl w:val="nil"/>
                  </w:tcBorders>
                  <w:shd w:val="clear" w:color="auto" w:fill="auto"/>
                  <w:vAlign w:val="center"/>
                </w:tcPr>
                <w:p>
                  <w:pPr>
                    <w:pStyle w:val="52"/>
                    <w:spacing w:before="110"/>
                    <w:ind w:left="122" w:leftChars="0" w:right="96" w:rightChars="0"/>
                    <w:rPr>
                      <w:rFonts w:hint="default" w:eastAsia="宋体"/>
                      <w:color w:val="auto"/>
                      <w:lang w:val="en-US" w:eastAsia="zh-CN"/>
                    </w:rPr>
                  </w:pPr>
                  <w:r>
                    <w:rPr>
                      <w:rFonts w:hint="eastAsia" w:eastAsia="宋体"/>
                      <w:color w:val="auto"/>
                      <w:lang w:val="en-US" w:eastAsia="zh-CN"/>
                    </w:rPr>
                    <w:t>0.0103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524" w:type="pct"/>
                  <w:vMerge w:val="continue"/>
                  <w:tcBorders>
                    <w:tl2br w:val="nil"/>
                    <w:tr2bl w:val="nil"/>
                  </w:tcBorders>
                  <w:vAlign w:val="center"/>
                </w:tcPr>
                <w:p>
                  <w:pPr>
                    <w:jc w:val="center"/>
                    <w:rPr>
                      <w:rFonts w:ascii="Times New Roman" w:hAnsi="Times New Roman"/>
                      <w:color w:val="auto"/>
                      <w:sz w:val="2"/>
                      <w:szCs w:val="2"/>
                    </w:rPr>
                  </w:pPr>
                </w:p>
              </w:tc>
              <w:tc>
                <w:tcPr>
                  <w:tcW w:w="809" w:type="pct"/>
                  <w:vMerge w:val="continue"/>
                  <w:tcBorders>
                    <w:tl2br w:val="nil"/>
                    <w:tr2bl w:val="nil"/>
                  </w:tcBorders>
                  <w:vAlign w:val="center"/>
                </w:tcPr>
                <w:p>
                  <w:pPr>
                    <w:jc w:val="center"/>
                    <w:rPr>
                      <w:rFonts w:ascii="Times New Roman" w:hAnsi="Times New Roman"/>
                      <w:color w:val="auto"/>
                      <w:sz w:val="2"/>
                      <w:szCs w:val="2"/>
                    </w:rPr>
                  </w:pPr>
                </w:p>
              </w:tc>
              <w:tc>
                <w:tcPr>
                  <w:tcW w:w="853" w:type="pct"/>
                  <w:tcBorders>
                    <w:tl2br w:val="nil"/>
                    <w:tr2bl w:val="nil"/>
                  </w:tcBorders>
                  <w:vAlign w:val="center"/>
                </w:tcPr>
                <w:p>
                  <w:pPr>
                    <w:pStyle w:val="52"/>
                    <w:spacing w:before="114"/>
                    <w:ind w:left="120" w:right="96"/>
                    <w:rPr>
                      <w:rFonts w:eastAsia="宋体"/>
                      <w:color w:val="auto"/>
                      <w:lang w:val="en-US"/>
                    </w:rPr>
                  </w:pPr>
                  <w:r>
                    <w:rPr>
                      <w:rFonts w:eastAsia="宋体"/>
                      <w:color w:val="auto"/>
                      <w:lang w:val="en-US"/>
                    </w:rPr>
                    <w:t>BOD</w:t>
                  </w:r>
                  <w:r>
                    <w:rPr>
                      <w:rFonts w:eastAsia="宋体"/>
                      <w:color w:val="auto"/>
                      <w:vertAlign w:val="subscript"/>
                      <w:lang w:val="en-US"/>
                    </w:rPr>
                    <w:t>5</w:t>
                  </w:r>
                </w:p>
              </w:tc>
              <w:tc>
                <w:tcPr>
                  <w:tcW w:w="701" w:type="pct"/>
                  <w:tcBorders>
                    <w:tl2br w:val="nil"/>
                    <w:tr2bl w:val="nil"/>
                  </w:tcBorders>
                  <w:shd w:val="clear" w:color="auto" w:fill="auto"/>
                  <w:vAlign w:val="center"/>
                </w:tcPr>
                <w:p>
                  <w:pPr>
                    <w:pStyle w:val="52"/>
                    <w:spacing w:before="110"/>
                    <w:ind w:left="122" w:right="96"/>
                    <w:rPr>
                      <w:rFonts w:eastAsia="宋体"/>
                      <w:color w:val="auto"/>
                      <w:highlight w:val="none"/>
                      <w:lang w:val="en-US"/>
                    </w:rPr>
                  </w:pPr>
                  <w:r>
                    <w:rPr>
                      <w:rFonts w:eastAsia="宋体"/>
                      <w:color w:val="auto"/>
                      <w:highlight w:val="none"/>
                      <w:lang w:val="en-US"/>
                    </w:rPr>
                    <w:t>200</w:t>
                  </w:r>
                </w:p>
              </w:tc>
              <w:tc>
                <w:tcPr>
                  <w:tcW w:w="701" w:type="pct"/>
                  <w:tcBorders>
                    <w:tl2br w:val="nil"/>
                    <w:tr2bl w:val="nil"/>
                  </w:tcBorders>
                  <w:shd w:val="clear" w:color="auto" w:fill="auto"/>
                  <w:vAlign w:val="center"/>
                </w:tcPr>
                <w:p>
                  <w:pPr>
                    <w:pStyle w:val="52"/>
                    <w:spacing w:before="110"/>
                    <w:ind w:left="122" w:right="96"/>
                    <w:rPr>
                      <w:rFonts w:hint="default" w:eastAsia="宋体"/>
                      <w:color w:val="auto"/>
                      <w:highlight w:val="none"/>
                      <w:lang w:val="en-US" w:eastAsia="zh-CN"/>
                    </w:rPr>
                  </w:pPr>
                  <w:r>
                    <w:rPr>
                      <w:rFonts w:hint="eastAsia" w:eastAsia="宋体"/>
                      <w:color w:val="auto"/>
                      <w:highlight w:val="none"/>
                      <w:lang w:val="en-US" w:eastAsia="zh-CN"/>
                    </w:rPr>
                    <w:t>0.0411</w:t>
                  </w:r>
                </w:p>
              </w:tc>
              <w:tc>
                <w:tcPr>
                  <w:tcW w:w="1238" w:type="dxa"/>
                  <w:tcBorders>
                    <w:tl2br w:val="nil"/>
                    <w:tr2bl w:val="nil"/>
                  </w:tcBorders>
                  <w:shd w:val="clear" w:color="auto" w:fill="auto"/>
                  <w:vAlign w:val="center"/>
                </w:tcPr>
                <w:p>
                  <w:pPr>
                    <w:pStyle w:val="52"/>
                    <w:spacing w:before="110"/>
                    <w:ind w:left="122" w:leftChars="0" w:right="96" w:rightChars="0"/>
                    <w:rPr>
                      <w:rFonts w:eastAsia="宋体"/>
                      <w:color w:val="auto"/>
                      <w:lang w:val="en-US"/>
                    </w:rPr>
                  </w:pPr>
                  <w:r>
                    <w:rPr>
                      <w:rFonts w:hint="eastAsia" w:eastAsia="宋体"/>
                      <w:color w:val="auto"/>
                      <w:lang w:val="en-US"/>
                    </w:rPr>
                    <w:t>10</w:t>
                  </w:r>
                </w:p>
              </w:tc>
              <w:tc>
                <w:tcPr>
                  <w:tcW w:w="1237" w:type="dxa"/>
                  <w:tcBorders>
                    <w:tl2br w:val="nil"/>
                    <w:tr2bl w:val="nil"/>
                  </w:tcBorders>
                  <w:shd w:val="clear" w:color="auto" w:fill="auto"/>
                  <w:vAlign w:val="center"/>
                </w:tcPr>
                <w:p>
                  <w:pPr>
                    <w:pStyle w:val="52"/>
                    <w:spacing w:before="110"/>
                    <w:ind w:left="122" w:leftChars="0" w:right="96" w:rightChars="0"/>
                    <w:rPr>
                      <w:rFonts w:hint="default" w:eastAsia="宋体"/>
                      <w:color w:val="auto"/>
                      <w:lang w:val="en-US" w:eastAsia="zh-CN"/>
                    </w:rPr>
                  </w:pPr>
                  <w:r>
                    <w:rPr>
                      <w:rFonts w:hint="eastAsia" w:eastAsia="宋体"/>
                      <w:color w:val="auto"/>
                      <w:lang w:val="en-US" w:eastAsia="zh-CN"/>
                    </w:rPr>
                    <w:t>0.0021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24" w:type="pct"/>
                  <w:vMerge w:val="continue"/>
                  <w:tcBorders>
                    <w:tl2br w:val="nil"/>
                    <w:tr2bl w:val="nil"/>
                  </w:tcBorders>
                  <w:vAlign w:val="center"/>
                </w:tcPr>
                <w:p>
                  <w:pPr>
                    <w:jc w:val="center"/>
                    <w:rPr>
                      <w:rFonts w:ascii="Times New Roman" w:hAnsi="Times New Roman"/>
                      <w:color w:val="auto"/>
                      <w:sz w:val="2"/>
                      <w:szCs w:val="2"/>
                    </w:rPr>
                  </w:pPr>
                </w:p>
              </w:tc>
              <w:tc>
                <w:tcPr>
                  <w:tcW w:w="809" w:type="pct"/>
                  <w:vMerge w:val="continue"/>
                  <w:tcBorders>
                    <w:tl2br w:val="nil"/>
                    <w:tr2bl w:val="nil"/>
                  </w:tcBorders>
                  <w:vAlign w:val="center"/>
                </w:tcPr>
                <w:p>
                  <w:pPr>
                    <w:jc w:val="center"/>
                    <w:rPr>
                      <w:rFonts w:ascii="Times New Roman" w:hAnsi="Times New Roman"/>
                      <w:color w:val="auto"/>
                      <w:sz w:val="2"/>
                      <w:szCs w:val="2"/>
                    </w:rPr>
                  </w:pPr>
                </w:p>
              </w:tc>
              <w:tc>
                <w:tcPr>
                  <w:tcW w:w="853" w:type="pct"/>
                  <w:tcBorders>
                    <w:tl2br w:val="nil"/>
                    <w:tr2bl w:val="nil"/>
                  </w:tcBorders>
                  <w:vAlign w:val="center"/>
                </w:tcPr>
                <w:p>
                  <w:pPr>
                    <w:pStyle w:val="52"/>
                    <w:spacing w:before="95"/>
                    <w:ind w:left="121" w:right="96"/>
                    <w:rPr>
                      <w:rFonts w:eastAsia="宋体"/>
                      <w:color w:val="auto"/>
                      <w:lang w:val="en-US"/>
                    </w:rPr>
                  </w:pPr>
                  <w:r>
                    <w:rPr>
                      <w:rFonts w:eastAsia="宋体"/>
                      <w:color w:val="auto"/>
                    </w:rPr>
                    <w:t>氨氮</w:t>
                  </w:r>
                </w:p>
              </w:tc>
              <w:tc>
                <w:tcPr>
                  <w:tcW w:w="701" w:type="pct"/>
                  <w:tcBorders>
                    <w:tl2br w:val="nil"/>
                    <w:tr2bl w:val="nil"/>
                  </w:tcBorders>
                  <w:shd w:val="clear" w:color="auto" w:fill="auto"/>
                  <w:vAlign w:val="center"/>
                </w:tcPr>
                <w:p>
                  <w:pPr>
                    <w:pStyle w:val="52"/>
                    <w:spacing w:before="110"/>
                    <w:ind w:left="122" w:right="96"/>
                    <w:rPr>
                      <w:rFonts w:eastAsia="宋体"/>
                      <w:color w:val="auto"/>
                      <w:highlight w:val="none"/>
                      <w:lang w:val="en-US"/>
                    </w:rPr>
                  </w:pPr>
                  <w:r>
                    <w:rPr>
                      <w:rFonts w:eastAsia="宋体"/>
                      <w:color w:val="auto"/>
                      <w:highlight w:val="none"/>
                      <w:lang w:val="en-US"/>
                    </w:rPr>
                    <w:t>30</w:t>
                  </w:r>
                </w:p>
              </w:tc>
              <w:tc>
                <w:tcPr>
                  <w:tcW w:w="701" w:type="pct"/>
                  <w:tcBorders>
                    <w:tl2br w:val="nil"/>
                    <w:tr2bl w:val="nil"/>
                  </w:tcBorders>
                  <w:shd w:val="clear" w:color="auto" w:fill="auto"/>
                  <w:vAlign w:val="center"/>
                </w:tcPr>
                <w:p>
                  <w:pPr>
                    <w:pStyle w:val="52"/>
                    <w:spacing w:before="110"/>
                    <w:ind w:left="122" w:right="96"/>
                    <w:rPr>
                      <w:rFonts w:hint="default" w:eastAsia="宋体"/>
                      <w:color w:val="auto"/>
                      <w:highlight w:val="none"/>
                      <w:lang w:val="en-US" w:eastAsia="zh-CN"/>
                    </w:rPr>
                  </w:pPr>
                  <w:r>
                    <w:rPr>
                      <w:rFonts w:hint="eastAsia" w:eastAsia="宋体"/>
                      <w:color w:val="auto"/>
                      <w:highlight w:val="none"/>
                      <w:lang w:val="en-US" w:eastAsia="zh-CN"/>
                    </w:rPr>
                    <w:t>0.0062</w:t>
                  </w:r>
                </w:p>
              </w:tc>
              <w:tc>
                <w:tcPr>
                  <w:tcW w:w="1238" w:type="dxa"/>
                  <w:tcBorders>
                    <w:tl2br w:val="nil"/>
                    <w:tr2bl w:val="nil"/>
                  </w:tcBorders>
                  <w:shd w:val="clear" w:color="auto" w:fill="auto"/>
                  <w:vAlign w:val="center"/>
                </w:tcPr>
                <w:p>
                  <w:pPr>
                    <w:pStyle w:val="52"/>
                    <w:spacing w:before="110"/>
                    <w:ind w:left="122" w:leftChars="0" w:right="96" w:rightChars="0"/>
                    <w:rPr>
                      <w:rFonts w:eastAsia="宋体"/>
                      <w:color w:val="auto"/>
                      <w:lang w:val="en-US"/>
                    </w:rPr>
                  </w:pPr>
                  <w:r>
                    <w:rPr>
                      <w:rFonts w:hint="eastAsia" w:eastAsia="宋体"/>
                      <w:color w:val="auto"/>
                      <w:lang w:val="en-US"/>
                    </w:rPr>
                    <w:t>8</w:t>
                  </w:r>
                </w:p>
              </w:tc>
              <w:tc>
                <w:tcPr>
                  <w:tcW w:w="1237" w:type="dxa"/>
                  <w:tcBorders>
                    <w:tl2br w:val="nil"/>
                    <w:tr2bl w:val="nil"/>
                  </w:tcBorders>
                  <w:shd w:val="clear" w:color="auto" w:fill="auto"/>
                  <w:vAlign w:val="center"/>
                </w:tcPr>
                <w:p>
                  <w:pPr>
                    <w:pStyle w:val="52"/>
                    <w:spacing w:before="110"/>
                    <w:ind w:left="122" w:leftChars="0" w:right="96" w:rightChars="0"/>
                    <w:rPr>
                      <w:rFonts w:hint="default" w:eastAsia="宋体"/>
                      <w:color w:val="auto"/>
                      <w:lang w:val="en-US" w:eastAsia="zh-CN"/>
                    </w:rPr>
                  </w:pPr>
                  <w:r>
                    <w:rPr>
                      <w:rFonts w:hint="eastAsia" w:eastAsia="宋体"/>
                      <w:color w:val="auto"/>
                      <w:lang w:val="en-US" w:eastAsia="zh-CN"/>
                    </w:rPr>
                    <w:t>0.0016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524" w:type="pct"/>
                  <w:vMerge w:val="continue"/>
                  <w:tcBorders>
                    <w:tl2br w:val="nil"/>
                    <w:tr2bl w:val="nil"/>
                  </w:tcBorders>
                  <w:vAlign w:val="center"/>
                </w:tcPr>
                <w:p>
                  <w:pPr>
                    <w:jc w:val="center"/>
                    <w:rPr>
                      <w:rFonts w:ascii="Times New Roman" w:hAnsi="Times New Roman"/>
                      <w:color w:val="auto"/>
                      <w:sz w:val="2"/>
                      <w:szCs w:val="2"/>
                    </w:rPr>
                  </w:pPr>
                </w:p>
              </w:tc>
              <w:tc>
                <w:tcPr>
                  <w:tcW w:w="809" w:type="pct"/>
                  <w:vMerge w:val="continue"/>
                  <w:tcBorders>
                    <w:tl2br w:val="nil"/>
                    <w:tr2bl w:val="nil"/>
                  </w:tcBorders>
                  <w:vAlign w:val="center"/>
                </w:tcPr>
                <w:p>
                  <w:pPr>
                    <w:jc w:val="center"/>
                    <w:rPr>
                      <w:rFonts w:ascii="Times New Roman" w:hAnsi="Times New Roman"/>
                      <w:color w:val="auto"/>
                      <w:sz w:val="2"/>
                      <w:szCs w:val="2"/>
                    </w:rPr>
                  </w:pPr>
                </w:p>
              </w:tc>
              <w:tc>
                <w:tcPr>
                  <w:tcW w:w="853" w:type="pct"/>
                  <w:tcBorders>
                    <w:tl2br w:val="nil"/>
                    <w:tr2bl w:val="nil"/>
                  </w:tcBorders>
                  <w:vAlign w:val="center"/>
                </w:tcPr>
                <w:p>
                  <w:pPr>
                    <w:pStyle w:val="52"/>
                    <w:spacing w:before="110"/>
                    <w:ind w:left="122" w:right="96"/>
                    <w:rPr>
                      <w:rFonts w:eastAsia="宋体"/>
                      <w:color w:val="auto"/>
                      <w:lang w:val="en-US"/>
                    </w:rPr>
                  </w:pPr>
                  <w:r>
                    <w:rPr>
                      <w:rFonts w:eastAsia="宋体"/>
                      <w:color w:val="auto"/>
                      <w:lang w:val="en-US"/>
                    </w:rPr>
                    <w:t>SS</w:t>
                  </w:r>
                </w:p>
              </w:tc>
              <w:tc>
                <w:tcPr>
                  <w:tcW w:w="701" w:type="pct"/>
                  <w:tcBorders>
                    <w:tl2br w:val="nil"/>
                    <w:tr2bl w:val="nil"/>
                  </w:tcBorders>
                  <w:shd w:val="clear" w:color="auto" w:fill="auto"/>
                  <w:vAlign w:val="center"/>
                </w:tcPr>
                <w:p>
                  <w:pPr>
                    <w:pStyle w:val="52"/>
                    <w:spacing w:before="110"/>
                    <w:ind w:left="122" w:right="96"/>
                    <w:rPr>
                      <w:rFonts w:eastAsia="宋体"/>
                      <w:color w:val="auto"/>
                      <w:highlight w:val="none"/>
                      <w:lang w:val="en-US"/>
                    </w:rPr>
                  </w:pPr>
                  <w:r>
                    <w:rPr>
                      <w:rFonts w:hint="eastAsia" w:eastAsia="宋体"/>
                      <w:color w:val="auto"/>
                      <w:highlight w:val="none"/>
                      <w:lang w:val="en-US"/>
                    </w:rPr>
                    <w:t>150</w:t>
                  </w:r>
                </w:p>
              </w:tc>
              <w:tc>
                <w:tcPr>
                  <w:tcW w:w="701" w:type="pct"/>
                  <w:tcBorders>
                    <w:tl2br w:val="nil"/>
                    <w:tr2bl w:val="nil"/>
                  </w:tcBorders>
                  <w:shd w:val="clear" w:color="auto" w:fill="auto"/>
                  <w:vAlign w:val="center"/>
                </w:tcPr>
                <w:p>
                  <w:pPr>
                    <w:pStyle w:val="52"/>
                    <w:spacing w:before="110"/>
                    <w:ind w:left="122" w:right="96"/>
                    <w:rPr>
                      <w:rFonts w:hint="default" w:eastAsia="宋体"/>
                      <w:color w:val="auto"/>
                      <w:highlight w:val="none"/>
                      <w:lang w:val="en-US" w:eastAsia="zh-CN"/>
                    </w:rPr>
                  </w:pPr>
                  <w:r>
                    <w:rPr>
                      <w:rFonts w:hint="eastAsia" w:eastAsia="宋体"/>
                      <w:color w:val="auto"/>
                      <w:highlight w:val="none"/>
                      <w:lang w:val="en-US" w:eastAsia="zh-CN"/>
                    </w:rPr>
                    <w:t>0.0308</w:t>
                  </w:r>
                </w:p>
              </w:tc>
              <w:tc>
                <w:tcPr>
                  <w:tcW w:w="1238" w:type="dxa"/>
                  <w:tcBorders>
                    <w:tl2br w:val="nil"/>
                    <w:tr2bl w:val="nil"/>
                  </w:tcBorders>
                  <w:shd w:val="clear" w:color="auto" w:fill="auto"/>
                  <w:vAlign w:val="center"/>
                </w:tcPr>
                <w:p>
                  <w:pPr>
                    <w:pStyle w:val="52"/>
                    <w:spacing w:before="110"/>
                    <w:ind w:left="122" w:leftChars="0" w:right="96" w:rightChars="0"/>
                    <w:rPr>
                      <w:rFonts w:eastAsia="宋体"/>
                      <w:color w:val="auto"/>
                      <w:lang w:val="en-US"/>
                    </w:rPr>
                  </w:pPr>
                  <w:r>
                    <w:rPr>
                      <w:rFonts w:hint="eastAsia" w:eastAsia="宋体"/>
                      <w:color w:val="auto"/>
                      <w:lang w:val="en-US"/>
                    </w:rPr>
                    <w:t>10</w:t>
                  </w:r>
                </w:p>
              </w:tc>
              <w:tc>
                <w:tcPr>
                  <w:tcW w:w="1237" w:type="dxa"/>
                  <w:tcBorders>
                    <w:tl2br w:val="nil"/>
                    <w:tr2bl w:val="nil"/>
                  </w:tcBorders>
                  <w:shd w:val="clear" w:color="auto" w:fill="auto"/>
                  <w:vAlign w:val="center"/>
                </w:tcPr>
                <w:p>
                  <w:pPr>
                    <w:pStyle w:val="52"/>
                    <w:spacing w:before="110"/>
                    <w:ind w:left="122" w:leftChars="0" w:right="96" w:rightChars="0"/>
                    <w:rPr>
                      <w:rFonts w:hint="default" w:eastAsia="宋体"/>
                      <w:color w:val="auto"/>
                      <w:lang w:val="en-US" w:eastAsia="zh-CN"/>
                    </w:rPr>
                  </w:pPr>
                  <w:r>
                    <w:rPr>
                      <w:rFonts w:hint="eastAsia" w:eastAsia="宋体"/>
                      <w:color w:val="auto"/>
                      <w:lang w:val="en-US" w:eastAsia="zh-CN"/>
                    </w:rPr>
                    <w:t>0.0021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pct"/>
                  <w:vMerge w:val="continue"/>
                  <w:tcBorders>
                    <w:tl2br w:val="nil"/>
                    <w:tr2bl w:val="nil"/>
                  </w:tcBorders>
                  <w:vAlign w:val="center"/>
                </w:tcPr>
                <w:p>
                  <w:pPr>
                    <w:jc w:val="center"/>
                    <w:rPr>
                      <w:rFonts w:ascii="Times New Roman" w:hAnsi="Times New Roman"/>
                      <w:color w:val="auto"/>
                      <w:sz w:val="2"/>
                      <w:szCs w:val="2"/>
                    </w:rPr>
                  </w:pPr>
                </w:p>
              </w:tc>
              <w:tc>
                <w:tcPr>
                  <w:tcW w:w="809" w:type="pct"/>
                  <w:vMerge w:val="continue"/>
                  <w:tcBorders>
                    <w:tl2br w:val="nil"/>
                    <w:tr2bl w:val="nil"/>
                  </w:tcBorders>
                  <w:vAlign w:val="center"/>
                </w:tcPr>
                <w:p>
                  <w:pPr>
                    <w:jc w:val="center"/>
                    <w:rPr>
                      <w:rFonts w:ascii="Times New Roman" w:hAnsi="Times New Roman"/>
                      <w:color w:val="auto"/>
                      <w:sz w:val="2"/>
                      <w:szCs w:val="2"/>
                    </w:rPr>
                  </w:pPr>
                </w:p>
              </w:tc>
              <w:tc>
                <w:tcPr>
                  <w:tcW w:w="853" w:type="pct"/>
                  <w:tcBorders>
                    <w:tl2br w:val="nil"/>
                    <w:tr2bl w:val="nil"/>
                  </w:tcBorders>
                  <w:vAlign w:val="center"/>
                </w:tcPr>
                <w:p>
                  <w:pPr>
                    <w:pStyle w:val="52"/>
                    <w:spacing w:before="94"/>
                    <w:ind w:left="124" w:right="96"/>
                    <w:rPr>
                      <w:rFonts w:eastAsia="宋体"/>
                      <w:color w:val="auto"/>
                      <w:lang w:val="en-US"/>
                    </w:rPr>
                  </w:pPr>
                  <w:r>
                    <w:rPr>
                      <w:rFonts w:hint="eastAsia" w:eastAsia="宋体"/>
                      <w:color w:val="auto"/>
                    </w:rPr>
                    <w:t>石油类</w:t>
                  </w:r>
                </w:p>
              </w:tc>
              <w:tc>
                <w:tcPr>
                  <w:tcW w:w="701" w:type="pct"/>
                  <w:tcBorders>
                    <w:tl2br w:val="nil"/>
                    <w:tr2bl w:val="nil"/>
                  </w:tcBorders>
                  <w:shd w:val="clear" w:color="auto" w:fill="auto"/>
                  <w:vAlign w:val="center"/>
                </w:tcPr>
                <w:p>
                  <w:pPr>
                    <w:pStyle w:val="52"/>
                    <w:spacing w:before="110"/>
                    <w:ind w:left="122" w:right="96"/>
                    <w:rPr>
                      <w:rFonts w:eastAsia="宋体"/>
                      <w:color w:val="auto"/>
                      <w:highlight w:val="none"/>
                      <w:lang w:val="en-US"/>
                    </w:rPr>
                  </w:pPr>
                  <w:r>
                    <w:rPr>
                      <w:rFonts w:hint="eastAsia" w:eastAsia="宋体"/>
                      <w:color w:val="auto"/>
                      <w:highlight w:val="none"/>
                      <w:lang w:val="en-US"/>
                    </w:rPr>
                    <w:t>/</w:t>
                  </w:r>
                </w:p>
              </w:tc>
              <w:tc>
                <w:tcPr>
                  <w:tcW w:w="701" w:type="pct"/>
                  <w:tcBorders>
                    <w:tl2br w:val="nil"/>
                    <w:tr2bl w:val="nil"/>
                  </w:tcBorders>
                  <w:shd w:val="clear" w:color="auto" w:fill="auto"/>
                  <w:vAlign w:val="center"/>
                </w:tcPr>
                <w:p>
                  <w:pPr>
                    <w:pStyle w:val="52"/>
                    <w:spacing w:before="110"/>
                    <w:ind w:left="122" w:right="96"/>
                    <w:rPr>
                      <w:rFonts w:eastAsia="宋体"/>
                      <w:color w:val="auto"/>
                      <w:highlight w:val="none"/>
                      <w:lang w:val="en-US"/>
                    </w:rPr>
                  </w:pPr>
                  <w:r>
                    <w:rPr>
                      <w:rFonts w:hint="eastAsia" w:eastAsia="宋体"/>
                      <w:color w:val="auto"/>
                      <w:highlight w:val="none"/>
                      <w:lang w:val="en-US"/>
                    </w:rPr>
                    <w:t>/</w:t>
                  </w:r>
                </w:p>
              </w:tc>
              <w:tc>
                <w:tcPr>
                  <w:tcW w:w="1238" w:type="dxa"/>
                  <w:tcBorders>
                    <w:tl2br w:val="nil"/>
                    <w:tr2bl w:val="nil"/>
                  </w:tcBorders>
                  <w:shd w:val="clear" w:color="auto" w:fill="auto"/>
                  <w:vAlign w:val="center"/>
                </w:tcPr>
                <w:p>
                  <w:pPr>
                    <w:pStyle w:val="52"/>
                    <w:spacing w:before="110"/>
                    <w:ind w:left="122" w:leftChars="0" w:right="96" w:rightChars="0"/>
                    <w:rPr>
                      <w:rFonts w:eastAsia="宋体"/>
                      <w:color w:val="auto"/>
                      <w:lang w:val="en-US"/>
                    </w:rPr>
                  </w:pPr>
                  <w:r>
                    <w:rPr>
                      <w:rFonts w:hint="eastAsia" w:eastAsia="宋体"/>
                      <w:color w:val="auto"/>
                      <w:lang w:val="en-US"/>
                    </w:rPr>
                    <w:t>1</w:t>
                  </w:r>
                </w:p>
              </w:tc>
              <w:tc>
                <w:tcPr>
                  <w:tcW w:w="1237" w:type="dxa"/>
                  <w:tcBorders>
                    <w:tl2br w:val="nil"/>
                    <w:tr2bl w:val="nil"/>
                  </w:tcBorders>
                  <w:shd w:val="clear" w:color="auto" w:fill="auto"/>
                  <w:vAlign w:val="center"/>
                </w:tcPr>
                <w:p>
                  <w:pPr>
                    <w:pStyle w:val="52"/>
                    <w:spacing w:before="110"/>
                    <w:ind w:left="122" w:leftChars="0" w:right="96" w:rightChars="0"/>
                    <w:rPr>
                      <w:rFonts w:hint="default" w:eastAsia="宋体"/>
                      <w:color w:val="auto"/>
                      <w:lang w:val="en-US" w:eastAsia="zh-CN"/>
                    </w:rPr>
                  </w:pPr>
                  <w:r>
                    <w:rPr>
                      <w:rFonts w:hint="eastAsia" w:eastAsia="宋体"/>
                      <w:color w:val="auto"/>
                      <w:lang w:val="en-US" w:eastAsia="zh-CN"/>
                    </w:rPr>
                    <w:t>0.0002</w:t>
                  </w:r>
                </w:p>
              </w:tc>
            </w:tr>
          </w:tbl>
          <w:p>
            <w:pPr>
              <w:pStyle w:val="24"/>
              <w:widowControl w:val="0"/>
              <w:snapToGrid/>
              <w:spacing w:after="0"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rPr>
              <w:t>-</w:t>
            </w:r>
            <w:r>
              <w:rPr>
                <w:rFonts w:hint="eastAsia" w:ascii="Times New Roman" w:hAnsi="Times New Roman"/>
                <w:b/>
                <w:bCs/>
                <w:color w:val="auto"/>
                <w:sz w:val="21"/>
                <w:szCs w:val="21"/>
                <w:lang w:val="en-US" w:eastAsia="zh-CN"/>
              </w:rPr>
              <w:t>6</w:t>
            </w:r>
            <w:r>
              <w:rPr>
                <w:rFonts w:ascii="Times New Roman" w:hAnsi="Times New Roman"/>
                <w:b/>
                <w:bCs/>
                <w:color w:val="auto"/>
                <w:sz w:val="21"/>
                <w:szCs w:val="21"/>
              </w:rPr>
              <w:t xml:space="preserve">  </w:t>
            </w:r>
            <w:r>
              <w:rPr>
                <w:rFonts w:hint="eastAsia" w:ascii="Times New Roman" w:hAnsi="Times New Roman"/>
                <w:b/>
                <w:bCs/>
                <w:color w:val="auto"/>
                <w:sz w:val="21"/>
                <w:szCs w:val="21"/>
              </w:rPr>
              <w:t>废水类别、污染物及污染治理设施信息表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938"/>
              <w:gridCol w:w="858"/>
              <w:gridCol w:w="643"/>
              <w:gridCol w:w="646"/>
              <w:gridCol w:w="883"/>
              <w:gridCol w:w="646"/>
              <w:gridCol w:w="646"/>
              <w:gridCol w:w="695"/>
              <w:gridCol w:w="881"/>
              <w:gridCol w:w="650"/>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6" w:type="pct"/>
                  <w:vMerge w:val="restart"/>
                  <w:vAlign w:val="center"/>
                </w:tcPr>
                <w:p>
                  <w:pPr>
                    <w:jc w:val="center"/>
                    <w:rPr>
                      <w:rFonts w:ascii="Times New Roman" w:hAnsi="Times New Roman"/>
                      <w:b/>
                      <w:bCs/>
                      <w:color w:val="auto"/>
                    </w:rPr>
                  </w:pPr>
                  <w:r>
                    <w:rPr>
                      <w:rFonts w:ascii="Times New Roman" w:hAnsi="Times New Roman"/>
                      <w:b/>
                      <w:bCs/>
                      <w:color w:val="auto"/>
                    </w:rPr>
                    <w:t>废水类别</w:t>
                  </w:r>
                </w:p>
              </w:tc>
              <w:tc>
                <w:tcPr>
                  <w:tcW w:w="535" w:type="pct"/>
                  <w:vMerge w:val="restart"/>
                  <w:vAlign w:val="center"/>
                </w:tcPr>
                <w:p>
                  <w:pPr>
                    <w:jc w:val="center"/>
                    <w:rPr>
                      <w:rFonts w:ascii="Times New Roman" w:hAnsi="Times New Roman"/>
                      <w:b/>
                      <w:bCs/>
                      <w:color w:val="auto"/>
                    </w:rPr>
                  </w:pPr>
                  <w:r>
                    <w:rPr>
                      <w:rFonts w:ascii="Times New Roman" w:hAnsi="Times New Roman"/>
                      <w:b/>
                      <w:bCs/>
                      <w:color w:val="auto"/>
                    </w:rPr>
                    <w:t>污染物种类</w:t>
                  </w:r>
                </w:p>
              </w:tc>
              <w:tc>
                <w:tcPr>
                  <w:tcW w:w="3358" w:type="pct"/>
                  <w:gridSpan w:val="8"/>
                  <w:vAlign w:val="center"/>
                </w:tcPr>
                <w:p>
                  <w:pPr>
                    <w:jc w:val="center"/>
                    <w:rPr>
                      <w:rFonts w:ascii="Times New Roman" w:hAnsi="Times New Roman"/>
                      <w:b/>
                      <w:bCs/>
                      <w:color w:val="auto"/>
                    </w:rPr>
                  </w:pPr>
                  <w:r>
                    <w:rPr>
                      <w:rFonts w:ascii="Times New Roman" w:hAnsi="Times New Roman"/>
                      <w:b/>
                      <w:bCs/>
                      <w:color w:val="auto"/>
                    </w:rPr>
                    <w:t>污染治理设施</w:t>
                  </w:r>
                </w:p>
              </w:tc>
              <w:tc>
                <w:tcPr>
                  <w:tcW w:w="370" w:type="pct"/>
                  <w:vMerge w:val="restart"/>
                  <w:vAlign w:val="center"/>
                </w:tcPr>
                <w:p>
                  <w:pPr>
                    <w:jc w:val="center"/>
                    <w:rPr>
                      <w:rFonts w:ascii="Times New Roman" w:hAnsi="Times New Roman"/>
                      <w:b/>
                      <w:bCs/>
                      <w:color w:val="auto"/>
                    </w:rPr>
                  </w:pPr>
                  <w:r>
                    <w:rPr>
                      <w:rFonts w:ascii="Times New Roman" w:hAnsi="Times New Roman"/>
                      <w:b/>
                      <w:bCs/>
                      <w:color w:val="auto"/>
                    </w:rPr>
                    <w:t>排放去向</w:t>
                  </w:r>
                </w:p>
              </w:tc>
              <w:tc>
                <w:tcPr>
                  <w:tcW w:w="371" w:type="pct"/>
                  <w:vMerge w:val="restart"/>
                  <w:vAlign w:val="center"/>
                </w:tcPr>
                <w:p>
                  <w:pPr>
                    <w:jc w:val="center"/>
                    <w:rPr>
                      <w:rFonts w:ascii="Times New Roman" w:hAnsi="Times New Roman"/>
                      <w:b/>
                      <w:bCs/>
                      <w:color w:val="auto"/>
                    </w:rPr>
                  </w:pPr>
                  <w:r>
                    <w:rPr>
                      <w:rFonts w:ascii="Times New Roman" w:hAnsi="Times New Roman"/>
                      <w:b/>
                      <w:bCs/>
                      <w:color w:val="auto"/>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6" w:type="pct"/>
                  <w:vMerge w:val="continue"/>
                  <w:vAlign w:val="center"/>
                </w:tcPr>
                <w:p>
                  <w:pPr>
                    <w:jc w:val="center"/>
                    <w:rPr>
                      <w:rFonts w:ascii="Times New Roman" w:hAnsi="Times New Roman"/>
                      <w:color w:val="auto"/>
                    </w:rPr>
                  </w:pPr>
                </w:p>
              </w:tc>
              <w:tc>
                <w:tcPr>
                  <w:tcW w:w="535" w:type="pct"/>
                  <w:vMerge w:val="continue"/>
                  <w:vAlign w:val="center"/>
                </w:tcPr>
                <w:p>
                  <w:pPr>
                    <w:jc w:val="center"/>
                    <w:rPr>
                      <w:rFonts w:ascii="Times New Roman" w:hAnsi="Times New Roman"/>
                      <w:color w:val="auto"/>
                      <w:szCs w:val="21"/>
                    </w:rPr>
                  </w:pPr>
                </w:p>
              </w:tc>
              <w:tc>
                <w:tcPr>
                  <w:tcW w:w="488" w:type="pct"/>
                  <w:vAlign w:val="center"/>
                </w:tcPr>
                <w:p>
                  <w:pPr>
                    <w:jc w:val="center"/>
                    <w:rPr>
                      <w:rFonts w:ascii="Times New Roman" w:hAnsi="Times New Roman"/>
                      <w:b/>
                      <w:bCs/>
                      <w:color w:val="auto"/>
                    </w:rPr>
                  </w:pPr>
                  <w:r>
                    <w:rPr>
                      <w:rFonts w:ascii="Times New Roman" w:hAnsi="Times New Roman"/>
                      <w:b/>
                      <w:bCs/>
                      <w:color w:val="auto"/>
                    </w:rPr>
                    <w:t>污染治理设施编号</w:t>
                  </w:r>
                </w:p>
              </w:tc>
              <w:tc>
                <w:tcPr>
                  <w:tcW w:w="367" w:type="pct"/>
                  <w:vAlign w:val="center"/>
                </w:tcPr>
                <w:p>
                  <w:pPr>
                    <w:jc w:val="center"/>
                    <w:rPr>
                      <w:rFonts w:ascii="Times New Roman" w:hAnsi="Times New Roman"/>
                      <w:b/>
                      <w:bCs/>
                      <w:color w:val="auto"/>
                    </w:rPr>
                  </w:pPr>
                  <w:r>
                    <w:rPr>
                      <w:rFonts w:ascii="Times New Roman" w:hAnsi="Times New Roman"/>
                      <w:b/>
                      <w:bCs/>
                      <w:color w:val="auto"/>
                    </w:rPr>
                    <w:t>污染治理设施名称</w:t>
                  </w:r>
                </w:p>
              </w:tc>
              <w:tc>
                <w:tcPr>
                  <w:tcW w:w="368" w:type="pct"/>
                  <w:vAlign w:val="center"/>
                </w:tcPr>
                <w:p>
                  <w:pPr>
                    <w:jc w:val="center"/>
                    <w:rPr>
                      <w:rFonts w:ascii="Times New Roman" w:hAnsi="Times New Roman"/>
                      <w:b/>
                      <w:bCs/>
                      <w:color w:val="auto"/>
                    </w:rPr>
                  </w:pPr>
                  <w:r>
                    <w:rPr>
                      <w:rFonts w:ascii="Times New Roman" w:hAnsi="Times New Roman"/>
                      <w:b/>
                      <w:bCs/>
                      <w:color w:val="auto"/>
                    </w:rPr>
                    <w:t>污染治理设施工艺</w:t>
                  </w:r>
                </w:p>
              </w:tc>
              <w:tc>
                <w:tcPr>
                  <w:tcW w:w="502" w:type="pct"/>
                  <w:vAlign w:val="center"/>
                </w:tcPr>
                <w:p>
                  <w:pPr>
                    <w:jc w:val="center"/>
                    <w:rPr>
                      <w:rFonts w:ascii="Times New Roman" w:hAnsi="Times New Roman"/>
                      <w:b/>
                      <w:bCs/>
                      <w:color w:val="auto"/>
                    </w:rPr>
                  </w:pPr>
                  <w:r>
                    <w:rPr>
                      <w:rFonts w:ascii="Times New Roman" w:hAnsi="Times New Roman"/>
                      <w:b/>
                      <w:bCs/>
                      <w:color w:val="auto"/>
                    </w:rPr>
                    <w:t>设计处理水量（t/h）</w:t>
                  </w:r>
                </w:p>
              </w:tc>
              <w:tc>
                <w:tcPr>
                  <w:tcW w:w="368" w:type="pct"/>
                  <w:vAlign w:val="center"/>
                </w:tcPr>
                <w:p>
                  <w:pPr>
                    <w:jc w:val="center"/>
                    <w:rPr>
                      <w:rFonts w:ascii="Times New Roman" w:hAnsi="Times New Roman"/>
                      <w:b/>
                      <w:bCs/>
                      <w:color w:val="auto"/>
                    </w:rPr>
                  </w:pPr>
                  <w:r>
                    <w:rPr>
                      <w:rFonts w:ascii="Times New Roman" w:hAnsi="Times New Roman"/>
                      <w:b/>
                      <w:bCs/>
                      <w:color w:val="auto"/>
                    </w:rPr>
                    <w:t>是否为可行技术</w:t>
                  </w:r>
                </w:p>
              </w:tc>
              <w:tc>
                <w:tcPr>
                  <w:tcW w:w="368" w:type="pct"/>
                  <w:vAlign w:val="center"/>
                </w:tcPr>
                <w:p>
                  <w:pPr>
                    <w:jc w:val="center"/>
                    <w:rPr>
                      <w:rFonts w:ascii="Times New Roman" w:hAnsi="Times New Roman"/>
                      <w:b/>
                      <w:bCs/>
                      <w:color w:val="auto"/>
                    </w:rPr>
                  </w:pPr>
                  <w:r>
                    <w:rPr>
                      <w:rFonts w:ascii="Times New Roman" w:hAnsi="Times New Roman"/>
                      <w:b/>
                      <w:bCs/>
                      <w:color w:val="auto"/>
                    </w:rPr>
                    <w:t>是否涉及商业机密</w:t>
                  </w:r>
                </w:p>
              </w:tc>
              <w:tc>
                <w:tcPr>
                  <w:tcW w:w="396" w:type="pct"/>
                  <w:vAlign w:val="center"/>
                </w:tcPr>
                <w:p>
                  <w:pPr>
                    <w:jc w:val="center"/>
                    <w:rPr>
                      <w:rFonts w:ascii="Times New Roman" w:hAnsi="Times New Roman"/>
                      <w:b/>
                      <w:bCs/>
                      <w:color w:val="auto"/>
                    </w:rPr>
                  </w:pPr>
                  <w:r>
                    <w:rPr>
                      <w:rFonts w:ascii="Times New Roman" w:hAnsi="Times New Roman"/>
                      <w:b/>
                      <w:bCs/>
                      <w:color w:val="auto"/>
                    </w:rPr>
                    <w:t>其他信息</w:t>
                  </w:r>
                </w:p>
              </w:tc>
              <w:tc>
                <w:tcPr>
                  <w:tcW w:w="501" w:type="pct"/>
                  <w:vAlign w:val="center"/>
                </w:tcPr>
                <w:p>
                  <w:pPr>
                    <w:jc w:val="center"/>
                    <w:rPr>
                      <w:rFonts w:ascii="Times New Roman" w:hAnsi="Times New Roman"/>
                      <w:color w:val="auto"/>
                    </w:rPr>
                  </w:pPr>
                  <w:r>
                    <w:rPr>
                      <w:rFonts w:hint="eastAsia" w:ascii="Times New Roman" w:hAnsi="Times New Roman"/>
                      <w:b/>
                      <w:bCs/>
                      <w:color w:val="auto"/>
                    </w:rPr>
                    <w:t>排放口编号</w:t>
                  </w:r>
                </w:p>
              </w:tc>
              <w:tc>
                <w:tcPr>
                  <w:tcW w:w="370" w:type="pct"/>
                  <w:vMerge w:val="continue"/>
                  <w:vAlign w:val="center"/>
                </w:tcPr>
                <w:p>
                  <w:pPr>
                    <w:jc w:val="center"/>
                    <w:rPr>
                      <w:rFonts w:ascii="Times New Roman" w:hAnsi="Times New Roman"/>
                      <w:color w:val="auto"/>
                    </w:rPr>
                  </w:pPr>
                </w:p>
              </w:tc>
              <w:tc>
                <w:tcPr>
                  <w:tcW w:w="371" w:type="pct"/>
                  <w:vMerge w:val="continue"/>
                  <w:vAlign w:val="center"/>
                </w:tcPr>
                <w:p>
                  <w:pPr>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6" w:type="pct"/>
                  <w:vAlign w:val="center"/>
                </w:tcPr>
                <w:p>
                  <w:pPr>
                    <w:jc w:val="center"/>
                    <w:rPr>
                      <w:rFonts w:ascii="Times New Roman" w:hAnsi="Times New Roman"/>
                      <w:color w:val="auto"/>
                    </w:rPr>
                  </w:pPr>
                  <w:r>
                    <w:rPr>
                      <w:rFonts w:ascii="Times New Roman" w:hAnsi="Times New Roman"/>
                      <w:color w:val="auto"/>
                    </w:rPr>
                    <w:t>生活污水</w:t>
                  </w:r>
                </w:p>
              </w:tc>
              <w:tc>
                <w:tcPr>
                  <w:tcW w:w="535" w:type="pct"/>
                  <w:vAlign w:val="center"/>
                </w:tcPr>
                <w:p>
                  <w:pPr>
                    <w:jc w:val="center"/>
                    <w:rPr>
                      <w:rFonts w:ascii="Times New Roman" w:hAnsi="Times New Roman"/>
                      <w:color w:val="auto"/>
                    </w:rPr>
                  </w:pPr>
                  <w:r>
                    <w:rPr>
                      <w:rFonts w:ascii="Times New Roman" w:hAnsi="Times New Roman"/>
                      <w:color w:val="auto"/>
                      <w:szCs w:val="21"/>
                    </w:rPr>
                    <w:t>COD、BOD</w:t>
                  </w:r>
                  <w:r>
                    <w:rPr>
                      <w:rFonts w:ascii="Times New Roman" w:hAnsi="Times New Roman"/>
                      <w:color w:val="auto"/>
                      <w:szCs w:val="21"/>
                      <w:vertAlign w:val="subscript"/>
                    </w:rPr>
                    <w:t>5</w:t>
                  </w:r>
                  <w:r>
                    <w:rPr>
                      <w:rFonts w:ascii="Times New Roman" w:hAnsi="Times New Roman"/>
                      <w:color w:val="auto"/>
                      <w:szCs w:val="21"/>
                    </w:rPr>
                    <w:t>、氨氮、SS、</w:t>
                  </w:r>
                  <w:r>
                    <w:rPr>
                      <w:rFonts w:hint="eastAsia" w:ascii="Times New Roman" w:hAnsi="Times New Roman"/>
                      <w:color w:val="auto"/>
                      <w:szCs w:val="21"/>
                    </w:rPr>
                    <w:t>石油类、pH</w:t>
                  </w:r>
                </w:p>
              </w:tc>
              <w:tc>
                <w:tcPr>
                  <w:tcW w:w="488" w:type="pct"/>
                  <w:vAlign w:val="center"/>
                </w:tcPr>
                <w:p>
                  <w:pPr>
                    <w:jc w:val="center"/>
                    <w:rPr>
                      <w:rFonts w:ascii="Times New Roman" w:hAnsi="Times New Roman"/>
                      <w:color w:val="auto"/>
                    </w:rPr>
                  </w:pPr>
                  <w:r>
                    <w:rPr>
                      <w:rFonts w:ascii="Times New Roman" w:hAnsi="Times New Roman"/>
                      <w:color w:val="auto"/>
                    </w:rPr>
                    <w:t>TW001</w:t>
                  </w:r>
                </w:p>
              </w:tc>
              <w:tc>
                <w:tcPr>
                  <w:tcW w:w="367" w:type="pct"/>
                  <w:vAlign w:val="center"/>
                </w:tcPr>
                <w:p>
                  <w:pPr>
                    <w:jc w:val="center"/>
                    <w:rPr>
                      <w:rFonts w:ascii="Times New Roman" w:hAnsi="Times New Roman"/>
                      <w:color w:val="auto"/>
                    </w:rPr>
                  </w:pPr>
                  <w:r>
                    <w:rPr>
                      <w:rFonts w:ascii="Times New Roman" w:hAnsi="Times New Roman"/>
                      <w:color w:val="auto"/>
                    </w:rPr>
                    <w:t>化粪池</w:t>
                  </w:r>
                </w:p>
              </w:tc>
              <w:tc>
                <w:tcPr>
                  <w:tcW w:w="368" w:type="pct"/>
                  <w:vAlign w:val="center"/>
                </w:tcPr>
                <w:p>
                  <w:pPr>
                    <w:jc w:val="center"/>
                    <w:rPr>
                      <w:rFonts w:ascii="Times New Roman" w:hAnsi="Times New Roman"/>
                      <w:color w:val="auto"/>
                    </w:rPr>
                  </w:pPr>
                  <w:r>
                    <w:rPr>
                      <w:rFonts w:hint="eastAsia" w:ascii="Times New Roman" w:hAnsi="Times New Roman"/>
                      <w:color w:val="auto"/>
                    </w:rPr>
                    <w:t>厌氧发酵（初级过滤）</w:t>
                  </w:r>
                </w:p>
              </w:tc>
              <w:tc>
                <w:tcPr>
                  <w:tcW w:w="502" w:type="pct"/>
                  <w:vAlign w:val="center"/>
                </w:tcPr>
                <w:p>
                  <w:pPr>
                    <w:jc w:val="center"/>
                    <w:rPr>
                      <w:rFonts w:ascii="Times New Roman" w:hAnsi="Times New Roman"/>
                      <w:color w:val="auto"/>
                    </w:rPr>
                  </w:pPr>
                  <w:r>
                    <w:rPr>
                      <w:rFonts w:ascii="Times New Roman" w:hAnsi="Times New Roman"/>
                      <w:color w:val="auto"/>
                    </w:rPr>
                    <w:t>/</w:t>
                  </w:r>
                </w:p>
              </w:tc>
              <w:tc>
                <w:tcPr>
                  <w:tcW w:w="592" w:type="dxa"/>
                  <w:vAlign w:val="center"/>
                </w:tcPr>
                <w:p>
                  <w:pPr>
                    <w:jc w:val="center"/>
                    <w:rPr>
                      <w:rFonts w:ascii="Times New Roman" w:hAnsi="Times New Roman"/>
                      <w:color w:val="auto"/>
                    </w:rPr>
                  </w:pPr>
                  <w:r>
                    <w:rPr>
                      <w:rFonts w:ascii="Times New Roman" w:hAnsi="Times New Roman"/>
                      <w:color w:val="auto"/>
                    </w:rPr>
                    <w:t>是</w:t>
                  </w:r>
                </w:p>
              </w:tc>
              <w:tc>
                <w:tcPr>
                  <w:tcW w:w="592" w:type="dxa"/>
                  <w:vAlign w:val="center"/>
                </w:tcPr>
                <w:p>
                  <w:pPr>
                    <w:jc w:val="center"/>
                    <w:rPr>
                      <w:rFonts w:ascii="Times New Roman" w:hAnsi="Times New Roman"/>
                      <w:color w:val="auto"/>
                    </w:rPr>
                  </w:pPr>
                  <w:r>
                    <w:rPr>
                      <w:rFonts w:ascii="Times New Roman" w:hAnsi="Times New Roman"/>
                      <w:color w:val="auto"/>
                    </w:rPr>
                    <w:t>否</w:t>
                  </w:r>
                </w:p>
              </w:tc>
              <w:tc>
                <w:tcPr>
                  <w:tcW w:w="639" w:type="dxa"/>
                  <w:vAlign w:val="center"/>
                </w:tcPr>
                <w:p>
                  <w:pPr>
                    <w:jc w:val="center"/>
                    <w:rPr>
                      <w:rFonts w:ascii="Times New Roman" w:hAnsi="Times New Roman"/>
                      <w:color w:val="auto"/>
                    </w:rPr>
                  </w:pPr>
                  <w:r>
                    <w:rPr>
                      <w:rFonts w:ascii="Times New Roman" w:hAnsi="Times New Roman"/>
                      <w:color w:val="auto"/>
                    </w:rPr>
                    <w:t>无</w:t>
                  </w:r>
                </w:p>
              </w:tc>
              <w:tc>
                <w:tcPr>
                  <w:tcW w:w="814" w:type="dxa"/>
                  <w:vAlign w:val="center"/>
                </w:tcPr>
                <w:p>
                  <w:pPr>
                    <w:jc w:val="center"/>
                    <w:rPr>
                      <w:rFonts w:ascii="Times New Roman" w:hAnsi="Times New Roman"/>
                      <w:color w:val="auto"/>
                    </w:rPr>
                  </w:pPr>
                  <w:r>
                    <w:rPr>
                      <w:rFonts w:hint="eastAsia" w:ascii="Times New Roman" w:hAnsi="Times New Roman"/>
                      <w:color w:val="auto"/>
                    </w:rPr>
                    <w:t>DW001</w:t>
                  </w:r>
                </w:p>
              </w:tc>
              <w:tc>
                <w:tcPr>
                  <w:tcW w:w="370" w:type="pct"/>
                  <w:vAlign w:val="center"/>
                </w:tcPr>
                <w:p>
                  <w:pPr>
                    <w:jc w:val="center"/>
                    <w:rPr>
                      <w:rFonts w:hint="eastAsia" w:ascii="Times New Roman" w:hAnsi="Times New Roman" w:eastAsia="宋体"/>
                      <w:color w:val="auto"/>
                      <w:lang w:eastAsia="zh-CN"/>
                    </w:rPr>
                  </w:pPr>
                  <w:r>
                    <w:rPr>
                      <w:rFonts w:hint="eastAsia" w:ascii="Times New Roman" w:hAnsi="Times New Roman"/>
                      <w:color w:val="auto"/>
                      <w:lang w:eastAsia="zh-CN"/>
                    </w:rPr>
                    <w:t>进入仙槎桥镇污水处理厂</w:t>
                  </w:r>
                </w:p>
              </w:tc>
              <w:tc>
                <w:tcPr>
                  <w:tcW w:w="371" w:type="pct"/>
                  <w:vAlign w:val="center"/>
                </w:tcPr>
                <w:p>
                  <w:pPr>
                    <w:jc w:val="center"/>
                    <w:rPr>
                      <w:rFonts w:hint="eastAsia" w:ascii="Times New Roman" w:hAnsi="Times New Roman" w:eastAsia="宋体"/>
                      <w:color w:val="auto"/>
                      <w:lang w:eastAsia="zh-CN"/>
                    </w:rPr>
                  </w:pPr>
                  <w:r>
                    <w:rPr>
                      <w:rFonts w:hint="eastAsia" w:ascii="Times New Roman" w:hAnsi="Times New Roman"/>
                      <w:color w:val="auto"/>
                      <w:lang w:eastAsia="zh-CN"/>
                    </w:rPr>
                    <w:t>间接排放</w:t>
                  </w:r>
                </w:p>
              </w:tc>
            </w:tr>
          </w:tbl>
          <w:p>
            <w:pPr>
              <w:jc w:val="center"/>
              <w:rPr>
                <w:rFonts w:ascii="Times New Roman" w:hAnsi="Times New Roman"/>
                <w:b/>
                <w:bCs/>
                <w:color w:val="auto"/>
                <w:szCs w:val="21"/>
              </w:rPr>
            </w:pPr>
            <w:r>
              <w:rPr>
                <w:rFonts w:ascii="Times New Roman" w:hAnsi="Times New Roman"/>
                <w:b/>
                <w:bCs/>
                <w:color w:val="auto"/>
                <w:szCs w:val="21"/>
              </w:rPr>
              <w:t>表4</w:t>
            </w:r>
            <w:r>
              <w:rPr>
                <w:rFonts w:hint="eastAsia" w:ascii="Times New Roman" w:hAnsi="Times New Roman"/>
                <w:b/>
                <w:bCs/>
                <w:color w:val="auto"/>
                <w:szCs w:val="21"/>
              </w:rPr>
              <w:t>-</w:t>
            </w:r>
            <w:r>
              <w:rPr>
                <w:rFonts w:hint="eastAsia" w:ascii="Times New Roman" w:hAnsi="Times New Roman"/>
                <w:b/>
                <w:bCs/>
                <w:color w:val="auto"/>
                <w:szCs w:val="21"/>
                <w:lang w:val="en-US" w:eastAsia="zh-CN"/>
              </w:rPr>
              <w:t>7</w:t>
            </w:r>
            <w:r>
              <w:rPr>
                <w:rFonts w:ascii="Times New Roman" w:hAnsi="Times New Roman"/>
                <w:b/>
                <w:bCs/>
                <w:color w:val="auto"/>
                <w:szCs w:val="21"/>
              </w:rPr>
              <w:t xml:space="preserve">  </w:t>
            </w:r>
            <w:r>
              <w:rPr>
                <w:rFonts w:hint="eastAsia" w:ascii="Times New Roman" w:hAnsi="Times New Roman"/>
                <w:b/>
                <w:bCs/>
                <w:color w:val="auto"/>
                <w:szCs w:val="21"/>
              </w:rPr>
              <w:t>废水间接排放口基本情况表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925"/>
              <w:gridCol w:w="806"/>
              <w:gridCol w:w="1132"/>
              <w:gridCol w:w="664"/>
              <w:gridCol w:w="1622"/>
              <w:gridCol w:w="630"/>
              <w:gridCol w:w="739"/>
              <w:gridCol w:w="92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7"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排放口编号</w:t>
                  </w:r>
                </w:p>
              </w:tc>
              <w:tc>
                <w:tcPr>
                  <w:tcW w:w="986" w:type="pct"/>
                  <w:gridSpan w:val="2"/>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排放口地理坐标</w:t>
                  </w:r>
                </w:p>
              </w:tc>
              <w:tc>
                <w:tcPr>
                  <w:tcW w:w="645"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废水量</w:t>
                  </w:r>
                </w:p>
              </w:tc>
              <w:tc>
                <w:tcPr>
                  <w:tcW w:w="378"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排放去向</w:t>
                  </w:r>
                </w:p>
              </w:tc>
              <w:tc>
                <w:tcPr>
                  <w:tcW w:w="924"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排放规律</w:t>
                  </w:r>
                </w:p>
              </w:tc>
              <w:tc>
                <w:tcPr>
                  <w:tcW w:w="359"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间歇排放时段</w:t>
                  </w:r>
                </w:p>
              </w:tc>
              <w:tc>
                <w:tcPr>
                  <w:tcW w:w="1369" w:type="pct"/>
                  <w:gridSpan w:val="3"/>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tcBorders>
                    <w:tl2br w:val="nil"/>
                    <w:tr2bl w:val="nil"/>
                  </w:tcBorders>
                  <w:vAlign w:val="center"/>
                </w:tcPr>
                <w:p>
                  <w:pPr>
                    <w:jc w:val="center"/>
                    <w:rPr>
                      <w:rFonts w:ascii="Times New Roman" w:hAnsi="Times New Roman"/>
                      <w:b/>
                      <w:color w:val="auto"/>
                      <w:szCs w:val="21"/>
                    </w:rPr>
                  </w:pPr>
                </w:p>
              </w:tc>
              <w:tc>
                <w:tcPr>
                  <w:tcW w:w="527"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经度</w:t>
                  </w:r>
                </w:p>
              </w:tc>
              <w:tc>
                <w:tcPr>
                  <w:tcW w:w="459"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纬度</w:t>
                  </w:r>
                </w:p>
              </w:tc>
              <w:tc>
                <w:tcPr>
                  <w:tcW w:w="645" w:type="pct"/>
                  <w:vMerge w:val="continue"/>
                  <w:tcBorders>
                    <w:tl2br w:val="nil"/>
                    <w:tr2bl w:val="nil"/>
                  </w:tcBorders>
                  <w:vAlign w:val="center"/>
                </w:tcPr>
                <w:p>
                  <w:pPr>
                    <w:jc w:val="center"/>
                    <w:rPr>
                      <w:rFonts w:ascii="Times New Roman" w:hAnsi="Times New Roman"/>
                      <w:b/>
                      <w:color w:val="auto"/>
                      <w:szCs w:val="21"/>
                    </w:rPr>
                  </w:pPr>
                </w:p>
              </w:tc>
              <w:tc>
                <w:tcPr>
                  <w:tcW w:w="378" w:type="pct"/>
                  <w:vMerge w:val="continue"/>
                  <w:tcBorders>
                    <w:tl2br w:val="nil"/>
                    <w:tr2bl w:val="nil"/>
                  </w:tcBorders>
                  <w:vAlign w:val="center"/>
                </w:tcPr>
                <w:p>
                  <w:pPr>
                    <w:jc w:val="center"/>
                    <w:rPr>
                      <w:rFonts w:ascii="Times New Roman" w:hAnsi="Times New Roman"/>
                      <w:b/>
                      <w:color w:val="auto"/>
                      <w:szCs w:val="21"/>
                    </w:rPr>
                  </w:pPr>
                </w:p>
              </w:tc>
              <w:tc>
                <w:tcPr>
                  <w:tcW w:w="924" w:type="pct"/>
                  <w:vMerge w:val="continue"/>
                  <w:tcBorders>
                    <w:tl2br w:val="nil"/>
                    <w:tr2bl w:val="nil"/>
                  </w:tcBorders>
                  <w:vAlign w:val="center"/>
                </w:tcPr>
                <w:p>
                  <w:pPr>
                    <w:jc w:val="center"/>
                    <w:rPr>
                      <w:rFonts w:ascii="Times New Roman" w:hAnsi="Times New Roman"/>
                      <w:b/>
                      <w:color w:val="auto"/>
                      <w:szCs w:val="21"/>
                    </w:rPr>
                  </w:pPr>
                </w:p>
              </w:tc>
              <w:tc>
                <w:tcPr>
                  <w:tcW w:w="359" w:type="pct"/>
                  <w:vMerge w:val="continue"/>
                  <w:tcBorders>
                    <w:tl2br w:val="nil"/>
                    <w:tr2bl w:val="nil"/>
                  </w:tcBorders>
                  <w:vAlign w:val="center"/>
                </w:tcPr>
                <w:p>
                  <w:pPr>
                    <w:jc w:val="center"/>
                    <w:rPr>
                      <w:rFonts w:ascii="Times New Roman" w:hAnsi="Times New Roman"/>
                      <w:b/>
                      <w:color w:val="auto"/>
                      <w:szCs w:val="21"/>
                    </w:rPr>
                  </w:pPr>
                </w:p>
              </w:tc>
              <w:tc>
                <w:tcPr>
                  <w:tcW w:w="421"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名称</w:t>
                  </w:r>
                </w:p>
              </w:tc>
              <w:tc>
                <w:tcPr>
                  <w:tcW w:w="527"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污染物种类</w:t>
                  </w:r>
                </w:p>
              </w:tc>
              <w:tc>
                <w:tcPr>
                  <w:tcW w:w="420"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37"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1#</w:t>
                  </w:r>
                </w:p>
              </w:tc>
              <w:tc>
                <w:tcPr>
                  <w:tcW w:w="527" w:type="pct"/>
                  <w:vMerge w:val="restart"/>
                  <w:tcBorders>
                    <w:tl2br w:val="nil"/>
                    <w:tr2bl w:val="nil"/>
                  </w:tcBorders>
                  <w:vAlign w:val="center"/>
                </w:tcPr>
                <w:p>
                  <w:pPr>
                    <w:jc w:val="center"/>
                    <w:rPr>
                      <w:rFonts w:ascii="Times New Roman" w:hAnsi="Times New Roman"/>
                      <w:bCs/>
                      <w:color w:val="auto"/>
                      <w:szCs w:val="21"/>
                    </w:rPr>
                  </w:pPr>
                  <w:r>
                    <w:rPr>
                      <w:rFonts w:ascii="Times New Roman" w:hAnsi="Times New Roman"/>
                      <w:bCs/>
                      <w:color w:val="auto"/>
                      <w:szCs w:val="21"/>
                    </w:rPr>
                    <w:t>111°42′</w:t>
                  </w:r>
                </w:p>
                <w:p>
                  <w:pPr>
                    <w:jc w:val="center"/>
                    <w:rPr>
                      <w:rFonts w:ascii="Times New Roman" w:hAnsi="Times New Roman"/>
                      <w:bCs/>
                      <w:color w:val="auto"/>
                      <w:szCs w:val="21"/>
                    </w:rPr>
                  </w:pPr>
                  <w:r>
                    <w:rPr>
                      <w:rFonts w:hint="eastAsia" w:ascii="Times New Roman" w:hAnsi="Times New Roman"/>
                      <w:bCs/>
                      <w:color w:val="auto"/>
                      <w:szCs w:val="21"/>
                    </w:rPr>
                    <w:t>34</w:t>
                  </w:r>
                  <w:r>
                    <w:rPr>
                      <w:rFonts w:ascii="Times New Roman" w:hAnsi="Times New Roman"/>
                      <w:bCs/>
                      <w:color w:val="auto"/>
                      <w:szCs w:val="21"/>
                    </w:rPr>
                    <w:t>.</w:t>
                  </w:r>
                  <w:r>
                    <w:rPr>
                      <w:rFonts w:hint="eastAsia" w:ascii="Times New Roman" w:hAnsi="Times New Roman"/>
                      <w:bCs/>
                      <w:color w:val="auto"/>
                      <w:szCs w:val="21"/>
                    </w:rPr>
                    <w:t>65</w:t>
                  </w:r>
                  <w:r>
                    <w:rPr>
                      <w:rFonts w:ascii="Times New Roman" w:hAnsi="Times New Roman"/>
                      <w:bCs/>
                      <w:color w:val="auto"/>
                      <w:szCs w:val="21"/>
                    </w:rPr>
                    <w:t>″</w:t>
                  </w:r>
                </w:p>
              </w:tc>
              <w:tc>
                <w:tcPr>
                  <w:tcW w:w="459" w:type="pct"/>
                  <w:vMerge w:val="restart"/>
                  <w:tcBorders>
                    <w:tl2br w:val="nil"/>
                    <w:tr2bl w:val="nil"/>
                  </w:tcBorders>
                  <w:vAlign w:val="center"/>
                </w:tcPr>
                <w:p>
                  <w:pPr>
                    <w:jc w:val="center"/>
                    <w:rPr>
                      <w:rFonts w:ascii="Times New Roman" w:hAnsi="Times New Roman"/>
                      <w:bCs/>
                      <w:color w:val="auto"/>
                      <w:szCs w:val="21"/>
                    </w:rPr>
                  </w:pPr>
                  <w:r>
                    <w:rPr>
                      <w:rFonts w:ascii="Times New Roman" w:hAnsi="Times New Roman"/>
                      <w:bCs/>
                      <w:color w:val="auto"/>
                      <w:szCs w:val="21"/>
                    </w:rPr>
                    <w:t>27°10′</w:t>
                  </w:r>
                </w:p>
                <w:p>
                  <w:pPr>
                    <w:jc w:val="center"/>
                    <w:rPr>
                      <w:rFonts w:ascii="Times New Roman" w:hAnsi="Times New Roman"/>
                      <w:bCs/>
                      <w:color w:val="auto"/>
                      <w:szCs w:val="21"/>
                    </w:rPr>
                  </w:pPr>
                  <w:r>
                    <w:rPr>
                      <w:rFonts w:hint="eastAsia" w:ascii="Times New Roman" w:hAnsi="Times New Roman"/>
                      <w:bCs/>
                      <w:color w:val="auto"/>
                      <w:szCs w:val="21"/>
                    </w:rPr>
                    <w:t>16</w:t>
                  </w:r>
                  <w:r>
                    <w:rPr>
                      <w:rFonts w:ascii="Times New Roman" w:hAnsi="Times New Roman"/>
                      <w:bCs/>
                      <w:color w:val="auto"/>
                      <w:szCs w:val="21"/>
                    </w:rPr>
                    <w:t>.</w:t>
                  </w:r>
                  <w:r>
                    <w:rPr>
                      <w:rFonts w:hint="eastAsia" w:ascii="Times New Roman" w:hAnsi="Times New Roman"/>
                      <w:bCs/>
                      <w:color w:val="auto"/>
                      <w:szCs w:val="21"/>
                    </w:rPr>
                    <w:t>16</w:t>
                  </w:r>
                  <w:r>
                    <w:rPr>
                      <w:rFonts w:ascii="Times New Roman" w:hAnsi="Times New Roman"/>
                      <w:bCs/>
                      <w:color w:val="auto"/>
                      <w:szCs w:val="21"/>
                    </w:rPr>
                    <w:t>″</w:t>
                  </w:r>
                </w:p>
              </w:tc>
              <w:tc>
                <w:tcPr>
                  <w:tcW w:w="645" w:type="pct"/>
                  <w:vMerge w:val="restar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lang w:val="en-US" w:eastAsia="zh-CN"/>
                    </w:rPr>
                    <w:t>0.79</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/d</w:t>
                  </w:r>
                </w:p>
              </w:tc>
              <w:tc>
                <w:tcPr>
                  <w:tcW w:w="378"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城市污水处理厂</w:t>
                  </w:r>
                </w:p>
              </w:tc>
              <w:tc>
                <w:tcPr>
                  <w:tcW w:w="924"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间断排放，排放期间流量不稳定且无规律，但不属于冲击型排放</w:t>
                  </w:r>
                </w:p>
              </w:tc>
              <w:tc>
                <w:tcPr>
                  <w:tcW w:w="359"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w:t>
                  </w:r>
                </w:p>
              </w:tc>
              <w:tc>
                <w:tcPr>
                  <w:tcW w:w="421" w:type="pct"/>
                  <w:vMerge w:val="restart"/>
                  <w:tcBorders>
                    <w:tl2br w:val="nil"/>
                    <w:tr2bl w:val="nil"/>
                  </w:tcBorders>
                  <w:vAlign w:val="center"/>
                </w:tcPr>
                <w:p>
                  <w:pPr>
                    <w:jc w:val="center"/>
                    <w:rPr>
                      <w:rFonts w:ascii="Times New Roman" w:hAnsi="Times New Roman"/>
                      <w:color w:val="auto"/>
                      <w:szCs w:val="21"/>
                    </w:rPr>
                  </w:pPr>
                  <w:r>
                    <w:rPr>
                      <w:rFonts w:hint="eastAsia" w:ascii="Times New Roman" w:hAnsi="Times New Roman"/>
                      <w:color w:val="auto"/>
                      <w:szCs w:val="21"/>
                      <w:lang w:eastAsia="zh-CN"/>
                    </w:rPr>
                    <w:t>仙</w:t>
                  </w:r>
                  <w:r>
                    <w:rPr>
                      <w:rFonts w:ascii="Times New Roman" w:hAnsi="Times New Roman"/>
                      <w:color w:val="auto"/>
                      <w:szCs w:val="21"/>
                    </w:rPr>
                    <w:t>槎桥镇污水处理厂</w:t>
                  </w:r>
                </w:p>
              </w:tc>
              <w:tc>
                <w:tcPr>
                  <w:tcW w:w="925"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pH</w:t>
                  </w:r>
                </w:p>
              </w:tc>
              <w:tc>
                <w:tcPr>
                  <w:tcW w:w="739"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tcBorders>
                    <w:tl2br w:val="nil"/>
                    <w:tr2bl w:val="nil"/>
                  </w:tcBorders>
                  <w:vAlign w:val="center"/>
                </w:tcPr>
                <w:p>
                  <w:pPr>
                    <w:jc w:val="center"/>
                    <w:rPr>
                      <w:rFonts w:ascii="Times New Roman" w:hAnsi="Times New Roman"/>
                      <w:color w:val="auto"/>
                      <w:szCs w:val="21"/>
                    </w:rPr>
                  </w:pPr>
                </w:p>
              </w:tc>
              <w:tc>
                <w:tcPr>
                  <w:tcW w:w="527" w:type="pct"/>
                  <w:vMerge w:val="continue"/>
                  <w:tcBorders>
                    <w:tl2br w:val="nil"/>
                    <w:tr2bl w:val="nil"/>
                  </w:tcBorders>
                  <w:vAlign w:val="center"/>
                </w:tcPr>
                <w:p>
                  <w:pPr>
                    <w:jc w:val="center"/>
                    <w:rPr>
                      <w:rFonts w:ascii="Times New Roman" w:hAnsi="Times New Roman"/>
                      <w:color w:val="auto"/>
                      <w:szCs w:val="21"/>
                    </w:rPr>
                  </w:pPr>
                </w:p>
              </w:tc>
              <w:tc>
                <w:tcPr>
                  <w:tcW w:w="459" w:type="pct"/>
                  <w:vMerge w:val="continue"/>
                  <w:tcBorders>
                    <w:tl2br w:val="nil"/>
                    <w:tr2bl w:val="nil"/>
                  </w:tcBorders>
                  <w:vAlign w:val="center"/>
                </w:tcPr>
                <w:p>
                  <w:pPr>
                    <w:jc w:val="center"/>
                    <w:rPr>
                      <w:rFonts w:ascii="Times New Roman" w:hAnsi="Times New Roman"/>
                      <w:color w:val="auto"/>
                      <w:szCs w:val="21"/>
                    </w:rPr>
                  </w:pPr>
                </w:p>
              </w:tc>
              <w:tc>
                <w:tcPr>
                  <w:tcW w:w="645" w:type="pct"/>
                  <w:vMerge w:val="continue"/>
                  <w:tcBorders>
                    <w:tl2br w:val="nil"/>
                    <w:tr2bl w:val="nil"/>
                  </w:tcBorders>
                  <w:vAlign w:val="center"/>
                </w:tcPr>
                <w:p>
                  <w:pPr>
                    <w:jc w:val="center"/>
                    <w:rPr>
                      <w:rFonts w:ascii="Times New Roman" w:hAnsi="Times New Roman"/>
                      <w:color w:val="auto"/>
                      <w:szCs w:val="21"/>
                    </w:rPr>
                  </w:pPr>
                </w:p>
              </w:tc>
              <w:tc>
                <w:tcPr>
                  <w:tcW w:w="378" w:type="pct"/>
                  <w:vMerge w:val="continue"/>
                  <w:tcBorders>
                    <w:tl2br w:val="nil"/>
                    <w:tr2bl w:val="nil"/>
                  </w:tcBorders>
                  <w:vAlign w:val="center"/>
                </w:tcPr>
                <w:p>
                  <w:pPr>
                    <w:jc w:val="center"/>
                    <w:rPr>
                      <w:rFonts w:ascii="Times New Roman" w:hAnsi="Times New Roman"/>
                      <w:color w:val="auto"/>
                      <w:szCs w:val="21"/>
                    </w:rPr>
                  </w:pPr>
                </w:p>
              </w:tc>
              <w:tc>
                <w:tcPr>
                  <w:tcW w:w="924" w:type="pct"/>
                  <w:vMerge w:val="continue"/>
                  <w:tcBorders>
                    <w:tl2br w:val="nil"/>
                    <w:tr2bl w:val="nil"/>
                  </w:tcBorders>
                  <w:vAlign w:val="center"/>
                </w:tcPr>
                <w:p>
                  <w:pPr>
                    <w:jc w:val="center"/>
                    <w:rPr>
                      <w:rFonts w:ascii="Times New Roman" w:hAnsi="Times New Roman"/>
                      <w:color w:val="auto"/>
                      <w:szCs w:val="21"/>
                    </w:rPr>
                  </w:pPr>
                </w:p>
              </w:tc>
              <w:tc>
                <w:tcPr>
                  <w:tcW w:w="359" w:type="pct"/>
                  <w:vMerge w:val="continue"/>
                  <w:tcBorders>
                    <w:tl2br w:val="nil"/>
                    <w:tr2bl w:val="nil"/>
                  </w:tcBorders>
                  <w:vAlign w:val="center"/>
                </w:tcPr>
                <w:p>
                  <w:pPr>
                    <w:jc w:val="center"/>
                    <w:rPr>
                      <w:rFonts w:ascii="Times New Roman" w:hAnsi="Times New Roman"/>
                      <w:color w:val="auto"/>
                      <w:szCs w:val="21"/>
                    </w:rPr>
                  </w:pPr>
                </w:p>
              </w:tc>
              <w:tc>
                <w:tcPr>
                  <w:tcW w:w="421" w:type="pct"/>
                  <w:vMerge w:val="continue"/>
                  <w:tcBorders>
                    <w:tl2br w:val="nil"/>
                    <w:tr2bl w:val="nil"/>
                  </w:tcBorders>
                  <w:vAlign w:val="center"/>
                </w:tcPr>
                <w:p>
                  <w:pPr>
                    <w:jc w:val="center"/>
                    <w:rPr>
                      <w:rFonts w:ascii="Times New Roman" w:hAnsi="Times New Roman"/>
                      <w:color w:val="auto"/>
                      <w:szCs w:val="21"/>
                    </w:rPr>
                  </w:pPr>
                </w:p>
              </w:tc>
              <w:tc>
                <w:tcPr>
                  <w:tcW w:w="925"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COD</w:t>
                  </w:r>
                  <w:r>
                    <w:rPr>
                      <w:rFonts w:ascii="Times New Roman" w:hAnsi="Times New Roman"/>
                      <w:color w:val="auto"/>
                      <w:szCs w:val="21"/>
                      <w:vertAlign w:val="subscript"/>
                    </w:rPr>
                    <w:t>cr</w:t>
                  </w:r>
                </w:p>
              </w:tc>
              <w:tc>
                <w:tcPr>
                  <w:tcW w:w="739"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37" w:type="pct"/>
                  <w:vMerge w:val="continue"/>
                  <w:tcBorders>
                    <w:tl2br w:val="nil"/>
                    <w:tr2bl w:val="nil"/>
                  </w:tcBorders>
                  <w:vAlign w:val="center"/>
                </w:tcPr>
                <w:p>
                  <w:pPr>
                    <w:jc w:val="center"/>
                    <w:rPr>
                      <w:rFonts w:ascii="Times New Roman" w:hAnsi="Times New Roman"/>
                      <w:color w:val="auto"/>
                      <w:szCs w:val="21"/>
                    </w:rPr>
                  </w:pPr>
                </w:p>
              </w:tc>
              <w:tc>
                <w:tcPr>
                  <w:tcW w:w="527" w:type="pct"/>
                  <w:vMerge w:val="continue"/>
                  <w:tcBorders>
                    <w:tl2br w:val="nil"/>
                    <w:tr2bl w:val="nil"/>
                  </w:tcBorders>
                  <w:vAlign w:val="center"/>
                </w:tcPr>
                <w:p>
                  <w:pPr>
                    <w:jc w:val="center"/>
                    <w:rPr>
                      <w:rFonts w:ascii="Times New Roman" w:hAnsi="Times New Roman"/>
                      <w:color w:val="auto"/>
                      <w:szCs w:val="21"/>
                    </w:rPr>
                  </w:pPr>
                </w:p>
              </w:tc>
              <w:tc>
                <w:tcPr>
                  <w:tcW w:w="459" w:type="pct"/>
                  <w:vMerge w:val="continue"/>
                  <w:tcBorders>
                    <w:tl2br w:val="nil"/>
                    <w:tr2bl w:val="nil"/>
                  </w:tcBorders>
                  <w:vAlign w:val="center"/>
                </w:tcPr>
                <w:p>
                  <w:pPr>
                    <w:jc w:val="center"/>
                    <w:rPr>
                      <w:rFonts w:ascii="Times New Roman" w:hAnsi="Times New Roman"/>
                      <w:color w:val="auto"/>
                      <w:szCs w:val="21"/>
                    </w:rPr>
                  </w:pPr>
                </w:p>
              </w:tc>
              <w:tc>
                <w:tcPr>
                  <w:tcW w:w="645" w:type="pct"/>
                  <w:vMerge w:val="continue"/>
                  <w:tcBorders>
                    <w:tl2br w:val="nil"/>
                    <w:tr2bl w:val="nil"/>
                  </w:tcBorders>
                  <w:vAlign w:val="center"/>
                </w:tcPr>
                <w:p>
                  <w:pPr>
                    <w:jc w:val="center"/>
                    <w:rPr>
                      <w:rFonts w:ascii="Times New Roman" w:hAnsi="Times New Roman"/>
                      <w:color w:val="auto"/>
                      <w:szCs w:val="21"/>
                    </w:rPr>
                  </w:pPr>
                </w:p>
              </w:tc>
              <w:tc>
                <w:tcPr>
                  <w:tcW w:w="378" w:type="pct"/>
                  <w:vMerge w:val="continue"/>
                  <w:tcBorders>
                    <w:tl2br w:val="nil"/>
                    <w:tr2bl w:val="nil"/>
                  </w:tcBorders>
                  <w:vAlign w:val="center"/>
                </w:tcPr>
                <w:p>
                  <w:pPr>
                    <w:jc w:val="center"/>
                    <w:rPr>
                      <w:rFonts w:ascii="Times New Roman" w:hAnsi="Times New Roman"/>
                      <w:color w:val="auto"/>
                      <w:szCs w:val="21"/>
                    </w:rPr>
                  </w:pPr>
                </w:p>
              </w:tc>
              <w:tc>
                <w:tcPr>
                  <w:tcW w:w="924" w:type="pct"/>
                  <w:vMerge w:val="continue"/>
                  <w:tcBorders>
                    <w:tl2br w:val="nil"/>
                    <w:tr2bl w:val="nil"/>
                  </w:tcBorders>
                  <w:vAlign w:val="center"/>
                </w:tcPr>
                <w:p>
                  <w:pPr>
                    <w:jc w:val="center"/>
                    <w:rPr>
                      <w:rFonts w:ascii="Times New Roman" w:hAnsi="Times New Roman"/>
                      <w:color w:val="auto"/>
                      <w:szCs w:val="21"/>
                    </w:rPr>
                  </w:pPr>
                </w:p>
              </w:tc>
              <w:tc>
                <w:tcPr>
                  <w:tcW w:w="359" w:type="pct"/>
                  <w:vMerge w:val="continue"/>
                  <w:tcBorders>
                    <w:tl2br w:val="nil"/>
                    <w:tr2bl w:val="nil"/>
                  </w:tcBorders>
                  <w:vAlign w:val="center"/>
                </w:tcPr>
                <w:p>
                  <w:pPr>
                    <w:jc w:val="center"/>
                    <w:rPr>
                      <w:rFonts w:ascii="Times New Roman" w:hAnsi="Times New Roman"/>
                      <w:color w:val="auto"/>
                      <w:szCs w:val="21"/>
                    </w:rPr>
                  </w:pPr>
                </w:p>
              </w:tc>
              <w:tc>
                <w:tcPr>
                  <w:tcW w:w="421" w:type="pct"/>
                  <w:vMerge w:val="continue"/>
                  <w:tcBorders>
                    <w:tl2br w:val="nil"/>
                    <w:tr2bl w:val="nil"/>
                  </w:tcBorders>
                  <w:vAlign w:val="center"/>
                </w:tcPr>
                <w:p>
                  <w:pPr>
                    <w:jc w:val="center"/>
                    <w:rPr>
                      <w:rFonts w:ascii="Times New Roman" w:hAnsi="Times New Roman"/>
                      <w:color w:val="auto"/>
                      <w:szCs w:val="21"/>
                    </w:rPr>
                  </w:pPr>
                </w:p>
              </w:tc>
              <w:tc>
                <w:tcPr>
                  <w:tcW w:w="925"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BOD</w:t>
                  </w:r>
                  <w:r>
                    <w:rPr>
                      <w:rFonts w:ascii="Times New Roman" w:hAnsi="Times New Roman"/>
                      <w:color w:val="auto"/>
                      <w:szCs w:val="21"/>
                      <w:vertAlign w:val="subscript"/>
                    </w:rPr>
                    <w:t>5</w:t>
                  </w:r>
                </w:p>
              </w:tc>
              <w:tc>
                <w:tcPr>
                  <w:tcW w:w="739"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37" w:type="pct"/>
                  <w:vMerge w:val="continue"/>
                  <w:tcBorders>
                    <w:tl2br w:val="nil"/>
                    <w:tr2bl w:val="nil"/>
                  </w:tcBorders>
                  <w:vAlign w:val="center"/>
                </w:tcPr>
                <w:p>
                  <w:pPr>
                    <w:jc w:val="center"/>
                    <w:rPr>
                      <w:rFonts w:ascii="Times New Roman" w:hAnsi="Times New Roman"/>
                      <w:color w:val="auto"/>
                      <w:szCs w:val="21"/>
                    </w:rPr>
                  </w:pPr>
                </w:p>
              </w:tc>
              <w:tc>
                <w:tcPr>
                  <w:tcW w:w="527" w:type="pct"/>
                  <w:vMerge w:val="continue"/>
                  <w:tcBorders>
                    <w:tl2br w:val="nil"/>
                    <w:tr2bl w:val="nil"/>
                  </w:tcBorders>
                  <w:vAlign w:val="center"/>
                </w:tcPr>
                <w:p>
                  <w:pPr>
                    <w:jc w:val="center"/>
                    <w:rPr>
                      <w:rFonts w:ascii="Times New Roman" w:hAnsi="Times New Roman"/>
                      <w:color w:val="auto"/>
                      <w:szCs w:val="21"/>
                    </w:rPr>
                  </w:pPr>
                </w:p>
              </w:tc>
              <w:tc>
                <w:tcPr>
                  <w:tcW w:w="459" w:type="pct"/>
                  <w:vMerge w:val="continue"/>
                  <w:tcBorders>
                    <w:tl2br w:val="nil"/>
                    <w:tr2bl w:val="nil"/>
                  </w:tcBorders>
                  <w:vAlign w:val="center"/>
                </w:tcPr>
                <w:p>
                  <w:pPr>
                    <w:jc w:val="center"/>
                    <w:rPr>
                      <w:rFonts w:ascii="Times New Roman" w:hAnsi="Times New Roman"/>
                      <w:color w:val="auto"/>
                      <w:szCs w:val="21"/>
                    </w:rPr>
                  </w:pPr>
                </w:p>
              </w:tc>
              <w:tc>
                <w:tcPr>
                  <w:tcW w:w="645" w:type="pct"/>
                  <w:vMerge w:val="continue"/>
                  <w:tcBorders>
                    <w:tl2br w:val="nil"/>
                    <w:tr2bl w:val="nil"/>
                  </w:tcBorders>
                  <w:vAlign w:val="center"/>
                </w:tcPr>
                <w:p>
                  <w:pPr>
                    <w:jc w:val="center"/>
                    <w:rPr>
                      <w:rFonts w:ascii="Times New Roman" w:hAnsi="Times New Roman"/>
                      <w:color w:val="auto"/>
                      <w:szCs w:val="21"/>
                    </w:rPr>
                  </w:pPr>
                </w:p>
              </w:tc>
              <w:tc>
                <w:tcPr>
                  <w:tcW w:w="378" w:type="pct"/>
                  <w:vMerge w:val="continue"/>
                  <w:tcBorders>
                    <w:tl2br w:val="nil"/>
                    <w:tr2bl w:val="nil"/>
                  </w:tcBorders>
                  <w:vAlign w:val="center"/>
                </w:tcPr>
                <w:p>
                  <w:pPr>
                    <w:jc w:val="center"/>
                    <w:rPr>
                      <w:rFonts w:ascii="Times New Roman" w:hAnsi="Times New Roman"/>
                      <w:color w:val="auto"/>
                      <w:szCs w:val="21"/>
                    </w:rPr>
                  </w:pPr>
                </w:p>
              </w:tc>
              <w:tc>
                <w:tcPr>
                  <w:tcW w:w="924" w:type="pct"/>
                  <w:vMerge w:val="continue"/>
                  <w:tcBorders>
                    <w:tl2br w:val="nil"/>
                    <w:tr2bl w:val="nil"/>
                  </w:tcBorders>
                  <w:vAlign w:val="center"/>
                </w:tcPr>
                <w:p>
                  <w:pPr>
                    <w:jc w:val="center"/>
                    <w:rPr>
                      <w:rFonts w:ascii="Times New Roman" w:hAnsi="Times New Roman"/>
                      <w:color w:val="auto"/>
                      <w:szCs w:val="21"/>
                    </w:rPr>
                  </w:pPr>
                </w:p>
              </w:tc>
              <w:tc>
                <w:tcPr>
                  <w:tcW w:w="359" w:type="pct"/>
                  <w:vMerge w:val="continue"/>
                  <w:tcBorders>
                    <w:tl2br w:val="nil"/>
                    <w:tr2bl w:val="nil"/>
                  </w:tcBorders>
                  <w:vAlign w:val="center"/>
                </w:tcPr>
                <w:p>
                  <w:pPr>
                    <w:jc w:val="center"/>
                    <w:rPr>
                      <w:rFonts w:ascii="Times New Roman" w:hAnsi="Times New Roman"/>
                      <w:color w:val="auto"/>
                      <w:szCs w:val="21"/>
                    </w:rPr>
                  </w:pPr>
                </w:p>
              </w:tc>
              <w:tc>
                <w:tcPr>
                  <w:tcW w:w="421" w:type="pct"/>
                  <w:vMerge w:val="continue"/>
                  <w:tcBorders>
                    <w:tl2br w:val="nil"/>
                    <w:tr2bl w:val="nil"/>
                  </w:tcBorders>
                  <w:vAlign w:val="center"/>
                </w:tcPr>
                <w:p>
                  <w:pPr>
                    <w:jc w:val="center"/>
                    <w:rPr>
                      <w:rFonts w:ascii="Times New Roman" w:hAnsi="Times New Roman"/>
                      <w:color w:val="auto"/>
                      <w:szCs w:val="21"/>
                    </w:rPr>
                  </w:pPr>
                </w:p>
              </w:tc>
              <w:tc>
                <w:tcPr>
                  <w:tcW w:w="925"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p>
              </w:tc>
              <w:tc>
                <w:tcPr>
                  <w:tcW w:w="739"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37" w:type="pct"/>
                  <w:vMerge w:val="continue"/>
                  <w:tcBorders>
                    <w:tl2br w:val="nil"/>
                    <w:tr2bl w:val="nil"/>
                  </w:tcBorders>
                  <w:vAlign w:val="center"/>
                </w:tcPr>
                <w:p>
                  <w:pPr>
                    <w:jc w:val="center"/>
                    <w:rPr>
                      <w:rFonts w:ascii="Times New Roman" w:hAnsi="Times New Roman"/>
                      <w:color w:val="auto"/>
                      <w:szCs w:val="21"/>
                    </w:rPr>
                  </w:pPr>
                </w:p>
              </w:tc>
              <w:tc>
                <w:tcPr>
                  <w:tcW w:w="527" w:type="pct"/>
                  <w:vMerge w:val="continue"/>
                  <w:tcBorders>
                    <w:tl2br w:val="nil"/>
                    <w:tr2bl w:val="nil"/>
                  </w:tcBorders>
                  <w:vAlign w:val="center"/>
                </w:tcPr>
                <w:p>
                  <w:pPr>
                    <w:jc w:val="center"/>
                    <w:rPr>
                      <w:rFonts w:ascii="Times New Roman" w:hAnsi="Times New Roman"/>
                      <w:color w:val="auto"/>
                      <w:szCs w:val="21"/>
                    </w:rPr>
                  </w:pPr>
                </w:p>
              </w:tc>
              <w:tc>
                <w:tcPr>
                  <w:tcW w:w="459" w:type="pct"/>
                  <w:vMerge w:val="continue"/>
                  <w:tcBorders>
                    <w:tl2br w:val="nil"/>
                    <w:tr2bl w:val="nil"/>
                  </w:tcBorders>
                  <w:vAlign w:val="center"/>
                </w:tcPr>
                <w:p>
                  <w:pPr>
                    <w:jc w:val="center"/>
                    <w:rPr>
                      <w:rFonts w:ascii="Times New Roman" w:hAnsi="Times New Roman"/>
                      <w:color w:val="auto"/>
                      <w:szCs w:val="21"/>
                    </w:rPr>
                  </w:pPr>
                </w:p>
              </w:tc>
              <w:tc>
                <w:tcPr>
                  <w:tcW w:w="645" w:type="pct"/>
                  <w:vMerge w:val="continue"/>
                  <w:tcBorders>
                    <w:tl2br w:val="nil"/>
                    <w:tr2bl w:val="nil"/>
                  </w:tcBorders>
                  <w:vAlign w:val="center"/>
                </w:tcPr>
                <w:p>
                  <w:pPr>
                    <w:jc w:val="center"/>
                    <w:rPr>
                      <w:rFonts w:ascii="Times New Roman" w:hAnsi="Times New Roman"/>
                      <w:color w:val="auto"/>
                      <w:szCs w:val="21"/>
                    </w:rPr>
                  </w:pPr>
                </w:p>
              </w:tc>
              <w:tc>
                <w:tcPr>
                  <w:tcW w:w="378" w:type="pct"/>
                  <w:vMerge w:val="continue"/>
                  <w:tcBorders>
                    <w:tl2br w:val="nil"/>
                    <w:tr2bl w:val="nil"/>
                  </w:tcBorders>
                  <w:vAlign w:val="center"/>
                </w:tcPr>
                <w:p>
                  <w:pPr>
                    <w:jc w:val="center"/>
                    <w:rPr>
                      <w:rFonts w:ascii="Times New Roman" w:hAnsi="Times New Roman"/>
                      <w:color w:val="auto"/>
                      <w:szCs w:val="21"/>
                    </w:rPr>
                  </w:pPr>
                </w:p>
              </w:tc>
              <w:tc>
                <w:tcPr>
                  <w:tcW w:w="924" w:type="pct"/>
                  <w:vMerge w:val="continue"/>
                  <w:tcBorders>
                    <w:tl2br w:val="nil"/>
                    <w:tr2bl w:val="nil"/>
                  </w:tcBorders>
                  <w:vAlign w:val="center"/>
                </w:tcPr>
                <w:p>
                  <w:pPr>
                    <w:jc w:val="center"/>
                    <w:rPr>
                      <w:rFonts w:ascii="Times New Roman" w:hAnsi="Times New Roman"/>
                      <w:color w:val="auto"/>
                      <w:szCs w:val="21"/>
                    </w:rPr>
                  </w:pPr>
                </w:p>
              </w:tc>
              <w:tc>
                <w:tcPr>
                  <w:tcW w:w="359" w:type="pct"/>
                  <w:vMerge w:val="continue"/>
                  <w:tcBorders>
                    <w:tl2br w:val="nil"/>
                    <w:tr2bl w:val="nil"/>
                  </w:tcBorders>
                  <w:vAlign w:val="center"/>
                </w:tcPr>
                <w:p>
                  <w:pPr>
                    <w:jc w:val="center"/>
                    <w:rPr>
                      <w:rFonts w:ascii="Times New Roman" w:hAnsi="Times New Roman"/>
                      <w:color w:val="auto"/>
                      <w:szCs w:val="21"/>
                    </w:rPr>
                  </w:pPr>
                </w:p>
              </w:tc>
              <w:tc>
                <w:tcPr>
                  <w:tcW w:w="421" w:type="pct"/>
                  <w:vMerge w:val="continue"/>
                  <w:tcBorders>
                    <w:tl2br w:val="nil"/>
                    <w:tr2bl w:val="nil"/>
                  </w:tcBorders>
                  <w:vAlign w:val="center"/>
                </w:tcPr>
                <w:p>
                  <w:pPr>
                    <w:jc w:val="center"/>
                    <w:rPr>
                      <w:rFonts w:ascii="Times New Roman" w:hAnsi="Times New Roman"/>
                      <w:color w:val="auto"/>
                      <w:szCs w:val="21"/>
                    </w:rPr>
                  </w:pPr>
                </w:p>
              </w:tc>
              <w:tc>
                <w:tcPr>
                  <w:tcW w:w="925"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SS</w:t>
                  </w:r>
                </w:p>
              </w:tc>
              <w:tc>
                <w:tcPr>
                  <w:tcW w:w="739"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37" w:type="pct"/>
                  <w:vMerge w:val="continue"/>
                  <w:tcBorders>
                    <w:tl2br w:val="nil"/>
                    <w:tr2bl w:val="nil"/>
                  </w:tcBorders>
                  <w:vAlign w:val="center"/>
                </w:tcPr>
                <w:p>
                  <w:pPr>
                    <w:jc w:val="center"/>
                    <w:rPr>
                      <w:rFonts w:ascii="Times New Roman" w:hAnsi="Times New Roman"/>
                      <w:color w:val="auto"/>
                      <w:szCs w:val="21"/>
                    </w:rPr>
                  </w:pPr>
                </w:p>
              </w:tc>
              <w:tc>
                <w:tcPr>
                  <w:tcW w:w="527" w:type="pct"/>
                  <w:vMerge w:val="continue"/>
                  <w:tcBorders>
                    <w:tl2br w:val="nil"/>
                    <w:tr2bl w:val="nil"/>
                  </w:tcBorders>
                  <w:vAlign w:val="center"/>
                </w:tcPr>
                <w:p>
                  <w:pPr>
                    <w:jc w:val="center"/>
                    <w:rPr>
                      <w:rFonts w:ascii="Times New Roman" w:hAnsi="Times New Roman"/>
                      <w:color w:val="auto"/>
                      <w:szCs w:val="21"/>
                    </w:rPr>
                  </w:pPr>
                </w:p>
              </w:tc>
              <w:tc>
                <w:tcPr>
                  <w:tcW w:w="459" w:type="pct"/>
                  <w:vMerge w:val="continue"/>
                  <w:tcBorders>
                    <w:tl2br w:val="nil"/>
                    <w:tr2bl w:val="nil"/>
                  </w:tcBorders>
                  <w:vAlign w:val="center"/>
                </w:tcPr>
                <w:p>
                  <w:pPr>
                    <w:jc w:val="center"/>
                    <w:rPr>
                      <w:rFonts w:ascii="Times New Roman" w:hAnsi="Times New Roman"/>
                      <w:color w:val="auto"/>
                      <w:szCs w:val="21"/>
                    </w:rPr>
                  </w:pPr>
                </w:p>
              </w:tc>
              <w:tc>
                <w:tcPr>
                  <w:tcW w:w="645" w:type="pct"/>
                  <w:vMerge w:val="continue"/>
                  <w:tcBorders>
                    <w:tl2br w:val="nil"/>
                    <w:tr2bl w:val="nil"/>
                  </w:tcBorders>
                  <w:vAlign w:val="center"/>
                </w:tcPr>
                <w:p>
                  <w:pPr>
                    <w:jc w:val="center"/>
                    <w:rPr>
                      <w:rFonts w:ascii="Times New Roman" w:hAnsi="Times New Roman"/>
                      <w:color w:val="auto"/>
                      <w:szCs w:val="21"/>
                    </w:rPr>
                  </w:pPr>
                </w:p>
              </w:tc>
              <w:tc>
                <w:tcPr>
                  <w:tcW w:w="378" w:type="pct"/>
                  <w:vMerge w:val="continue"/>
                  <w:tcBorders>
                    <w:tl2br w:val="nil"/>
                    <w:tr2bl w:val="nil"/>
                  </w:tcBorders>
                  <w:vAlign w:val="center"/>
                </w:tcPr>
                <w:p>
                  <w:pPr>
                    <w:jc w:val="center"/>
                    <w:rPr>
                      <w:rFonts w:ascii="Times New Roman" w:hAnsi="Times New Roman"/>
                      <w:color w:val="auto"/>
                      <w:szCs w:val="21"/>
                    </w:rPr>
                  </w:pPr>
                </w:p>
              </w:tc>
              <w:tc>
                <w:tcPr>
                  <w:tcW w:w="924" w:type="pct"/>
                  <w:vMerge w:val="continue"/>
                  <w:tcBorders>
                    <w:tl2br w:val="nil"/>
                    <w:tr2bl w:val="nil"/>
                  </w:tcBorders>
                  <w:vAlign w:val="center"/>
                </w:tcPr>
                <w:p>
                  <w:pPr>
                    <w:jc w:val="center"/>
                    <w:rPr>
                      <w:rFonts w:ascii="Times New Roman" w:hAnsi="Times New Roman"/>
                      <w:color w:val="auto"/>
                      <w:szCs w:val="21"/>
                    </w:rPr>
                  </w:pPr>
                </w:p>
              </w:tc>
              <w:tc>
                <w:tcPr>
                  <w:tcW w:w="359" w:type="pct"/>
                  <w:vMerge w:val="continue"/>
                  <w:tcBorders>
                    <w:tl2br w:val="nil"/>
                    <w:tr2bl w:val="nil"/>
                  </w:tcBorders>
                  <w:vAlign w:val="center"/>
                </w:tcPr>
                <w:p>
                  <w:pPr>
                    <w:jc w:val="center"/>
                    <w:rPr>
                      <w:rFonts w:ascii="Times New Roman" w:hAnsi="Times New Roman"/>
                      <w:color w:val="auto"/>
                      <w:szCs w:val="21"/>
                    </w:rPr>
                  </w:pPr>
                </w:p>
              </w:tc>
              <w:tc>
                <w:tcPr>
                  <w:tcW w:w="421" w:type="pct"/>
                  <w:vMerge w:val="continue"/>
                  <w:tcBorders>
                    <w:tl2br w:val="nil"/>
                    <w:tr2bl w:val="nil"/>
                  </w:tcBorders>
                  <w:vAlign w:val="center"/>
                </w:tcPr>
                <w:p>
                  <w:pPr>
                    <w:jc w:val="center"/>
                    <w:rPr>
                      <w:rFonts w:ascii="Times New Roman" w:hAnsi="Times New Roman"/>
                      <w:color w:val="auto"/>
                      <w:szCs w:val="21"/>
                    </w:rPr>
                  </w:pPr>
                </w:p>
              </w:tc>
              <w:tc>
                <w:tcPr>
                  <w:tcW w:w="925"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石油类</w:t>
                  </w:r>
                </w:p>
              </w:tc>
              <w:tc>
                <w:tcPr>
                  <w:tcW w:w="739" w:type="dxa"/>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1</w:t>
                  </w:r>
                </w:p>
              </w:tc>
            </w:tr>
          </w:tbl>
          <w:p>
            <w:pPr>
              <w:jc w:val="center"/>
              <w:rPr>
                <w:rFonts w:ascii="Times New Roman" w:hAnsi="Times New Roman"/>
                <w:b/>
                <w:bCs/>
                <w:color w:val="auto"/>
                <w:szCs w:val="21"/>
              </w:rPr>
            </w:pPr>
            <w:r>
              <w:rPr>
                <w:rFonts w:ascii="Times New Roman" w:hAnsi="Times New Roman"/>
                <w:b/>
                <w:bCs/>
                <w:color w:val="auto"/>
                <w:szCs w:val="21"/>
              </w:rPr>
              <w:t>表4</w:t>
            </w:r>
            <w:r>
              <w:rPr>
                <w:rFonts w:hint="eastAsia" w:ascii="Times New Roman" w:hAnsi="Times New Roman"/>
                <w:b/>
                <w:bCs/>
                <w:color w:val="auto"/>
                <w:szCs w:val="21"/>
              </w:rPr>
              <w:t>-</w:t>
            </w:r>
            <w:r>
              <w:rPr>
                <w:rFonts w:hint="eastAsia" w:ascii="Times New Roman" w:hAnsi="Times New Roman"/>
                <w:b/>
                <w:bCs/>
                <w:color w:val="auto"/>
                <w:szCs w:val="21"/>
                <w:lang w:val="en-US" w:eastAsia="zh-CN"/>
              </w:rPr>
              <w:t>8</w:t>
            </w:r>
            <w:r>
              <w:rPr>
                <w:rFonts w:ascii="Times New Roman" w:hAnsi="Times New Roman"/>
                <w:b/>
                <w:bCs/>
                <w:color w:val="auto"/>
                <w:szCs w:val="21"/>
              </w:rPr>
              <w:t xml:space="preserve">  </w:t>
            </w:r>
            <w:r>
              <w:rPr>
                <w:rFonts w:hint="eastAsia" w:ascii="Times New Roman" w:hAnsi="Times New Roman"/>
                <w:b/>
                <w:bCs/>
                <w:color w:val="auto"/>
                <w:szCs w:val="21"/>
              </w:rPr>
              <w:t>废水污染物排放执行标准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779"/>
              <w:gridCol w:w="2056"/>
              <w:gridCol w:w="2230"/>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2"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序号</w:t>
                  </w:r>
                </w:p>
              </w:tc>
              <w:tc>
                <w:tcPr>
                  <w:tcW w:w="1013"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排放口编号</w:t>
                  </w:r>
                </w:p>
              </w:tc>
              <w:tc>
                <w:tcPr>
                  <w:tcW w:w="1171" w:type="pct"/>
                  <w:vMerge w:val="restar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污染物种类</w:t>
                  </w:r>
                </w:p>
              </w:tc>
              <w:tc>
                <w:tcPr>
                  <w:tcW w:w="2272" w:type="pct"/>
                  <w:gridSpan w:val="2"/>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Merge w:val="continue"/>
                  <w:tcBorders>
                    <w:tl2br w:val="nil"/>
                    <w:tr2bl w:val="nil"/>
                  </w:tcBorders>
                  <w:vAlign w:val="center"/>
                </w:tcPr>
                <w:p>
                  <w:pPr>
                    <w:jc w:val="center"/>
                    <w:rPr>
                      <w:rFonts w:ascii="Times New Roman" w:hAnsi="Times New Roman"/>
                      <w:b/>
                      <w:color w:val="auto"/>
                      <w:szCs w:val="21"/>
                    </w:rPr>
                  </w:pPr>
                </w:p>
              </w:tc>
              <w:tc>
                <w:tcPr>
                  <w:tcW w:w="1013" w:type="pct"/>
                  <w:vMerge w:val="continue"/>
                  <w:tcBorders>
                    <w:tl2br w:val="nil"/>
                    <w:tr2bl w:val="nil"/>
                  </w:tcBorders>
                  <w:vAlign w:val="center"/>
                </w:tcPr>
                <w:p>
                  <w:pPr>
                    <w:jc w:val="center"/>
                    <w:rPr>
                      <w:rFonts w:ascii="Times New Roman" w:hAnsi="Times New Roman"/>
                      <w:b/>
                      <w:color w:val="auto"/>
                      <w:szCs w:val="21"/>
                    </w:rPr>
                  </w:pPr>
                </w:p>
              </w:tc>
              <w:tc>
                <w:tcPr>
                  <w:tcW w:w="1171" w:type="pct"/>
                  <w:vMerge w:val="continue"/>
                  <w:tcBorders>
                    <w:tl2br w:val="nil"/>
                    <w:tr2bl w:val="nil"/>
                  </w:tcBorders>
                  <w:vAlign w:val="center"/>
                </w:tcPr>
                <w:p>
                  <w:pPr>
                    <w:jc w:val="center"/>
                    <w:rPr>
                      <w:rFonts w:ascii="Times New Roman" w:hAnsi="Times New Roman"/>
                      <w:b/>
                      <w:color w:val="auto"/>
                      <w:szCs w:val="21"/>
                    </w:rPr>
                  </w:pPr>
                </w:p>
              </w:tc>
              <w:tc>
                <w:tcPr>
                  <w:tcW w:w="1270"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名称</w:t>
                  </w:r>
                </w:p>
              </w:tc>
              <w:tc>
                <w:tcPr>
                  <w:tcW w:w="1000" w:type="pct"/>
                  <w:tcBorders>
                    <w:tl2br w:val="nil"/>
                    <w:tr2bl w:val="nil"/>
                  </w:tcBorders>
                  <w:vAlign w:val="center"/>
                </w:tcPr>
                <w:p>
                  <w:pPr>
                    <w:jc w:val="center"/>
                    <w:rPr>
                      <w:rFonts w:ascii="Times New Roman" w:hAnsi="Times New Roman"/>
                      <w:b/>
                      <w:color w:val="auto"/>
                      <w:szCs w:val="21"/>
                    </w:rPr>
                  </w:pPr>
                  <w:r>
                    <w:rPr>
                      <w:rFonts w:ascii="Times New Roman" w:hAnsi="Times New Roman"/>
                      <w:b/>
                      <w:color w:val="auto"/>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1</w:t>
                  </w:r>
                </w:p>
              </w:tc>
              <w:tc>
                <w:tcPr>
                  <w:tcW w:w="1013"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DW001</w:t>
                  </w:r>
                </w:p>
              </w:tc>
              <w:tc>
                <w:tcPr>
                  <w:tcW w:w="117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PH</w:t>
                  </w:r>
                </w:p>
              </w:tc>
              <w:tc>
                <w:tcPr>
                  <w:tcW w:w="1270"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《污水综合排放标准》（GB8978-1996）</w:t>
                  </w:r>
                  <w:r>
                    <w:rPr>
                      <w:rFonts w:ascii="Times New Roman" w:hAnsi="Times New Roman"/>
                      <w:color w:val="auto"/>
                      <w:kern w:val="0"/>
                      <w:szCs w:val="21"/>
                    </w:rPr>
                    <w:t>表4中三级标准</w:t>
                  </w:r>
                </w:p>
              </w:tc>
              <w:tc>
                <w:tcPr>
                  <w:tcW w:w="100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2" w:type="pct"/>
                  <w:vMerge w:val="continue"/>
                  <w:tcBorders>
                    <w:tl2br w:val="nil"/>
                    <w:tr2bl w:val="nil"/>
                  </w:tcBorders>
                  <w:vAlign w:val="center"/>
                </w:tcPr>
                <w:p>
                  <w:pPr>
                    <w:jc w:val="center"/>
                    <w:rPr>
                      <w:rFonts w:ascii="Times New Roman" w:hAnsi="Times New Roman"/>
                      <w:color w:val="auto"/>
                      <w:szCs w:val="21"/>
                    </w:rPr>
                  </w:pPr>
                </w:p>
              </w:tc>
              <w:tc>
                <w:tcPr>
                  <w:tcW w:w="1013" w:type="pct"/>
                  <w:vMerge w:val="continue"/>
                  <w:tcBorders>
                    <w:tl2br w:val="nil"/>
                    <w:tr2bl w:val="nil"/>
                  </w:tcBorders>
                  <w:vAlign w:val="center"/>
                </w:tcPr>
                <w:p>
                  <w:pPr>
                    <w:jc w:val="center"/>
                    <w:rPr>
                      <w:rFonts w:ascii="Times New Roman" w:hAnsi="Times New Roman"/>
                      <w:color w:val="auto"/>
                      <w:szCs w:val="21"/>
                    </w:rPr>
                  </w:pPr>
                </w:p>
              </w:tc>
              <w:tc>
                <w:tcPr>
                  <w:tcW w:w="117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COD</w:t>
                  </w:r>
                  <w:r>
                    <w:rPr>
                      <w:rFonts w:ascii="Times New Roman" w:hAnsi="Times New Roman"/>
                      <w:color w:val="auto"/>
                      <w:szCs w:val="21"/>
                      <w:vertAlign w:val="subscript"/>
                    </w:rPr>
                    <w:t>cr</w:t>
                  </w:r>
                </w:p>
              </w:tc>
              <w:tc>
                <w:tcPr>
                  <w:tcW w:w="1270" w:type="pct"/>
                  <w:vMerge w:val="continue"/>
                  <w:tcBorders>
                    <w:tl2br w:val="nil"/>
                    <w:tr2bl w:val="nil"/>
                  </w:tcBorders>
                  <w:vAlign w:val="center"/>
                </w:tcPr>
                <w:p>
                  <w:pPr>
                    <w:jc w:val="center"/>
                    <w:rPr>
                      <w:rFonts w:ascii="Times New Roman" w:hAnsi="Times New Roman"/>
                      <w:color w:val="auto"/>
                      <w:szCs w:val="21"/>
                    </w:rPr>
                  </w:pPr>
                </w:p>
              </w:tc>
              <w:tc>
                <w:tcPr>
                  <w:tcW w:w="100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2" w:type="pct"/>
                  <w:vMerge w:val="continue"/>
                  <w:tcBorders>
                    <w:tl2br w:val="nil"/>
                    <w:tr2bl w:val="nil"/>
                  </w:tcBorders>
                  <w:vAlign w:val="center"/>
                </w:tcPr>
                <w:p>
                  <w:pPr>
                    <w:jc w:val="center"/>
                    <w:rPr>
                      <w:rFonts w:ascii="Times New Roman" w:hAnsi="Times New Roman"/>
                      <w:color w:val="auto"/>
                      <w:szCs w:val="21"/>
                    </w:rPr>
                  </w:pPr>
                </w:p>
              </w:tc>
              <w:tc>
                <w:tcPr>
                  <w:tcW w:w="1013" w:type="pct"/>
                  <w:vMerge w:val="continue"/>
                  <w:tcBorders>
                    <w:tl2br w:val="nil"/>
                    <w:tr2bl w:val="nil"/>
                  </w:tcBorders>
                  <w:vAlign w:val="center"/>
                </w:tcPr>
                <w:p>
                  <w:pPr>
                    <w:jc w:val="center"/>
                    <w:rPr>
                      <w:rFonts w:ascii="Times New Roman" w:hAnsi="Times New Roman"/>
                      <w:color w:val="auto"/>
                      <w:szCs w:val="21"/>
                    </w:rPr>
                  </w:pPr>
                </w:p>
              </w:tc>
              <w:tc>
                <w:tcPr>
                  <w:tcW w:w="117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BOD</w:t>
                  </w:r>
                  <w:r>
                    <w:rPr>
                      <w:rFonts w:ascii="Times New Roman" w:hAnsi="Times New Roman"/>
                      <w:color w:val="auto"/>
                      <w:szCs w:val="21"/>
                      <w:vertAlign w:val="subscript"/>
                    </w:rPr>
                    <w:t>5</w:t>
                  </w:r>
                </w:p>
              </w:tc>
              <w:tc>
                <w:tcPr>
                  <w:tcW w:w="1270" w:type="pct"/>
                  <w:vMerge w:val="continue"/>
                  <w:tcBorders>
                    <w:tl2br w:val="nil"/>
                    <w:tr2bl w:val="nil"/>
                  </w:tcBorders>
                  <w:vAlign w:val="center"/>
                </w:tcPr>
                <w:p>
                  <w:pPr>
                    <w:jc w:val="center"/>
                    <w:rPr>
                      <w:rFonts w:ascii="Times New Roman" w:hAnsi="Times New Roman"/>
                      <w:color w:val="auto"/>
                      <w:szCs w:val="21"/>
                    </w:rPr>
                  </w:pPr>
                </w:p>
              </w:tc>
              <w:tc>
                <w:tcPr>
                  <w:tcW w:w="100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2" w:type="pct"/>
                  <w:vMerge w:val="continue"/>
                  <w:tcBorders>
                    <w:tl2br w:val="nil"/>
                    <w:tr2bl w:val="nil"/>
                  </w:tcBorders>
                  <w:vAlign w:val="center"/>
                </w:tcPr>
                <w:p>
                  <w:pPr>
                    <w:jc w:val="center"/>
                    <w:rPr>
                      <w:rFonts w:ascii="Times New Roman" w:hAnsi="Times New Roman"/>
                      <w:color w:val="auto"/>
                      <w:szCs w:val="21"/>
                    </w:rPr>
                  </w:pPr>
                </w:p>
              </w:tc>
              <w:tc>
                <w:tcPr>
                  <w:tcW w:w="1013" w:type="pct"/>
                  <w:vMerge w:val="continue"/>
                  <w:tcBorders>
                    <w:tl2br w:val="nil"/>
                    <w:tr2bl w:val="nil"/>
                  </w:tcBorders>
                  <w:vAlign w:val="center"/>
                </w:tcPr>
                <w:p>
                  <w:pPr>
                    <w:jc w:val="center"/>
                    <w:rPr>
                      <w:rFonts w:ascii="Times New Roman" w:hAnsi="Times New Roman"/>
                      <w:color w:val="auto"/>
                      <w:szCs w:val="21"/>
                    </w:rPr>
                  </w:pPr>
                </w:p>
              </w:tc>
              <w:tc>
                <w:tcPr>
                  <w:tcW w:w="117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p>
              </w:tc>
              <w:tc>
                <w:tcPr>
                  <w:tcW w:w="1270" w:type="pct"/>
                  <w:vMerge w:val="continue"/>
                  <w:tcBorders>
                    <w:tl2br w:val="nil"/>
                    <w:tr2bl w:val="nil"/>
                  </w:tcBorders>
                  <w:vAlign w:val="center"/>
                </w:tcPr>
                <w:p>
                  <w:pPr>
                    <w:jc w:val="center"/>
                    <w:rPr>
                      <w:rFonts w:ascii="Times New Roman" w:hAnsi="Times New Roman"/>
                      <w:color w:val="auto"/>
                      <w:szCs w:val="21"/>
                    </w:rPr>
                  </w:pPr>
                </w:p>
              </w:tc>
              <w:tc>
                <w:tcPr>
                  <w:tcW w:w="100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2" w:type="pct"/>
                  <w:vMerge w:val="continue"/>
                  <w:tcBorders>
                    <w:tl2br w:val="nil"/>
                    <w:tr2bl w:val="nil"/>
                  </w:tcBorders>
                  <w:vAlign w:val="center"/>
                </w:tcPr>
                <w:p>
                  <w:pPr>
                    <w:jc w:val="center"/>
                    <w:rPr>
                      <w:rFonts w:ascii="Times New Roman" w:hAnsi="Times New Roman"/>
                      <w:color w:val="auto"/>
                      <w:szCs w:val="21"/>
                    </w:rPr>
                  </w:pPr>
                </w:p>
              </w:tc>
              <w:tc>
                <w:tcPr>
                  <w:tcW w:w="1013" w:type="pct"/>
                  <w:vMerge w:val="continue"/>
                  <w:tcBorders>
                    <w:tl2br w:val="nil"/>
                    <w:tr2bl w:val="nil"/>
                  </w:tcBorders>
                  <w:vAlign w:val="center"/>
                </w:tcPr>
                <w:p>
                  <w:pPr>
                    <w:jc w:val="center"/>
                    <w:rPr>
                      <w:rFonts w:ascii="Times New Roman" w:hAnsi="Times New Roman"/>
                      <w:color w:val="auto"/>
                      <w:szCs w:val="21"/>
                    </w:rPr>
                  </w:pPr>
                </w:p>
              </w:tc>
              <w:tc>
                <w:tcPr>
                  <w:tcW w:w="117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SS</w:t>
                  </w:r>
                </w:p>
              </w:tc>
              <w:tc>
                <w:tcPr>
                  <w:tcW w:w="1270" w:type="pct"/>
                  <w:vMerge w:val="continue"/>
                  <w:tcBorders>
                    <w:tl2br w:val="nil"/>
                    <w:tr2bl w:val="nil"/>
                  </w:tcBorders>
                  <w:vAlign w:val="center"/>
                </w:tcPr>
                <w:p>
                  <w:pPr>
                    <w:jc w:val="center"/>
                    <w:rPr>
                      <w:rFonts w:ascii="Times New Roman" w:hAnsi="Times New Roman"/>
                      <w:color w:val="auto"/>
                      <w:szCs w:val="21"/>
                    </w:rPr>
                  </w:pPr>
                </w:p>
              </w:tc>
              <w:tc>
                <w:tcPr>
                  <w:tcW w:w="100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2" w:type="pct"/>
                  <w:vMerge w:val="continue"/>
                  <w:tcBorders>
                    <w:tl2br w:val="nil"/>
                    <w:tr2bl w:val="nil"/>
                  </w:tcBorders>
                  <w:vAlign w:val="center"/>
                </w:tcPr>
                <w:p>
                  <w:pPr>
                    <w:jc w:val="center"/>
                    <w:rPr>
                      <w:rFonts w:ascii="Times New Roman" w:hAnsi="Times New Roman"/>
                      <w:color w:val="auto"/>
                      <w:szCs w:val="21"/>
                    </w:rPr>
                  </w:pPr>
                </w:p>
              </w:tc>
              <w:tc>
                <w:tcPr>
                  <w:tcW w:w="1013" w:type="pct"/>
                  <w:vMerge w:val="continue"/>
                  <w:tcBorders>
                    <w:tl2br w:val="nil"/>
                    <w:tr2bl w:val="nil"/>
                  </w:tcBorders>
                  <w:vAlign w:val="center"/>
                </w:tcPr>
                <w:p>
                  <w:pPr>
                    <w:jc w:val="center"/>
                    <w:rPr>
                      <w:rFonts w:ascii="Times New Roman" w:hAnsi="Times New Roman"/>
                      <w:color w:val="auto"/>
                      <w:szCs w:val="21"/>
                    </w:rPr>
                  </w:pPr>
                </w:p>
              </w:tc>
              <w:tc>
                <w:tcPr>
                  <w:tcW w:w="117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石油类</w:t>
                  </w:r>
                </w:p>
              </w:tc>
              <w:tc>
                <w:tcPr>
                  <w:tcW w:w="1270" w:type="pct"/>
                  <w:vMerge w:val="continue"/>
                  <w:tcBorders>
                    <w:tl2br w:val="nil"/>
                    <w:tr2bl w:val="nil"/>
                  </w:tcBorders>
                  <w:vAlign w:val="center"/>
                </w:tcPr>
                <w:p>
                  <w:pPr>
                    <w:jc w:val="center"/>
                    <w:rPr>
                      <w:rFonts w:ascii="Times New Roman" w:hAnsi="Times New Roman"/>
                      <w:color w:val="auto"/>
                      <w:szCs w:val="21"/>
                    </w:rPr>
                  </w:pPr>
                </w:p>
              </w:tc>
              <w:tc>
                <w:tcPr>
                  <w:tcW w:w="1000"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20</w:t>
                  </w:r>
                </w:p>
              </w:tc>
            </w:tr>
          </w:tbl>
          <w:p>
            <w:pPr>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rPr>
              <w:t>（2）废水进入仙槎桥污水处理厂可行性分析</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仙槎桥镇建设污水处理厂位于园区西北方，占地面积约20亩，设计处理规模2万m</w:t>
            </w:r>
            <w:r>
              <w:rPr>
                <w:rFonts w:ascii="Times New Roman" w:hAnsi="Times New Roman"/>
                <w:color w:val="auto"/>
                <w:sz w:val="24"/>
                <w:u w:val="single"/>
                <w:vertAlign w:val="superscript"/>
              </w:rPr>
              <w:t>3</w:t>
            </w:r>
            <w:r>
              <w:rPr>
                <w:rFonts w:ascii="Times New Roman" w:hAnsi="Times New Roman"/>
                <w:color w:val="auto"/>
                <w:sz w:val="24"/>
                <w:u w:val="single"/>
              </w:rPr>
              <w:t>/d，</w:t>
            </w:r>
            <w:r>
              <w:rPr>
                <w:rFonts w:hint="default" w:ascii="Times New Roman" w:hAnsi="Times New Roman" w:cs="Times New Roman"/>
                <w:color w:val="auto"/>
                <w:sz w:val="24"/>
                <w:u w:val="single"/>
                <w:lang w:eastAsia="zh-CN"/>
              </w:rPr>
              <w:t>建设时间为</w:t>
            </w:r>
            <w:r>
              <w:rPr>
                <w:rFonts w:hint="default" w:ascii="Times New Roman" w:hAnsi="Times New Roman" w:cs="Times New Roman"/>
                <w:b w:val="0"/>
                <w:bCs w:val="0"/>
                <w:color w:val="auto"/>
                <w:sz w:val="24"/>
                <w:szCs w:val="28"/>
                <w:u w:val="single"/>
              </w:rPr>
              <w:t>201</w:t>
            </w:r>
            <w:r>
              <w:rPr>
                <w:rFonts w:hint="default" w:ascii="Times New Roman" w:hAnsi="Times New Roman" w:cs="Times New Roman"/>
                <w:b w:val="0"/>
                <w:bCs w:val="0"/>
                <w:color w:val="auto"/>
                <w:sz w:val="24"/>
                <w:szCs w:val="28"/>
                <w:u w:val="single"/>
                <w:lang w:val="en-US" w:eastAsia="zh-CN"/>
              </w:rPr>
              <w:t>8</w:t>
            </w:r>
            <w:r>
              <w:rPr>
                <w:rFonts w:hint="default" w:ascii="Times New Roman" w:hAnsi="Times New Roman" w:cs="Times New Roman"/>
                <w:b w:val="0"/>
                <w:bCs w:val="0"/>
                <w:color w:val="auto"/>
                <w:sz w:val="24"/>
                <w:szCs w:val="28"/>
                <w:u w:val="single"/>
              </w:rPr>
              <w:t>年9月动工，建设时间为12个月，</w:t>
            </w:r>
            <w:r>
              <w:rPr>
                <w:rFonts w:hint="default" w:ascii="Times New Roman" w:hAnsi="Times New Roman" w:cs="Times New Roman"/>
                <w:b w:val="0"/>
                <w:bCs w:val="0"/>
                <w:color w:val="auto"/>
                <w:sz w:val="24"/>
                <w:szCs w:val="28"/>
                <w:u w:val="single"/>
                <w:lang w:eastAsia="zh-CN"/>
              </w:rPr>
              <w:t>于</w:t>
            </w:r>
            <w:r>
              <w:rPr>
                <w:rFonts w:hint="default" w:ascii="Times New Roman" w:hAnsi="Times New Roman" w:cs="Times New Roman"/>
                <w:b w:val="0"/>
                <w:bCs w:val="0"/>
                <w:color w:val="auto"/>
                <w:sz w:val="24"/>
                <w:szCs w:val="28"/>
                <w:u w:val="single"/>
              </w:rPr>
              <w:t>201</w:t>
            </w:r>
            <w:r>
              <w:rPr>
                <w:rFonts w:hint="default" w:ascii="Times New Roman" w:hAnsi="Times New Roman" w:cs="Times New Roman"/>
                <w:b w:val="0"/>
                <w:bCs w:val="0"/>
                <w:color w:val="auto"/>
                <w:sz w:val="24"/>
                <w:szCs w:val="28"/>
                <w:u w:val="single"/>
                <w:lang w:val="en-US" w:eastAsia="zh-CN"/>
              </w:rPr>
              <w:t>9</w:t>
            </w:r>
            <w:r>
              <w:rPr>
                <w:rFonts w:hint="default" w:ascii="Times New Roman" w:hAnsi="Times New Roman" w:cs="Times New Roman"/>
                <w:b w:val="0"/>
                <w:bCs w:val="0"/>
                <w:color w:val="auto"/>
                <w:sz w:val="24"/>
                <w:szCs w:val="28"/>
                <w:u w:val="single"/>
              </w:rPr>
              <w:t>年8</w:t>
            </w:r>
            <w:r>
              <w:rPr>
                <w:rFonts w:hint="default" w:ascii="Times New Roman" w:hAnsi="Times New Roman" w:cs="Times New Roman"/>
                <w:b w:val="0"/>
                <w:bCs w:val="0"/>
                <w:color w:val="auto"/>
                <w:sz w:val="24"/>
                <w:szCs w:val="28"/>
                <w:u w:val="single"/>
                <w:lang w:val="en-US" w:eastAsia="zh-CN"/>
              </w:rPr>
              <w:t>月</w:t>
            </w:r>
            <w:r>
              <w:rPr>
                <w:rFonts w:hint="default" w:ascii="Times New Roman" w:hAnsi="Times New Roman" w:cs="Times New Roman"/>
                <w:b w:val="0"/>
                <w:bCs w:val="0"/>
                <w:color w:val="auto"/>
                <w:sz w:val="24"/>
                <w:szCs w:val="28"/>
                <w:u w:val="single"/>
              </w:rPr>
              <w:t>建成并投入使用</w:t>
            </w:r>
            <w:r>
              <w:rPr>
                <w:rFonts w:hint="eastAsia" w:ascii="Times New Roman" w:hAnsi="Times New Roman" w:cs="Times New Roman"/>
                <w:b w:val="0"/>
                <w:bCs w:val="0"/>
                <w:color w:val="auto"/>
                <w:sz w:val="24"/>
                <w:szCs w:val="28"/>
                <w:u w:val="single"/>
                <w:lang w:eastAsia="zh-CN"/>
              </w:rPr>
              <w:t>。</w:t>
            </w:r>
            <w:r>
              <w:rPr>
                <w:rFonts w:hint="eastAsia"/>
                <w:b w:val="0"/>
                <w:bCs w:val="0"/>
                <w:color w:val="auto"/>
                <w:sz w:val="24"/>
                <w:szCs w:val="28"/>
                <w:u w:val="single"/>
              </w:rPr>
              <w:t>污水处理厂工程项目选址于邵东县</w:t>
            </w:r>
            <w:r>
              <w:rPr>
                <w:rFonts w:hint="eastAsia"/>
                <w:b w:val="0"/>
                <w:bCs w:val="0"/>
                <w:color w:val="auto"/>
                <w:sz w:val="24"/>
                <w:szCs w:val="28"/>
                <w:u w:val="single"/>
                <w:lang w:eastAsia="zh-CN"/>
              </w:rPr>
              <w:t>仙槎桥镇清江村</w:t>
            </w:r>
            <w:r>
              <w:rPr>
                <w:rFonts w:hint="eastAsia"/>
                <w:b w:val="0"/>
                <w:bCs w:val="0"/>
                <w:color w:val="auto"/>
                <w:sz w:val="24"/>
                <w:szCs w:val="28"/>
                <w:u w:val="single"/>
              </w:rPr>
              <w:t>。收纳污水范围为</w:t>
            </w:r>
            <w:r>
              <w:rPr>
                <w:rFonts w:hint="eastAsia"/>
                <w:b w:val="0"/>
                <w:bCs w:val="0"/>
                <w:color w:val="auto"/>
                <w:sz w:val="24"/>
                <w:szCs w:val="28"/>
                <w:u w:val="single"/>
                <w:lang w:eastAsia="zh-CN"/>
              </w:rPr>
              <w:t>邵东县五金科技创新产业园及仙槎桥镇</w:t>
            </w:r>
            <w:r>
              <w:rPr>
                <w:rFonts w:hint="eastAsia"/>
                <w:b w:val="0"/>
                <w:bCs w:val="0"/>
                <w:color w:val="auto"/>
                <w:sz w:val="24"/>
                <w:szCs w:val="28"/>
                <w:u w:val="single"/>
                <w:lang w:val="en-US" w:eastAsia="zh-CN"/>
              </w:rPr>
              <w:t>建制镇</w:t>
            </w:r>
            <w:r>
              <w:rPr>
                <w:rFonts w:hint="eastAsia"/>
                <w:b w:val="0"/>
                <w:bCs w:val="0"/>
                <w:color w:val="auto"/>
                <w:sz w:val="24"/>
                <w:szCs w:val="28"/>
                <w:u w:val="single"/>
              </w:rPr>
              <w:t>范围</w:t>
            </w:r>
            <w:r>
              <w:rPr>
                <w:rFonts w:hint="eastAsia"/>
                <w:b w:val="0"/>
                <w:bCs w:val="0"/>
                <w:color w:val="auto"/>
                <w:sz w:val="24"/>
                <w:szCs w:val="28"/>
                <w:u w:val="single"/>
                <w:lang w:val="en-US" w:eastAsia="zh-CN"/>
              </w:rPr>
              <w:t>内的</w:t>
            </w:r>
            <w:r>
              <w:rPr>
                <w:rFonts w:hint="eastAsia"/>
                <w:b w:val="0"/>
                <w:bCs w:val="0"/>
                <w:color w:val="auto"/>
                <w:sz w:val="24"/>
                <w:szCs w:val="28"/>
                <w:u w:val="single"/>
              </w:rPr>
              <w:t>生活污水</w:t>
            </w:r>
            <w:r>
              <w:rPr>
                <w:rFonts w:hint="eastAsia"/>
                <w:b w:val="0"/>
                <w:bCs w:val="0"/>
                <w:color w:val="auto"/>
                <w:sz w:val="24"/>
                <w:szCs w:val="28"/>
                <w:u w:val="single"/>
                <w:lang w:eastAsia="zh-CN"/>
              </w:rPr>
              <w:t>，园区内管网均已铺设到位。</w:t>
            </w:r>
            <w:r>
              <w:rPr>
                <w:rFonts w:ascii="Times New Roman" w:hAnsi="Times New Roman"/>
                <w:color w:val="auto"/>
                <w:sz w:val="24"/>
                <w:u w:val="single"/>
              </w:rPr>
              <w:t>该厂采用A/O法处理，是一种活性污泥法的处理方法，即在好氧生物处理前加厌氧水解酸化工艺，使难以降解的有机物水解为高于生物降解的物质，CODcr去除一般在15~20%左右。好氧部分CODcr去除率一般在50~60%之间，BOD</w:t>
            </w:r>
            <w:r>
              <w:rPr>
                <w:rFonts w:ascii="Times New Roman" w:hAnsi="Times New Roman"/>
                <w:color w:val="auto"/>
                <w:sz w:val="24"/>
                <w:u w:val="single"/>
                <w:vertAlign w:val="subscript"/>
              </w:rPr>
              <w:t>5</w:t>
            </w:r>
            <w:r>
              <w:rPr>
                <w:rFonts w:ascii="Times New Roman" w:hAnsi="Times New Roman"/>
                <w:color w:val="auto"/>
                <w:sz w:val="24"/>
                <w:u w:val="single"/>
              </w:rPr>
              <w:t>去除率达到85%以上，生化出水再进行加药混凝沉淀处理至达标排放。进水水质要求：工业废水的CODcr应为500mg/L，BOD</w:t>
            </w:r>
            <w:r>
              <w:rPr>
                <w:rFonts w:ascii="Times New Roman" w:hAnsi="Times New Roman"/>
                <w:color w:val="auto"/>
                <w:sz w:val="24"/>
                <w:u w:val="single"/>
                <w:vertAlign w:val="subscript"/>
              </w:rPr>
              <w:t>5</w:t>
            </w:r>
            <w:r>
              <w:rPr>
                <w:rFonts w:ascii="Times New Roman" w:hAnsi="Times New Roman"/>
                <w:color w:val="auto"/>
                <w:sz w:val="24"/>
                <w:u w:val="single"/>
              </w:rPr>
              <w:t>100mg/L，SS400mg/L；生活污水可直接进入。处理后水质达到《城镇污水处理厂污染物排放标准》（GB18918-2002）一级A标准，即出水水质为COD</w:t>
            </w:r>
            <w:r>
              <w:rPr>
                <w:rFonts w:ascii="Times New Roman" w:hAnsi="Times New Roman"/>
                <w:color w:val="auto"/>
                <w:sz w:val="24"/>
                <w:u w:val="single"/>
                <w:vertAlign w:val="subscript"/>
              </w:rPr>
              <w:t>Cr</w:t>
            </w:r>
            <w:r>
              <w:rPr>
                <w:rFonts w:ascii="Times New Roman" w:hAnsi="Times New Roman"/>
                <w:color w:val="auto"/>
                <w:sz w:val="24"/>
                <w:u w:val="single"/>
              </w:rPr>
              <w:t>≤50mg/L，BOD</w:t>
            </w:r>
            <w:r>
              <w:rPr>
                <w:rFonts w:ascii="Times New Roman" w:hAnsi="Times New Roman"/>
                <w:color w:val="auto"/>
                <w:sz w:val="24"/>
                <w:u w:val="single"/>
                <w:vertAlign w:val="subscript"/>
              </w:rPr>
              <w:softHyphen/>
            </w:r>
            <w:r>
              <w:rPr>
                <w:rFonts w:ascii="Times New Roman" w:hAnsi="Times New Roman"/>
                <w:color w:val="auto"/>
                <w:sz w:val="24"/>
                <w:u w:val="single"/>
                <w:vertAlign w:val="subscript"/>
              </w:rPr>
              <w:t>5</w:t>
            </w:r>
            <w:r>
              <w:rPr>
                <w:rFonts w:ascii="Times New Roman" w:hAnsi="Times New Roman"/>
                <w:color w:val="auto"/>
                <w:sz w:val="24"/>
                <w:u w:val="single"/>
              </w:rPr>
              <w:t>≤10mg/L，SS≤10mg/L。</w:t>
            </w:r>
          </w:p>
          <w:p>
            <w:pPr>
              <w:spacing w:line="360" w:lineRule="auto"/>
              <w:ind w:firstLine="480" w:firstLineChars="200"/>
              <w:rPr>
                <w:rFonts w:ascii="Times New Roman" w:hAnsi="Times New Roman"/>
                <w:color w:val="auto"/>
                <w:sz w:val="24"/>
                <w:u w:val="single"/>
              </w:rPr>
            </w:pPr>
            <w:r>
              <w:rPr>
                <w:rFonts w:ascii="Times New Roman" w:hAnsi="Times New Roman"/>
                <w:color w:val="auto"/>
                <w:sz w:val="24"/>
                <w:u w:val="single"/>
              </w:rPr>
              <w:t>本项目废水量为</w:t>
            </w:r>
            <w:r>
              <w:rPr>
                <w:rFonts w:hint="eastAsia" w:ascii="Times New Roman" w:hAnsi="Times New Roman"/>
                <w:color w:val="auto"/>
                <w:sz w:val="24"/>
                <w:u w:val="single"/>
                <w:lang w:val="en-US" w:eastAsia="zh-CN"/>
              </w:rPr>
              <w:t>3.016</w:t>
            </w:r>
            <w:r>
              <w:rPr>
                <w:rFonts w:hint="eastAsia" w:ascii="Times New Roman" w:hAnsi="Times New Roman"/>
                <w:color w:val="auto"/>
                <w:sz w:val="24"/>
                <w:u w:val="single"/>
              </w:rPr>
              <w:t>m</w:t>
            </w:r>
            <w:r>
              <w:rPr>
                <w:rFonts w:hint="eastAsia" w:ascii="Times New Roman" w:hAnsi="Times New Roman"/>
                <w:color w:val="auto"/>
                <w:sz w:val="24"/>
                <w:u w:val="single"/>
                <w:vertAlign w:val="superscript"/>
              </w:rPr>
              <w:t>3</w:t>
            </w:r>
            <w:r>
              <w:rPr>
                <w:rFonts w:hint="eastAsia" w:ascii="Times New Roman" w:hAnsi="Times New Roman"/>
                <w:color w:val="auto"/>
                <w:sz w:val="24"/>
                <w:u w:val="single"/>
              </w:rPr>
              <w:t>/d</w:t>
            </w:r>
            <w:r>
              <w:rPr>
                <w:rFonts w:ascii="Times New Roman" w:hAnsi="Times New Roman"/>
                <w:color w:val="auto"/>
                <w:sz w:val="24"/>
                <w:u w:val="single"/>
              </w:rPr>
              <w:t>，仅占仙槎桥镇污水处理厂日污水处理量的</w:t>
            </w:r>
            <w:r>
              <w:rPr>
                <w:rFonts w:hint="eastAsia" w:ascii="Times New Roman" w:hAnsi="Times New Roman"/>
                <w:color w:val="auto"/>
                <w:sz w:val="24"/>
                <w:u w:val="single"/>
              </w:rPr>
              <w:t>0.0</w:t>
            </w:r>
            <w:r>
              <w:rPr>
                <w:rFonts w:hint="eastAsia" w:ascii="Times New Roman" w:hAnsi="Times New Roman"/>
                <w:color w:val="auto"/>
                <w:sz w:val="24"/>
                <w:u w:val="single"/>
                <w:lang w:val="en-US" w:eastAsia="zh-CN"/>
              </w:rPr>
              <w:t>0494</w:t>
            </w:r>
            <w:r>
              <w:rPr>
                <w:rFonts w:hint="eastAsia" w:ascii="Times New Roman" w:hAnsi="Times New Roman"/>
                <w:color w:val="auto"/>
                <w:sz w:val="24"/>
                <w:u w:val="single"/>
              </w:rPr>
              <w:t>%</w:t>
            </w:r>
            <w:r>
              <w:rPr>
                <w:rFonts w:ascii="Times New Roman" w:hAnsi="Times New Roman"/>
                <w:color w:val="auto"/>
                <w:sz w:val="24"/>
                <w:u w:val="single"/>
              </w:rPr>
              <w:t>，仙槎桥镇污水处理厂可完全接纳</w:t>
            </w:r>
            <w:r>
              <w:rPr>
                <w:rFonts w:hint="eastAsia" w:ascii="Times New Roman" w:hAnsi="Times New Roman"/>
                <w:color w:val="auto"/>
                <w:sz w:val="24"/>
                <w:u w:val="single"/>
              </w:rPr>
              <w:t>，且园区给排水管网已铺设完成，厂区生活污水经化粪池处理后可进入仙槎桥镇污水处理厂</w:t>
            </w:r>
            <w:r>
              <w:rPr>
                <w:rFonts w:ascii="Times New Roman" w:hAnsi="Times New Roman"/>
                <w:color w:val="auto"/>
                <w:sz w:val="24"/>
                <w:u w:val="single"/>
              </w:rPr>
              <w:t>。因此，本项目生活</w:t>
            </w:r>
            <w:r>
              <w:rPr>
                <w:rFonts w:hint="eastAsia" w:ascii="Times New Roman" w:hAnsi="Times New Roman"/>
                <w:color w:val="auto"/>
                <w:sz w:val="24"/>
                <w:u w:val="single"/>
              </w:rPr>
              <w:t>污水</w:t>
            </w:r>
            <w:r>
              <w:rPr>
                <w:rFonts w:ascii="Times New Roman" w:hAnsi="Times New Roman"/>
                <w:color w:val="auto"/>
                <w:sz w:val="24"/>
                <w:u w:val="single"/>
              </w:rPr>
              <w:t>对地表水环境的影响不大。</w:t>
            </w:r>
          </w:p>
          <w:p>
            <w:pPr>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rPr>
              <w:t>（3）</w:t>
            </w:r>
            <w:r>
              <w:rPr>
                <w:rFonts w:ascii="Times New Roman" w:hAnsi="Times New Roman"/>
                <w:b/>
                <w:bCs/>
                <w:color w:val="auto"/>
                <w:sz w:val="24"/>
              </w:rPr>
              <w:t>废水环境影响分析：</w:t>
            </w:r>
          </w:p>
          <w:p>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根据</w:t>
            </w:r>
            <w:r>
              <w:rPr>
                <w:rFonts w:hint="eastAsia" w:ascii="Times New Roman" w:hAnsi="Times New Roman"/>
                <w:color w:val="auto"/>
                <w:sz w:val="24"/>
              </w:rPr>
              <w:t>上表</w:t>
            </w:r>
            <w:r>
              <w:rPr>
                <w:rFonts w:ascii="Times New Roman" w:hAnsi="Times New Roman"/>
                <w:color w:val="auto"/>
                <w:sz w:val="24"/>
              </w:rPr>
              <w:t>可知，项目无生产废水，生活污水</w:t>
            </w:r>
            <w:r>
              <w:rPr>
                <w:rFonts w:hint="eastAsia" w:ascii="Times New Roman" w:hAnsi="Times New Roman"/>
                <w:color w:val="auto"/>
                <w:sz w:val="24"/>
              </w:rPr>
              <w:t>经化粪池处理后进入仙槎桥污水处理厂</w:t>
            </w:r>
            <w:r>
              <w:rPr>
                <w:rFonts w:ascii="Times New Roman" w:hAnsi="Times New Roman"/>
                <w:color w:val="auto"/>
                <w:sz w:val="24"/>
              </w:rPr>
              <w:t>，因此本项目运营期对水环境影响不大。</w:t>
            </w:r>
          </w:p>
          <w:p>
            <w:pPr>
              <w:autoSpaceDE w:val="0"/>
              <w:autoSpaceDN w:val="0"/>
              <w:adjustRightInd w:val="0"/>
              <w:snapToGrid w:val="0"/>
              <w:spacing w:line="360" w:lineRule="auto"/>
              <w:ind w:firstLine="482" w:firstLineChars="200"/>
              <w:jc w:val="left"/>
              <w:rPr>
                <w:rFonts w:ascii="Times New Roman" w:hAnsi="Times New Roman"/>
                <w:b/>
                <w:bCs/>
                <w:color w:val="auto"/>
                <w:sz w:val="24"/>
              </w:rPr>
            </w:pPr>
            <w:r>
              <w:rPr>
                <w:rFonts w:hint="eastAsia" w:ascii="Times New Roman" w:hAnsi="Times New Roman"/>
                <w:b/>
                <w:bCs/>
                <w:color w:val="auto"/>
                <w:sz w:val="24"/>
              </w:rPr>
              <w:t>（4）废水监测要求：</w:t>
            </w:r>
          </w:p>
          <w:p>
            <w:pPr>
              <w:autoSpaceDE w:val="0"/>
              <w:autoSpaceDN w:val="0"/>
              <w:adjustRightInd w:val="0"/>
              <w:snapToGrid w:val="0"/>
              <w:jc w:val="center"/>
              <w:rPr>
                <w:rFonts w:ascii="Times New Roman" w:hAnsi="Times New Roman"/>
                <w:bCs/>
                <w:snapToGrid w:val="0"/>
                <w:color w:val="auto"/>
                <w:sz w:val="24"/>
              </w:rPr>
            </w:pPr>
            <w:r>
              <w:rPr>
                <w:rFonts w:ascii="Times New Roman" w:hAnsi="Times New Roman"/>
                <w:b/>
                <w:snapToGrid w:val="0"/>
                <w:color w:val="auto"/>
                <w:szCs w:val="21"/>
              </w:rPr>
              <w:t>表4-</w:t>
            </w:r>
            <w:r>
              <w:rPr>
                <w:rFonts w:hint="eastAsia" w:ascii="Times New Roman" w:hAnsi="Times New Roman"/>
                <w:b/>
                <w:snapToGrid w:val="0"/>
                <w:color w:val="auto"/>
                <w:szCs w:val="21"/>
                <w:lang w:val="en-US" w:eastAsia="zh-CN"/>
              </w:rPr>
              <w:t>9</w:t>
            </w:r>
            <w:r>
              <w:rPr>
                <w:rFonts w:ascii="Times New Roman" w:hAnsi="Times New Roman"/>
                <w:b/>
                <w:snapToGrid w:val="0"/>
                <w:color w:val="auto"/>
                <w:szCs w:val="21"/>
              </w:rPr>
              <w:t xml:space="preserve">  废水污染源监测计划表</w:t>
            </w:r>
          </w:p>
          <w:tbl>
            <w:tblPr>
              <w:tblStyle w:val="26"/>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063"/>
              <w:gridCol w:w="1732"/>
              <w:gridCol w:w="824"/>
              <w:gridCol w:w="1312"/>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0"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rPr>
                  </w:pPr>
                  <w:r>
                    <w:rPr>
                      <w:rFonts w:ascii="Times New Roman" w:hAnsi="Times New Roman"/>
                      <w:b/>
                      <w:color w:val="auto"/>
                      <w:spacing w:val="-10"/>
                      <w:szCs w:val="21"/>
                    </w:rPr>
                    <w:t>类别</w:t>
                  </w:r>
                </w:p>
              </w:tc>
              <w:tc>
                <w:tcPr>
                  <w:tcW w:w="605"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rPr>
                  </w:pPr>
                  <w:r>
                    <w:rPr>
                      <w:rFonts w:ascii="Times New Roman" w:hAnsi="Times New Roman"/>
                      <w:b/>
                      <w:color w:val="auto"/>
                      <w:spacing w:val="-10"/>
                      <w:szCs w:val="21"/>
                    </w:rPr>
                    <w:t>污染源</w:t>
                  </w:r>
                </w:p>
              </w:tc>
              <w:tc>
                <w:tcPr>
                  <w:tcW w:w="986" w:type="pct"/>
                  <w:tcBorders>
                    <w:tl2br w:val="nil"/>
                    <w:tr2bl w:val="nil"/>
                  </w:tcBorders>
                  <w:vAlign w:val="center"/>
                </w:tcPr>
                <w:p>
                  <w:pPr>
                    <w:autoSpaceDE w:val="0"/>
                    <w:autoSpaceDN w:val="0"/>
                    <w:adjustRightInd w:val="0"/>
                    <w:snapToGrid w:val="0"/>
                    <w:jc w:val="center"/>
                    <w:rPr>
                      <w:rFonts w:ascii="Times New Roman" w:hAnsi="Times New Roman"/>
                      <w:b/>
                      <w:color w:val="auto"/>
                      <w:spacing w:val="-10"/>
                      <w:szCs w:val="21"/>
                    </w:rPr>
                  </w:pPr>
                  <w:r>
                    <w:rPr>
                      <w:rFonts w:ascii="Times New Roman" w:hAnsi="Times New Roman"/>
                      <w:b/>
                      <w:color w:val="auto"/>
                      <w:spacing w:val="-10"/>
                      <w:szCs w:val="21"/>
                    </w:rPr>
                    <w:t>监测因子</w:t>
                  </w:r>
                </w:p>
              </w:tc>
              <w:tc>
                <w:tcPr>
                  <w:tcW w:w="469" w:type="pct"/>
                  <w:tcBorders>
                    <w:tl2br w:val="nil"/>
                    <w:tr2bl w:val="nil"/>
                  </w:tcBorders>
                  <w:vAlign w:val="center"/>
                </w:tcPr>
                <w:p>
                  <w:pPr>
                    <w:autoSpaceDE w:val="0"/>
                    <w:autoSpaceDN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监测频次</w:t>
                  </w:r>
                </w:p>
              </w:tc>
              <w:tc>
                <w:tcPr>
                  <w:tcW w:w="747" w:type="pct"/>
                  <w:tcBorders>
                    <w:tl2br w:val="nil"/>
                    <w:tr2bl w:val="nil"/>
                  </w:tcBorders>
                  <w:vAlign w:val="center"/>
                </w:tcPr>
                <w:p>
                  <w:pPr>
                    <w:autoSpaceDE w:val="0"/>
                    <w:autoSpaceDN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监测位置</w:t>
                  </w:r>
                </w:p>
              </w:tc>
              <w:tc>
                <w:tcPr>
                  <w:tcW w:w="1810" w:type="pct"/>
                  <w:tcBorders>
                    <w:tl2br w:val="nil"/>
                    <w:tr2bl w:val="nil"/>
                  </w:tcBorders>
                  <w:vAlign w:val="center"/>
                </w:tcPr>
                <w:p>
                  <w:pPr>
                    <w:autoSpaceDE w:val="0"/>
                    <w:autoSpaceDN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0" w:type="pct"/>
                  <w:tcBorders>
                    <w:tl2br w:val="nil"/>
                    <w:tr2bl w:val="nil"/>
                  </w:tcBorders>
                  <w:vAlign w:val="center"/>
                </w:tcPr>
                <w:p>
                  <w:pPr>
                    <w:autoSpaceDE w:val="0"/>
                    <w:autoSpaceDN w:val="0"/>
                    <w:adjustRightInd w:val="0"/>
                    <w:snapToGrid w:val="0"/>
                    <w:jc w:val="center"/>
                    <w:rPr>
                      <w:rFonts w:ascii="Times New Roman" w:hAnsi="Times New Roman"/>
                      <w:bCs/>
                      <w:color w:val="auto"/>
                      <w:spacing w:val="-10"/>
                      <w:szCs w:val="21"/>
                    </w:rPr>
                  </w:pPr>
                  <w:r>
                    <w:rPr>
                      <w:rFonts w:ascii="Times New Roman" w:hAnsi="Times New Roman"/>
                      <w:bCs/>
                      <w:color w:val="auto"/>
                      <w:spacing w:val="-10"/>
                      <w:szCs w:val="21"/>
                    </w:rPr>
                    <w:t>废水</w:t>
                  </w:r>
                </w:p>
              </w:tc>
              <w:tc>
                <w:tcPr>
                  <w:tcW w:w="605" w:type="pct"/>
                  <w:tcBorders>
                    <w:tl2br w:val="nil"/>
                    <w:tr2bl w:val="nil"/>
                  </w:tcBorders>
                  <w:vAlign w:val="center"/>
                </w:tcPr>
                <w:p>
                  <w:pPr>
                    <w:autoSpaceDE w:val="0"/>
                    <w:autoSpaceDN w:val="0"/>
                    <w:adjustRightInd w:val="0"/>
                    <w:snapToGrid w:val="0"/>
                    <w:jc w:val="center"/>
                    <w:rPr>
                      <w:rFonts w:ascii="Times New Roman" w:hAnsi="Times New Roman"/>
                      <w:bCs/>
                      <w:color w:val="auto"/>
                      <w:spacing w:val="-10"/>
                      <w:szCs w:val="21"/>
                    </w:rPr>
                  </w:pPr>
                  <w:r>
                    <w:rPr>
                      <w:rFonts w:ascii="Times New Roman" w:hAnsi="Times New Roman"/>
                      <w:bCs/>
                      <w:color w:val="auto"/>
                      <w:spacing w:val="-10"/>
                      <w:szCs w:val="21"/>
                    </w:rPr>
                    <w:t>生活污水</w:t>
                  </w:r>
                </w:p>
              </w:tc>
              <w:tc>
                <w:tcPr>
                  <w:tcW w:w="986" w:type="pct"/>
                  <w:tcBorders>
                    <w:tl2br w:val="nil"/>
                    <w:tr2bl w:val="nil"/>
                  </w:tcBorders>
                  <w:vAlign w:val="center"/>
                </w:tcPr>
                <w:p>
                  <w:pPr>
                    <w:autoSpaceDE w:val="0"/>
                    <w:autoSpaceDN w:val="0"/>
                    <w:adjustRightInd w:val="0"/>
                    <w:snapToGrid w:val="0"/>
                    <w:jc w:val="center"/>
                    <w:rPr>
                      <w:rFonts w:ascii="Times New Roman" w:hAnsi="Times New Roman"/>
                      <w:color w:val="auto"/>
                      <w:szCs w:val="21"/>
                    </w:rPr>
                  </w:pPr>
                  <w:r>
                    <w:rPr>
                      <w:rFonts w:ascii="Times New Roman" w:hAnsi="Times New Roman"/>
                      <w:color w:val="auto"/>
                      <w:szCs w:val="21"/>
                    </w:rPr>
                    <w:t>COD、BOD</w:t>
                  </w:r>
                  <w:r>
                    <w:rPr>
                      <w:rFonts w:ascii="Times New Roman" w:hAnsi="Times New Roman"/>
                      <w:color w:val="auto"/>
                      <w:szCs w:val="21"/>
                      <w:vertAlign w:val="subscript"/>
                    </w:rPr>
                    <w:t>5</w:t>
                  </w: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-N、SS、</w:t>
                  </w:r>
                  <w:r>
                    <w:rPr>
                      <w:rFonts w:hint="eastAsia" w:ascii="Times New Roman" w:hAnsi="Times New Roman"/>
                      <w:color w:val="auto"/>
                      <w:szCs w:val="21"/>
                    </w:rPr>
                    <w:t>pH</w:t>
                  </w:r>
                </w:p>
                <w:p>
                  <w:pPr>
                    <w:autoSpaceDE w:val="0"/>
                    <w:autoSpaceDN w:val="0"/>
                    <w:adjustRightInd w:val="0"/>
                    <w:snapToGrid w:val="0"/>
                    <w:jc w:val="center"/>
                    <w:rPr>
                      <w:rFonts w:ascii="Times New Roman" w:hAnsi="Times New Roman"/>
                      <w:bCs/>
                      <w:color w:val="auto"/>
                      <w:spacing w:val="-10"/>
                      <w:szCs w:val="21"/>
                    </w:rPr>
                  </w:pPr>
                  <w:r>
                    <w:rPr>
                      <w:rFonts w:ascii="Times New Roman" w:hAnsi="Times New Roman"/>
                      <w:color w:val="auto"/>
                      <w:szCs w:val="21"/>
                    </w:rPr>
                    <w:t>石油类</w:t>
                  </w:r>
                </w:p>
              </w:tc>
              <w:tc>
                <w:tcPr>
                  <w:tcW w:w="469" w:type="pct"/>
                  <w:tcBorders>
                    <w:tl2br w:val="nil"/>
                    <w:tr2bl w:val="nil"/>
                  </w:tcBorders>
                  <w:vAlign w:val="center"/>
                </w:tcPr>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1次/年</w:t>
                  </w:r>
                </w:p>
              </w:tc>
              <w:tc>
                <w:tcPr>
                  <w:tcW w:w="747" w:type="pct"/>
                  <w:tcBorders>
                    <w:tl2br w:val="nil"/>
                    <w:tr2bl w:val="nil"/>
                  </w:tcBorders>
                  <w:vAlign w:val="center"/>
                </w:tcPr>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DW001 废水排放口</w:t>
                  </w:r>
                </w:p>
              </w:tc>
              <w:tc>
                <w:tcPr>
                  <w:tcW w:w="1810" w:type="pct"/>
                  <w:tcBorders>
                    <w:tl2br w:val="nil"/>
                    <w:tr2bl w:val="nil"/>
                  </w:tcBorders>
                  <w:vAlign w:val="center"/>
                </w:tcPr>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kern w:val="0"/>
                      <w:szCs w:val="21"/>
                    </w:rPr>
                    <w:t>《污水综合排放标准》（GB8978-1996）表4中三级标准</w:t>
                  </w:r>
                </w:p>
              </w:tc>
            </w:tr>
          </w:tbl>
          <w:p>
            <w:pPr>
              <w:spacing w:line="360" w:lineRule="auto"/>
              <w:jc w:val="left"/>
              <w:rPr>
                <w:rFonts w:ascii="Times New Roman" w:hAnsi="Times New Roman"/>
                <w:b/>
                <w:bCs/>
                <w:color w:val="auto"/>
                <w:sz w:val="24"/>
              </w:rPr>
            </w:pPr>
            <w:r>
              <w:rPr>
                <w:rFonts w:hint="eastAsia" w:ascii="Times New Roman" w:hAnsi="Times New Roman"/>
                <w:b/>
                <w:bCs/>
                <w:color w:val="auto"/>
                <w:sz w:val="24"/>
              </w:rPr>
              <w:t>3、</w:t>
            </w:r>
            <w:r>
              <w:rPr>
                <w:rFonts w:ascii="Times New Roman" w:hAnsi="Times New Roman"/>
                <w:b/>
                <w:bCs/>
                <w:color w:val="auto"/>
                <w:sz w:val="24"/>
              </w:rPr>
              <w:t>运营期噪声环境影响和保护措施：</w:t>
            </w:r>
          </w:p>
          <w:p>
            <w:pPr>
              <w:pStyle w:val="57"/>
              <w:ind w:firstLine="480" w:firstLineChars="0"/>
              <w:rPr>
                <w:color w:val="auto"/>
                <w:u w:val="single"/>
              </w:rPr>
            </w:pPr>
            <w:r>
              <w:rPr>
                <w:color w:val="auto"/>
                <w:u w:val="single"/>
              </w:rPr>
              <w:t>建设项目噪声主要来自车间生产设备，单台设备噪声源</w:t>
            </w:r>
            <w:r>
              <w:rPr>
                <w:rFonts w:hint="eastAsia"/>
                <w:color w:val="auto"/>
                <w:u w:val="single"/>
              </w:rPr>
              <w:t>70-85</w:t>
            </w:r>
            <w:r>
              <w:rPr>
                <w:color w:val="auto"/>
                <w:u w:val="single"/>
              </w:rPr>
              <w:t>d(A)。</w:t>
            </w:r>
            <w:r>
              <w:rPr>
                <w:rFonts w:hint="eastAsia"/>
                <w:color w:val="auto"/>
                <w:u w:val="single"/>
              </w:rPr>
              <w:t>为</w:t>
            </w:r>
            <w:r>
              <w:rPr>
                <w:color w:val="auto"/>
                <w:u w:val="single"/>
              </w:rPr>
              <w:t>减少噪声对外界影响，建设单位采取的降噪措施：优先选用低噪声设备，采取</w:t>
            </w:r>
            <w:r>
              <w:rPr>
                <w:rFonts w:hint="eastAsia" w:ascii="宋体" w:hAnsi="宋体" w:cs="宋体"/>
                <w:color w:val="auto"/>
                <w:u w:val="single"/>
              </w:rPr>
              <w:t>“闹静分开、合理布局”的原</w:t>
            </w:r>
            <w:r>
              <w:rPr>
                <w:color w:val="auto"/>
                <w:u w:val="single"/>
              </w:rPr>
              <w:t>则，设备均设置在封闭式车间内，通过上述措施，降噪值可达</w:t>
            </w:r>
            <w:r>
              <w:rPr>
                <w:rFonts w:hint="eastAsia"/>
                <w:color w:val="auto"/>
                <w:u w:val="single"/>
              </w:rPr>
              <w:t>20</w:t>
            </w:r>
            <w:r>
              <w:rPr>
                <w:color w:val="auto"/>
                <w:u w:val="single"/>
              </w:rPr>
              <w:t>dB(A)以上。</w:t>
            </w:r>
          </w:p>
          <w:p>
            <w:pPr>
              <w:autoSpaceDE w:val="0"/>
              <w:autoSpaceDN w:val="0"/>
              <w:adjustRightInd w:val="0"/>
              <w:snapToGrid w:val="0"/>
              <w:jc w:val="center"/>
              <w:rPr>
                <w:rFonts w:ascii="Times New Roman" w:hAnsi="Times New Roman"/>
                <w:b/>
                <w:color w:val="auto"/>
                <w:szCs w:val="21"/>
                <w:u w:val="single"/>
              </w:rPr>
            </w:pPr>
            <w:r>
              <w:rPr>
                <w:rFonts w:ascii="Times New Roman" w:hAnsi="Times New Roman"/>
                <w:b/>
                <w:color w:val="auto"/>
                <w:szCs w:val="21"/>
                <w:u w:val="single"/>
              </w:rPr>
              <w:t>表4-</w:t>
            </w:r>
            <w:r>
              <w:rPr>
                <w:rFonts w:hint="eastAsia" w:ascii="Times New Roman" w:hAnsi="Times New Roman"/>
                <w:b/>
                <w:color w:val="auto"/>
                <w:szCs w:val="21"/>
                <w:u w:val="single"/>
                <w:lang w:val="en-US" w:eastAsia="zh-CN"/>
              </w:rPr>
              <w:t>10</w:t>
            </w:r>
            <w:r>
              <w:rPr>
                <w:rFonts w:ascii="Times New Roman" w:hAnsi="Times New Roman"/>
                <w:b/>
                <w:color w:val="auto"/>
                <w:szCs w:val="21"/>
                <w:u w:val="single"/>
              </w:rPr>
              <w:t xml:space="preserve">  本项目噪声源强及降噪措施汇总表  单位：dB（A）</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9"/>
              <w:gridCol w:w="768"/>
              <w:gridCol w:w="1231"/>
              <w:gridCol w:w="1291"/>
              <w:gridCol w:w="1189"/>
              <w:gridCol w:w="1172"/>
              <w:gridCol w:w="1667"/>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rPr>
                <w:gridBefore w:val="1"/>
                <w:wBefore w:w="5" w:type="pct"/>
                <w:tblHeader/>
              </w:trPr>
              <w:tc>
                <w:tcPr>
                  <w:tcW w:w="437"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序号</w:t>
                  </w:r>
                </w:p>
              </w:tc>
              <w:tc>
                <w:tcPr>
                  <w:tcW w:w="701"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主要产噪设备</w:t>
                  </w:r>
                </w:p>
              </w:tc>
              <w:tc>
                <w:tcPr>
                  <w:tcW w:w="735"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噪声强度（dB(A)）</w:t>
                  </w:r>
                </w:p>
              </w:tc>
              <w:tc>
                <w:tcPr>
                  <w:tcW w:w="677"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运行工况</w:t>
                  </w:r>
                </w:p>
              </w:tc>
              <w:tc>
                <w:tcPr>
                  <w:tcW w:w="667"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数量(台)</w:t>
                  </w:r>
                </w:p>
              </w:tc>
              <w:tc>
                <w:tcPr>
                  <w:tcW w:w="949"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防治措施</w:t>
                  </w:r>
                </w:p>
              </w:tc>
              <w:tc>
                <w:tcPr>
                  <w:tcW w:w="824" w:type="pct"/>
                  <w:tcBorders>
                    <w:tl2br w:val="nil"/>
                    <w:tr2bl w:val="nil"/>
                  </w:tcBorders>
                  <w:vAlign w:val="center"/>
                </w:tcPr>
                <w:p>
                  <w:pPr>
                    <w:jc w:val="center"/>
                    <w:rPr>
                      <w:rFonts w:ascii="Times New Roman" w:hAnsi="Times New Roman"/>
                      <w:b/>
                      <w:bCs/>
                      <w:color w:val="auto"/>
                      <w:szCs w:val="21"/>
                      <w:u w:val="single"/>
                    </w:rPr>
                  </w:pPr>
                  <w:r>
                    <w:rPr>
                      <w:rFonts w:ascii="Times New Roman" w:hAnsi="Times New Roman"/>
                      <w:b/>
                      <w:bCs/>
                      <w:color w:val="auto"/>
                      <w:szCs w:val="21"/>
                      <w:u w:val="single"/>
                    </w:rPr>
                    <w:t>降噪后声压级（dB（A））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1</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下料机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4</w:t>
                  </w:r>
                </w:p>
              </w:tc>
              <w:tc>
                <w:tcPr>
                  <w:tcW w:w="949" w:type="pct"/>
                  <w:vMerge w:val="restart"/>
                  <w:tcBorders>
                    <w:tl2br w:val="nil"/>
                    <w:tr2bl w:val="nil"/>
                  </w:tcBorders>
                  <w:vAlign w:val="center"/>
                </w:tcPr>
                <w:p>
                  <w:pPr>
                    <w:jc w:val="center"/>
                    <w:rPr>
                      <w:rFonts w:ascii="Times New Roman" w:hAnsi="Times New Roman"/>
                      <w:color w:val="auto"/>
                      <w:szCs w:val="21"/>
                      <w:u w:val="single"/>
                    </w:rPr>
                  </w:pPr>
                  <w:r>
                    <w:rPr>
                      <w:rFonts w:ascii="Times New Roman" w:hAnsi="Times New Roman"/>
                      <w:bCs/>
                      <w:color w:val="auto"/>
                      <w:szCs w:val="21"/>
                      <w:u w:val="single"/>
                    </w:rPr>
                    <w:t>基座减震，厂房隔声，优化布局</w:t>
                  </w:r>
                </w:p>
              </w:tc>
              <w:tc>
                <w:tcPr>
                  <w:tcW w:w="824" w:type="pct"/>
                  <w:tcBorders>
                    <w:tl2br w:val="nil"/>
                    <w:tr2bl w:val="nil"/>
                  </w:tcBorders>
                  <w:vAlign w:val="center"/>
                </w:tcPr>
                <w:p>
                  <w:pPr>
                    <w:jc w:val="center"/>
                    <w:rPr>
                      <w:rFonts w:ascii="Times New Roman" w:hAnsi="Times New Roman"/>
                      <w:bCs/>
                      <w:color w:val="auto"/>
                      <w:szCs w:val="21"/>
                      <w:u w:val="single"/>
                    </w:rPr>
                  </w:pPr>
                  <w:r>
                    <w:rPr>
                      <w:rFonts w:ascii="Times New Roman" w:hAnsi="Times New Roman"/>
                      <w:bCs/>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喷砂机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3</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中频感应加热设备</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70</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4</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空压机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85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rPr>
                <w:trHeight w:val="227" w:hRule="atLeast"/>
              </w:trPr>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5</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压机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85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3</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6</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压机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85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7</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切边机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4</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8</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冲床</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85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6</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9</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绞口机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vAlign w:val="center"/>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10</w:t>
                  </w:r>
                </w:p>
              </w:tc>
              <w:tc>
                <w:tcPr>
                  <w:tcW w:w="701" w:type="pct"/>
                  <w:tcBorders>
                    <w:tl2br w:val="nil"/>
                    <w:tr2bl w:val="nil"/>
                  </w:tcBorders>
                  <w:vAlign w:val="center"/>
                </w:tcPr>
                <w:p>
                  <w:pPr>
                    <w:jc w:val="center"/>
                    <w:rPr>
                      <w:color w:val="auto"/>
                      <w:kern w:val="0"/>
                      <w:szCs w:val="21"/>
                      <w:u w:val="single"/>
                    </w:rPr>
                  </w:pPr>
                  <w:r>
                    <w:rPr>
                      <w:rFonts w:hint="eastAsia"/>
                      <w:bCs/>
                      <w:color w:val="auto"/>
                      <w:szCs w:val="21"/>
                      <w:u w:val="single"/>
                    </w:rPr>
                    <w:t>抛磨机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vAlign w:val="center"/>
                </w:tcPr>
                <w:p>
                  <w:pPr>
                    <w:jc w:val="center"/>
                    <w:rPr>
                      <w:rFonts w:ascii="Times New Roman" w:hAnsi="Times New Roman"/>
                      <w:color w:val="auto"/>
                      <w:szCs w:val="21"/>
                      <w:u w:val="single"/>
                    </w:rPr>
                  </w:pPr>
                </w:p>
              </w:tc>
              <w:tc>
                <w:tcPr>
                  <w:tcW w:w="824"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11</w:t>
                  </w:r>
                </w:p>
              </w:tc>
              <w:tc>
                <w:tcPr>
                  <w:tcW w:w="701" w:type="pct"/>
                  <w:tcBorders>
                    <w:tl2br w:val="nil"/>
                    <w:tr2bl w:val="nil"/>
                  </w:tcBorders>
                  <w:vAlign w:val="center"/>
                </w:tcPr>
                <w:p>
                  <w:pPr>
                    <w:jc w:val="center"/>
                    <w:rPr>
                      <w:bCs/>
                      <w:color w:val="auto"/>
                      <w:szCs w:val="21"/>
                      <w:u w:val="single"/>
                    </w:rPr>
                  </w:pPr>
                  <w:r>
                    <w:rPr>
                      <w:rFonts w:hint="eastAsia"/>
                      <w:bCs/>
                      <w:color w:val="auto"/>
                      <w:szCs w:val="21"/>
                      <w:u w:val="single"/>
                    </w:rPr>
                    <w:t>研磨机</w:t>
                  </w:r>
                </w:p>
              </w:tc>
              <w:tc>
                <w:tcPr>
                  <w:tcW w:w="735" w:type="pct"/>
                  <w:tcBorders>
                    <w:tl2br w:val="nil"/>
                    <w:tr2bl w:val="nil"/>
                  </w:tcBorders>
                  <w:vAlign w:val="center"/>
                </w:tcPr>
                <w:p>
                  <w:pPr>
                    <w:widowControl/>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12</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12</w:t>
                  </w:r>
                </w:p>
              </w:tc>
              <w:tc>
                <w:tcPr>
                  <w:tcW w:w="701"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车床</w:t>
                  </w:r>
                </w:p>
              </w:tc>
              <w:tc>
                <w:tcPr>
                  <w:tcW w:w="735"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13</w:t>
                  </w:r>
                </w:p>
              </w:tc>
              <w:tc>
                <w:tcPr>
                  <w:tcW w:w="701"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铣床</w:t>
                  </w:r>
                </w:p>
              </w:tc>
              <w:tc>
                <w:tcPr>
                  <w:tcW w:w="735"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14</w:t>
                  </w:r>
                </w:p>
              </w:tc>
              <w:tc>
                <w:tcPr>
                  <w:tcW w:w="701"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火花机</w:t>
                  </w:r>
                </w:p>
              </w:tc>
              <w:tc>
                <w:tcPr>
                  <w:tcW w:w="735"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15</w:t>
                  </w:r>
                </w:p>
              </w:tc>
              <w:tc>
                <w:tcPr>
                  <w:tcW w:w="701"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磨床</w:t>
                  </w:r>
                </w:p>
              </w:tc>
              <w:tc>
                <w:tcPr>
                  <w:tcW w:w="735"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2</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16</w:t>
                  </w:r>
                </w:p>
              </w:tc>
              <w:tc>
                <w:tcPr>
                  <w:tcW w:w="701" w:type="pct"/>
                  <w:tcBorders>
                    <w:tl2br w:val="nil"/>
                    <w:tr2bl w:val="nil"/>
                  </w:tcBorders>
                  <w:vAlign w:val="center"/>
                </w:tcPr>
                <w:p>
                  <w:pPr>
                    <w:jc w:val="center"/>
                    <w:rPr>
                      <w:bCs/>
                      <w:color w:val="auto"/>
                      <w:szCs w:val="21"/>
                      <w:u w:val="single"/>
                    </w:rPr>
                  </w:pPr>
                  <w:r>
                    <w:rPr>
                      <w:rFonts w:hint="eastAsia"/>
                      <w:bCs/>
                      <w:color w:val="auto"/>
                      <w:szCs w:val="21"/>
                      <w:u w:val="single"/>
                    </w:rPr>
                    <w:t>滚筒</w:t>
                  </w:r>
                </w:p>
              </w:tc>
              <w:tc>
                <w:tcPr>
                  <w:tcW w:w="735"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5</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c>
                <w:tcPr>
                  <w:tcW w:w="442" w:type="pct"/>
                  <w:gridSpan w:val="2"/>
                  <w:tcBorders>
                    <w:tl2br w:val="nil"/>
                    <w:tr2bl w:val="nil"/>
                  </w:tcBorders>
                </w:tcPr>
                <w:p>
                  <w:pPr>
                    <w:jc w:val="center"/>
                    <w:rPr>
                      <w:rFonts w:ascii="Times New Roman" w:hAnsi="Times New Roman"/>
                      <w:snapToGrid w:val="0"/>
                      <w:color w:val="auto"/>
                      <w:szCs w:val="21"/>
                      <w:u w:val="single"/>
                    </w:rPr>
                  </w:pPr>
                  <w:r>
                    <w:rPr>
                      <w:rFonts w:hint="eastAsia" w:ascii="Times New Roman" w:hAnsi="Times New Roman"/>
                      <w:snapToGrid w:val="0"/>
                      <w:color w:val="auto"/>
                      <w:szCs w:val="21"/>
                      <w:u w:val="single"/>
                    </w:rPr>
                    <w:t>17</w:t>
                  </w:r>
                </w:p>
              </w:tc>
              <w:tc>
                <w:tcPr>
                  <w:tcW w:w="701" w:type="pct"/>
                  <w:tcBorders>
                    <w:tl2br w:val="nil"/>
                    <w:tr2bl w:val="nil"/>
                  </w:tcBorders>
                  <w:vAlign w:val="center"/>
                </w:tcPr>
                <w:p>
                  <w:pPr>
                    <w:jc w:val="center"/>
                    <w:rPr>
                      <w:bCs/>
                      <w:color w:val="auto"/>
                      <w:szCs w:val="21"/>
                      <w:u w:val="single"/>
                    </w:rPr>
                  </w:pPr>
                  <w:r>
                    <w:rPr>
                      <w:rFonts w:hint="eastAsia"/>
                      <w:bCs/>
                      <w:color w:val="auto"/>
                      <w:szCs w:val="21"/>
                      <w:u w:val="single"/>
                    </w:rPr>
                    <w:t>拉床</w:t>
                  </w:r>
                </w:p>
              </w:tc>
              <w:tc>
                <w:tcPr>
                  <w:tcW w:w="735"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color w:val="auto"/>
                      <w:kern w:val="0"/>
                      <w:szCs w:val="21"/>
                      <w:u w:val="single"/>
                    </w:rPr>
                    <w:t>75</w:t>
                  </w:r>
                </w:p>
              </w:tc>
              <w:tc>
                <w:tcPr>
                  <w:tcW w:w="677" w:type="pct"/>
                  <w:tcBorders>
                    <w:tl2br w:val="nil"/>
                    <w:tr2bl w:val="nil"/>
                  </w:tcBorders>
                  <w:vAlign w:val="center"/>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间歇</w:t>
                  </w:r>
                </w:p>
              </w:tc>
              <w:tc>
                <w:tcPr>
                  <w:tcW w:w="667" w:type="pct"/>
                  <w:tcBorders>
                    <w:tl2br w:val="nil"/>
                    <w:tr2bl w:val="nil"/>
                  </w:tcBorders>
                </w:tcPr>
                <w:p>
                  <w:pPr>
                    <w:jc w:val="center"/>
                    <w:rPr>
                      <w:rFonts w:ascii="Times New Roman" w:hAnsi="Times New Roman"/>
                      <w:snapToGrid w:val="0"/>
                      <w:color w:val="auto"/>
                      <w:szCs w:val="21"/>
                      <w:u w:val="single"/>
                    </w:rPr>
                  </w:pPr>
                  <w:r>
                    <w:rPr>
                      <w:rFonts w:ascii="Times New Roman" w:hAnsi="Times New Roman"/>
                      <w:snapToGrid w:val="0"/>
                      <w:color w:val="auto"/>
                      <w:szCs w:val="21"/>
                      <w:u w:val="single"/>
                    </w:rPr>
                    <w:t>3</w:t>
                  </w:r>
                </w:p>
              </w:tc>
              <w:tc>
                <w:tcPr>
                  <w:tcW w:w="949" w:type="pct"/>
                  <w:vMerge w:val="continue"/>
                  <w:tcBorders>
                    <w:tl2br w:val="nil"/>
                    <w:tr2bl w:val="nil"/>
                  </w:tcBorders>
                </w:tcPr>
                <w:p>
                  <w:pPr>
                    <w:jc w:val="center"/>
                    <w:rPr>
                      <w:rFonts w:ascii="Times New Roman" w:hAnsi="Times New Roman"/>
                      <w:color w:val="auto"/>
                      <w:szCs w:val="21"/>
                      <w:u w:val="single"/>
                    </w:rPr>
                  </w:pPr>
                </w:p>
              </w:tc>
              <w:tc>
                <w:tcPr>
                  <w:tcW w:w="824" w:type="pct"/>
                  <w:tcBorders>
                    <w:tl2br w:val="nil"/>
                    <w:tr2bl w:val="nil"/>
                  </w:tcBorders>
                </w:tcPr>
                <w:p>
                  <w:pPr>
                    <w:jc w:val="center"/>
                    <w:rPr>
                      <w:rFonts w:ascii="Times New Roman" w:hAnsi="Times New Roman"/>
                      <w:color w:val="auto"/>
                      <w:szCs w:val="21"/>
                      <w:u w:val="single"/>
                    </w:rPr>
                  </w:pPr>
                  <w:r>
                    <w:rPr>
                      <w:rFonts w:ascii="Times New Roman" w:hAnsi="Times New Roman"/>
                      <w:color w:val="auto"/>
                      <w:szCs w:val="21"/>
                      <w:u w:val="single"/>
                    </w:rPr>
                    <w:t>55</w:t>
                  </w:r>
                </w:p>
              </w:tc>
            </w:tr>
          </w:tbl>
          <w:p>
            <w:pPr>
              <w:spacing w:line="360" w:lineRule="auto"/>
              <w:ind w:firstLine="482" w:firstLineChars="200"/>
              <w:rPr>
                <w:rFonts w:ascii="Times New Roman" w:hAnsi="Times New Roman"/>
                <w:b/>
                <w:bCs/>
                <w:color w:val="auto"/>
                <w:sz w:val="24"/>
                <w:u w:val="single"/>
              </w:rPr>
            </w:pPr>
            <w:r>
              <w:rPr>
                <w:rFonts w:hint="eastAsia" w:ascii="Times New Roman" w:hAnsi="Times New Roman"/>
                <w:b/>
                <w:bCs/>
                <w:color w:val="auto"/>
                <w:sz w:val="24"/>
                <w:u w:val="single"/>
              </w:rPr>
              <w:t>（1）</w:t>
            </w:r>
            <w:r>
              <w:rPr>
                <w:rFonts w:ascii="Times New Roman" w:hAnsi="Times New Roman"/>
                <w:b/>
                <w:bCs/>
                <w:color w:val="auto"/>
                <w:sz w:val="24"/>
                <w:u w:val="single"/>
              </w:rPr>
              <w:t>噪声环境影响分析：</w:t>
            </w:r>
          </w:p>
          <w:p>
            <w:pPr>
              <w:spacing w:line="360" w:lineRule="auto"/>
              <w:ind w:firstLine="480" w:firstLineChars="200"/>
              <w:rPr>
                <w:rFonts w:ascii="Times New Roman" w:hAnsi="Times New Roman"/>
                <w:color w:val="auto"/>
                <w:sz w:val="24"/>
                <w:u w:val="single"/>
              </w:rPr>
            </w:pPr>
            <w:r>
              <w:rPr>
                <w:rFonts w:hint="eastAsia" w:ascii="Times New Roman" w:hAnsi="Times New Roman"/>
                <w:color w:val="auto"/>
                <w:sz w:val="24"/>
                <w:u w:val="single"/>
              </w:rPr>
              <w:t>由表2-8噪声监测数据可知，</w:t>
            </w:r>
            <w:r>
              <w:rPr>
                <w:rFonts w:ascii="Times New Roman" w:hAnsi="Times New Roman"/>
                <w:color w:val="auto"/>
                <w:sz w:val="24"/>
                <w:u w:val="single"/>
              </w:rPr>
              <w:t>项目采取厂房隔声、设备减振等措施后，厂界噪声可达到《工业企业厂界环境噪声排放标准》（GB12348-2008）中</w:t>
            </w:r>
            <w:r>
              <w:rPr>
                <w:rFonts w:hint="eastAsia" w:ascii="Times New Roman" w:hAnsi="Times New Roman"/>
                <w:color w:val="auto"/>
                <w:sz w:val="24"/>
                <w:u w:val="single"/>
              </w:rPr>
              <w:t>3</w:t>
            </w:r>
            <w:r>
              <w:rPr>
                <w:rFonts w:ascii="Times New Roman" w:hAnsi="Times New Roman"/>
                <w:color w:val="auto"/>
                <w:sz w:val="24"/>
                <w:u w:val="single"/>
              </w:rPr>
              <w:t>类标准。项目运营期对周围环境影响较小。</w:t>
            </w:r>
          </w:p>
          <w:p>
            <w:pPr>
              <w:adjustRightInd w:val="0"/>
              <w:snapToGrid w:val="0"/>
              <w:spacing w:line="360" w:lineRule="auto"/>
              <w:ind w:firstLine="482" w:firstLineChars="200"/>
              <w:jc w:val="left"/>
              <w:rPr>
                <w:rFonts w:ascii="Times New Roman" w:hAnsi="Times New Roman"/>
                <w:b/>
                <w:bCs/>
                <w:color w:val="auto"/>
                <w:sz w:val="24"/>
                <w:u w:val="single"/>
              </w:rPr>
            </w:pPr>
            <w:r>
              <w:rPr>
                <w:rFonts w:hint="eastAsia" w:ascii="Times New Roman" w:hAnsi="Times New Roman"/>
                <w:b/>
                <w:bCs/>
                <w:color w:val="auto"/>
                <w:sz w:val="24"/>
                <w:u w:val="single"/>
              </w:rPr>
              <w:t>（2）噪声监测计划：</w:t>
            </w:r>
          </w:p>
          <w:p>
            <w:pPr>
              <w:adjustRightInd w:val="0"/>
              <w:snapToGrid w:val="0"/>
              <w:jc w:val="center"/>
              <w:rPr>
                <w:rFonts w:ascii="Times New Roman" w:hAnsi="Times New Roman"/>
                <w:bCs/>
                <w:color w:val="auto"/>
                <w:szCs w:val="21"/>
                <w:u w:val="single"/>
              </w:rPr>
            </w:pPr>
            <w:r>
              <w:rPr>
                <w:rFonts w:ascii="Times New Roman" w:hAnsi="Times New Roman"/>
                <w:b/>
                <w:color w:val="auto"/>
                <w:szCs w:val="21"/>
                <w:u w:val="single"/>
              </w:rPr>
              <w:t>表4-</w:t>
            </w:r>
            <w:r>
              <w:rPr>
                <w:rFonts w:hint="eastAsia" w:ascii="Times New Roman" w:hAnsi="Times New Roman"/>
                <w:b/>
                <w:color w:val="auto"/>
                <w:szCs w:val="21"/>
                <w:u w:val="single"/>
                <w:lang w:val="en-US" w:eastAsia="zh-CN"/>
              </w:rPr>
              <w:t>11</w:t>
            </w:r>
            <w:r>
              <w:rPr>
                <w:rFonts w:ascii="Times New Roman" w:hAnsi="Times New Roman"/>
                <w:b/>
                <w:color w:val="auto"/>
                <w:szCs w:val="21"/>
                <w:u w:val="single"/>
              </w:rPr>
              <w:t xml:space="preserve">  噪声监测计划表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755"/>
              <w:gridCol w:w="1755"/>
              <w:gridCol w:w="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tcBorders>
                    <w:tl2br w:val="nil"/>
                    <w:tr2bl w:val="nil"/>
                  </w:tcBorders>
                  <w:vAlign w:val="center"/>
                </w:tcPr>
                <w:p>
                  <w:pPr>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监测点位</w:t>
                  </w:r>
                </w:p>
              </w:tc>
              <w:tc>
                <w:tcPr>
                  <w:tcW w:w="2000" w:type="pct"/>
                  <w:gridSpan w:val="2"/>
                  <w:tcBorders>
                    <w:tl2br w:val="nil"/>
                    <w:tr2bl w:val="nil"/>
                  </w:tcBorders>
                  <w:vAlign w:val="center"/>
                </w:tcPr>
                <w:p>
                  <w:pPr>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监测指标及监测频次</w:t>
                  </w:r>
                </w:p>
              </w:tc>
              <w:tc>
                <w:tcPr>
                  <w:tcW w:w="2000" w:type="pct"/>
                  <w:tcBorders>
                    <w:tl2br w:val="nil"/>
                    <w:tr2bl w:val="nil"/>
                  </w:tcBorders>
                  <w:vAlign w:val="center"/>
                </w:tcPr>
                <w:p>
                  <w:pPr>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tcBorders>
                    <w:tl2br w:val="nil"/>
                    <w:tr2bl w:val="nil"/>
                  </w:tcBorders>
                  <w:vAlign w:val="center"/>
                </w:tcPr>
                <w:p>
                  <w:pPr>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厂界四周</w:t>
                  </w:r>
                </w:p>
              </w:tc>
              <w:tc>
                <w:tcPr>
                  <w:tcW w:w="1000" w:type="pct"/>
                  <w:tcBorders>
                    <w:tl2br w:val="nil"/>
                    <w:tr2bl w:val="nil"/>
                  </w:tcBorders>
                  <w:vAlign w:val="center"/>
                </w:tcPr>
                <w:p>
                  <w:pPr>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等效连续A声级</w:t>
                  </w:r>
                </w:p>
              </w:tc>
              <w:tc>
                <w:tcPr>
                  <w:tcW w:w="1000" w:type="pct"/>
                  <w:tcBorders>
                    <w:tl2br w:val="nil"/>
                    <w:tr2bl w:val="nil"/>
                  </w:tcBorders>
                  <w:vAlign w:val="center"/>
                </w:tcPr>
                <w:p>
                  <w:pPr>
                    <w:adjustRightInd w:val="0"/>
                    <w:snapToGrid w:val="0"/>
                    <w:jc w:val="center"/>
                    <w:rPr>
                      <w:rFonts w:ascii="Times New Roman" w:hAnsi="Times New Roman"/>
                      <w:color w:val="auto"/>
                      <w:kern w:val="0"/>
                      <w:szCs w:val="21"/>
                      <w:u w:val="single"/>
                    </w:rPr>
                  </w:pPr>
                  <w:r>
                    <w:rPr>
                      <w:rFonts w:ascii="Times New Roman" w:hAnsi="Times New Roman"/>
                      <w:color w:val="auto"/>
                      <w:kern w:val="0"/>
                      <w:szCs w:val="21"/>
                      <w:u w:val="single"/>
                    </w:rPr>
                    <w:t>1次/季度</w:t>
                  </w:r>
                </w:p>
              </w:tc>
              <w:tc>
                <w:tcPr>
                  <w:tcW w:w="2000" w:type="pct"/>
                  <w:tcBorders>
                    <w:tl2br w:val="nil"/>
                    <w:tr2bl w:val="nil"/>
                  </w:tcBorders>
                  <w:vAlign w:val="center"/>
                </w:tcPr>
                <w:p>
                  <w:pPr>
                    <w:adjustRightInd w:val="0"/>
                    <w:snapToGrid w:val="0"/>
                    <w:ind w:firstLine="360"/>
                    <w:jc w:val="center"/>
                    <w:rPr>
                      <w:rFonts w:ascii="Times New Roman" w:hAnsi="Times New Roman"/>
                      <w:color w:val="auto"/>
                      <w:kern w:val="0"/>
                      <w:szCs w:val="21"/>
                      <w:u w:val="single"/>
                    </w:rPr>
                  </w:pPr>
                  <w:r>
                    <w:rPr>
                      <w:rFonts w:ascii="Times New Roman" w:hAnsi="Times New Roman"/>
                      <w:color w:val="auto"/>
                      <w:kern w:val="0"/>
                      <w:szCs w:val="21"/>
                      <w:u w:val="single"/>
                    </w:rPr>
                    <w:t>《工业企业厂界环境噪声排放标准》（GB12348-2008）</w:t>
                  </w:r>
                  <w:r>
                    <w:rPr>
                      <w:rFonts w:hint="eastAsia" w:ascii="Times New Roman" w:hAnsi="Times New Roman"/>
                      <w:color w:val="auto"/>
                      <w:kern w:val="0"/>
                      <w:szCs w:val="21"/>
                      <w:u w:val="single"/>
                    </w:rPr>
                    <w:t>3</w:t>
                  </w:r>
                  <w:r>
                    <w:rPr>
                      <w:rFonts w:ascii="Times New Roman" w:hAnsi="Times New Roman"/>
                      <w:color w:val="auto"/>
                      <w:kern w:val="0"/>
                      <w:szCs w:val="21"/>
                      <w:u w:val="single"/>
                    </w:rPr>
                    <w:t>类标准</w:t>
                  </w:r>
                </w:p>
              </w:tc>
            </w:tr>
          </w:tbl>
          <w:p>
            <w:pPr>
              <w:spacing w:line="360" w:lineRule="auto"/>
              <w:rPr>
                <w:rFonts w:ascii="Times New Roman" w:hAnsi="Times New Roman"/>
                <w:b/>
                <w:bCs/>
                <w:color w:val="auto"/>
                <w:sz w:val="24"/>
              </w:rPr>
            </w:pPr>
            <w:r>
              <w:rPr>
                <w:rFonts w:hint="eastAsia" w:ascii="Times New Roman" w:hAnsi="Times New Roman"/>
                <w:b/>
                <w:bCs/>
                <w:color w:val="auto"/>
                <w:sz w:val="24"/>
              </w:rPr>
              <w:t>4、</w:t>
            </w:r>
            <w:r>
              <w:rPr>
                <w:rFonts w:ascii="Times New Roman" w:hAnsi="Times New Roman"/>
                <w:b/>
                <w:bCs/>
                <w:color w:val="auto"/>
                <w:sz w:val="24"/>
              </w:rPr>
              <w:t>固体废物环境影响分析：</w:t>
            </w:r>
          </w:p>
          <w:p>
            <w:pPr>
              <w:pStyle w:val="59"/>
              <w:spacing w:line="360" w:lineRule="auto"/>
              <w:ind w:firstLine="480"/>
              <w:rPr>
                <w:rFonts w:ascii="Times New Roman" w:hAnsi="Times New Roman"/>
                <w:b/>
                <w:bCs/>
                <w:color w:val="auto"/>
              </w:rPr>
            </w:pPr>
            <w:r>
              <w:rPr>
                <w:rFonts w:hint="eastAsia" w:ascii="Times New Roman" w:hAnsi="Times New Roman"/>
                <w:b/>
                <w:bCs/>
                <w:color w:val="auto"/>
              </w:rPr>
              <w:t>（1）固体废物产生源及产生量</w:t>
            </w:r>
          </w:p>
          <w:p>
            <w:pPr>
              <w:pStyle w:val="59"/>
              <w:spacing w:line="360" w:lineRule="auto"/>
              <w:ind w:firstLine="480"/>
              <w:rPr>
                <w:rFonts w:ascii="Times New Roman" w:hAnsi="Times New Roman"/>
                <w:color w:val="auto"/>
              </w:rPr>
            </w:pPr>
            <w:r>
              <w:rPr>
                <w:rFonts w:hint="eastAsia" w:ascii="Times New Roman" w:hAnsi="Times New Roman"/>
                <w:color w:val="auto"/>
              </w:rPr>
              <w:t>项目</w:t>
            </w:r>
            <w:r>
              <w:rPr>
                <w:rFonts w:ascii="Times New Roman" w:hAnsi="Times New Roman"/>
                <w:color w:val="auto"/>
              </w:rPr>
              <w:t>本项目建成后，固体废物主要为生活垃圾、废边角料、</w:t>
            </w:r>
            <w:r>
              <w:rPr>
                <w:rFonts w:hint="eastAsia" w:ascii="Times New Roman" w:hAnsi="Times New Roman"/>
                <w:color w:val="auto"/>
              </w:rPr>
              <w:t>沉淀池铁泥</w:t>
            </w:r>
            <w:r>
              <w:rPr>
                <w:rFonts w:ascii="Times New Roman" w:hAnsi="Times New Roman"/>
                <w:color w:val="auto"/>
              </w:rPr>
              <w:t>、</w:t>
            </w:r>
            <w:r>
              <w:rPr>
                <w:rFonts w:hint="eastAsia" w:ascii="Times New Roman" w:hAnsi="Times New Roman"/>
                <w:color w:val="auto"/>
              </w:rPr>
              <w:t>废包装油桶</w:t>
            </w:r>
            <w:r>
              <w:rPr>
                <w:rFonts w:ascii="Times New Roman" w:hAnsi="Times New Roman"/>
                <w:color w:val="auto"/>
              </w:rPr>
              <w:t>，固体废物基本情况见表</w:t>
            </w:r>
            <w:r>
              <w:rPr>
                <w:rFonts w:hint="eastAsia" w:ascii="Times New Roman" w:hAnsi="Times New Roman"/>
                <w:color w:val="auto"/>
              </w:rPr>
              <w:t>4-12</w:t>
            </w:r>
            <w:r>
              <w:rPr>
                <w:rFonts w:ascii="Times New Roman" w:hAnsi="Times New Roman"/>
                <w:color w:val="auto"/>
              </w:rPr>
              <w:t>。</w:t>
            </w:r>
          </w:p>
          <w:p>
            <w:pPr>
              <w:pStyle w:val="59"/>
              <w:spacing w:line="360" w:lineRule="auto"/>
              <w:ind w:firstLine="480"/>
              <w:rPr>
                <w:rFonts w:ascii="Times New Roman" w:hAnsi="Times New Roman"/>
                <w:color w:val="auto"/>
                <w:u w:val="single"/>
              </w:rPr>
            </w:pPr>
            <w:r>
              <w:rPr>
                <w:rFonts w:ascii="Times New Roman" w:hAnsi="Times New Roman"/>
                <w:color w:val="auto"/>
                <w:u w:val="single"/>
              </w:rPr>
              <w:t>1）一般固体废物</w:t>
            </w:r>
          </w:p>
          <w:p>
            <w:pPr>
              <w:snapToGrid w:val="0"/>
              <w:spacing w:line="360" w:lineRule="auto"/>
              <w:ind w:firstLine="496"/>
              <w:rPr>
                <w:rFonts w:ascii="Times New Roman" w:hAnsi="Times New Roman"/>
                <w:color w:val="auto"/>
                <w:spacing w:val="4"/>
                <w:sz w:val="24"/>
                <w:u w:val="single"/>
              </w:rPr>
            </w:pPr>
            <w:r>
              <w:rPr>
                <w:rFonts w:ascii="Times New Roman" w:hAnsi="Times New Roman"/>
                <w:color w:val="auto"/>
                <w:spacing w:val="4"/>
                <w:sz w:val="24"/>
                <w:u w:val="single"/>
              </w:rPr>
              <w:t>①</w:t>
            </w:r>
            <w:r>
              <w:rPr>
                <w:rFonts w:hint="eastAsia" w:ascii="Times New Roman" w:hAnsi="Times New Roman"/>
                <w:color w:val="auto"/>
                <w:spacing w:val="4"/>
                <w:sz w:val="24"/>
                <w:u w:val="single"/>
              </w:rPr>
              <w:t>切边</w:t>
            </w:r>
            <w:r>
              <w:rPr>
                <w:rFonts w:ascii="Times New Roman" w:hAnsi="Times New Roman"/>
                <w:color w:val="auto"/>
                <w:spacing w:val="4"/>
                <w:sz w:val="24"/>
                <w:u w:val="single"/>
              </w:rPr>
              <w:t>、冲孔</w:t>
            </w:r>
            <w:r>
              <w:rPr>
                <w:rFonts w:hint="eastAsia" w:ascii="Times New Roman" w:hAnsi="Times New Roman"/>
                <w:color w:val="auto"/>
                <w:spacing w:val="4"/>
                <w:sz w:val="24"/>
                <w:u w:val="single"/>
              </w:rPr>
              <w:t>等工序</w:t>
            </w:r>
            <w:r>
              <w:rPr>
                <w:rFonts w:ascii="Times New Roman" w:hAnsi="Times New Roman"/>
                <w:color w:val="auto"/>
                <w:spacing w:val="4"/>
                <w:sz w:val="24"/>
                <w:u w:val="single"/>
              </w:rPr>
              <w:t>产生的金属边角料</w:t>
            </w:r>
          </w:p>
          <w:p>
            <w:pPr>
              <w:snapToGrid w:val="0"/>
              <w:spacing w:line="360" w:lineRule="auto"/>
              <w:ind w:firstLine="496"/>
              <w:rPr>
                <w:rFonts w:ascii="Times New Roman" w:hAnsi="Times New Roman"/>
                <w:color w:val="auto"/>
                <w:spacing w:val="4"/>
                <w:sz w:val="24"/>
                <w:u w:val="single"/>
              </w:rPr>
            </w:pPr>
            <w:r>
              <w:rPr>
                <w:rFonts w:ascii="Times New Roman" w:hAnsi="Times New Roman"/>
                <w:bCs/>
                <w:color w:val="auto"/>
                <w:sz w:val="24"/>
                <w:u w:val="single"/>
              </w:rPr>
              <w:t>根据建设单位提供的资料</w:t>
            </w:r>
            <w:r>
              <w:rPr>
                <w:rFonts w:hint="eastAsia" w:ascii="Times New Roman" w:hAnsi="Times New Roman"/>
                <w:bCs/>
                <w:color w:val="auto"/>
                <w:sz w:val="24"/>
                <w:u w:val="single"/>
              </w:rPr>
              <w:t>，</w:t>
            </w:r>
            <w:r>
              <w:rPr>
                <w:rFonts w:ascii="Times New Roman" w:hAnsi="Times New Roman"/>
                <w:color w:val="auto"/>
                <w:spacing w:val="4"/>
                <w:sz w:val="24"/>
                <w:u w:val="single"/>
              </w:rPr>
              <w:t>项目</w:t>
            </w:r>
            <w:r>
              <w:rPr>
                <w:rFonts w:hint="eastAsia" w:ascii="Times New Roman" w:hAnsi="Times New Roman"/>
                <w:color w:val="auto"/>
                <w:spacing w:val="4"/>
                <w:sz w:val="24"/>
                <w:u w:val="single"/>
              </w:rPr>
              <w:t>切边</w:t>
            </w:r>
            <w:r>
              <w:rPr>
                <w:rFonts w:ascii="Times New Roman" w:hAnsi="Times New Roman"/>
                <w:color w:val="auto"/>
                <w:spacing w:val="4"/>
                <w:sz w:val="24"/>
                <w:u w:val="single"/>
              </w:rPr>
              <w:t>、冲孔产生的金属边角料约</w:t>
            </w:r>
            <w:r>
              <w:rPr>
                <w:rFonts w:hint="eastAsia" w:ascii="Times New Roman" w:hAnsi="Times New Roman"/>
                <w:color w:val="auto"/>
                <w:spacing w:val="4"/>
                <w:sz w:val="24"/>
                <w:u w:val="single"/>
              </w:rPr>
              <w:t>70</w:t>
            </w:r>
            <w:r>
              <w:rPr>
                <w:rFonts w:ascii="Times New Roman" w:hAnsi="Times New Roman"/>
                <w:color w:val="auto"/>
                <w:spacing w:val="4"/>
                <w:sz w:val="24"/>
                <w:u w:val="single"/>
              </w:rPr>
              <w:t>t/a，暂存于</w:t>
            </w:r>
            <w:r>
              <w:rPr>
                <w:rFonts w:hint="eastAsia" w:ascii="Times New Roman" w:hAnsi="Times New Roman"/>
                <w:color w:val="auto"/>
                <w:spacing w:val="4"/>
                <w:sz w:val="24"/>
                <w:u w:val="single"/>
              </w:rPr>
              <w:t>固废堆场进行资源</w:t>
            </w:r>
            <w:r>
              <w:rPr>
                <w:rFonts w:ascii="Times New Roman" w:hAnsi="Times New Roman"/>
                <w:color w:val="auto"/>
                <w:spacing w:val="4"/>
                <w:sz w:val="24"/>
                <w:u w:val="single"/>
              </w:rPr>
              <w:t>回收利用。</w:t>
            </w:r>
          </w:p>
          <w:p>
            <w:pPr>
              <w:pStyle w:val="21"/>
              <w:spacing w:line="360" w:lineRule="auto"/>
              <w:ind w:left="0" w:firstLine="480" w:firstLineChars="200"/>
              <w:rPr>
                <w:color w:val="auto"/>
                <w:sz w:val="24"/>
                <w:u w:val="single"/>
              </w:rPr>
            </w:pPr>
            <w:r>
              <w:rPr>
                <w:rFonts w:hint="eastAsia"/>
                <w:color w:val="auto"/>
                <w:sz w:val="24"/>
                <w:u w:val="single"/>
              </w:rPr>
              <w:t>②布袋收集的金属颗粒</w:t>
            </w:r>
          </w:p>
          <w:p>
            <w:pPr>
              <w:snapToGrid w:val="0"/>
              <w:spacing w:line="360" w:lineRule="auto"/>
              <w:ind w:firstLine="496"/>
              <w:rPr>
                <w:rFonts w:ascii="Times New Roman" w:hAnsi="Times New Roman"/>
                <w:color w:val="auto"/>
                <w:spacing w:val="4"/>
                <w:sz w:val="24"/>
                <w:u w:val="single"/>
              </w:rPr>
            </w:pPr>
            <w:r>
              <w:rPr>
                <w:rFonts w:hint="eastAsia" w:ascii="Times New Roman" w:hAnsi="Times New Roman"/>
                <w:color w:val="auto"/>
                <w:spacing w:val="4"/>
                <w:sz w:val="24"/>
                <w:u w:val="single"/>
              </w:rPr>
              <w:t>据产排污数据及布袋的收集效率估算，本项目布袋收集粉尘的产生量约为0.000349t/a，</w:t>
            </w:r>
            <w:r>
              <w:rPr>
                <w:rFonts w:ascii="Times New Roman" w:hAnsi="Times New Roman"/>
                <w:color w:val="auto"/>
                <w:spacing w:val="4"/>
                <w:sz w:val="24"/>
                <w:u w:val="single"/>
              </w:rPr>
              <w:t>暂存于</w:t>
            </w:r>
            <w:r>
              <w:rPr>
                <w:rFonts w:hint="eastAsia" w:ascii="Times New Roman" w:hAnsi="Times New Roman"/>
                <w:color w:val="auto"/>
                <w:spacing w:val="4"/>
                <w:sz w:val="24"/>
                <w:u w:val="single"/>
              </w:rPr>
              <w:t>固废堆场进行资源</w:t>
            </w:r>
            <w:r>
              <w:rPr>
                <w:rFonts w:ascii="Times New Roman" w:hAnsi="Times New Roman"/>
                <w:color w:val="auto"/>
                <w:spacing w:val="4"/>
                <w:sz w:val="24"/>
                <w:u w:val="single"/>
              </w:rPr>
              <w:t>回收利用</w:t>
            </w:r>
            <w:r>
              <w:rPr>
                <w:rFonts w:hint="eastAsia" w:ascii="Times New Roman" w:hAnsi="Times New Roman"/>
                <w:color w:val="auto"/>
                <w:spacing w:val="4"/>
                <w:sz w:val="24"/>
                <w:u w:val="single"/>
              </w:rPr>
              <w:t>。</w:t>
            </w:r>
          </w:p>
          <w:p>
            <w:pPr>
              <w:snapToGrid w:val="0"/>
              <w:spacing w:line="360" w:lineRule="auto"/>
              <w:ind w:firstLine="496"/>
              <w:rPr>
                <w:rFonts w:ascii="Times New Roman" w:hAnsi="Times New Roman"/>
                <w:color w:val="auto"/>
                <w:spacing w:val="4"/>
                <w:sz w:val="24"/>
                <w:u w:val="single"/>
              </w:rPr>
            </w:pPr>
            <w:r>
              <w:rPr>
                <w:rFonts w:hint="eastAsia" w:ascii="Times New Roman" w:hAnsi="Times New Roman"/>
                <w:color w:val="auto"/>
                <w:spacing w:val="4"/>
                <w:sz w:val="24"/>
                <w:u w:val="single"/>
              </w:rPr>
              <w:t>③沉淀池铁泥</w:t>
            </w:r>
          </w:p>
          <w:p>
            <w:pPr>
              <w:snapToGrid w:val="0"/>
              <w:spacing w:line="360" w:lineRule="auto"/>
              <w:ind w:firstLine="496"/>
              <w:rPr>
                <w:rFonts w:ascii="Times New Roman" w:hAnsi="Times New Roman"/>
                <w:color w:val="auto"/>
                <w:spacing w:val="4"/>
                <w:sz w:val="24"/>
                <w:u w:val="single"/>
              </w:rPr>
            </w:pPr>
            <w:r>
              <w:rPr>
                <w:rFonts w:ascii="Times New Roman" w:hAnsi="Times New Roman"/>
                <w:bCs/>
                <w:color w:val="auto"/>
                <w:sz w:val="24"/>
                <w:u w:val="single"/>
              </w:rPr>
              <w:t>根据建设单位提供的资料，</w:t>
            </w:r>
            <w:r>
              <w:rPr>
                <w:rFonts w:ascii="Times New Roman" w:hAnsi="Times New Roman"/>
                <w:color w:val="auto"/>
                <w:spacing w:val="4"/>
                <w:sz w:val="24"/>
                <w:u w:val="single"/>
              </w:rPr>
              <w:t>项目</w:t>
            </w:r>
            <w:r>
              <w:rPr>
                <w:rFonts w:hint="eastAsia" w:ascii="Times New Roman" w:hAnsi="Times New Roman"/>
                <w:color w:val="auto"/>
                <w:spacing w:val="4"/>
                <w:sz w:val="24"/>
                <w:u w:val="single"/>
              </w:rPr>
              <w:t>三级沉淀池产生铁泥约2t/a</w:t>
            </w:r>
            <w:r>
              <w:rPr>
                <w:rFonts w:ascii="Times New Roman" w:hAnsi="Times New Roman"/>
                <w:color w:val="auto"/>
                <w:spacing w:val="4"/>
                <w:sz w:val="24"/>
                <w:u w:val="single"/>
              </w:rPr>
              <w:t>，</w:t>
            </w:r>
            <w:r>
              <w:rPr>
                <w:rFonts w:hint="eastAsia" w:ascii="Times New Roman" w:hAnsi="Times New Roman"/>
                <w:color w:val="auto"/>
                <w:spacing w:val="4"/>
                <w:sz w:val="24"/>
                <w:u w:val="single"/>
              </w:rPr>
              <w:t>收集后交由炼钢厂回收利用</w:t>
            </w:r>
            <w:r>
              <w:rPr>
                <w:rFonts w:ascii="Times New Roman" w:hAnsi="Times New Roman"/>
                <w:color w:val="auto"/>
                <w:spacing w:val="4"/>
                <w:sz w:val="24"/>
                <w:u w:val="single"/>
              </w:rPr>
              <w:t>。</w:t>
            </w:r>
          </w:p>
          <w:p>
            <w:pPr>
              <w:snapToGrid w:val="0"/>
              <w:spacing w:line="360" w:lineRule="auto"/>
              <w:ind w:firstLine="496"/>
              <w:rPr>
                <w:rFonts w:ascii="Times New Roman" w:hAnsi="Times New Roman"/>
                <w:color w:val="auto"/>
                <w:u w:val="single"/>
              </w:rPr>
            </w:pPr>
            <w:r>
              <w:rPr>
                <w:rFonts w:hint="eastAsia" w:ascii="Times New Roman" w:hAnsi="Times New Roman"/>
                <w:color w:val="auto"/>
                <w:spacing w:val="4"/>
                <w:sz w:val="24"/>
                <w:u w:val="single"/>
              </w:rPr>
              <w:t>④</w:t>
            </w:r>
            <w:r>
              <w:rPr>
                <w:rFonts w:ascii="Times New Roman" w:hAnsi="Times New Roman"/>
                <w:color w:val="auto"/>
                <w:spacing w:val="4"/>
                <w:sz w:val="24"/>
                <w:u w:val="single"/>
              </w:rPr>
              <w:t>生活垃圾</w:t>
            </w:r>
          </w:p>
          <w:p>
            <w:pPr>
              <w:snapToGrid w:val="0"/>
              <w:spacing w:line="360" w:lineRule="auto"/>
              <w:ind w:firstLine="496"/>
              <w:rPr>
                <w:rFonts w:ascii="Times New Roman" w:hAnsi="Times New Roman"/>
                <w:color w:val="auto"/>
                <w:spacing w:val="4"/>
                <w:sz w:val="24"/>
                <w:u w:val="single"/>
              </w:rPr>
            </w:pPr>
            <w:r>
              <w:rPr>
                <w:rFonts w:ascii="Times New Roman" w:hAnsi="Times New Roman"/>
                <w:color w:val="auto"/>
                <w:sz w:val="24"/>
                <w:u w:val="single"/>
              </w:rPr>
              <w:t>本项目定员</w:t>
            </w:r>
            <w:r>
              <w:rPr>
                <w:rFonts w:hint="eastAsia" w:ascii="Times New Roman" w:hAnsi="Times New Roman"/>
                <w:color w:val="auto"/>
                <w:sz w:val="24"/>
                <w:u w:val="single"/>
              </w:rPr>
              <w:t>26</w:t>
            </w:r>
            <w:r>
              <w:rPr>
                <w:rFonts w:ascii="Times New Roman" w:hAnsi="Times New Roman"/>
                <w:color w:val="auto"/>
                <w:sz w:val="24"/>
                <w:u w:val="single"/>
              </w:rPr>
              <w:t>人，根据有关资料统计，员工生活垃圾量</w:t>
            </w:r>
            <w:r>
              <w:rPr>
                <w:rFonts w:hint="eastAsia" w:ascii="Times New Roman" w:hAnsi="Times New Roman"/>
                <w:color w:val="auto"/>
                <w:sz w:val="24"/>
                <w:u w:val="single"/>
                <w:lang w:val="en-US" w:eastAsia="zh-CN"/>
              </w:rPr>
              <w:t>0.5</w:t>
            </w:r>
            <w:r>
              <w:rPr>
                <w:rFonts w:ascii="Times New Roman" w:hAnsi="Times New Roman"/>
                <w:color w:val="auto"/>
                <w:sz w:val="24"/>
                <w:u w:val="single"/>
              </w:rPr>
              <w:t>kg/人·d，计，则本项目产生生活垃圾</w:t>
            </w:r>
            <w:r>
              <w:rPr>
                <w:rFonts w:hint="eastAsia" w:ascii="Times New Roman" w:hAnsi="Times New Roman"/>
                <w:color w:val="auto"/>
                <w:sz w:val="24"/>
                <w:u w:val="single"/>
                <w:lang w:val="en-US" w:eastAsia="zh-CN"/>
              </w:rPr>
              <w:t>13</w:t>
            </w:r>
            <w:r>
              <w:rPr>
                <w:rFonts w:ascii="Times New Roman" w:hAnsi="Times New Roman"/>
                <w:color w:val="auto"/>
                <w:sz w:val="24"/>
                <w:u w:val="single"/>
              </w:rPr>
              <w:t>kg/d，</w:t>
            </w:r>
            <w:r>
              <w:rPr>
                <w:rFonts w:hint="eastAsia" w:ascii="Times New Roman" w:hAnsi="Times New Roman"/>
                <w:color w:val="auto"/>
                <w:sz w:val="24"/>
                <w:u w:val="single"/>
                <w:lang w:val="en-US" w:eastAsia="zh-CN"/>
              </w:rPr>
              <w:t>3.38</w:t>
            </w:r>
            <w:r>
              <w:rPr>
                <w:rFonts w:ascii="Times New Roman" w:hAnsi="Times New Roman"/>
                <w:color w:val="auto"/>
                <w:sz w:val="24"/>
                <w:u w:val="single"/>
              </w:rPr>
              <w:t>t/a。</w:t>
            </w:r>
            <w:r>
              <w:rPr>
                <w:rFonts w:hint="eastAsia" w:ascii="Times New Roman" w:hAnsi="Times New Roman"/>
                <w:color w:val="auto"/>
                <w:sz w:val="24"/>
                <w:u w:val="single"/>
              </w:rPr>
              <w:t>生活垃圾</w:t>
            </w:r>
            <w:r>
              <w:rPr>
                <w:rFonts w:ascii="Times New Roman" w:hAnsi="Times New Roman"/>
                <w:color w:val="auto"/>
                <w:spacing w:val="4"/>
                <w:sz w:val="24"/>
                <w:u w:val="single"/>
              </w:rPr>
              <w:t>产生量</w:t>
            </w:r>
            <w:r>
              <w:rPr>
                <w:rFonts w:hint="eastAsia" w:ascii="Times New Roman" w:hAnsi="Times New Roman"/>
                <w:color w:val="auto"/>
                <w:spacing w:val="4"/>
                <w:sz w:val="24"/>
                <w:u w:val="single"/>
              </w:rPr>
              <w:t>为</w:t>
            </w:r>
            <w:r>
              <w:rPr>
                <w:rFonts w:hint="eastAsia" w:ascii="Times New Roman" w:hAnsi="Times New Roman"/>
                <w:color w:val="auto"/>
                <w:spacing w:val="4"/>
                <w:sz w:val="24"/>
                <w:u w:val="single"/>
                <w:lang w:val="en-US" w:eastAsia="zh-CN"/>
              </w:rPr>
              <w:t>3.38</w:t>
            </w:r>
            <w:r>
              <w:rPr>
                <w:rFonts w:ascii="Times New Roman" w:hAnsi="Times New Roman"/>
                <w:color w:val="auto"/>
                <w:spacing w:val="4"/>
                <w:sz w:val="24"/>
                <w:u w:val="single"/>
              </w:rPr>
              <w:t>t/a，定期交由环卫部门清运。</w:t>
            </w:r>
          </w:p>
          <w:p>
            <w:pPr>
              <w:pStyle w:val="59"/>
              <w:spacing w:line="360" w:lineRule="auto"/>
              <w:ind w:firstLine="496" w:firstLineChars="200"/>
              <w:rPr>
                <w:rFonts w:ascii="Times New Roman" w:hAnsi="Times New Roman"/>
                <w:color w:val="auto"/>
                <w:spacing w:val="4"/>
                <w:szCs w:val="24"/>
              </w:rPr>
            </w:pPr>
            <w:r>
              <w:rPr>
                <w:rFonts w:ascii="Times New Roman" w:hAnsi="Times New Roman"/>
                <w:color w:val="auto"/>
                <w:spacing w:val="4"/>
                <w:szCs w:val="24"/>
              </w:rPr>
              <w:t>2）危险废物</w:t>
            </w:r>
          </w:p>
          <w:p>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fldChar w:fldCharType="begin"/>
            </w:r>
            <w:r>
              <w:rPr>
                <w:rFonts w:ascii="Times New Roman" w:hAnsi="Times New Roman"/>
                <w:snapToGrid w:val="0"/>
                <w:color w:val="auto"/>
                <w:sz w:val="24"/>
              </w:rPr>
              <w:instrText xml:space="preserve"> = 1 \* GB3 \* MERGEFORMAT </w:instrText>
            </w:r>
            <w:r>
              <w:rPr>
                <w:rFonts w:ascii="Times New Roman" w:hAnsi="Times New Roman"/>
                <w:snapToGrid w:val="0"/>
                <w:color w:val="auto"/>
                <w:sz w:val="24"/>
              </w:rPr>
              <w:fldChar w:fldCharType="separate"/>
            </w:r>
            <w:r>
              <w:rPr>
                <w:rFonts w:ascii="Times New Roman" w:hAnsi="Times New Roman"/>
                <w:color w:val="auto"/>
              </w:rPr>
              <w:t>①</w:t>
            </w:r>
            <w:r>
              <w:rPr>
                <w:rFonts w:ascii="Times New Roman" w:hAnsi="Times New Roman"/>
                <w:snapToGrid w:val="0"/>
                <w:color w:val="auto"/>
                <w:sz w:val="24"/>
              </w:rPr>
              <w:fldChar w:fldCharType="end"/>
            </w:r>
            <w:r>
              <w:rPr>
                <w:rFonts w:hint="eastAsia" w:ascii="Times New Roman" w:hAnsi="Times New Roman"/>
                <w:snapToGrid w:val="0"/>
                <w:color w:val="auto"/>
                <w:sz w:val="24"/>
              </w:rPr>
              <w:t>废机油及废润滑油</w:t>
            </w:r>
          </w:p>
          <w:p>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项目生产过程中机械加工设备运行需使用</w:t>
            </w:r>
            <w:r>
              <w:rPr>
                <w:rFonts w:hint="eastAsia" w:ascii="Times New Roman" w:hAnsi="Times New Roman"/>
                <w:snapToGrid w:val="0"/>
                <w:color w:val="auto"/>
                <w:sz w:val="24"/>
              </w:rPr>
              <w:t>润滑油及机油</w:t>
            </w:r>
            <w:r>
              <w:rPr>
                <w:rFonts w:ascii="Times New Roman" w:hAnsi="Times New Roman"/>
                <w:snapToGrid w:val="0"/>
                <w:color w:val="auto"/>
                <w:sz w:val="24"/>
              </w:rPr>
              <w:t>，该部分物料循环使用，定期更换。废</w:t>
            </w:r>
            <w:r>
              <w:rPr>
                <w:rFonts w:hint="eastAsia" w:ascii="Times New Roman" w:hAnsi="Times New Roman"/>
                <w:snapToGrid w:val="0"/>
                <w:color w:val="auto"/>
                <w:sz w:val="24"/>
              </w:rPr>
              <w:t>润滑油及废机油</w:t>
            </w:r>
            <w:r>
              <w:rPr>
                <w:rFonts w:ascii="Times New Roman" w:hAnsi="Times New Roman"/>
                <w:snapToGrid w:val="0"/>
                <w:color w:val="auto"/>
                <w:sz w:val="24"/>
              </w:rPr>
              <w:t>的产生量为0.0</w:t>
            </w:r>
            <w:r>
              <w:rPr>
                <w:rFonts w:hint="eastAsia" w:ascii="Times New Roman" w:hAnsi="Times New Roman"/>
                <w:snapToGrid w:val="0"/>
                <w:color w:val="auto"/>
                <w:sz w:val="24"/>
              </w:rPr>
              <w:t>1</w:t>
            </w:r>
            <w:r>
              <w:rPr>
                <w:rFonts w:ascii="Times New Roman" w:hAnsi="Times New Roman"/>
                <w:snapToGrid w:val="0"/>
                <w:color w:val="auto"/>
                <w:sz w:val="24"/>
              </w:rPr>
              <w:t>t/a、0.</w:t>
            </w:r>
            <w:r>
              <w:rPr>
                <w:rFonts w:hint="eastAsia" w:ascii="Times New Roman" w:hAnsi="Times New Roman"/>
                <w:snapToGrid w:val="0"/>
                <w:color w:val="auto"/>
                <w:sz w:val="24"/>
              </w:rPr>
              <w:t>1</w:t>
            </w:r>
            <w:r>
              <w:rPr>
                <w:rFonts w:ascii="Times New Roman" w:hAnsi="Times New Roman"/>
                <w:snapToGrid w:val="0"/>
                <w:color w:val="auto"/>
                <w:sz w:val="24"/>
              </w:rPr>
              <w:t>t/a。根据《国家危险废物名录（2021版）》中规定，废润滑油属于</w:t>
            </w:r>
            <w:r>
              <w:rPr>
                <w:rFonts w:hint="eastAsia" w:ascii="宋体" w:hAnsi="宋体" w:cs="宋体"/>
                <w:snapToGrid w:val="0"/>
                <w:color w:val="auto"/>
                <w:sz w:val="24"/>
              </w:rPr>
              <w:t>“</w:t>
            </w:r>
            <w:r>
              <w:rPr>
                <w:rFonts w:ascii="Times New Roman" w:hAnsi="Times New Roman"/>
                <w:snapToGrid w:val="0"/>
                <w:color w:val="auto"/>
                <w:sz w:val="24"/>
              </w:rPr>
              <w:t>HW08 废矿物油与含矿物油废物中的</w:t>
            </w:r>
            <w:r>
              <w:rPr>
                <w:rFonts w:hint="eastAsia" w:ascii="宋体" w:hAnsi="宋体" w:cs="宋体"/>
                <w:snapToGrid w:val="0"/>
                <w:color w:val="auto"/>
                <w:sz w:val="24"/>
              </w:rPr>
              <w:t>“</w:t>
            </w:r>
            <w:r>
              <w:rPr>
                <w:rFonts w:ascii="Times New Roman" w:hAnsi="Times New Roman"/>
                <w:snapToGrid w:val="0"/>
                <w:color w:val="auto"/>
                <w:sz w:val="24"/>
              </w:rPr>
              <w:t>900-217-08</w:t>
            </w:r>
            <w:r>
              <w:rPr>
                <w:rFonts w:hint="eastAsia" w:ascii="Times New Roman" w:hAnsi="Times New Roman"/>
                <w:snapToGrid w:val="0"/>
                <w:color w:val="auto"/>
                <w:sz w:val="24"/>
              </w:rPr>
              <w:t>”</w:t>
            </w:r>
            <w:r>
              <w:rPr>
                <w:rFonts w:ascii="Times New Roman" w:hAnsi="Times New Roman"/>
                <w:snapToGrid w:val="0"/>
                <w:color w:val="auto"/>
                <w:sz w:val="24"/>
              </w:rPr>
              <w:t>使用工业齿轮油进行机械设备润滑过程中产生的废润滑油</w:t>
            </w:r>
            <w:r>
              <w:rPr>
                <w:rFonts w:hint="eastAsia" w:ascii="Times New Roman" w:hAnsi="Times New Roman"/>
                <w:snapToGrid w:val="0"/>
                <w:color w:val="auto"/>
                <w:sz w:val="24"/>
              </w:rPr>
              <w:t>”</w:t>
            </w:r>
            <w:r>
              <w:rPr>
                <w:rFonts w:ascii="Times New Roman" w:hAnsi="Times New Roman"/>
                <w:snapToGrid w:val="0"/>
                <w:color w:val="auto"/>
                <w:sz w:val="24"/>
              </w:rPr>
              <w:t>；废</w:t>
            </w:r>
            <w:r>
              <w:rPr>
                <w:rFonts w:hint="eastAsia" w:ascii="Times New Roman" w:hAnsi="Times New Roman"/>
                <w:snapToGrid w:val="0"/>
                <w:color w:val="auto"/>
                <w:sz w:val="24"/>
              </w:rPr>
              <w:t>机</w:t>
            </w:r>
            <w:r>
              <w:rPr>
                <w:rFonts w:ascii="Times New Roman" w:hAnsi="Times New Roman"/>
                <w:snapToGrid w:val="0"/>
                <w:color w:val="auto"/>
                <w:sz w:val="24"/>
              </w:rPr>
              <w:t>油属于</w:t>
            </w:r>
            <w:r>
              <w:rPr>
                <w:rFonts w:hint="eastAsia" w:ascii="Times New Roman" w:hAnsi="Times New Roman"/>
                <w:snapToGrid w:val="0"/>
                <w:color w:val="auto"/>
                <w:sz w:val="24"/>
              </w:rPr>
              <w:t>“</w:t>
            </w:r>
            <w:r>
              <w:rPr>
                <w:rFonts w:ascii="Times New Roman" w:hAnsi="Times New Roman"/>
                <w:snapToGrid w:val="0"/>
                <w:color w:val="auto"/>
                <w:sz w:val="24"/>
              </w:rPr>
              <w:t>HW08 废矿物油与含矿物油废物</w:t>
            </w:r>
            <w:r>
              <w:rPr>
                <w:rFonts w:hint="eastAsia" w:ascii="Times New Roman" w:hAnsi="Times New Roman"/>
                <w:snapToGrid w:val="0"/>
                <w:color w:val="auto"/>
                <w:sz w:val="24"/>
              </w:rPr>
              <w:t>”</w:t>
            </w:r>
            <w:r>
              <w:rPr>
                <w:rFonts w:ascii="Times New Roman" w:hAnsi="Times New Roman"/>
                <w:snapToGrid w:val="0"/>
                <w:color w:val="auto"/>
                <w:sz w:val="24"/>
              </w:rPr>
              <w:t>中的</w:t>
            </w:r>
            <w:r>
              <w:rPr>
                <w:rFonts w:hint="eastAsia" w:ascii="Times New Roman" w:hAnsi="Times New Roman"/>
                <w:snapToGrid w:val="0"/>
                <w:color w:val="auto"/>
                <w:sz w:val="24"/>
              </w:rPr>
              <w:t>“</w:t>
            </w:r>
            <w:r>
              <w:rPr>
                <w:rFonts w:ascii="Times New Roman" w:hAnsi="Times New Roman"/>
                <w:snapToGrid w:val="0"/>
                <w:color w:val="auto"/>
                <w:sz w:val="24"/>
              </w:rPr>
              <w:t>900-218-08液压设备维护、更换和拆解过程中产生的废液压油</w:t>
            </w:r>
            <w:r>
              <w:rPr>
                <w:rFonts w:hint="eastAsia" w:ascii="Times New Roman" w:hAnsi="Times New Roman"/>
                <w:snapToGrid w:val="0"/>
                <w:color w:val="auto"/>
                <w:sz w:val="24"/>
              </w:rPr>
              <w:t>”</w:t>
            </w:r>
            <w:r>
              <w:rPr>
                <w:rFonts w:ascii="Times New Roman" w:hAnsi="Times New Roman"/>
                <w:snapToGrid w:val="0"/>
                <w:color w:val="auto"/>
                <w:sz w:val="24"/>
              </w:rPr>
              <w:t>。废润滑油、</w:t>
            </w:r>
            <w:r>
              <w:rPr>
                <w:rFonts w:hint="eastAsia" w:ascii="Times New Roman" w:hAnsi="Times New Roman"/>
                <w:snapToGrid w:val="0"/>
                <w:color w:val="auto"/>
                <w:sz w:val="24"/>
              </w:rPr>
              <w:t>废机</w:t>
            </w:r>
            <w:r>
              <w:rPr>
                <w:rFonts w:ascii="Times New Roman" w:hAnsi="Times New Roman"/>
                <w:snapToGrid w:val="0"/>
                <w:color w:val="auto"/>
                <w:sz w:val="24"/>
              </w:rPr>
              <w:t>油统一收集后暂存于危废暂存库，委托有危废资质的单位处置。</w:t>
            </w:r>
          </w:p>
          <w:p>
            <w:pPr>
              <w:spacing w:line="360" w:lineRule="auto"/>
              <w:ind w:firstLine="480" w:firstLineChars="200"/>
              <w:rPr>
                <w:rFonts w:ascii="Times New Roman" w:hAnsi="Times New Roman"/>
                <w:snapToGrid w:val="0"/>
                <w:color w:val="auto"/>
                <w:sz w:val="24"/>
              </w:rPr>
            </w:pPr>
            <w:r>
              <w:rPr>
                <w:rFonts w:hint="eastAsia" w:ascii="Times New Roman" w:hAnsi="Times New Roman"/>
                <w:snapToGrid w:val="0"/>
                <w:color w:val="auto"/>
                <w:sz w:val="24"/>
              </w:rPr>
              <w:t>②</w:t>
            </w:r>
            <w:r>
              <w:rPr>
                <w:rFonts w:ascii="Times New Roman" w:hAnsi="Times New Roman"/>
                <w:snapToGrid w:val="0"/>
                <w:color w:val="auto"/>
                <w:sz w:val="24"/>
              </w:rPr>
              <w:t>废包装桶</w:t>
            </w:r>
          </w:p>
          <w:p>
            <w:pPr>
              <w:spacing w:line="360" w:lineRule="auto"/>
              <w:ind w:firstLine="480" w:firstLineChars="200"/>
              <w:rPr>
                <w:rFonts w:ascii="Times New Roman" w:hAnsi="Times New Roman"/>
                <w:snapToGrid w:val="0"/>
                <w:color w:val="auto"/>
                <w:sz w:val="24"/>
              </w:rPr>
            </w:pPr>
            <w:r>
              <w:rPr>
                <w:rFonts w:ascii="Times New Roman" w:hAnsi="Times New Roman"/>
                <w:bCs/>
                <w:color w:val="auto"/>
                <w:sz w:val="24"/>
              </w:rPr>
              <w:t>根据建设单位提供的资料，</w:t>
            </w:r>
            <w:r>
              <w:rPr>
                <w:rFonts w:ascii="Times New Roman" w:hAnsi="Times New Roman"/>
                <w:snapToGrid w:val="0"/>
                <w:color w:val="auto"/>
                <w:sz w:val="24"/>
              </w:rPr>
              <w:t>项目更换润滑油、</w:t>
            </w:r>
            <w:r>
              <w:rPr>
                <w:rFonts w:hint="eastAsia" w:ascii="Times New Roman" w:hAnsi="Times New Roman"/>
                <w:snapToGrid w:val="0"/>
                <w:color w:val="auto"/>
                <w:sz w:val="24"/>
              </w:rPr>
              <w:t>机</w:t>
            </w:r>
            <w:r>
              <w:rPr>
                <w:rFonts w:ascii="Times New Roman" w:hAnsi="Times New Roman"/>
                <w:snapToGrid w:val="0"/>
                <w:color w:val="auto"/>
                <w:sz w:val="24"/>
              </w:rPr>
              <w:t>油时会产生少量废包装桶，产生量约为0.0</w:t>
            </w:r>
            <w:r>
              <w:rPr>
                <w:rFonts w:hint="eastAsia" w:ascii="Times New Roman" w:hAnsi="Times New Roman"/>
                <w:snapToGrid w:val="0"/>
                <w:color w:val="auto"/>
                <w:sz w:val="24"/>
              </w:rPr>
              <w:t>8</w:t>
            </w:r>
            <w:r>
              <w:rPr>
                <w:rFonts w:ascii="Times New Roman" w:hAnsi="Times New Roman"/>
                <w:snapToGrid w:val="0"/>
                <w:color w:val="auto"/>
                <w:sz w:val="24"/>
              </w:rPr>
              <w:t>t/a，根据《国家危险废物名录》（2021版）可知，废包装桶属于</w:t>
            </w:r>
            <w:r>
              <w:rPr>
                <w:rFonts w:hint="eastAsia" w:ascii="Times New Roman" w:hAnsi="Times New Roman"/>
                <w:snapToGrid w:val="0"/>
                <w:color w:val="auto"/>
                <w:sz w:val="24"/>
              </w:rPr>
              <w:t>“</w:t>
            </w:r>
            <w:r>
              <w:rPr>
                <w:rFonts w:ascii="Times New Roman" w:hAnsi="Times New Roman"/>
                <w:snapToGrid w:val="0"/>
                <w:color w:val="auto"/>
                <w:sz w:val="24"/>
              </w:rPr>
              <w:t>HW49 其他废物（900-041-49）</w:t>
            </w:r>
            <w:r>
              <w:rPr>
                <w:rFonts w:hint="eastAsia" w:ascii="Times New Roman" w:hAnsi="Times New Roman"/>
                <w:snapToGrid w:val="0"/>
                <w:color w:val="auto"/>
                <w:sz w:val="24"/>
              </w:rPr>
              <w:t>”</w:t>
            </w:r>
            <w:r>
              <w:rPr>
                <w:rFonts w:ascii="Times New Roman" w:hAnsi="Times New Roman"/>
                <w:snapToGrid w:val="0"/>
                <w:color w:val="auto"/>
                <w:sz w:val="24"/>
              </w:rPr>
              <w:t>中的</w:t>
            </w:r>
            <w:r>
              <w:rPr>
                <w:rFonts w:hint="eastAsia" w:ascii="Times New Roman" w:hAnsi="Times New Roman"/>
                <w:snapToGrid w:val="0"/>
                <w:color w:val="auto"/>
                <w:sz w:val="24"/>
              </w:rPr>
              <w:t>“</w:t>
            </w:r>
            <w:r>
              <w:rPr>
                <w:rFonts w:ascii="Times New Roman" w:hAnsi="Times New Roman"/>
                <w:snapToGrid w:val="0"/>
                <w:color w:val="auto"/>
                <w:sz w:val="24"/>
              </w:rPr>
              <w:t>含有或沾染毒性、感染性危险废物的废弃包装物、容器、过滤吸附介质</w:t>
            </w:r>
            <w:r>
              <w:rPr>
                <w:rFonts w:hint="eastAsia" w:ascii="Times New Roman" w:hAnsi="Times New Roman"/>
                <w:snapToGrid w:val="0"/>
                <w:color w:val="auto"/>
                <w:sz w:val="24"/>
              </w:rPr>
              <w:t>”</w:t>
            </w:r>
            <w:r>
              <w:rPr>
                <w:rFonts w:ascii="Times New Roman" w:hAnsi="Times New Roman"/>
                <w:snapToGrid w:val="0"/>
                <w:color w:val="auto"/>
                <w:sz w:val="24"/>
              </w:rPr>
              <w:t>。</w:t>
            </w:r>
            <w:r>
              <w:rPr>
                <w:rFonts w:hint="eastAsia" w:ascii="Times New Roman" w:hAnsi="Times New Roman"/>
                <w:snapToGrid w:val="0"/>
                <w:color w:val="auto"/>
                <w:sz w:val="24"/>
              </w:rPr>
              <w:t>废桶</w:t>
            </w:r>
            <w:r>
              <w:rPr>
                <w:rFonts w:ascii="Times New Roman" w:hAnsi="Times New Roman"/>
                <w:snapToGrid w:val="0"/>
                <w:color w:val="auto"/>
                <w:sz w:val="24"/>
              </w:rPr>
              <w:t>收集后暂存于危废暂存库，委托有危废资质的单位处置。</w:t>
            </w:r>
          </w:p>
          <w:p>
            <w:pPr>
              <w:jc w:val="center"/>
              <w:rPr>
                <w:rFonts w:ascii="Times New Roman" w:hAnsi="Times New Roman"/>
                <w:b/>
                <w:bCs/>
                <w:color w:val="auto"/>
                <w:u w:val="single"/>
              </w:rPr>
            </w:pPr>
            <w:r>
              <w:rPr>
                <w:rFonts w:ascii="Times New Roman" w:hAnsi="Times New Roman"/>
                <w:b/>
                <w:bCs/>
                <w:color w:val="auto"/>
                <w:u w:val="single"/>
              </w:rPr>
              <w:t>表</w:t>
            </w:r>
            <w:r>
              <w:rPr>
                <w:rFonts w:hint="eastAsia" w:ascii="Times New Roman" w:hAnsi="Times New Roman"/>
                <w:b/>
                <w:bCs/>
                <w:color w:val="auto"/>
                <w:u w:val="single"/>
              </w:rPr>
              <w:t>4-</w:t>
            </w:r>
            <w:r>
              <w:rPr>
                <w:rFonts w:hint="eastAsia" w:ascii="Times New Roman" w:hAnsi="Times New Roman"/>
                <w:b/>
                <w:bCs/>
                <w:color w:val="auto"/>
                <w:u w:val="single"/>
                <w:lang w:val="en-US" w:eastAsia="zh-CN"/>
              </w:rPr>
              <w:t>12</w:t>
            </w:r>
            <w:r>
              <w:rPr>
                <w:rFonts w:hint="eastAsia" w:ascii="Times New Roman" w:hAnsi="Times New Roman"/>
                <w:b/>
                <w:bCs/>
                <w:color w:val="auto"/>
                <w:u w:val="single"/>
              </w:rPr>
              <w:t xml:space="preserve"> </w:t>
            </w:r>
            <w:r>
              <w:rPr>
                <w:rFonts w:ascii="Times New Roman" w:hAnsi="Times New Roman"/>
                <w:b/>
                <w:bCs/>
                <w:color w:val="auto"/>
                <w:u w:val="single"/>
              </w:rPr>
              <w:t xml:space="preserve"> 项目固体废物</w:t>
            </w:r>
            <w:r>
              <w:rPr>
                <w:rFonts w:hint="eastAsia" w:ascii="Times New Roman" w:hAnsi="Times New Roman"/>
                <w:b/>
                <w:bCs/>
                <w:color w:val="auto"/>
                <w:u w:val="single"/>
              </w:rPr>
              <w:t>产排情况一览表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617"/>
              <w:gridCol w:w="1221"/>
              <w:gridCol w:w="824"/>
              <w:gridCol w:w="1560"/>
              <w:gridCol w:w="824"/>
              <w:gridCol w:w="778"/>
              <w:gridCol w:w="1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序号</w:t>
                  </w:r>
                </w:p>
              </w:tc>
              <w:tc>
                <w:tcPr>
                  <w:tcW w:w="351"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产生环节</w:t>
                  </w:r>
                </w:p>
              </w:tc>
              <w:tc>
                <w:tcPr>
                  <w:tcW w:w="695"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名称</w:t>
                  </w:r>
                </w:p>
              </w:tc>
              <w:tc>
                <w:tcPr>
                  <w:tcW w:w="469"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属性</w:t>
                  </w:r>
                </w:p>
              </w:tc>
              <w:tc>
                <w:tcPr>
                  <w:tcW w:w="888"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主要有毒有害物质名称</w:t>
                  </w:r>
                </w:p>
              </w:tc>
              <w:tc>
                <w:tcPr>
                  <w:tcW w:w="469"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物理性质</w:t>
                  </w:r>
                </w:p>
              </w:tc>
              <w:tc>
                <w:tcPr>
                  <w:tcW w:w="443"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环境危险特性</w:t>
                  </w:r>
                </w:p>
              </w:tc>
              <w:tc>
                <w:tcPr>
                  <w:tcW w:w="572"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年度产生量（t/a）</w:t>
                  </w:r>
                </w:p>
              </w:tc>
              <w:tc>
                <w:tcPr>
                  <w:tcW w:w="769" w:type="pct"/>
                  <w:vAlign w:val="center"/>
                </w:tcPr>
                <w:p>
                  <w:pPr>
                    <w:jc w:val="center"/>
                    <w:rPr>
                      <w:rFonts w:ascii="Times New Roman" w:hAnsi="Times New Roman"/>
                      <w:b/>
                      <w:bCs/>
                      <w:color w:val="auto"/>
                      <w:u w:val="single"/>
                    </w:rPr>
                  </w:pPr>
                  <w:r>
                    <w:rPr>
                      <w:rFonts w:hint="eastAsia" w:ascii="Times New Roman" w:hAnsi="Times New Roman"/>
                      <w:b/>
                      <w:bCs/>
                      <w:color w:val="auto"/>
                      <w:u w:val="single"/>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r>
                    <w:rPr>
                      <w:rFonts w:hint="eastAsia" w:ascii="Times New Roman" w:hAnsi="Times New Roman"/>
                      <w:color w:val="auto"/>
                      <w:u w:val="single"/>
                    </w:rPr>
                    <w:t>1</w:t>
                  </w:r>
                </w:p>
              </w:tc>
              <w:tc>
                <w:tcPr>
                  <w:tcW w:w="351" w:type="pct"/>
                  <w:vAlign w:val="center"/>
                </w:tcPr>
                <w:p>
                  <w:pPr>
                    <w:jc w:val="center"/>
                    <w:rPr>
                      <w:rFonts w:ascii="Times New Roman" w:hAnsi="Times New Roman"/>
                      <w:color w:val="auto"/>
                      <w:u w:val="single"/>
                    </w:rPr>
                  </w:pPr>
                  <w:r>
                    <w:rPr>
                      <w:rFonts w:hint="eastAsia" w:ascii="Times New Roman" w:hAnsi="Times New Roman"/>
                      <w:color w:val="auto"/>
                      <w:u w:val="single"/>
                    </w:rPr>
                    <w:t>生活办公</w:t>
                  </w: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生活</w:t>
                  </w:r>
                </w:p>
                <w:p>
                  <w:pPr>
                    <w:jc w:val="center"/>
                    <w:rPr>
                      <w:rFonts w:ascii="Times New Roman" w:hAnsi="Times New Roman"/>
                      <w:color w:val="auto"/>
                      <w:u w:val="single"/>
                    </w:rPr>
                  </w:pPr>
                  <w:r>
                    <w:rPr>
                      <w:rFonts w:hint="eastAsia" w:ascii="Times New Roman" w:hAnsi="Times New Roman"/>
                      <w:color w:val="auto"/>
                      <w:u w:val="single"/>
                    </w:rPr>
                    <w:t>垃圾</w:t>
                  </w:r>
                </w:p>
              </w:tc>
              <w:tc>
                <w:tcPr>
                  <w:tcW w:w="469" w:type="pct"/>
                  <w:vAlign w:val="center"/>
                </w:tcPr>
                <w:p>
                  <w:pPr>
                    <w:jc w:val="center"/>
                    <w:rPr>
                      <w:rFonts w:ascii="Times New Roman" w:hAnsi="Times New Roman"/>
                      <w:color w:val="auto"/>
                      <w:u w:val="single"/>
                    </w:rPr>
                  </w:pPr>
                  <w:r>
                    <w:rPr>
                      <w:rFonts w:hint="eastAsia" w:ascii="Times New Roman" w:hAnsi="Times New Roman"/>
                      <w:color w:val="auto"/>
                      <w:u w:val="single"/>
                    </w:rPr>
                    <w:t>生活垃圾</w:t>
                  </w:r>
                </w:p>
              </w:tc>
              <w:tc>
                <w:tcPr>
                  <w:tcW w:w="888" w:type="pct"/>
                  <w:vAlign w:val="center"/>
                </w:tcPr>
                <w:p>
                  <w:pPr>
                    <w:jc w:val="center"/>
                    <w:rPr>
                      <w:rFonts w:ascii="Times New Roman" w:hAnsi="Times New Roman"/>
                      <w:color w:val="auto"/>
                      <w:u w:val="single"/>
                    </w:rPr>
                  </w:pPr>
                  <w:r>
                    <w:rPr>
                      <w:rFonts w:hint="eastAsia" w:ascii="Times New Roman" w:hAnsi="Times New Roman"/>
                      <w:color w:val="auto"/>
                      <w:u w:val="single"/>
                    </w:rPr>
                    <w:t>/</w:t>
                  </w:r>
                </w:p>
              </w:tc>
              <w:tc>
                <w:tcPr>
                  <w:tcW w:w="469" w:type="pct"/>
                  <w:vAlign w:val="center"/>
                </w:tcPr>
                <w:p>
                  <w:pPr>
                    <w:jc w:val="center"/>
                    <w:rPr>
                      <w:rFonts w:ascii="Times New Roman" w:hAnsi="Times New Roman"/>
                      <w:color w:val="auto"/>
                      <w:u w:val="single"/>
                    </w:rPr>
                  </w:pPr>
                  <w:r>
                    <w:rPr>
                      <w:rFonts w:hint="eastAsia" w:ascii="Times New Roman" w:hAnsi="Times New Roman"/>
                      <w:color w:val="auto"/>
                      <w:u w:val="single"/>
                    </w:rPr>
                    <w:t>固态</w:t>
                  </w:r>
                </w:p>
              </w:tc>
              <w:tc>
                <w:tcPr>
                  <w:tcW w:w="443"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w:t>
                  </w: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6.76</w:t>
                  </w:r>
                </w:p>
              </w:tc>
              <w:tc>
                <w:tcPr>
                  <w:tcW w:w="769" w:type="pct"/>
                  <w:vAlign w:val="center"/>
                </w:tcPr>
                <w:p>
                  <w:pPr>
                    <w:jc w:val="center"/>
                    <w:rPr>
                      <w:rFonts w:ascii="Times New Roman" w:hAnsi="Times New Roman"/>
                      <w:color w:val="auto"/>
                      <w:u w:val="single"/>
                    </w:rPr>
                  </w:pPr>
                  <w:r>
                    <w:rPr>
                      <w:rFonts w:hint="eastAsia" w:ascii="Times New Roman" w:hAnsi="Times New Roman"/>
                      <w:color w:val="auto"/>
                      <w:u w:val="single"/>
                    </w:rPr>
                    <w:t>环卫</w:t>
                  </w:r>
                </w:p>
                <w:p>
                  <w:pPr>
                    <w:jc w:val="center"/>
                    <w:rPr>
                      <w:rFonts w:ascii="Times New Roman" w:hAnsi="Times New Roman"/>
                      <w:color w:val="auto"/>
                      <w:u w:val="single"/>
                    </w:rPr>
                  </w:pPr>
                  <w:r>
                    <w:rPr>
                      <w:rFonts w:hint="eastAsia" w:ascii="Times New Roman" w:hAnsi="Times New Roman"/>
                      <w:color w:val="auto"/>
                      <w:u w:val="single"/>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r>
                    <w:rPr>
                      <w:rFonts w:hint="eastAsia" w:ascii="Times New Roman" w:hAnsi="Times New Roman"/>
                      <w:color w:val="auto"/>
                      <w:u w:val="single"/>
                    </w:rPr>
                    <w:t>2</w:t>
                  </w:r>
                </w:p>
              </w:tc>
              <w:tc>
                <w:tcPr>
                  <w:tcW w:w="351"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生产过程</w:t>
                  </w: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沉淀池铁泥</w:t>
                  </w:r>
                </w:p>
              </w:tc>
              <w:tc>
                <w:tcPr>
                  <w:tcW w:w="469"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一般固体废物</w:t>
                  </w:r>
                </w:p>
              </w:tc>
              <w:tc>
                <w:tcPr>
                  <w:tcW w:w="888" w:type="pct"/>
                  <w:vAlign w:val="center"/>
                </w:tcPr>
                <w:p>
                  <w:pPr>
                    <w:jc w:val="center"/>
                    <w:rPr>
                      <w:rFonts w:ascii="Times New Roman" w:hAnsi="Times New Roman"/>
                      <w:color w:val="auto"/>
                      <w:u w:val="single"/>
                    </w:rPr>
                  </w:pPr>
                  <w:r>
                    <w:rPr>
                      <w:rFonts w:hint="eastAsia" w:ascii="Times New Roman" w:hAnsi="Times New Roman"/>
                      <w:color w:val="auto"/>
                      <w:u w:val="single"/>
                    </w:rPr>
                    <w:t>/</w:t>
                  </w:r>
                </w:p>
              </w:tc>
              <w:tc>
                <w:tcPr>
                  <w:tcW w:w="469" w:type="pct"/>
                  <w:vAlign w:val="center"/>
                </w:tcPr>
                <w:p>
                  <w:pPr>
                    <w:jc w:val="center"/>
                    <w:rPr>
                      <w:rFonts w:ascii="Times New Roman" w:hAnsi="Times New Roman"/>
                      <w:color w:val="auto"/>
                      <w:u w:val="single"/>
                    </w:rPr>
                  </w:pPr>
                  <w:r>
                    <w:rPr>
                      <w:rFonts w:hint="eastAsia" w:ascii="Times New Roman" w:hAnsi="Times New Roman"/>
                      <w:color w:val="auto"/>
                      <w:u w:val="single"/>
                    </w:rPr>
                    <w:t>固液态</w:t>
                  </w:r>
                </w:p>
              </w:tc>
              <w:tc>
                <w:tcPr>
                  <w:tcW w:w="443" w:type="pct"/>
                  <w:vMerge w:val="continue"/>
                  <w:vAlign w:val="center"/>
                </w:tcPr>
                <w:p>
                  <w:pPr>
                    <w:jc w:val="center"/>
                    <w:rPr>
                      <w:rFonts w:ascii="Times New Roman" w:hAnsi="Times New Roman"/>
                      <w:color w:val="auto"/>
                      <w:u w:val="single"/>
                    </w:rPr>
                  </w:pP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2</w:t>
                  </w:r>
                </w:p>
              </w:tc>
              <w:tc>
                <w:tcPr>
                  <w:tcW w:w="769" w:type="pct"/>
                  <w:vAlign w:val="center"/>
                </w:tcPr>
                <w:p>
                  <w:pPr>
                    <w:jc w:val="center"/>
                    <w:rPr>
                      <w:rFonts w:ascii="Times New Roman" w:hAnsi="Times New Roman"/>
                      <w:color w:val="auto"/>
                      <w:u w:val="single"/>
                    </w:rPr>
                  </w:pPr>
                  <w:r>
                    <w:rPr>
                      <w:rFonts w:hint="eastAsia" w:ascii="Times New Roman" w:hAnsi="Times New Roman"/>
                      <w:color w:val="auto"/>
                      <w:u w:val="single"/>
                    </w:rPr>
                    <w:t>炼钢厂回收</w:t>
                  </w:r>
                </w:p>
                <w:p>
                  <w:pPr>
                    <w:jc w:val="center"/>
                    <w:rPr>
                      <w:rFonts w:ascii="Times New Roman" w:hAnsi="Times New Roman"/>
                      <w:color w:val="auto"/>
                      <w:u w:val="single"/>
                    </w:rPr>
                  </w:pPr>
                  <w:r>
                    <w:rPr>
                      <w:rFonts w:hint="eastAsia" w:ascii="Times New Roman" w:hAnsi="Times New Roman"/>
                      <w:color w:val="auto"/>
                      <w:u w:val="single"/>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p>
              </w:tc>
              <w:tc>
                <w:tcPr>
                  <w:tcW w:w="351" w:type="pct"/>
                  <w:vMerge w:val="continue"/>
                  <w:vAlign w:val="center"/>
                </w:tcPr>
                <w:p>
                  <w:pPr>
                    <w:jc w:val="center"/>
                    <w:rPr>
                      <w:rFonts w:ascii="Times New Roman" w:hAnsi="Times New Roman"/>
                      <w:color w:val="auto"/>
                      <w:u w:val="single"/>
                    </w:rPr>
                  </w:pP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布袋除尘粉尘</w:t>
                  </w:r>
                </w:p>
              </w:tc>
              <w:tc>
                <w:tcPr>
                  <w:tcW w:w="469" w:type="pct"/>
                  <w:vMerge w:val="continue"/>
                  <w:vAlign w:val="center"/>
                </w:tcPr>
                <w:p>
                  <w:pPr>
                    <w:jc w:val="center"/>
                    <w:rPr>
                      <w:rFonts w:ascii="Times New Roman" w:hAnsi="Times New Roman"/>
                      <w:color w:val="auto"/>
                      <w:u w:val="single"/>
                    </w:rPr>
                  </w:pPr>
                </w:p>
              </w:tc>
              <w:tc>
                <w:tcPr>
                  <w:tcW w:w="888"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292-001-05</w:t>
                  </w:r>
                </w:p>
              </w:tc>
              <w:tc>
                <w:tcPr>
                  <w:tcW w:w="469"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固态</w:t>
                  </w:r>
                </w:p>
              </w:tc>
              <w:tc>
                <w:tcPr>
                  <w:tcW w:w="443" w:type="pct"/>
                  <w:vMerge w:val="continue"/>
                  <w:vAlign w:val="center"/>
                </w:tcPr>
                <w:p>
                  <w:pPr>
                    <w:jc w:val="center"/>
                    <w:rPr>
                      <w:rFonts w:ascii="Times New Roman" w:hAnsi="Times New Roman"/>
                      <w:color w:val="auto"/>
                      <w:u w:val="single"/>
                    </w:rPr>
                  </w:pP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0.000349</w:t>
                  </w:r>
                </w:p>
              </w:tc>
              <w:tc>
                <w:tcPr>
                  <w:tcW w:w="769"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物资回收利用公司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r>
                    <w:rPr>
                      <w:rFonts w:hint="eastAsia" w:ascii="Times New Roman" w:hAnsi="Times New Roman"/>
                      <w:color w:val="auto"/>
                      <w:u w:val="single"/>
                    </w:rPr>
                    <w:t>3</w:t>
                  </w:r>
                </w:p>
              </w:tc>
              <w:tc>
                <w:tcPr>
                  <w:tcW w:w="351" w:type="pct"/>
                  <w:vMerge w:val="continue"/>
                  <w:vAlign w:val="center"/>
                </w:tcPr>
                <w:p>
                  <w:pPr>
                    <w:jc w:val="center"/>
                    <w:rPr>
                      <w:rFonts w:ascii="Times New Roman" w:hAnsi="Times New Roman"/>
                      <w:color w:val="auto"/>
                      <w:u w:val="single"/>
                    </w:rPr>
                  </w:pP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金属边角废料</w:t>
                  </w:r>
                </w:p>
              </w:tc>
              <w:tc>
                <w:tcPr>
                  <w:tcW w:w="469" w:type="pct"/>
                  <w:vMerge w:val="continue"/>
                  <w:vAlign w:val="center"/>
                </w:tcPr>
                <w:p>
                  <w:pPr>
                    <w:jc w:val="center"/>
                    <w:rPr>
                      <w:rFonts w:ascii="Times New Roman" w:hAnsi="Times New Roman"/>
                      <w:color w:val="auto"/>
                      <w:u w:val="single"/>
                    </w:rPr>
                  </w:pPr>
                </w:p>
              </w:tc>
              <w:tc>
                <w:tcPr>
                  <w:tcW w:w="888" w:type="pct"/>
                  <w:vMerge w:val="continue"/>
                  <w:vAlign w:val="center"/>
                </w:tcPr>
                <w:p>
                  <w:pPr>
                    <w:jc w:val="center"/>
                    <w:rPr>
                      <w:rFonts w:ascii="Times New Roman" w:hAnsi="Times New Roman"/>
                      <w:color w:val="auto"/>
                      <w:u w:val="single"/>
                    </w:rPr>
                  </w:pPr>
                </w:p>
              </w:tc>
              <w:tc>
                <w:tcPr>
                  <w:tcW w:w="469" w:type="pct"/>
                  <w:vMerge w:val="continue"/>
                  <w:vAlign w:val="center"/>
                </w:tcPr>
                <w:p>
                  <w:pPr>
                    <w:jc w:val="center"/>
                    <w:rPr>
                      <w:rFonts w:ascii="Times New Roman" w:hAnsi="Times New Roman"/>
                      <w:color w:val="auto"/>
                      <w:u w:val="single"/>
                    </w:rPr>
                  </w:pPr>
                </w:p>
              </w:tc>
              <w:tc>
                <w:tcPr>
                  <w:tcW w:w="443" w:type="pct"/>
                  <w:vMerge w:val="continue"/>
                  <w:vAlign w:val="center"/>
                </w:tcPr>
                <w:p>
                  <w:pPr>
                    <w:jc w:val="center"/>
                    <w:rPr>
                      <w:rFonts w:ascii="Times New Roman" w:hAnsi="Times New Roman"/>
                      <w:color w:val="auto"/>
                      <w:u w:val="single"/>
                    </w:rPr>
                  </w:pP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70</w:t>
                  </w:r>
                </w:p>
              </w:tc>
              <w:tc>
                <w:tcPr>
                  <w:tcW w:w="769" w:type="pct"/>
                  <w:vMerge w:val="continue"/>
                  <w:vAlign w:val="center"/>
                </w:tcPr>
                <w:p>
                  <w:pPr>
                    <w:jc w:val="center"/>
                    <w:rPr>
                      <w:rFonts w:ascii="Times New Roman" w:hAnsi="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r>
                    <w:rPr>
                      <w:rFonts w:hint="eastAsia" w:ascii="Times New Roman" w:hAnsi="Times New Roman"/>
                      <w:color w:val="auto"/>
                      <w:u w:val="single"/>
                    </w:rPr>
                    <w:t>4</w:t>
                  </w:r>
                </w:p>
              </w:tc>
              <w:tc>
                <w:tcPr>
                  <w:tcW w:w="351" w:type="pct"/>
                  <w:vMerge w:val="continue"/>
                  <w:vAlign w:val="center"/>
                </w:tcPr>
                <w:p>
                  <w:pPr>
                    <w:jc w:val="center"/>
                    <w:rPr>
                      <w:rFonts w:ascii="Times New Roman" w:hAnsi="Times New Roman"/>
                      <w:color w:val="auto"/>
                      <w:u w:val="single"/>
                    </w:rPr>
                  </w:pP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废机油</w:t>
                  </w:r>
                </w:p>
              </w:tc>
              <w:tc>
                <w:tcPr>
                  <w:tcW w:w="469"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危险废物</w:t>
                  </w:r>
                </w:p>
              </w:tc>
              <w:tc>
                <w:tcPr>
                  <w:tcW w:w="888" w:type="pct"/>
                  <w:vAlign w:val="center"/>
                </w:tcPr>
                <w:p>
                  <w:pPr>
                    <w:jc w:val="center"/>
                    <w:rPr>
                      <w:rFonts w:ascii="Times New Roman" w:hAnsi="Times New Roman"/>
                      <w:color w:val="auto"/>
                      <w:u w:val="single"/>
                    </w:rPr>
                  </w:pPr>
                  <w:r>
                    <w:rPr>
                      <w:rFonts w:hint="eastAsia" w:ascii="Times New Roman" w:hAnsi="Times New Roman"/>
                      <w:color w:val="auto"/>
                      <w:u w:val="single"/>
                    </w:rPr>
                    <w:t>HW08</w:t>
                  </w:r>
                </w:p>
                <w:p>
                  <w:pPr>
                    <w:jc w:val="center"/>
                    <w:rPr>
                      <w:rFonts w:ascii="Times New Roman" w:hAnsi="Times New Roman"/>
                      <w:color w:val="auto"/>
                      <w:u w:val="single"/>
                    </w:rPr>
                  </w:pPr>
                  <w:r>
                    <w:rPr>
                      <w:rFonts w:hint="eastAsia" w:ascii="Times New Roman" w:hAnsi="Times New Roman"/>
                      <w:color w:val="auto"/>
                      <w:u w:val="single"/>
                    </w:rPr>
                    <w:t>900-218-08</w:t>
                  </w:r>
                </w:p>
              </w:tc>
              <w:tc>
                <w:tcPr>
                  <w:tcW w:w="469"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液态</w:t>
                  </w:r>
                </w:p>
              </w:tc>
              <w:tc>
                <w:tcPr>
                  <w:tcW w:w="443" w:type="pct"/>
                  <w:vAlign w:val="center"/>
                </w:tcPr>
                <w:p>
                  <w:pPr>
                    <w:jc w:val="center"/>
                    <w:rPr>
                      <w:rFonts w:ascii="Times New Roman" w:hAnsi="Times New Roman"/>
                      <w:color w:val="auto"/>
                      <w:u w:val="single"/>
                    </w:rPr>
                  </w:pPr>
                  <w:r>
                    <w:rPr>
                      <w:rFonts w:hint="eastAsia" w:ascii="Times New Roman" w:hAnsi="Times New Roman"/>
                      <w:color w:val="auto"/>
                      <w:u w:val="single"/>
                    </w:rPr>
                    <w:t>T</w:t>
                  </w: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0.1</w:t>
                  </w:r>
                </w:p>
              </w:tc>
              <w:tc>
                <w:tcPr>
                  <w:tcW w:w="769" w:type="pct"/>
                  <w:vMerge w:val="restart"/>
                  <w:vAlign w:val="center"/>
                </w:tcPr>
                <w:p>
                  <w:pPr>
                    <w:jc w:val="center"/>
                    <w:rPr>
                      <w:rFonts w:ascii="Times New Roman" w:hAnsi="Times New Roman"/>
                      <w:color w:val="auto"/>
                      <w:u w:val="single"/>
                    </w:rPr>
                  </w:pPr>
                  <w:r>
                    <w:rPr>
                      <w:rFonts w:hint="eastAsia" w:ascii="Times New Roman" w:hAnsi="Times New Roman"/>
                      <w:color w:val="auto"/>
                      <w:u w:val="single"/>
                    </w:rPr>
                    <w:t>设置危废间暂存，定期交由资质单位处置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r>
                    <w:rPr>
                      <w:rFonts w:hint="eastAsia" w:ascii="Times New Roman" w:hAnsi="Times New Roman"/>
                      <w:color w:val="auto"/>
                      <w:u w:val="single"/>
                    </w:rPr>
                    <w:t>5</w:t>
                  </w:r>
                </w:p>
              </w:tc>
              <w:tc>
                <w:tcPr>
                  <w:tcW w:w="351" w:type="pct"/>
                  <w:vMerge w:val="continue"/>
                  <w:vAlign w:val="center"/>
                </w:tcPr>
                <w:p>
                  <w:pPr>
                    <w:jc w:val="center"/>
                    <w:rPr>
                      <w:rFonts w:ascii="Times New Roman" w:hAnsi="Times New Roman"/>
                      <w:color w:val="auto"/>
                      <w:u w:val="single"/>
                    </w:rPr>
                  </w:pP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废润滑油</w:t>
                  </w:r>
                </w:p>
              </w:tc>
              <w:tc>
                <w:tcPr>
                  <w:tcW w:w="469" w:type="pct"/>
                  <w:vMerge w:val="continue"/>
                  <w:vAlign w:val="center"/>
                </w:tcPr>
                <w:p>
                  <w:pPr>
                    <w:jc w:val="center"/>
                    <w:rPr>
                      <w:rFonts w:ascii="Times New Roman" w:hAnsi="Times New Roman"/>
                      <w:color w:val="auto"/>
                      <w:u w:val="single"/>
                    </w:rPr>
                  </w:pPr>
                </w:p>
              </w:tc>
              <w:tc>
                <w:tcPr>
                  <w:tcW w:w="888" w:type="pct"/>
                  <w:vAlign w:val="center"/>
                </w:tcPr>
                <w:p>
                  <w:pPr>
                    <w:jc w:val="center"/>
                    <w:rPr>
                      <w:rFonts w:ascii="Times New Roman" w:hAnsi="Times New Roman"/>
                      <w:color w:val="auto"/>
                      <w:u w:val="single"/>
                    </w:rPr>
                  </w:pPr>
                  <w:r>
                    <w:rPr>
                      <w:rFonts w:hint="eastAsia" w:ascii="Times New Roman" w:hAnsi="Times New Roman"/>
                      <w:color w:val="auto"/>
                      <w:u w:val="single"/>
                    </w:rPr>
                    <w:t>HW08</w:t>
                  </w:r>
                </w:p>
                <w:p>
                  <w:pPr>
                    <w:jc w:val="center"/>
                    <w:rPr>
                      <w:rFonts w:ascii="Times New Roman" w:hAnsi="Times New Roman"/>
                      <w:color w:val="auto"/>
                      <w:u w:val="single"/>
                    </w:rPr>
                  </w:pPr>
                  <w:r>
                    <w:rPr>
                      <w:rFonts w:hint="eastAsia" w:ascii="Times New Roman" w:hAnsi="Times New Roman"/>
                      <w:color w:val="auto"/>
                      <w:u w:val="single"/>
                    </w:rPr>
                    <w:t>900-217-08</w:t>
                  </w:r>
                </w:p>
              </w:tc>
              <w:tc>
                <w:tcPr>
                  <w:tcW w:w="469" w:type="pct"/>
                  <w:vMerge w:val="continue"/>
                  <w:vAlign w:val="center"/>
                </w:tcPr>
                <w:p>
                  <w:pPr>
                    <w:jc w:val="center"/>
                    <w:rPr>
                      <w:rFonts w:ascii="Times New Roman" w:hAnsi="Times New Roman"/>
                      <w:color w:val="auto"/>
                      <w:u w:val="single"/>
                    </w:rPr>
                  </w:pPr>
                </w:p>
              </w:tc>
              <w:tc>
                <w:tcPr>
                  <w:tcW w:w="443" w:type="pct"/>
                  <w:vAlign w:val="center"/>
                </w:tcPr>
                <w:p>
                  <w:pPr>
                    <w:jc w:val="center"/>
                    <w:rPr>
                      <w:rFonts w:ascii="Times New Roman" w:hAnsi="Times New Roman"/>
                      <w:color w:val="auto"/>
                      <w:u w:val="single"/>
                    </w:rPr>
                  </w:pPr>
                  <w:r>
                    <w:rPr>
                      <w:rFonts w:hint="eastAsia" w:ascii="Times New Roman" w:hAnsi="Times New Roman"/>
                      <w:color w:val="auto"/>
                      <w:u w:val="single"/>
                    </w:rPr>
                    <w:t>T</w:t>
                  </w: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0.01</w:t>
                  </w:r>
                </w:p>
              </w:tc>
              <w:tc>
                <w:tcPr>
                  <w:tcW w:w="769" w:type="pct"/>
                  <w:vMerge w:val="continue"/>
                  <w:vAlign w:val="center"/>
                </w:tcPr>
                <w:p>
                  <w:pPr>
                    <w:jc w:val="center"/>
                    <w:rPr>
                      <w:rFonts w:ascii="Times New Roman" w:hAnsi="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 w:type="pct"/>
                  <w:vAlign w:val="center"/>
                </w:tcPr>
                <w:p>
                  <w:pPr>
                    <w:jc w:val="center"/>
                    <w:rPr>
                      <w:rFonts w:ascii="Times New Roman" w:hAnsi="Times New Roman"/>
                      <w:color w:val="auto"/>
                      <w:u w:val="single"/>
                    </w:rPr>
                  </w:pPr>
                  <w:r>
                    <w:rPr>
                      <w:rFonts w:hint="eastAsia" w:ascii="Times New Roman" w:hAnsi="Times New Roman"/>
                      <w:color w:val="auto"/>
                      <w:u w:val="single"/>
                    </w:rPr>
                    <w:t>6</w:t>
                  </w:r>
                </w:p>
              </w:tc>
              <w:tc>
                <w:tcPr>
                  <w:tcW w:w="351" w:type="pct"/>
                  <w:vMerge w:val="continue"/>
                  <w:vAlign w:val="center"/>
                </w:tcPr>
                <w:p>
                  <w:pPr>
                    <w:jc w:val="center"/>
                    <w:rPr>
                      <w:rFonts w:ascii="Times New Roman" w:hAnsi="Times New Roman"/>
                      <w:color w:val="auto"/>
                      <w:u w:val="single"/>
                    </w:rPr>
                  </w:pPr>
                </w:p>
              </w:tc>
              <w:tc>
                <w:tcPr>
                  <w:tcW w:w="695" w:type="pct"/>
                  <w:vAlign w:val="center"/>
                </w:tcPr>
                <w:p>
                  <w:pPr>
                    <w:jc w:val="center"/>
                    <w:rPr>
                      <w:rFonts w:ascii="Times New Roman" w:hAnsi="Times New Roman"/>
                      <w:color w:val="auto"/>
                      <w:u w:val="single"/>
                    </w:rPr>
                  </w:pPr>
                  <w:r>
                    <w:rPr>
                      <w:rFonts w:hint="eastAsia" w:ascii="Times New Roman" w:hAnsi="Times New Roman"/>
                      <w:color w:val="auto"/>
                      <w:u w:val="single"/>
                    </w:rPr>
                    <w:t>废包</w:t>
                  </w:r>
                </w:p>
                <w:p>
                  <w:pPr>
                    <w:jc w:val="center"/>
                    <w:rPr>
                      <w:rFonts w:ascii="Times New Roman" w:hAnsi="Times New Roman"/>
                      <w:color w:val="auto"/>
                      <w:u w:val="single"/>
                    </w:rPr>
                  </w:pPr>
                  <w:r>
                    <w:rPr>
                      <w:rFonts w:hint="eastAsia" w:ascii="Times New Roman" w:hAnsi="Times New Roman"/>
                      <w:color w:val="auto"/>
                      <w:u w:val="single"/>
                    </w:rPr>
                    <w:t>装桶</w:t>
                  </w:r>
                </w:p>
              </w:tc>
              <w:tc>
                <w:tcPr>
                  <w:tcW w:w="469" w:type="pct"/>
                  <w:vMerge w:val="continue"/>
                  <w:vAlign w:val="center"/>
                </w:tcPr>
                <w:p>
                  <w:pPr>
                    <w:jc w:val="center"/>
                    <w:rPr>
                      <w:rFonts w:ascii="Times New Roman" w:hAnsi="Times New Roman"/>
                      <w:color w:val="auto"/>
                      <w:u w:val="single"/>
                    </w:rPr>
                  </w:pPr>
                </w:p>
              </w:tc>
              <w:tc>
                <w:tcPr>
                  <w:tcW w:w="888" w:type="pct"/>
                  <w:vAlign w:val="center"/>
                </w:tcPr>
                <w:p>
                  <w:pPr>
                    <w:jc w:val="center"/>
                    <w:rPr>
                      <w:rFonts w:ascii="Times New Roman" w:hAnsi="Times New Roman"/>
                      <w:color w:val="auto"/>
                      <w:u w:val="single"/>
                    </w:rPr>
                  </w:pPr>
                  <w:r>
                    <w:rPr>
                      <w:rFonts w:hint="eastAsia" w:ascii="Times New Roman" w:hAnsi="Times New Roman"/>
                      <w:color w:val="auto"/>
                      <w:u w:val="single"/>
                    </w:rPr>
                    <w:t>HW09 900-041-49</w:t>
                  </w:r>
                </w:p>
              </w:tc>
              <w:tc>
                <w:tcPr>
                  <w:tcW w:w="469" w:type="pct"/>
                  <w:vAlign w:val="center"/>
                </w:tcPr>
                <w:p>
                  <w:pPr>
                    <w:jc w:val="center"/>
                    <w:rPr>
                      <w:rFonts w:ascii="Times New Roman" w:hAnsi="Times New Roman"/>
                      <w:color w:val="auto"/>
                      <w:u w:val="single"/>
                    </w:rPr>
                  </w:pPr>
                  <w:r>
                    <w:rPr>
                      <w:rFonts w:hint="eastAsia" w:ascii="Times New Roman" w:hAnsi="Times New Roman"/>
                      <w:color w:val="auto"/>
                      <w:u w:val="single"/>
                    </w:rPr>
                    <w:t>桶</w:t>
                  </w:r>
                </w:p>
              </w:tc>
              <w:tc>
                <w:tcPr>
                  <w:tcW w:w="443" w:type="pct"/>
                  <w:vAlign w:val="center"/>
                </w:tcPr>
                <w:p>
                  <w:pPr>
                    <w:jc w:val="center"/>
                    <w:rPr>
                      <w:rFonts w:ascii="Times New Roman" w:hAnsi="Times New Roman"/>
                      <w:color w:val="auto"/>
                      <w:u w:val="single"/>
                    </w:rPr>
                  </w:pPr>
                  <w:r>
                    <w:rPr>
                      <w:rFonts w:hint="eastAsia" w:ascii="Times New Roman" w:hAnsi="Times New Roman"/>
                      <w:color w:val="auto"/>
                      <w:u w:val="single"/>
                    </w:rPr>
                    <w:t>T</w:t>
                  </w:r>
                </w:p>
              </w:tc>
              <w:tc>
                <w:tcPr>
                  <w:tcW w:w="572" w:type="pct"/>
                  <w:vAlign w:val="center"/>
                </w:tcPr>
                <w:p>
                  <w:pPr>
                    <w:jc w:val="center"/>
                    <w:rPr>
                      <w:rFonts w:ascii="Times New Roman" w:hAnsi="Times New Roman"/>
                      <w:color w:val="auto"/>
                      <w:u w:val="single"/>
                    </w:rPr>
                  </w:pPr>
                  <w:r>
                    <w:rPr>
                      <w:rFonts w:hint="eastAsia" w:ascii="Times New Roman" w:hAnsi="Times New Roman"/>
                      <w:color w:val="auto"/>
                      <w:u w:val="single"/>
                    </w:rPr>
                    <w:t>0.08</w:t>
                  </w:r>
                </w:p>
              </w:tc>
              <w:tc>
                <w:tcPr>
                  <w:tcW w:w="769" w:type="pct"/>
                  <w:vMerge w:val="continue"/>
                  <w:vAlign w:val="center"/>
                </w:tcPr>
                <w:p>
                  <w:pPr>
                    <w:jc w:val="center"/>
                    <w:rPr>
                      <w:rFonts w:ascii="Times New Roman" w:hAnsi="Times New Roman"/>
                      <w:color w:val="auto"/>
                      <w:u w:val="single"/>
                    </w:rPr>
                  </w:pPr>
                </w:p>
              </w:tc>
            </w:tr>
          </w:tbl>
          <w:p>
            <w:pPr>
              <w:spacing w:line="360" w:lineRule="auto"/>
              <w:ind w:firstLine="482" w:firstLineChars="200"/>
              <w:rPr>
                <w:rFonts w:ascii="Times New Roman" w:hAnsi="Times New Roman"/>
                <w:b/>
                <w:bCs/>
                <w:snapToGrid w:val="0"/>
                <w:color w:val="auto"/>
                <w:sz w:val="24"/>
                <w:u w:val="single"/>
              </w:rPr>
            </w:pPr>
            <w:r>
              <w:rPr>
                <w:rFonts w:hint="eastAsia" w:ascii="Times New Roman" w:hAnsi="Times New Roman"/>
                <w:b/>
                <w:bCs/>
                <w:snapToGrid w:val="0"/>
                <w:color w:val="auto"/>
                <w:sz w:val="24"/>
                <w:u w:val="single"/>
              </w:rPr>
              <w:t>（2）危险废物暂存间管理要求</w:t>
            </w:r>
          </w:p>
          <w:p>
            <w:pPr>
              <w:spacing w:line="360" w:lineRule="auto"/>
              <w:ind w:firstLine="480" w:firstLineChars="200"/>
              <w:rPr>
                <w:rFonts w:ascii="Times New Roman" w:hAnsi="Times New Roman"/>
                <w:snapToGrid w:val="0"/>
                <w:color w:val="auto"/>
                <w:sz w:val="24"/>
                <w:u w:val="single"/>
              </w:rPr>
            </w:pPr>
            <w:r>
              <w:rPr>
                <w:rFonts w:hint="eastAsia" w:ascii="Times New Roman" w:hAnsi="Times New Roman"/>
                <w:snapToGrid w:val="0"/>
                <w:color w:val="auto"/>
                <w:sz w:val="24"/>
                <w:u w:val="single"/>
              </w:rPr>
              <w:t>根据《危险废物贮存污染控制标准》（GB18597-2001）和《危险废物收集贮存运输技术规范》（HJ2025-2012）的要求，本项目危废贮存场所应按以下要求设置：</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①产生危废的车间，必须使用专用储存设施，并将危险废物装入专用容器中，无法装入常用容器的危险废物可用防漏胶袋等盛装，盛装危险废物的容器和胶带必须贴符合《危险废物贮存污染控制标准》（GB18597-2001）附录A所示的标签等，防止造成二次污染。危险废物暂存时需有塑料内衬密封，并设有专用暂存区，不得混存，且须做好防淋防渗措施，以避免固废中的挥发物质对环境造成污染。</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②对于危废的收集及贮存，应根据危险固废的成分，用符合国家标准的耐腐蚀、不易破损、变形和老化的容器贮存，并按规定在贮存危废容器上贴上标签，详细注明危废的名称、重量、成分、特性以及发生泄漏、扩散污染事故时的应急措施和补救办法。</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③危险废物的收集和转运过程中，应采取相应的安全防护和污染防治措施，包括防爆、 防火、防中毒、防感染、防泄漏、防飞扬、防雨或其它防止污染环境的措施。</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④危险废物贮存设施要符合国家危险固废贮存场所的建设要求，危险固废贮存设施要建有堵截泄漏的裙脚，地面与裙脚用坚固的防渗材料建造，并建有隔离设施和防风、防晒、防雨设施，基础防渗层用2mm的高密度聚乙烯材料组成，表面用耐腐蚀材料硬化。储存间内清理出来的泄漏物也属于危险废物，必须按照危险废物处理原则处理。</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⑤地面与墙角要用坚固、防渗、防腐的材料建造；危险废物存放间场地防渗处理后，渗透系统要小于1×10</w:t>
            </w:r>
            <w:r>
              <w:rPr>
                <w:rFonts w:ascii="Times New Roman" w:hAnsi="Times New Roman"/>
                <w:snapToGrid w:val="0"/>
                <w:color w:val="auto"/>
                <w:sz w:val="24"/>
                <w:u w:val="single"/>
                <w:vertAlign w:val="superscript"/>
              </w:rPr>
              <w:t>-10</w:t>
            </w:r>
            <w:r>
              <w:rPr>
                <w:rFonts w:ascii="Times New Roman" w:hAnsi="Times New Roman"/>
                <w:snapToGrid w:val="0"/>
                <w:color w:val="auto"/>
                <w:sz w:val="24"/>
                <w:u w:val="single"/>
              </w:rPr>
              <w:t>cm/s。</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⑥危险废物暂存间要有专人定期管理，贴上警示标签，禁止无关人员进入。</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⑦按月统计危险废物种类、产生量、暂存时间、交由处置时间等，除此之外，危险废物存放间还要记录危险废物的名称、来源、数量、特性和包装容器的类别、入库日期、存放库位、出库日期及接受单位名称。</w:t>
            </w:r>
          </w:p>
          <w:p>
            <w:pPr>
              <w:spacing w:line="360" w:lineRule="auto"/>
              <w:ind w:firstLine="480" w:firstLineChars="200"/>
              <w:rPr>
                <w:rFonts w:ascii="Times New Roman" w:hAnsi="Times New Roman"/>
                <w:snapToGrid w:val="0"/>
                <w:color w:val="auto"/>
                <w:sz w:val="24"/>
                <w:u w:val="single"/>
              </w:rPr>
            </w:pPr>
            <w:r>
              <w:rPr>
                <w:rFonts w:ascii="Times New Roman" w:hAnsi="Times New Roman"/>
                <w:snapToGrid w:val="0"/>
                <w:color w:val="auto"/>
                <w:sz w:val="24"/>
                <w:u w:val="single"/>
              </w:rPr>
              <w:t>项目应设置专门管理人员负责项目的固体废物的管理，厂房内设置</w:t>
            </w:r>
            <w:r>
              <w:rPr>
                <w:rFonts w:hint="eastAsia" w:ascii="Times New Roman" w:hAnsi="Times New Roman"/>
                <w:snapToGrid w:val="0"/>
                <w:color w:val="auto"/>
                <w:sz w:val="24"/>
                <w:u w:val="single"/>
              </w:rPr>
              <w:t>了危废暂存间</w:t>
            </w:r>
            <w:r>
              <w:rPr>
                <w:rFonts w:ascii="Times New Roman" w:hAnsi="Times New Roman"/>
                <w:snapToGrid w:val="0"/>
                <w:color w:val="auto"/>
                <w:sz w:val="24"/>
                <w:u w:val="single"/>
              </w:rPr>
              <w:t>对</w:t>
            </w:r>
            <w:r>
              <w:rPr>
                <w:rFonts w:hint="eastAsia" w:ascii="Times New Roman" w:hAnsi="Times New Roman"/>
                <w:snapToGrid w:val="0"/>
                <w:color w:val="auto"/>
                <w:sz w:val="24"/>
                <w:u w:val="single"/>
              </w:rPr>
              <w:t>危险</w:t>
            </w:r>
            <w:r>
              <w:rPr>
                <w:rFonts w:ascii="Times New Roman" w:hAnsi="Times New Roman"/>
                <w:snapToGrid w:val="0"/>
                <w:color w:val="auto"/>
                <w:sz w:val="24"/>
                <w:u w:val="single"/>
              </w:rPr>
              <w:t>废物</w:t>
            </w:r>
            <w:r>
              <w:rPr>
                <w:rFonts w:hint="eastAsia" w:ascii="Times New Roman" w:hAnsi="Times New Roman"/>
                <w:snapToGrid w:val="0"/>
                <w:color w:val="auto"/>
                <w:sz w:val="24"/>
                <w:u w:val="single"/>
              </w:rPr>
              <w:t>进行暂存，危险废物暂存于危废暂存间内，交由厂家进行回收利用</w:t>
            </w:r>
            <w:r>
              <w:rPr>
                <w:rFonts w:ascii="Times New Roman" w:hAnsi="Times New Roman"/>
                <w:snapToGrid w:val="0"/>
                <w:color w:val="auto"/>
                <w:sz w:val="24"/>
                <w:u w:val="single"/>
              </w:rPr>
              <w:t>。一般工业固体废物经收集后，</w:t>
            </w:r>
            <w:r>
              <w:rPr>
                <w:rFonts w:hint="eastAsia" w:ascii="Times New Roman" w:hAnsi="Times New Roman"/>
                <w:snapToGrid w:val="0"/>
                <w:color w:val="auto"/>
                <w:sz w:val="24"/>
                <w:u w:val="single"/>
              </w:rPr>
              <w:t>与</w:t>
            </w:r>
            <w:r>
              <w:rPr>
                <w:rFonts w:ascii="Times New Roman" w:hAnsi="Times New Roman"/>
                <w:snapToGrid w:val="0"/>
                <w:color w:val="auto"/>
                <w:sz w:val="24"/>
                <w:u w:val="single"/>
              </w:rPr>
              <w:t>生活垃圾</w:t>
            </w:r>
            <w:r>
              <w:rPr>
                <w:rFonts w:hint="eastAsia" w:ascii="Times New Roman" w:hAnsi="Times New Roman"/>
                <w:snapToGrid w:val="0"/>
                <w:color w:val="auto"/>
                <w:sz w:val="24"/>
                <w:u w:val="single"/>
              </w:rPr>
              <w:t>一起</w:t>
            </w:r>
            <w:r>
              <w:rPr>
                <w:rFonts w:ascii="Times New Roman" w:hAnsi="Times New Roman"/>
                <w:snapToGrid w:val="0"/>
                <w:color w:val="auto"/>
                <w:sz w:val="24"/>
                <w:u w:val="single"/>
              </w:rPr>
              <w:t>集中收集后由环卫部门定期统一清运处理，禁止职工随意丢弃生活垃圾。</w:t>
            </w:r>
          </w:p>
          <w:p>
            <w:pPr>
              <w:spacing w:line="360" w:lineRule="auto"/>
              <w:ind w:firstLine="480" w:firstLineChars="200"/>
              <w:rPr>
                <w:rFonts w:ascii="Times New Roman" w:hAnsi="Times New Roman"/>
                <w:b/>
                <w:color w:val="auto"/>
                <w:sz w:val="24"/>
                <w:u w:val="single"/>
              </w:rPr>
            </w:pPr>
            <w:r>
              <w:rPr>
                <w:rFonts w:hint="eastAsia" w:ascii="Times New Roman" w:hAnsi="Times New Roman"/>
                <w:snapToGrid w:val="0"/>
                <w:color w:val="auto"/>
                <w:sz w:val="24"/>
                <w:u w:val="single"/>
              </w:rPr>
              <w:t>综上所述，本项目固体废物处置在采取上述措施后，本项目固体废物可得到妥善的处置，对周围环境造成的影响很小。</w:t>
            </w:r>
          </w:p>
          <w:p>
            <w:pPr>
              <w:adjustRightInd w:val="0"/>
              <w:snapToGrid w:val="0"/>
              <w:spacing w:line="360" w:lineRule="auto"/>
              <w:rPr>
                <w:rFonts w:ascii="Times New Roman" w:hAnsi="Times New Roman"/>
                <w:b/>
                <w:color w:val="auto"/>
                <w:sz w:val="24"/>
              </w:rPr>
            </w:pPr>
            <w:r>
              <w:rPr>
                <w:rFonts w:ascii="Times New Roman" w:hAnsi="Times New Roman"/>
                <w:b/>
                <w:color w:val="auto"/>
                <w:sz w:val="24"/>
              </w:rPr>
              <w:t>5、土壤环境影响分析及污染防治措施</w:t>
            </w:r>
          </w:p>
          <w:p>
            <w:pPr>
              <w:spacing w:line="360" w:lineRule="auto"/>
              <w:ind w:firstLine="480" w:firstLineChars="200"/>
              <w:rPr>
                <w:rFonts w:ascii="Times New Roman" w:hAnsi="Times New Roman"/>
                <w:color w:val="auto"/>
                <w:spacing w:val="4"/>
                <w:kern w:val="0"/>
                <w:sz w:val="24"/>
                <w:szCs w:val="20"/>
                <w:highlight w:val="yellow"/>
              </w:rPr>
            </w:pPr>
            <w:r>
              <w:rPr>
                <w:rFonts w:ascii="Times New Roman" w:hAnsi="Times New Roman"/>
                <w:color w:val="auto"/>
                <w:sz w:val="24"/>
              </w:rPr>
              <w:t>经查阅《环境影响评价技术导则土壤环境（试行）》（HJ964-2018）附录A表A.1，本项目属于</w:t>
            </w:r>
            <w:r>
              <w:rPr>
                <w:rFonts w:hint="eastAsia" w:ascii="Times New Roman" w:hAnsi="Times New Roman"/>
                <w:color w:val="auto"/>
                <w:sz w:val="24"/>
              </w:rPr>
              <w:t>手工具制造</w:t>
            </w:r>
            <w:r>
              <w:rPr>
                <w:rFonts w:ascii="Times New Roman" w:hAnsi="Times New Roman"/>
                <w:color w:val="auto"/>
                <w:sz w:val="24"/>
              </w:rPr>
              <w:t>，属于附录A土壤环境影响评价行业分类表中</w:t>
            </w:r>
            <w:r>
              <w:rPr>
                <w:rFonts w:hint="eastAsia" w:ascii="Times New Roman" w:hAnsi="Times New Roman"/>
                <w:color w:val="auto"/>
                <w:sz w:val="24"/>
              </w:rPr>
              <w:t>“</w:t>
            </w:r>
            <w:r>
              <w:rPr>
                <w:rFonts w:ascii="Times New Roman" w:hAnsi="Times New Roman"/>
                <w:color w:val="auto"/>
                <w:sz w:val="24"/>
              </w:rPr>
              <w:t>设备制造、金属制造、汽车制造及其他用品制造</w:t>
            </w:r>
            <w:r>
              <w:rPr>
                <w:rFonts w:hint="eastAsia" w:ascii="Times New Roman" w:hAnsi="Times New Roman"/>
                <w:color w:val="auto"/>
                <w:sz w:val="24"/>
              </w:rPr>
              <w:t>”</w:t>
            </w:r>
            <w:r>
              <w:rPr>
                <w:rFonts w:ascii="Times New Roman" w:hAnsi="Times New Roman"/>
                <w:color w:val="auto"/>
                <w:sz w:val="24"/>
              </w:rPr>
              <w:t>行业--</w:t>
            </w:r>
            <w:r>
              <w:rPr>
                <w:rFonts w:hint="eastAsia" w:ascii="Times New Roman" w:hAnsi="Times New Roman"/>
                <w:color w:val="auto"/>
                <w:sz w:val="24"/>
              </w:rPr>
              <w:t>“其他”</w:t>
            </w:r>
            <w:r>
              <w:rPr>
                <w:rFonts w:ascii="Times New Roman" w:hAnsi="Times New Roman"/>
                <w:color w:val="auto"/>
                <w:sz w:val="24"/>
              </w:rPr>
              <w:t>判断类别为Ⅲ类项目，占地规模为小型，土壤敏感程度为</w:t>
            </w:r>
            <w:r>
              <w:rPr>
                <w:rFonts w:hint="eastAsia" w:ascii="Times New Roman" w:hAnsi="Times New Roman"/>
                <w:color w:val="auto"/>
                <w:sz w:val="24"/>
              </w:rPr>
              <w:t>不</w:t>
            </w:r>
            <w:r>
              <w:rPr>
                <w:rFonts w:ascii="Times New Roman" w:hAnsi="Times New Roman"/>
                <w:color w:val="auto"/>
                <w:sz w:val="24"/>
              </w:rPr>
              <w:t>敏感，本项目</w:t>
            </w:r>
            <w:r>
              <w:rPr>
                <w:rFonts w:hint="eastAsia" w:ascii="Times New Roman" w:hAnsi="Times New Roman"/>
                <w:color w:val="auto"/>
                <w:sz w:val="24"/>
              </w:rPr>
              <w:t>可不展开</w:t>
            </w:r>
            <w:r>
              <w:rPr>
                <w:rFonts w:ascii="Times New Roman" w:hAnsi="Times New Roman"/>
                <w:color w:val="auto"/>
                <w:sz w:val="24"/>
              </w:rPr>
              <w:t>土壤环境质量现状调查。</w:t>
            </w:r>
          </w:p>
          <w:p>
            <w:pPr>
              <w:adjustRightInd w:val="0"/>
              <w:snapToGrid w:val="0"/>
              <w:spacing w:line="360" w:lineRule="auto"/>
              <w:rPr>
                <w:rFonts w:ascii="Times New Roman" w:hAnsi="Times New Roman"/>
                <w:b/>
                <w:color w:val="auto"/>
                <w:sz w:val="24"/>
              </w:rPr>
            </w:pPr>
            <w:r>
              <w:rPr>
                <w:rFonts w:ascii="Times New Roman" w:hAnsi="Times New Roman"/>
                <w:b/>
                <w:color w:val="auto"/>
                <w:sz w:val="24"/>
              </w:rPr>
              <w:t>6、地下水环境影响分析及污染防治措施</w:t>
            </w:r>
          </w:p>
          <w:p>
            <w:pPr>
              <w:spacing w:line="360" w:lineRule="auto"/>
              <w:ind w:firstLine="480" w:firstLineChars="200"/>
              <w:rPr>
                <w:rFonts w:ascii="Times New Roman" w:hAnsi="Times New Roman"/>
                <w:color w:val="auto"/>
                <w:sz w:val="24"/>
                <w:highlight w:val="yellow"/>
              </w:rPr>
            </w:pPr>
            <w:r>
              <w:rPr>
                <w:rFonts w:ascii="Times New Roman" w:hAnsi="Times New Roman"/>
                <w:color w:val="auto"/>
                <w:sz w:val="24"/>
              </w:rPr>
              <w:t>根据《环境影响评价技术导则地下水环境》（HJ 610-2016）中规定，本项目属于附录A中</w:t>
            </w:r>
            <w:r>
              <w:rPr>
                <w:rFonts w:hint="eastAsia" w:ascii="宋体" w:hAnsi="宋体" w:cs="宋体"/>
                <w:color w:val="auto"/>
                <w:sz w:val="24"/>
              </w:rPr>
              <w:t>“</w:t>
            </w:r>
            <w:r>
              <w:rPr>
                <w:rFonts w:ascii="Times New Roman" w:hAnsi="Times New Roman"/>
                <w:color w:val="auto"/>
                <w:sz w:val="24"/>
              </w:rPr>
              <w:t>I 金属制品 53金属制品加工制</w:t>
            </w:r>
            <w:r>
              <w:rPr>
                <w:rFonts w:hint="eastAsia" w:ascii="宋体" w:hAnsi="宋体" w:cs="宋体"/>
                <w:color w:val="auto"/>
                <w:sz w:val="24"/>
              </w:rPr>
              <w:t>造”中</w:t>
            </w:r>
            <w:r>
              <w:rPr>
                <w:rFonts w:ascii="Times New Roman" w:hAnsi="Times New Roman"/>
                <w:color w:val="auto"/>
                <w:sz w:val="24"/>
              </w:rPr>
              <w:t>IV类项目，因此本项目可不开展地下水环境影响评价。</w:t>
            </w:r>
          </w:p>
          <w:p>
            <w:pPr>
              <w:spacing w:line="360" w:lineRule="auto"/>
              <w:rPr>
                <w:rFonts w:ascii="Times New Roman" w:hAnsi="Times New Roman"/>
                <w:color w:val="auto"/>
              </w:rPr>
            </w:pPr>
            <w:r>
              <w:rPr>
                <w:rFonts w:hint="eastAsia" w:ascii="Times New Roman" w:hAnsi="Times New Roman"/>
                <w:b/>
                <w:bCs/>
                <w:color w:val="auto"/>
                <w:sz w:val="24"/>
              </w:rPr>
              <w:t>7、</w:t>
            </w:r>
            <w:r>
              <w:rPr>
                <w:rFonts w:ascii="Times New Roman" w:hAnsi="Times New Roman"/>
                <w:b/>
                <w:bCs/>
                <w:color w:val="auto"/>
                <w:sz w:val="24"/>
              </w:rPr>
              <w:t>环境风险分析及防范措施：</w:t>
            </w:r>
          </w:p>
          <w:p>
            <w:pPr>
              <w:pStyle w:val="22"/>
              <w:spacing w:before="0" w:beforeAutospacing="0" w:after="0" w:afterAutospacing="0" w:line="360" w:lineRule="auto"/>
              <w:ind w:firstLine="480"/>
              <w:jc w:val="both"/>
              <w:rPr>
                <w:rFonts w:ascii="Times New Roman" w:hAnsi="Times New Roman"/>
                <w:b/>
                <w:color w:val="auto"/>
              </w:rPr>
            </w:pPr>
            <w:r>
              <w:rPr>
                <w:rFonts w:ascii="Times New Roman" w:hAnsi="Times New Roman"/>
                <w:b/>
                <w:color w:val="auto"/>
              </w:rPr>
              <w:t>（1）风险识别</w:t>
            </w:r>
          </w:p>
          <w:p>
            <w:pPr>
              <w:spacing w:line="360" w:lineRule="auto"/>
              <w:ind w:firstLine="480"/>
              <w:rPr>
                <w:rFonts w:ascii="Times New Roman" w:hAnsi="Times New Roman"/>
                <w:color w:val="auto"/>
                <w:sz w:val="24"/>
                <w:u w:val="single"/>
              </w:rPr>
            </w:pPr>
            <w:r>
              <w:rPr>
                <w:rFonts w:ascii="Times New Roman" w:hAnsi="Times New Roman"/>
                <w:color w:val="auto"/>
                <w:sz w:val="24"/>
                <w:u w:val="single"/>
              </w:rPr>
              <w:t>根据《建设项目环境风险评价技术导则》（HT169-2018）附录B并结合本项目实际情况，本项目的原料润滑油、原料</w:t>
            </w:r>
            <w:r>
              <w:rPr>
                <w:rFonts w:hint="eastAsia" w:ascii="Times New Roman" w:hAnsi="Times New Roman"/>
                <w:color w:val="auto"/>
                <w:sz w:val="24"/>
                <w:u w:val="single"/>
              </w:rPr>
              <w:t>机油</w:t>
            </w:r>
            <w:r>
              <w:rPr>
                <w:rFonts w:ascii="Times New Roman" w:hAnsi="Times New Roman"/>
                <w:color w:val="auto"/>
                <w:sz w:val="24"/>
                <w:u w:val="single"/>
              </w:rPr>
              <w:t>以及生产过程中产生的废包装桶具有潜在的危害，根据国家《危险废物名录》的相关规定，原料润滑油、原料</w:t>
            </w:r>
            <w:r>
              <w:rPr>
                <w:rFonts w:hint="eastAsia" w:ascii="Times New Roman" w:hAnsi="Times New Roman"/>
                <w:color w:val="auto"/>
                <w:sz w:val="24"/>
                <w:u w:val="single"/>
              </w:rPr>
              <w:t>机</w:t>
            </w:r>
            <w:r>
              <w:rPr>
                <w:rFonts w:ascii="Times New Roman" w:hAnsi="Times New Roman"/>
                <w:color w:val="auto"/>
                <w:sz w:val="24"/>
                <w:u w:val="single"/>
              </w:rPr>
              <w:t>油可能发生火灾、爆炸，产生伴生和次生的危害。本项目原料润滑油、原料</w:t>
            </w:r>
            <w:r>
              <w:rPr>
                <w:rFonts w:hint="eastAsia" w:ascii="Times New Roman" w:hAnsi="Times New Roman"/>
                <w:color w:val="auto"/>
                <w:sz w:val="24"/>
                <w:u w:val="single"/>
              </w:rPr>
              <w:t>机油</w:t>
            </w:r>
            <w:r>
              <w:rPr>
                <w:rFonts w:ascii="Times New Roman" w:hAnsi="Times New Roman"/>
                <w:color w:val="auto"/>
                <w:sz w:val="24"/>
                <w:u w:val="single"/>
              </w:rPr>
              <w:t>贮存于单独的原料车间，在加强厂区防火管理、完善事故应急预案的基础上，事故发生概率很低，事故一旦发生立即启动应急预案，可以使事故造成的后果影响控制在很小范围内，类比同类企业，本项目的风险水平是可以接受的。</w:t>
            </w:r>
          </w:p>
          <w:p>
            <w:pPr>
              <w:spacing w:line="360" w:lineRule="auto"/>
              <w:ind w:firstLine="480"/>
              <w:rPr>
                <w:rFonts w:ascii="Times New Roman" w:hAnsi="Times New Roman"/>
                <w:color w:val="auto"/>
                <w:sz w:val="24"/>
                <w:u w:val="single"/>
              </w:rPr>
            </w:pPr>
            <w:r>
              <w:rPr>
                <w:rFonts w:ascii="Times New Roman" w:hAnsi="Times New Roman"/>
                <w:color w:val="auto"/>
                <w:sz w:val="24"/>
                <w:u w:val="single"/>
              </w:rPr>
              <w:t>故本项目存在的风险源主要是机油、</w:t>
            </w:r>
            <w:r>
              <w:rPr>
                <w:rFonts w:hint="eastAsia" w:ascii="Times New Roman" w:hAnsi="Times New Roman"/>
                <w:color w:val="auto"/>
                <w:sz w:val="24"/>
                <w:u w:val="single"/>
              </w:rPr>
              <w:t>润滑油</w:t>
            </w:r>
            <w:r>
              <w:rPr>
                <w:rFonts w:ascii="Times New Roman" w:hAnsi="Times New Roman"/>
                <w:color w:val="auto"/>
                <w:sz w:val="24"/>
                <w:u w:val="single"/>
              </w:rPr>
              <w:t>的泄露。要求企业设置单独的危险废物暂存间，危险废物暂存按照《危险废物贮存污染物控制标准》GB18587-2001及其修改单相关要求做好相关醒目的警示标志标识并做好相关措施。</w:t>
            </w:r>
          </w:p>
          <w:p>
            <w:pPr>
              <w:pStyle w:val="22"/>
              <w:spacing w:before="0" w:beforeAutospacing="0" w:after="0" w:afterAutospacing="0" w:line="360" w:lineRule="auto"/>
              <w:ind w:firstLine="480"/>
              <w:jc w:val="both"/>
              <w:rPr>
                <w:rFonts w:ascii="Times New Roman" w:hAnsi="Times New Roman"/>
                <w:b/>
                <w:color w:val="auto"/>
                <w:u w:val="single"/>
              </w:rPr>
            </w:pPr>
            <w:r>
              <w:rPr>
                <w:rFonts w:ascii="Times New Roman" w:hAnsi="Times New Roman"/>
                <w:b/>
                <w:color w:val="auto"/>
                <w:u w:val="single"/>
              </w:rPr>
              <w:t>（</w:t>
            </w:r>
            <w:r>
              <w:rPr>
                <w:rFonts w:hint="eastAsia" w:ascii="Times New Roman" w:hAnsi="Times New Roman"/>
                <w:b/>
                <w:color w:val="auto"/>
                <w:u w:val="single"/>
              </w:rPr>
              <w:t>2</w:t>
            </w:r>
            <w:r>
              <w:rPr>
                <w:rFonts w:ascii="Times New Roman" w:hAnsi="Times New Roman"/>
                <w:b/>
                <w:color w:val="auto"/>
                <w:u w:val="single"/>
              </w:rPr>
              <w:t>）风险潜势初判</w:t>
            </w:r>
          </w:p>
          <w:p>
            <w:pPr>
              <w:spacing w:line="360" w:lineRule="auto"/>
              <w:ind w:firstLine="480"/>
              <w:rPr>
                <w:rFonts w:ascii="Times New Roman" w:hAnsi="Times New Roman"/>
                <w:bCs/>
                <w:color w:val="auto"/>
                <w:u w:val="single"/>
              </w:rPr>
            </w:pPr>
            <w:r>
              <w:rPr>
                <w:rFonts w:ascii="Times New Roman" w:hAnsi="Times New Roman"/>
                <w:bCs/>
                <w:color w:val="auto"/>
                <w:sz w:val="24"/>
                <w:u w:val="single"/>
              </w:rPr>
              <w:t>根据《建设项目环境风险评价技术导则》HJ169-2018，按照下表确定企业的环境风险潜势。</w:t>
            </w:r>
          </w:p>
          <w:p>
            <w:pPr>
              <w:ind w:firstLine="422"/>
              <w:jc w:val="center"/>
              <w:rPr>
                <w:rFonts w:ascii="Times New Roman" w:hAnsi="Times New Roman"/>
                <w:b/>
                <w:color w:val="auto"/>
                <w:szCs w:val="20"/>
                <w:u w:val="single"/>
              </w:rPr>
            </w:pPr>
            <w:r>
              <w:rPr>
                <w:rFonts w:ascii="Times New Roman" w:hAnsi="Times New Roman"/>
                <w:b/>
                <w:color w:val="auto"/>
                <w:szCs w:val="20"/>
                <w:u w:val="single"/>
              </w:rPr>
              <w:t>表4</w:t>
            </w:r>
            <w:r>
              <w:rPr>
                <w:rFonts w:hint="eastAsia" w:ascii="Times New Roman" w:hAnsi="Times New Roman"/>
                <w:b/>
                <w:color w:val="auto"/>
                <w:szCs w:val="20"/>
                <w:u w:val="single"/>
              </w:rPr>
              <w:t>-1</w:t>
            </w:r>
            <w:r>
              <w:rPr>
                <w:rFonts w:hint="eastAsia" w:ascii="Times New Roman" w:hAnsi="Times New Roman"/>
                <w:b/>
                <w:color w:val="auto"/>
                <w:szCs w:val="20"/>
                <w:u w:val="single"/>
                <w:lang w:val="en-US" w:eastAsia="zh-CN"/>
              </w:rPr>
              <w:t>3</w:t>
            </w:r>
            <w:r>
              <w:rPr>
                <w:rFonts w:ascii="Times New Roman" w:hAnsi="Times New Roman"/>
                <w:b/>
                <w:color w:val="auto"/>
                <w:szCs w:val="20"/>
                <w:u w:val="single"/>
              </w:rPr>
              <w:t xml:space="preserve">  建设项目环境风险潜势划分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0"/>
              <w:gridCol w:w="1548"/>
              <w:gridCol w:w="1548"/>
              <w:gridCol w:w="1548"/>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70" w:type="pct"/>
                  <w:vMerge w:val="restar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环境敏感程度（E）</w:t>
                  </w:r>
                </w:p>
              </w:tc>
              <w:tc>
                <w:tcPr>
                  <w:tcW w:w="3529" w:type="pct"/>
                  <w:gridSpan w:val="4"/>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危险物质及工艺系统危险性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pct"/>
                  <w:vMerge w:val="continue"/>
                  <w:tcBorders>
                    <w:tl2br w:val="nil"/>
                    <w:tr2bl w:val="nil"/>
                  </w:tcBorders>
                  <w:vAlign w:val="center"/>
                </w:tcPr>
                <w:p>
                  <w:pPr>
                    <w:pStyle w:val="50"/>
                    <w:jc w:val="center"/>
                    <w:rPr>
                      <w:rFonts w:ascii="Times New Roman" w:hAnsi="Times New Roman"/>
                      <w:color w:val="auto"/>
                      <w:u w:val="single"/>
                    </w:rPr>
                  </w:pP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极高危害（P1）</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高度危害（P2）</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中度危害（P3）</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70"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环境高度敏感区（E1）</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Ⅳ+</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Ⅳ</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Ⅲ</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环境中度敏感区（E2）</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Ⅳ</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Ⅲ</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Ⅲ</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70"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环境低度敏感区（E3）</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Ⅲ</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Ⅲ</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Ⅱ</w:t>
                  </w:r>
                </w:p>
              </w:tc>
              <w:tc>
                <w:tcPr>
                  <w:tcW w:w="882"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gridSpan w:val="5"/>
                  <w:tcBorders>
                    <w:tl2br w:val="nil"/>
                    <w:tr2bl w:val="nil"/>
                  </w:tcBorders>
                  <w:vAlign w:val="center"/>
                </w:tcPr>
                <w:p>
                  <w:pPr>
                    <w:pStyle w:val="50"/>
                    <w:jc w:val="center"/>
                    <w:rPr>
                      <w:rFonts w:ascii="Times New Roman" w:hAnsi="Times New Roman"/>
                      <w:color w:val="auto"/>
                      <w:u w:val="single"/>
                    </w:rPr>
                  </w:pPr>
                  <w:r>
                    <w:rPr>
                      <w:rFonts w:ascii="Times New Roman" w:hAnsi="Times New Roman"/>
                      <w:b/>
                      <w:bCs/>
                      <w:color w:val="auto"/>
                      <w:u w:val="single"/>
                    </w:rPr>
                    <w:t>注：Ⅳ+为极高环境风险</w:t>
                  </w:r>
                </w:p>
              </w:tc>
            </w:tr>
          </w:tbl>
          <w:p>
            <w:pPr>
              <w:spacing w:line="360" w:lineRule="auto"/>
              <w:ind w:firstLine="480"/>
              <w:rPr>
                <w:rFonts w:ascii="Times New Roman" w:hAnsi="Times New Roman"/>
                <w:color w:val="auto"/>
                <w:sz w:val="24"/>
                <w:u w:val="single"/>
              </w:rPr>
            </w:pPr>
            <w:r>
              <w:rPr>
                <w:rFonts w:ascii="Times New Roman" w:hAnsi="Times New Roman"/>
                <w:color w:val="auto"/>
                <w:sz w:val="24"/>
                <w:u w:val="single"/>
              </w:rPr>
              <w:t>①P的分级确定</w:t>
            </w:r>
          </w:p>
          <w:p>
            <w:pPr>
              <w:spacing w:line="360" w:lineRule="auto"/>
              <w:ind w:firstLine="480"/>
              <w:rPr>
                <w:rFonts w:ascii="Times New Roman" w:hAnsi="Times New Roman"/>
                <w:bCs/>
                <w:color w:val="auto"/>
                <w:sz w:val="24"/>
                <w:u w:val="single"/>
              </w:rPr>
            </w:pPr>
            <w:r>
              <w:rPr>
                <w:rFonts w:ascii="Times New Roman" w:hAnsi="Times New Roman"/>
                <w:bCs/>
                <w:color w:val="auto"/>
                <w:sz w:val="24"/>
                <w:u w:val="single"/>
              </w:rPr>
              <w:t>危险物质数量与临界量比值（Q）：</w:t>
            </w:r>
          </w:p>
          <w:p>
            <w:pPr>
              <w:spacing w:line="360" w:lineRule="auto"/>
              <w:ind w:firstLine="480"/>
              <w:rPr>
                <w:rFonts w:ascii="Times New Roman" w:hAnsi="Times New Roman"/>
                <w:bCs/>
                <w:color w:val="auto"/>
                <w:sz w:val="24"/>
                <w:u w:val="single"/>
              </w:rPr>
            </w:pPr>
            <w:r>
              <w:rPr>
                <w:rFonts w:ascii="Times New Roman" w:hAnsi="Times New Roman"/>
                <w:bCs/>
                <w:color w:val="auto"/>
                <w:sz w:val="24"/>
                <w:u w:val="single"/>
              </w:rPr>
              <w:t>当只涉及一种危险物质时，计算该物质的总量与临界量的比值，即为Q；</w:t>
            </w:r>
          </w:p>
          <w:p>
            <w:pPr>
              <w:spacing w:line="360" w:lineRule="auto"/>
              <w:ind w:firstLine="480"/>
              <w:rPr>
                <w:rFonts w:ascii="Times New Roman" w:hAnsi="Times New Roman"/>
                <w:bCs/>
                <w:color w:val="auto"/>
                <w:sz w:val="24"/>
                <w:u w:val="single"/>
              </w:rPr>
            </w:pPr>
            <w:r>
              <w:rPr>
                <w:rFonts w:ascii="Times New Roman" w:hAnsi="Times New Roman"/>
                <w:bCs/>
                <w:color w:val="auto"/>
                <w:sz w:val="24"/>
                <w:u w:val="single"/>
              </w:rPr>
              <w:t>当存在多种危险物质时，则按照下式计算物质总量与临界值比值Q：</w:t>
            </w:r>
          </w:p>
          <w:p>
            <w:pPr>
              <w:spacing w:line="360" w:lineRule="auto"/>
              <w:ind w:firstLine="480"/>
              <w:jc w:val="center"/>
              <w:rPr>
                <w:rFonts w:ascii="Times New Roman" w:hAnsi="Times New Roman"/>
                <w:bCs/>
                <w:color w:val="auto"/>
                <w:sz w:val="24"/>
                <w:u w:val="single"/>
              </w:rPr>
            </w:pPr>
            <w:r>
              <w:rPr>
                <w:rFonts w:ascii="Times New Roman" w:hAnsi="Times New Roman"/>
                <w:bCs/>
                <w:color w:val="auto"/>
                <w:position w:val="-30"/>
                <w:sz w:val="24"/>
              </w:rPr>
              <w:object>
                <v:shape id="_x0000_i1025" o:spt="75" type="#_x0000_t75" style="height:41.95pt;width:149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pPr>
              <w:spacing w:line="360" w:lineRule="auto"/>
              <w:ind w:firstLine="480"/>
              <w:rPr>
                <w:rFonts w:ascii="Times New Roman" w:hAnsi="Times New Roman"/>
                <w:bCs/>
                <w:color w:val="auto"/>
                <w:sz w:val="24"/>
                <w:u w:val="single"/>
              </w:rPr>
            </w:pPr>
            <w:r>
              <w:rPr>
                <w:rFonts w:ascii="Times New Roman" w:hAnsi="Times New Roman"/>
                <w:bCs/>
                <w:color w:val="auto"/>
                <w:sz w:val="24"/>
                <w:u w:val="single"/>
              </w:rPr>
              <w:t>式中：q  每种危险物质的最大存在量。T；</w:t>
            </w:r>
          </w:p>
          <w:p>
            <w:pPr>
              <w:spacing w:line="360" w:lineRule="auto"/>
              <w:ind w:firstLine="720" w:firstLineChars="300"/>
              <w:rPr>
                <w:rFonts w:ascii="Times New Roman" w:hAnsi="Times New Roman"/>
                <w:bCs/>
                <w:color w:val="auto"/>
                <w:sz w:val="24"/>
                <w:u w:val="single"/>
              </w:rPr>
            </w:pPr>
            <w:r>
              <w:rPr>
                <w:rFonts w:ascii="Times New Roman" w:hAnsi="Times New Roman"/>
                <w:bCs/>
                <w:color w:val="auto"/>
                <w:sz w:val="24"/>
                <w:u w:val="single"/>
              </w:rPr>
              <w:t>Q  每种危险物质的临界量，t；</w:t>
            </w:r>
          </w:p>
          <w:p>
            <w:pPr>
              <w:spacing w:line="360" w:lineRule="auto"/>
              <w:ind w:firstLine="720" w:firstLineChars="300"/>
              <w:rPr>
                <w:rFonts w:ascii="Times New Roman" w:hAnsi="Times New Roman"/>
                <w:bCs/>
                <w:color w:val="auto"/>
                <w:sz w:val="24"/>
                <w:u w:val="single"/>
              </w:rPr>
            </w:pPr>
            <w:r>
              <w:rPr>
                <w:rFonts w:ascii="Times New Roman" w:hAnsi="Times New Roman"/>
                <w:bCs/>
                <w:color w:val="auto"/>
                <w:sz w:val="24"/>
                <w:u w:val="single"/>
              </w:rPr>
              <w:t>当Q&lt;1时，该项目环境风险潜势为Ⅰ。</w:t>
            </w:r>
          </w:p>
          <w:p>
            <w:pPr>
              <w:spacing w:line="360" w:lineRule="auto"/>
              <w:ind w:firstLine="720" w:firstLineChars="300"/>
              <w:rPr>
                <w:rFonts w:ascii="Times New Roman" w:hAnsi="Times New Roman"/>
                <w:bCs/>
                <w:color w:val="auto"/>
                <w:sz w:val="24"/>
                <w:u w:val="single"/>
              </w:rPr>
            </w:pPr>
            <w:r>
              <w:rPr>
                <w:rFonts w:ascii="Times New Roman" w:hAnsi="Times New Roman"/>
                <w:bCs/>
                <w:color w:val="auto"/>
                <w:sz w:val="24"/>
                <w:u w:val="single"/>
              </w:rPr>
              <w:t>当Q˃ 1时，将Q值划分为：（1）1≤Q&lt;10；（2）10≤Q&lt;100；（3）Q≥100.</w:t>
            </w:r>
          </w:p>
          <w:p>
            <w:pPr>
              <w:spacing w:line="360" w:lineRule="auto"/>
              <w:ind w:firstLine="720" w:firstLineChars="300"/>
              <w:rPr>
                <w:rFonts w:ascii="Times New Roman" w:hAnsi="Times New Roman"/>
                <w:bCs/>
                <w:color w:val="auto"/>
                <w:sz w:val="24"/>
                <w:u w:val="single"/>
              </w:rPr>
            </w:pPr>
            <w:r>
              <w:rPr>
                <w:rFonts w:ascii="Times New Roman" w:hAnsi="Times New Roman"/>
                <w:bCs/>
                <w:color w:val="auto"/>
                <w:sz w:val="24"/>
                <w:u w:val="single"/>
              </w:rPr>
              <w:t>本项目计算条件见下表：</w:t>
            </w:r>
          </w:p>
          <w:p>
            <w:pPr>
              <w:pStyle w:val="54"/>
              <w:rPr>
                <w:rFonts w:ascii="Times New Roman" w:hAnsi="Times New Roman"/>
                <w:color w:val="auto"/>
                <w:u w:val="single"/>
              </w:rPr>
            </w:pPr>
            <w:r>
              <w:rPr>
                <w:rFonts w:ascii="Times New Roman" w:hAnsi="Times New Roman"/>
                <w:color w:val="auto"/>
                <w:u w:val="single"/>
              </w:rPr>
              <w:t>表4</w:t>
            </w:r>
            <w:r>
              <w:rPr>
                <w:rFonts w:hint="eastAsia" w:ascii="Times New Roman" w:hAnsi="Times New Roman"/>
                <w:color w:val="auto"/>
                <w:u w:val="single"/>
              </w:rPr>
              <w:t>-1</w:t>
            </w:r>
            <w:r>
              <w:rPr>
                <w:rFonts w:hint="eastAsia" w:ascii="Times New Roman" w:hAnsi="Times New Roman"/>
                <w:color w:val="auto"/>
                <w:u w:val="single"/>
                <w:lang w:val="en-US" w:eastAsia="zh-CN"/>
              </w:rPr>
              <w:t>4</w:t>
            </w:r>
            <w:r>
              <w:rPr>
                <w:rFonts w:hint="eastAsia" w:ascii="Times New Roman" w:hAnsi="Times New Roman"/>
                <w:color w:val="auto"/>
                <w:u w:val="single"/>
              </w:rPr>
              <w:t xml:space="preserve"> </w:t>
            </w:r>
            <w:r>
              <w:rPr>
                <w:rFonts w:ascii="Times New Roman" w:hAnsi="Times New Roman"/>
                <w:color w:val="auto"/>
                <w:u w:val="single"/>
              </w:rPr>
              <w:t xml:space="preserve"> 项目危险物质临界量比值计算表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217"/>
              <w:gridCol w:w="1737"/>
              <w:gridCol w:w="1298"/>
              <w:gridCol w:w="1451"/>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序号</w:t>
                  </w:r>
                </w:p>
              </w:tc>
              <w:tc>
                <w:tcPr>
                  <w:tcW w:w="693"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危险物质</w:t>
                  </w:r>
                </w:p>
              </w:tc>
              <w:tc>
                <w:tcPr>
                  <w:tcW w:w="989"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危险物质最大存在量</w:t>
                  </w:r>
                </w:p>
              </w:tc>
              <w:tc>
                <w:tcPr>
                  <w:tcW w:w="739"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危险物质临界量</w:t>
                  </w:r>
                </w:p>
              </w:tc>
              <w:tc>
                <w:tcPr>
                  <w:tcW w:w="826"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临界量比值</w:t>
                  </w:r>
                </w:p>
              </w:tc>
              <w:tc>
                <w:tcPr>
                  <w:tcW w:w="1405"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环境风险潜势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1</w:t>
                  </w:r>
                </w:p>
              </w:tc>
              <w:tc>
                <w:tcPr>
                  <w:tcW w:w="69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润滑油</w:t>
                  </w:r>
                </w:p>
              </w:tc>
              <w:tc>
                <w:tcPr>
                  <w:tcW w:w="989"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0.02</w:t>
                  </w:r>
                  <w:r>
                    <w:rPr>
                      <w:rFonts w:ascii="Times New Roman" w:hAnsi="Times New Roman"/>
                      <w:color w:val="auto"/>
                      <w:u w:val="single"/>
                    </w:rPr>
                    <w:t>t/a</w:t>
                  </w:r>
                </w:p>
              </w:tc>
              <w:tc>
                <w:tcPr>
                  <w:tcW w:w="739" w:type="pct"/>
                  <w:vMerge w:val="restar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2500</w:t>
                  </w:r>
                </w:p>
              </w:tc>
              <w:tc>
                <w:tcPr>
                  <w:tcW w:w="826" w:type="pct"/>
                  <w:vMerge w:val="restar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0.000</w:t>
                  </w:r>
                  <w:r>
                    <w:rPr>
                      <w:rFonts w:hint="eastAsia" w:ascii="Times New Roman" w:hAnsi="Times New Roman"/>
                      <w:color w:val="auto"/>
                      <w:u w:val="single"/>
                    </w:rPr>
                    <w:t>112</w:t>
                  </w:r>
                </w:p>
              </w:tc>
              <w:tc>
                <w:tcPr>
                  <w:tcW w:w="1405" w:type="pct"/>
                  <w:vMerge w:val="restart"/>
                  <w:tcBorders>
                    <w:tl2br w:val="nil"/>
                    <w:tr2bl w:val="nil"/>
                  </w:tcBorders>
                  <w:vAlign w:val="center"/>
                </w:tcPr>
                <w:p>
                  <w:pPr>
                    <w:pStyle w:val="50"/>
                    <w:jc w:val="center"/>
                    <w:rPr>
                      <w:rFonts w:ascii="Times New Roman" w:hAnsi="Times New Roman"/>
                      <w:color w:val="auto"/>
                      <w:u w:val="single"/>
                    </w:rPr>
                  </w:pPr>
                  <w:r>
                    <w:rPr>
                      <w:rFonts w:ascii="Times New Roman" w:hAnsi="Times New Roman"/>
                      <w:bCs/>
                      <w:color w:val="auto"/>
                      <w:u w:val="singl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2</w:t>
                  </w:r>
                </w:p>
              </w:tc>
              <w:tc>
                <w:tcPr>
                  <w:tcW w:w="693"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机</w:t>
                  </w:r>
                  <w:r>
                    <w:rPr>
                      <w:rFonts w:ascii="Times New Roman" w:hAnsi="Times New Roman"/>
                      <w:color w:val="auto"/>
                      <w:u w:val="single"/>
                    </w:rPr>
                    <w:t>油</w:t>
                  </w:r>
                </w:p>
              </w:tc>
              <w:tc>
                <w:tcPr>
                  <w:tcW w:w="989"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0.15</w:t>
                  </w:r>
                  <w:r>
                    <w:rPr>
                      <w:rFonts w:ascii="Times New Roman" w:hAnsi="Times New Roman"/>
                      <w:color w:val="auto"/>
                      <w:u w:val="single"/>
                    </w:rPr>
                    <w:t>t/a</w:t>
                  </w:r>
                </w:p>
              </w:tc>
              <w:tc>
                <w:tcPr>
                  <w:tcW w:w="739" w:type="pct"/>
                  <w:vMerge w:val="continue"/>
                  <w:tcBorders>
                    <w:tl2br w:val="nil"/>
                    <w:tr2bl w:val="nil"/>
                  </w:tcBorders>
                  <w:vAlign w:val="center"/>
                </w:tcPr>
                <w:p>
                  <w:pPr>
                    <w:pStyle w:val="50"/>
                    <w:jc w:val="center"/>
                    <w:rPr>
                      <w:rFonts w:ascii="Times New Roman" w:hAnsi="Times New Roman"/>
                      <w:color w:val="auto"/>
                      <w:u w:val="single"/>
                    </w:rPr>
                  </w:pPr>
                </w:p>
              </w:tc>
              <w:tc>
                <w:tcPr>
                  <w:tcW w:w="826" w:type="pct"/>
                  <w:vMerge w:val="continue"/>
                  <w:tcBorders>
                    <w:tl2br w:val="nil"/>
                    <w:tr2bl w:val="nil"/>
                  </w:tcBorders>
                  <w:vAlign w:val="center"/>
                </w:tcPr>
                <w:p>
                  <w:pPr>
                    <w:pStyle w:val="50"/>
                    <w:jc w:val="center"/>
                    <w:rPr>
                      <w:rFonts w:ascii="Times New Roman" w:hAnsi="Times New Roman"/>
                      <w:color w:val="auto"/>
                      <w:u w:val="single"/>
                    </w:rPr>
                  </w:pPr>
                </w:p>
              </w:tc>
              <w:tc>
                <w:tcPr>
                  <w:tcW w:w="1405" w:type="pct"/>
                  <w:vMerge w:val="continue"/>
                  <w:tcBorders>
                    <w:tl2br w:val="nil"/>
                    <w:tr2bl w:val="nil"/>
                  </w:tcBorders>
                  <w:vAlign w:val="center"/>
                </w:tcPr>
                <w:p>
                  <w:pPr>
                    <w:pStyle w:val="50"/>
                    <w:jc w:val="center"/>
                    <w:rPr>
                      <w:rFonts w:ascii="Times New Roman" w:hAnsi="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3</w:t>
                  </w:r>
                </w:p>
              </w:tc>
              <w:tc>
                <w:tcPr>
                  <w:tcW w:w="693"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废机油</w:t>
                  </w:r>
                </w:p>
              </w:tc>
              <w:tc>
                <w:tcPr>
                  <w:tcW w:w="989"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0.1t/a</w:t>
                  </w:r>
                </w:p>
              </w:tc>
              <w:tc>
                <w:tcPr>
                  <w:tcW w:w="739" w:type="pct"/>
                  <w:vMerge w:val="continue"/>
                  <w:tcBorders>
                    <w:tl2br w:val="nil"/>
                    <w:tr2bl w:val="nil"/>
                  </w:tcBorders>
                  <w:vAlign w:val="center"/>
                </w:tcPr>
                <w:p>
                  <w:pPr>
                    <w:pStyle w:val="50"/>
                    <w:jc w:val="center"/>
                    <w:rPr>
                      <w:rFonts w:ascii="Times New Roman" w:hAnsi="Times New Roman"/>
                      <w:color w:val="auto"/>
                      <w:u w:val="single"/>
                    </w:rPr>
                  </w:pPr>
                </w:p>
              </w:tc>
              <w:tc>
                <w:tcPr>
                  <w:tcW w:w="826" w:type="pct"/>
                  <w:vMerge w:val="continue"/>
                  <w:tcBorders>
                    <w:tl2br w:val="nil"/>
                    <w:tr2bl w:val="nil"/>
                  </w:tcBorders>
                  <w:vAlign w:val="center"/>
                </w:tcPr>
                <w:p>
                  <w:pPr>
                    <w:pStyle w:val="50"/>
                    <w:jc w:val="center"/>
                    <w:rPr>
                      <w:rFonts w:ascii="Times New Roman" w:hAnsi="Times New Roman"/>
                      <w:color w:val="auto"/>
                      <w:u w:val="single"/>
                    </w:rPr>
                  </w:pPr>
                </w:p>
              </w:tc>
              <w:tc>
                <w:tcPr>
                  <w:tcW w:w="1405" w:type="pct"/>
                  <w:vMerge w:val="continue"/>
                  <w:tcBorders>
                    <w:tl2br w:val="nil"/>
                    <w:tr2bl w:val="nil"/>
                  </w:tcBorders>
                  <w:vAlign w:val="center"/>
                </w:tcPr>
                <w:p>
                  <w:pPr>
                    <w:pStyle w:val="50"/>
                    <w:jc w:val="center"/>
                    <w:rPr>
                      <w:rFonts w:ascii="Times New Roman" w:hAnsi="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6"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4</w:t>
                  </w:r>
                </w:p>
              </w:tc>
              <w:tc>
                <w:tcPr>
                  <w:tcW w:w="693"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废润滑油</w:t>
                  </w:r>
                </w:p>
              </w:tc>
              <w:tc>
                <w:tcPr>
                  <w:tcW w:w="989" w:type="pct"/>
                  <w:tcBorders>
                    <w:tl2br w:val="nil"/>
                    <w:tr2bl w:val="nil"/>
                  </w:tcBorders>
                  <w:vAlign w:val="center"/>
                </w:tcPr>
                <w:p>
                  <w:pPr>
                    <w:pStyle w:val="50"/>
                    <w:jc w:val="center"/>
                    <w:rPr>
                      <w:rFonts w:ascii="Times New Roman" w:hAnsi="Times New Roman"/>
                      <w:color w:val="auto"/>
                      <w:u w:val="single"/>
                    </w:rPr>
                  </w:pPr>
                  <w:r>
                    <w:rPr>
                      <w:rFonts w:hint="eastAsia" w:ascii="Times New Roman" w:hAnsi="Times New Roman"/>
                      <w:color w:val="auto"/>
                      <w:u w:val="single"/>
                    </w:rPr>
                    <w:t>0.01t/a</w:t>
                  </w:r>
                </w:p>
              </w:tc>
              <w:tc>
                <w:tcPr>
                  <w:tcW w:w="739" w:type="pct"/>
                  <w:vMerge w:val="continue"/>
                  <w:tcBorders>
                    <w:tl2br w:val="nil"/>
                    <w:tr2bl w:val="nil"/>
                  </w:tcBorders>
                  <w:vAlign w:val="center"/>
                </w:tcPr>
                <w:p>
                  <w:pPr>
                    <w:pStyle w:val="50"/>
                    <w:jc w:val="center"/>
                    <w:rPr>
                      <w:rFonts w:ascii="Times New Roman" w:hAnsi="Times New Roman"/>
                      <w:color w:val="auto"/>
                      <w:u w:val="single"/>
                    </w:rPr>
                  </w:pPr>
                </w:p>
              </w:tc>
              <w:tc>
                <w:tcPr>
                  <w:tcW w:w="826" w:type="pct"/>
                  <w:vMerge w:val="continue"/>
                  <w:tcBorders>
                    <w:tl2br w:val="nil"/>
                    <w:tr2bl w:val="nil"/>
                  </w:tcBorders>
                  <w:vAlign w:val="center"/>
                </w:tcPr>
                <w:p>
                  <w:pPr>
                    <w:pStyle w:val="50"/>
                    <w:jc w:val="center"/>
                    <w:rPr>
                      <w:rFonts w:ascii="Times New Roman" w:hAnsi="Times New Roman"/>
                      <w:color w:val="auto"/>
                      <w:u w:val="single"/>
                    </w:rPr>
                  </w:pPr>
                </w:p>
              </w:tc>
              <w:tc>
                <w:tcPr>
                  <w:tcW w:w="1405" w:type="pct"/>
                  <w:vMerge w:val="continue"/>
                  <w:tcBorders>
                    <w:tl2br w:val="nil"/>
                    <w:tr2bl w:val="nil"/>
                  </w:tcBorders>
                  <w:vAlign w:val="center"/>
                </w:tcPr>
                <w:p>
                  <w:pPr>
                    <w:pStyle w:val="50"/>
                    <w:jc w:val="center"/>
                    <w:rPr>
                      <w:rFonts w:ascii="Times New Roman" w:hAnsi="Times New Roman"/>
                      <w:color w:val="auto"/>
                      <w:u w:val="single"/>
                    </w:rPr>
                  </w:pPr>
                </w:p>
              </w:tc>
            </w:tr>
          </w:tbl>
          <w:p>
            <w:pPr>
              <w:spacing w:line="360" w:lineRule="auto"/>
              <w:ind w:firstLine="480"/>
              <w:rPr>
                <w:rStyle w:val="30"/>
                <w:rFonts w:ascii="Times New Roman" w:hAnsi="Times New Roman"/>
                <w:color w:val="auto"/>
                <w:sz w:val="24"/>
                <w:u w:val="single"/>
              </w:rPr>
            </w:pPr>
            <w:r>
              <w:rPr>
                <w:rFonts w:ascii="Times New Roman" w:hAnsi="Times New Roman"/>
                <w:bCs/>
                <w:color w:val="auto"/>
                <w:sz w:val="24"/>
                <w:u w:val="single"/>
              </w:rPr>
              <w:t>经计算：本项目Q</w:t>
            </w:r>
            <w:r>
              <w:rPr>
                <w:rFonts w:hint="eastAsia" w:ascii="Times New Roman" w:hAnsi="Times New Roman"/>
                <w:bCs/>
                <w:color w:val="auto"/>
                <w:sz w:val="24"/>
                <w:u w:val="single"/>
              </w:rPr>
              <w:t>值为</w:t>
            </w:r>
            <w:r>
              <w:rPr>
                <w:rFonts w:ascii="Times New Roman" w:hAnsi="Times New Roman"/>
                <w:color w:val="auto"/>
                <w:sz w:val="24"/>
                <w:u w:val="single"/>
              </w:rPr>
              <w:t>0.000</w:t>
            </w:r>
            <w:r>
              <w:rPr>
                <w:rFonts w:hint="eastAsia" w:ascii="Times New Roman" w:hAnsi="Times New Roman"/>
                <w:color w:val="auto"/>
                <w:sz w:val="24"/>
                <w:u w:val="single"/>
              </w:rPr>
              <w:t>112</w:t>
            </w:r>
            <w:r>
              <w:rPr>
                <w:rFonts w:ascii="Times New Roman" w:hAnsi="Times New Roman"/>
                <w:bCs/>
                <w:color w:val="auto"/>
                <w:sz w:val="24"/>
                <w:u w:val="single"/>
              </w:rPr>
              <w:t>，确定其风险潜势为Ⅰ，环境风险较小。</w:t>
            </w:r>
          </w:p>
          <w:p>
            <w:pPr>
              <w:spacing w:line="360" w:lineRule="auto"/>
              <w:ind w:firstLine="480"/>
              <w:rPr>
                <w:rFonts w:ascii="Times New Roman" w:hAnsi="Times New Roman"/>
                <w:color w:val="auto"/>
                <w:sz w:val="24"/>
                <w:u w:val="single"/>
              </w:rPr>
            </w:pPr>
            <w:r>
              <w:rPr>
                <w:rFonts w:ascii="Times New Roman" w:hAnsi="Times New Roman"/>
                <w:color w:val="auto"/>
                <w:sz w:val="24"/>
                <w:u w:val="single"/>
              </w:rPr>
              <w:t>②环境风险分析</w:t>
            </w:r>
          </w:p>
          <w:p>
            <w:pPr>
              <w:pStyle w:val="2"/>
              <w:spacing w:before="0" w:after="0" w:line="360" w:lineRule="auto"/>
              <w:ind w:right="0" w:firstLine="482"/>
              <w:rPr>
                <w:rFonts w:ascii="Times New Roman" w:hAnsi="Times New Roman"/>
                <w:b/>
                <w:bCs/>
                <w:color w:val="auto"/>
                <w:sz w:val="24"/>
                <w:szCs w:val="24"/>
                <w:u w:val="single"/>
              </w:rPr>
            </w:pPr>
            <w:r>
              <w:rPr>
                <w:rFonts w:hint="eastAsia" w:ascii="Times New Roman" w:hAnsi="Times New Roman"/>
                <w:b/>
                <w:bCs/>
                <w:color w:val="auto"/>
                <w:sz w:val="24"/>
                <w:szCs w:val="24"/>
                <w:u w:val="single"/>
              </w:rPr>
              <w:t>（3）</w:t>
            </w:r>
            <w:r>
              <w:rPr>
                <w:rFonts w:ascii="Times New Roman" w:hAnsi="Times New Roman"/>
                <w:b/>
                <w:bCs/>
                <w:color w:val="auto"/>
                <w:sz w:val="24"/>
                <w:szCs w:val="24"/>
                <w:u w:val="single"/>
              </w:rPr>
              <w:t>风险事故类型</w:t>
            </w:r>
          </w:p>
          <w:p>
            <w:pPr>
              <w:pStyle w:val="2"/>
              <w:spacing w:before="0" w:after="0" w:line="360" w:lineRule="auto"/>
              <w:ind w:right="0" w:firstLine="471"/>
              <w:rPr>
                <w:rFonts w:ascii="Times New Roman" w:hAnsi="Times New Roman"/>
                <w:color w:val="auto"/>
                <w:spacing w:val="-6"/>
                <w:sz w:val="24"/>
                <w:szCs w:val="24"/>
                <w:u w:val="single"/>
              </w:rPr>
            </w:pPr>
            <w:r>
              <w:rPr>
                <w:rFonts w:ascii="Times New Roman" w:hAnsi="Times New Roman"/>
                <w:color w:val="auto"/>
                <w:spacing w:val="-2"/>
                <w:sz w:val="24"/>
                <w:szCs w:val="24"/>
                <w:u w:val="single"/>
              </w:rPr>
              <w:t>风险事故类型分为火灾事故、运输事故、污染物处理设施故障事故和泄露事故等4种。本项目风险事故类型主要为火灾事故和泄漏事故。</w:t>
            </w:r>
            <w:r>
              <w:rPr>
                <w:rFonts w:hint="eastAsia" w:ascii="Times New Roman" w:hAnsi="Times New Roman"/>
                <w:color w:val="auto"/>
                <w:spacing w:val="-5"/>
                <w:sz w:val="24"/>
                <w:szCs w:val="24"/>
                <w:u w:val="single"/>
              </w:rPr>
              <w:t>机油及润滑油</w:t>
            </w:r>
            <w:r>
              <w:rPr>
                <w:rFonts w:ascii="Times New Roman" w:hAnsi="Times New Roman"/>
                <w:color w:val="auto"/>
                <w:spacing w:val="-5"/>
                <w:sz w:val="24"/>
                <w:szCs w:val="24"/>
                <w:u w:val="single"/>
              </w:rPr>
              <w:t>在遇明火的条件下，可</w:t>
            </w:r>
            <w:r>
              <w:rPr>
                <w:rFonts w:ascii="Times New Roman" w:hAnsi="Times New Roman"/>
                <w:color w:val="auto"/>
                <w:spacing w:val="-7"/>
                <w:sz w:val="24"/>
                <w:szCs w:val="24"/>
                <w:u w:val="single"/>
              </w:rPr>
              <w:t>能燃烧分解，如保存不当会发生泄漏。发生火灾事故的潜在因素分为物质因素和诱发因素。物质因素是事故发</w:t>
            </w:r>
            <w:r>
              <w:rPr>
                <w:rFonts w:ascii="Times New Roman" w:hAnsi="Times New Roman"/>
                <w:color w:val="auto"/>
                <w:spacing w:val="-8"/>
                <w:sz w:val="24"/>
                <w:szCs w:val="24"/>
                <w:u w:val="single"/>
              </w:rPr>
              <w:t>生的内在因素，主要涉及物质的危险性、物质系数以及危险物质是否达标到一定的规</w:t>
            </w:r>
            <w:r>
              <w:rPr>
                <w:rFonts w:ascii="Times New Roman" w:hAnsi="Times New Roman"/>
                <w:color w:val="auto"/>
                <w:spacing w:val="-6"/>
                <w:sz w:val="24"/>
                <w:szCs w:val="24"/>
                <w:u w:val="single"/>
              </w:rPr>
              <w:t>模。直接的诱发因素是引起事故的外在动力，包括生产装置设备的工作状态，仪器环境因素、认为因素和管理因素等。本项目发生火灾及泄漏的主要原因见下表。</w:t>
            </w:r>
          </w:p>
          <w:p>
            <w:pPr>
              <w:pStyle w:val="54"/>
              <w:rPr>
                <w:rFonts w:ascii="Times New Roman" w:hAnsi="Times New Roman"/>
                <w:color w:val="auto"/>
                <w:u w:val="single"/>
              </w:rPr>
            </w:pPr>
            <w:r>
              <w:rPr>
                <w:rFonts w:ascii="Times New Roman" w:hAnsi="Times New Roman"/>
                <w:color w:val="auto"/>
                <w:u w:val="single"/>
              </w:rPr>
              <w:t>表</w:t>
            </w:r>
            <w:r>
              <w:rPr>
                <w:rFonts w:hint="eastAsia" w:ascii="Times New Roman" w:hAnsi="Times New Roman"/>
                <w:color w:val="auto"/>
                <w:u w:val="single"/>
              </w:rPr>
              <w:t>4-1</w:t>
            </w:r>
            <w:r>
              <w:rPr>
                <w:rFonts w:hint="eastAsia" w:ascii="Times New Roman" w:hAnsi="Times New Roman"/>
                <w:color w:val="auto"/>
                <w:u w:val="single"/>
                <w:lang w:val="en-US" w:eastAsia="zh-CN"/>
              </w:rPr>
              <w:t>5</w:t>
            </w:r>
            <w:r>
              <w:rPr>
                <w:rFonts w:hint="eastAsia" w:ascii="Times New Roman" w:hAnsi="Times New Roman"/>
                <w:color w:val="auto"/>
                <w:u w:val="single"/>
              </w:rPr>
              <w:t xml:space="preserve"> </w:t>
            </w:r>
            <w:r>
              <w:rPr>
                <w:rFonts w:ascii="Times New Roman" w:hAnsi="Times New Roman"/>
                <w:color w:val="auto"/>
                <w:u w:val="single"/>
              </w:rPr>
              <w:t xml:space="preserve"> 火灾及泄漏事故原因分析</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3"/>
              <w:gridCol w:w="1907"/>
              <w:gridCol w:w="5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exact"/>
                <w:jc w:val="center"/>
              </w:trPr>
              <w:tc>
                <w:tcPr>
                  <w:tcW w:w="594" w:type="pct"/>
                  <w:tcBorders>
                    <w:tl2br w:val="nil"/>
                    <w:tr2bl w:val="nil"/>
                  </w:tcBorders>
                  <w:vAlign w:val="center"/>
                </w:tcPr>
                <w:p>
                  <w:pPr>
                    <w:autoSpaceDE w:val="0"/>
                    <w:autoSpaceDN w:val="0"/>
                    <w:jc w:val="center"/>
                    <w:rPr>
                      <w:rFonts w:ascii="Times New Roman" w:hAnsi="Times New Roman"/>
                      <w:b/>
                      <w:bCs/>
                      <w:color w:val="auto"/>
                      <w:szCs w:val="21"/>
                      <w:u w:val="single"/>
                      <w:lang w:eastAsia="en-US"/>
                    </w:rPr>
                  </w:pPr>
                  <w:r>
                    <w:rPr>
                      <w:rFonts w:ascii="Times New Roman" w:hAnsi="Times New Roman"/>
                      <w:b/>
                      <w:bCs/>
                      <w:color w:val="auto"/>
                      <w:szCs w:val="21"/>
                      <w:u w:val="single"/>
                      <w:lang w:eastAsia="en-US"/>
                    </w:rPr>
                    <w:t>序号</w:t>
                  </w:r>
                </w:p>
              </w:tc>
              <w:tc>
                <w:tcPr>
                  <w:tcW w:w="4405" w:type="pct"/>
                  <w:gridSpan w:val="2"/>
                  <w:tcBorders>
                    <w:tl2br w:val="nil"/>
                    <w:tr2bl w:val="nil"/>
                  </w:tcBorders>
                  <w:vAlign w:val="center"/>
                </w:tcPr>
                <w:p>
                  <w:pPr>
                    <w:autoSpaceDE w:val="0"/>
                    <w:autoSpaceDN w:val="0"/>
                    <w:jc w:val="center"/>
                    <w:rPr>
                      <w:rFonts w:ascii="Times New Roman" w:hAnsi="Times New Roman"/>
                      <w:b/>
                      <w:bCs/>
                      <w:color w:val="auto"/>
                      <w:szCs w:val="21"/>
                      <w:u w:val="single"/>
                      <w:lang w:eastAsia="en-US"/>
                    </w:rPr>
                  </w:pPr>
                  <w:r>
                    <w:rPr>
                      <w:rFonts w:ascii="Times New Roman" w:hAnsi="Times New Roman"/>
                      <w:b/>
                      <w:bCs/>
                      <w:color w:val="auto"/>
                      <w:szCs w:val="21"/>
                      <w:u w:val="single"/>
                      <w:lang w:eastAsia="en-US"/>
                    </w:rPr>
                    <w:t>事故发生原因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exact"/>
                <w:jc w:val="center"/>
              </w:trPr>
              <w:tc>
                <w:tcPr>
                  <w:tcW w:w="594" w:type="pct"/>
                  <w:tcBorders>
                    <w:tl2br w:val="nil"/>
                    <w:tr2bl w:val="nil"/>
                  </w:tcBorders>
                  <w:vAlign w:val="center"/>
                </w:tcPr>
                <w:p>
                  <w:pPr>
                    <w:autoSpaceDE w:val="0"/>
                    <w:autoSpaceDN w:val="0"/>
                    <w:jc w:val="center"/>
                    <w:rPr>
                      <w:rFonts w:ascii="Times New Roman" w:hAnsi="Times New Roman"/>
                      <w:color w:val="auto"/>
                      <w:szCs w:val="21"/>
                      <w:u w:val="single"/>
                      <w:lang w:eastAsia="en-US"/>
                    </w:rPr>
                  </w:pPr>
                  <w:r>
                    <w:rPr>
                      <w:rFonts w:ascii="Times New Roman" w:hAnsi="Times New Roman"/>
                      <w:color w:val="auto"/>
                      <w:szCs w:val="21"/>
                      <w:u w:val="single"/>
                      <w:lang w:eastAsia="en-US"/>
                    </w:rPr>
                    <w:t>1</w:t>
                  </w:r>
                </w:p>
              </w:tc>
              <w:tc>
                <w:tcPr>
                  <w:tcW w:w="1086" w:type="pct"/>
                  <w:tcBorders>
                    <w:tl2br w:val="nil"/>
                    <w:tr2bl w:val="nil"/>
                  </w:tcBorders>
                  <w:vAlign w:val="center"/>
                </w:tcPr>
                <w:p>
                  <w:pPr>
                    <w:autoSpaceDE w:val="0"/>
                    <w:autoSpaceDN w:val="0"/>
                    <w:jc w:val="center"/>
                    <w:rPr>
                      <w:rFonts w:ascii="Times New Roman" w:hAnsi="Times New Roman"/>
                      <w:color w:val="auto"/>
                      <w:szCs w:val="21"/>
                      <w:u w:val="single"/>
                      <w:lang w:eastAsia="en-US"/>
                    </w:rPr>
                  </w:pPr>
                  <w:r>
                    <w:rPr>
                      <w:rFonts w:ascii="Times New Roman" w:hAnsi="Times New Roman"/>
                      <w:color w:val="auto"/>
                      <w:szCs w:val="21"/>
                      <w:u w:val="single"/>
                      <w:lang w:eastAsia="en-US"/>
                    </w:rPr>
                    <w:t>明火</w:t>
                  </w:r>
                </w:p>
              </w:tc>
              <w:tc>
                <w:tcPr>
                  <w:tcW w:w="3319"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生产过程中的动火作业、现场吸烟、机动车喷烟排火等。</w:t>
                  </w:r>
                </w:p>
                <w:p>
                  <w:pPr>
                    <w:autoSpaceDE w:val="0"/>
                    <w:autoSpaceDN w:val="0"/>
                    <w:ind w:firstLine="420"/>
                    <w:jc w:val="center"/>
                    <w:rPr>
                      <w:rFonts w:ascii="Times New Roman" w:hAnsi="Times New Roman"/>
                      <w:color w:val="auto"/>
                      <w:szCs w:val="21"/>
                      <w:u w:val="single"/>
                    </w:rPr>
                  </w:pPr>
                  <w:r>
                    <w:rPr>
                      <w:rFonts w:ascii="Times New Roman" w:hAnsi="Times New Roman"/>
                      <w:color w:val="auto"/>
                      <w:szCs w:val="21"/>
                      <w:u w:val="single"/>
                    </w:rPr>
                    <w:t>灾最常见最直接的原因。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594" w:type="pct"/>
                  <w:tcBorders>
                    <w:tl2br w:val="nil"/>
                    <w:tr2bl w:val="nil"/>
                  </w:tcBorders>
                  <w:vAlign w:val="center"/>
                </w:tcPr>
                <w:p>
                  <w:pPr>
                    <w:autoSpaceDE w:val="0"/>
                    <w:autoSpaceDN w:val="0"/>
                    <w:jc w:val="center"/>
                    <w:rPr>
                      <w:rFonts w:ascii="Times New Roman" w:hAnsi="Times New Roman"/>
                      <w:color w:val="auto"/>
                      <w:szCs w:val="21"/>
                      <w:u w:val="single"/>
                      <w:lang w:eastAsia="en-US"/>
                    </w:rPr>
                  </w:pPr>
                  <w:r>
                    <w:rPr>
                      <w:rFonts w:ascii="Times New Roman" w:hAnsi="Times New Roman"/>
                      <w:color w:val="auto"/>
                      <w:szCs w:val="21"/>
                      <w:u w:val="single"/>
                      <w:lang w:eastAsia="en-US"/>
                    </w:rPr>
                    <w:t>2</w:t>
                  </w:r>
                </w:p>
              </w:tc>
              <w:tc>
                <w:tcPr>
                  <w:tcW w:w="1086"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违规操作</w:t>
                  </w:r>
                </w:p>
              </w:tc>
              <w:tc>
                <w:tcPr>
                  <w:tcW w:w="3319" w:type="pct"/>
                  <w:tcBorders>
                    <w:tl2br w:val="nil"/>
                    <w:tr2bl w:val="nil"/>
                  </w:tcBorders>
                  <w:vAlign w:val="center"/>
                </w:tcPr>
                <w:p>
                  <w:pPr>
                    <w:autoSpaceDE w:val="0"/>
                    <w:autoSpaceDN w:val="0"/>
                    <w:ind w:firstLine="420"/>
                    <w:jc w:val="center"/>
                    <w:rPr>
                      <w:rFonts w:ascii="Times New Roman" w:hAnsi="Times New Roman"/>
                      <w:color w:val="auto"/>
                      <w:szCs w:val="21"/>
                      <w:u w:val="single"/>
                    </w:rPr>
                  </w:pPr>
                  <w:r>
                    <w:rPr>
                      <w:rFonts w:ascii="Times New Roman" w:hAnsi="Times New Roman"/>
                      <w:color w:val="auto"/>
                      <w:szCs w:val="21"/>
                      <w:u w:val="single"/>
                    </w:rPr>
                    <w:t>未将危险废物暂存于危废暂存间，随意丢弃等。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8" w:hRule="exact"/>
                <w:jc w:val="center"/>
              </w:trPr>
              <w:tc>
                <w:tcPr>
                  <w:tcW w:w="594"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3</w:t>
                  </w:r>
                </w:p>
              </w:tc>
              <w:tc>
                <w:tcPr>
                  <w:tcW w:w="1086"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贮存间不满足标准</w:t>
                  </w:r>
                </w:p>
              </w:tc>
              <w:tc>
                <w:tcPr>
                  <w:tcW w:w="3319" w:type="pct"/>
                  <w:tcBorders>
                    <w:tl2br w:val="nil"/>
                    <w:tr2bl w:val="nil"/>
                  </w:tcBorders>
                  <w:vAlign w:val="center"/>
                </w:tcPr>
                <w:p>
                  <w:pPr>
                    <w:autoSpaceDE w:val="0"/>
                    <w:autoSpaceDN w:val="0"/>
                    <w:ind w:firstLine="420"/>
                    <w:jc w:val="center"/>
                    <w:rPr>
                      <w:rFonts w:ascii="Times New Roman" w:hAnsi="Times New Roman"/>
                      <w:color w:val="auto"/>
                      <w:szCs w:val="21"/>
                      <w:u w:val="single"/>
                    </w:rPr>
                  </w:pPr>
                  <w:r>
                    <w:rPr>
                      <w:rFonts w:ascii="Times New Roman" w:hAnsi="Times New Roman"/>
                      <w:color w:val="auto"/>
                      <w:szCs w:val="21"/>
                      <w:u w:val="single"/>
                    </w:rPr>
                    <w:t>原料贮存间或危废暂存间无防渗防漏措施，或贮存间温度过高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exact"/>
                <w:jc w:val="center"/>
              </w:trPr>
              <w:tc>
                <w:tcPr>
                  <w:tcW w:w="594"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4</w:t>
                  </w:r>
                </w:p>
              </w:tc>
              <w:tc>
                <w:tcPr>
                  <w:tcW w:w="1086"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其他原因</w:t>
                  </w:r>
                </w:p>
              </w:tc>
              <w:tc>
                <w:tcPr>
                  <w:tcW w:w="3319" w:type="pct"/>
                  <w:tcBorders>
                    <w:tl2br w:val="nil"/>
                    <w:tr2bl w:val="nil"/>
                  </w:tcBorders>
                  <w:vAlign w:val="center"/>
                </w:tcPr>
                <w:p>
                  <w:pPr>
                    <w:autoSpaceDE w:val="0"/>
                    <w:autoSpaceDN w:val="0"/>
                    <w:jc w:val="center"/>
                    <w:rPr>
                      <w:rFonts w:ascii="Times New Roman" w:hAnsi="Times New Roman"/>
                      <w:color w:val="auto"/>
                      <w:szCs w:val="21"/>
                      <w:u w:val="single"/>
                    </w:rPr>
                  </w:pPr>
                  <w:r>
                    <w:rPr>
                      <w:rFonts w:ascii="Times New Roman" w:hAnsi="Times New Roman"/>
                      <w:color w:val="auto"/>
                      <w:szCs w:val="21"/>
                      <w:u w:val="single"/>
                    </w:rPr>
                    <w:t>/</w:t>
                  </w:r>
                </w:p>
              </w:tc>
            </w:tr>
          </w:tbl>
          <w:p>
            <w:pPr>
              <w:pStyle w:val="2"/>
              <w:spacing w:before="0" w:after="0" w:line="360" w:lineRule="auto"/>
              <w:ind w:right="0" w:firstLine="480"/>
              <w:rPr>
                <w:rFonts w:ascii="Times New Roman" w:hAnsi="Times New Roman"/>
                <w:color w:val="auto"/>
                <w:sz w:val="24"/>
                <w:szCs w:val="24"/>
                <w:u w:val="single"/>
              </w:rPr>
            </w:pPr>
            <w:r>
              <w:rPr>
                <w:rFonts w:ascii="Times New Roman" w:hAnsi="Times New Roman"/>
                <w:color w:val="auto"/>
                <w:sz w:val="24"/>
                <w:szCs w:val="24"/>
                <w:u w:val="single"/>
              </w:rPr>
              <w:t>火灾事故随着企业运行管理水平的提高，以及采取有效的防火措施，发生概率很低。</w:t>
            </w:r>
          </w:p>
          <w:p>
            <w:pPr>
              <w:pStyle w:val="2"/>
              <w:spacing w:before="0" w:after="0" w:line="360" w:lineRule="auto"/>
              <w:ind w:right="0" w:firstLine="480"/>
              <w:rPr>
                <w:rFonts w:ascii="Times New Roman" w:hAnsi="Times New Roman"/>
                <w:color w:val="auto"/>
                <w:sz w:val="24"/>
                <w:szCs w:val="24"/>
                <w:u w:val="single"/>
              </w:rPr>
            </w:pPr>
            <w:r>
              <w:rPr>
                <w:rFonts w:ascii="Times New Roman" w:hAnsi="Times New Roman"/>
                <w:color w:val="auto"/>
                <w:sz w:val="24"/>
                <w:szCs w:val="24"/>
                <w:u w:val="single"/>
              </w:rPr>
              <w:t>①运输过程事故风险</w:t>
            </w:r>
          </w:p>
          <w:p>
            <w:pPr>
              <w:pStyle w:val="2"/>
              <w:spacing w:before="0" w:after="0" w:line="360" w:lineRule="auto"/>
              <w:ind w:right="0" w:firstLine="480"/>
              <w:rPr>
                <w:rFonts w:ascii="Times New Roman" w:hAnsi="Times New Roman"/>
                <w:color w:val="auto"/>
                <w:sz w:val="24"/>
                <w:szCs w:val="24"/>
                <w:u w:val="single"/>
              </w:rPr>
            </w:pPr>
            <w:r>
              <w:rPr>
                <w:rFonts w:ascii="Times New Roman" w:hAnsi="Times New Roman"/>
                <w:color w:val="auto"/>
                <w:sz w:val="24"/>
                <w:szCs w:val="24"/>
                <w:u w:val="single"/>
              </w:rPr>
              <w:t>危险废物在运输、装卸、处置过程中操作不当等原因所造成的运输车辆风险。</w:t>
            </w:r>
            <w:r>
              <w:rPr>
                <w:rFonts w:ascii="Times New Roman" w:hAnsi="Times New Roman"/>
                <w:color w:val="auto"/>
                <w:spacing w:val="-3"/>
                <w:sz w:val="24"/>
                <w:szCs w:val="24"/>
                <w:u w:val="single"/>
              </w:rPr>
              <w:t>交通运输单位不按规定申办准运手续，驾驶员、押运员未经专门培训，运输车辆</w:t>
            </w:r>
            <w:r>
              <w:rPr>
                <w:rFonts w:ascii="Times New Roman" w:hAnsi="Times New Roman"/>
                <w:color w:val="auto"/>
                <w:spacing w:val="-4"/>
                <w:sz w:val="24"/>
                <w:szCs w:val="24"/>
                <w:u w:val="single"/>
              </w:rPr>
              <w:t>达不到规定的技术标准，超限超载、混装混运，不按规定路线、时段运行，甚至违章</w:t>
            </w:r>
            <w:r>
              <w:rPr>
                <w:rFonts w:ascii="Times New Roman" w:hAnsi="Times New Roman"/>
                <w:color w:val="auto"/>
                <w:spacing w:val="-7"/>
                <w:sz w:val="24"/>
                <w:szCs w:val="24"/>
                <w:u w:val="single"/>
              </w:rPr>
              <w:t>驾驶等等，都可能引起交通运输事故而导致危险废物泄漏。据统计，近几年在运输过</w:t>
            </w:r>
            <w:r>
              <w:rPr>
                <w:rFonts w:ascii="Times New Roman" w:hAnsi="Times New Roman"/>
                <w:color w:val="auto"/>
                <w:spacing w:val="-10"/>
                <w:sz w:val="24"/>
                <w:szCs w:val="24"/>
                <w:u w:val="single"/>
              </w:rPr>
              <w:t>程中发生的危化品泄漏事故约占总次数的</w:t>
            </w:r>
            <w:r>
              <w:rPr>
                <w:rFonts w:ascii="Times New Roman" w:hAnsi="Times New Roman"/>
                <w:color w:val="auto"/>
                <w:sz w:val="24"/>
                <w:szCs w:val="24"/>
                <w:u w:val="single"/>
              </w:rPr>
              <w:t>30%。</w:t>
            </w:r>
            <w:r>
              <w:rPr>
                <w:rFonts w:ascii="Times New Roman" w:hAnsi="Times New Roman"/>
                <w:color w:val="auto"/>
                <w:spacing w:val="-1"/>
                <w:sz w:val="24"/>
                <w:szCs w:val="24"/>
                <w:u w:val="single"/>
              </w:rPr>
              <w:t>由统计分析和类比调查得到导致污染事故因素顺序为：人为过失＞装置缺陷＞自</w:t>
            </w:r>
            <w:r>
              <w:rPr>
                <w:rFonts w:ascii="Times New Roman" w:hAnsi="Times New Roman"/>
                <w:color w:val="auto"/>
                <w:spacing w:val="-6"/>
                <w:sz w:val="24"/>
                <w:szCs w:val="24"/>
                <w:u w:val="single"/>
              </w:rPr>
              <w:t>然因素。最主要的因素是人为操作失误，因为违反操作规程造成事故；其次是设备故障。</w:t>
            </w:r>
          </w:p>
          <w:p>
            <w:pPr>
              <w:pStyle w:val="2"/>
              <w:spacing w:before="0" w:after="0" w:line="360" w:lineRule="auto"/>
              <w:ind w:right="0" w:firstLine="480"/>
              <w:rPr>
                <w:rFonts w:ascii="Times New Roman" w:hAnsi="Times New Roman"/>
                <w:color w:val="auto"/>
                <w:sz w:val="24"/>
                <w:szCs w:val="24"/>
                <w:u w:val="single"/>
              </w:rPr>
            </w:pPr>
            <w:r>
              <w:rPr>
                <w:rFonts w:ascii="Times New Roman" w:hAnsi="Times New Roman"/>
                <w:color w:val="auto"/>
                <w:sz w:val="24"/>
                <w:szCs w:val="24"/>
                <w:u w:val="single"/>
              </w:rPr>
              <w:t>②贮存、生产过程中物料泄露事故风险</w:t>
            </w:r>
          </w:p>
          <w:p>
            <w:pPr>
              <w:pStyle w:val="2"/>
              <w:spacing w:before="0" w:after="0" w:line="360" w:lineRule="auto"/>
              <w:ind w:right="0" w:firstLine="464"/>
              <w:rPr>
                <w:rFonts w:ascii="Times New Roman" w:hAnsi="Times New Roman"/>
                <w:color w:val="auto"/>
                <w:sz w:val="24"/>
                <w:szCs w:val="24"/>
                <w:u w:val="single"/>
              </w:rPr>
            </w:pPr>
            <w:r>
              <w:rPr>
                <w:rFonts w:ascii="Times New Roman" w:hAnsi="Times New Roman"/>
                <w:color w:val="auto"/>
                <w:spacing w:val="-4"/>
                <w:sz w:val="24"/>
                <w:szCs w:val="24"/>
                <w:u w:val="single"/>
              </w:rPr>
              <w:t>本项目涉及的原料机油、</w:t>
            </w:r>
            <w:r>
              <w:rPr>
                <w:rFonts w:hint="eastAsia" w:ascii="Times New Roman" w:hAnsi="Times New Roman"/>
                <w:color w:val="auto"/>
                <w:spacing w:val="-4"/>
                <w:sz w:val="24"/>
                <w:szCs w:val="24"/>
                <w:u w:val="single"/>
              </w:rPr>
              <w:t>润滑油</w:t>
            </w:r>
            <w:r>
              <w:rPr>
                <w:rFonts w:ascii="Times New Roman" w:hAnsi="Times New Roman"/>
                <w:color w:val="auto"/>
                <w:spacing w:val="-4"/>
                <w:sz w:val="24"/>
                <w:szCs w:val="24"/>
                <w:u w:val="single"/>
              </w:rPr>
              <w:t>为液态物料，使用量较少，并且有专门的原辅材料存放间，因此，本项目发生贮存、生产过程中机油泄漏事故风险较小。</w:t>
            </w:r>
          </w:p>
          <w:p>
            <w:pPr>
              <w:spacing w:line="360" w:lineRule="auto"/>
              <w:ind w:firstLine="480"/>
              <w:rPr>
                <w:rFonts w:ascii="Times New Roman" w:hAnsi="Times New Roman"/>
                <w:b/>
                <w:bCs/>
                <w:color w:val="auto"/>
                <w:sz w:val="24"/>
                <w:u w:val="single"/>
              </w:rPr>
            </w:pPr>
            <w:r>
              <w:rPr>
                <w:rFonts w:ascii="Times New Roman" w:hAnsi="Times New Roman"/>
                <w:b/>
                <w:bCs/>
                <w:color w:val="auto"/>
                <w:sz w:val="24"/>
                <w:u w:val="single"/>
              </w:rPr>
              <w:t>（</w:t>
            </w:r>
            <w:r>
              <w:rPr>
                <w:rFonts w:hint="eastAsia" w:ascii="Times New Roman" w:hAnsi="Times New Roman"/>
                <w:b/>
                <w:bCs/>
                <w:color w:val="auto"/>
                <w:sz w:val="24"/>
                <w:u w:val="single"/>
              </w:rPr>
              <w:t>4</w:t>
            </w:r>
            <w:r>
              <w:rPr>
                <w:rFonts w:ascii="Times New Roman" w:hAnsi="Times New Roman"/>
                <w:b/>
                <w:bCs/>
                <w:color w:val="auto"/>
                <w:sz w:val="24"/>
                <w:u w:val="single"/>
              </w:rPr>
              <w:t>）环境事故风险防范措施</w:t>
            </w:r>
          </w:p>
          <w:p>
            <w:pPr>
              <w:spacing w:line="360" w:lineRule="auto"/>
              <w:ind w:firstLine="480"/>
              <w:rPr>
                <w:rFonts w:ascii="Times New Roman" w:hAnsi="Times New Roman"/>
                <w:color w:val="auto"/>
                <w:sz w:val="24"/>
                <w:u w:val="single"/>
              </w:rPr>
            </w:pPr>
            <w:r>
              <w:rPr>
                <w:rFonts w:ascii="Times New Roman" w:hAnsi="Times New Roman"/>
                <w:color w:val="auto"/>
                <w:sz w:val="24"/>
                <w:u w:val="single"/>
              </w:rPr>
              <w:t>①严格执行相关法律、法规</w:t>
            </w:r>
          </w:p>
          <w:p>
            <w:pPr>
              <w:spacing w:line="360" w:lineRule="auto"/>
              <w:ind w:firstLine="480"/>
              <w:rPr>
                <w:rFonts w:ascii="Times New Roman" w:hAnsi="Times New Roman"/>
                <w:color w:val="auto"/>
                <w:sz w:val="24"/>
                <w:u w:val="single"/>
              </w:rPr>
            </w:pPr>
            <w:r>
              <w:rPr>
                <w:rFonts w:ascii="Times New Roman" w:hAnsi="Times New Roman"/>
                <w:color w:val="auto"/>
                <w:sz w:val="24"/>
                <w:u w:val="single"/>
              </w:rPr>
              <w:t>由于本项目所使用的机油、</w:t>
            </w:r>
            <w:r>
              <w:rPr>
                <w:rFonts w:hint="eastAsia" w:ascii="Times New Roman" w:hAnsi="Times New Roman"/>
                <w:color w:val="auto"/>
                <w:sz w:val="24"/>
                <w:u w:val="single"/>
              </w:rPr>
              <w:t>润滑</w:t>
            </w:r>
            <w:r>
              <w:rPr>
                <w:rFonts w:ascii="Times New Roman" w:hAnsi="Times New Roman"/>
                <w:color w:val="auto"/>
                <w:sz w:val="24"/>
                <w:u w:val="single"/>
              </w:rPr>
              <w:t>油中的成分属易燃品，因此在设计、施工、生产、经营等各方面必须严格执行有关法律、法规。具体如《危险化学品安全管理条例》、《建筑设计防火规范》、《易燃易爆化学物品安全监督管理办法》等。</w:t>
            </w:r>
          </w:p>
          <w:p>
            <w:pPr>
              <w:pStyle w:val="25"/>
              <w:spacing w:after="0" w:line="360" w:lineRule="auto"/>
              <w:ind w:left="0" w:leftChars="0" w:firstLine="480"/>
              <w:rPr>
                <w:rFonts w:hint="default" w:ascii="Times New Roman" w:hAnsi="Times New Roman"/>
                <w:color w:val="auto"/>
                <w:sz w:val="24"/>
                <w:szCs w:val="24"/>
                <w:u w:val="single"/>
              </w:rPr>
            </w:pPr>
            <w:r>
              <w:rPr>
                <w:rFonts w:hint="default" w:ascii="Times New Roman" w:hAnsi="Times New Roman"/>
                <w:color w:val="auto"/>
                <w:sz w:val="24"/>
                <w:szCs w:val="24"/>
                <w:u w:val="single"/>
              </w:rPr>
              <w:t>②贮存过程的消防管理措施</w:t>
            </w:r>
          </w:p>
          <w:p>
            <w:pPr>
              <w:spacing w:line="360" w:lineRule="auto"/>
              <w:ind w:firstLine="480"/>
              <w:rPr>
                <w:rFonts w:ascii="Times New Roman" w:hAnsi="Times New Roman"/>
                <w:color w:val="auto"/>
                <w:sz w:val="24"/>
                <w:u w:val="single"/>
              </w:rPr>
            </w:pPr>
            <w:r>
              <w:rPr>
                <w:rFonts w:ascii="Times New Roman" w:hAnsi="Times New Roman"/>
                <w:color w:val="auto"/>
                <w:sz w:val="24"/>
                <w:u w:val="single"/>
              </w:rPr>
              <w:t>对各种原辅材料应该按有关消防规范分类贮存，以降低事故发生。易燃物贮存区要形成相对独立去，并在周围设防火墙、隔离带，储存区内应有</w:t>
            </w:r>
            <w:r>
              <w:rPr>
                <w:rFonts w:hint="eastAsia" w:ascii="宋体" w:hAnsi="宋体" w:cs="宋体"/>
                <w:color w:val="auto"/>
                <w:sz w:val="24"/>
                <w:u w:val="single"/>
              </w:rPr>
              <w:t>“禁止吸烟和使用明火”</w:t>
            </w:r>
            <w:r>
              <w:rPr>
                <w:rFonts w:ascii="Times New Roman" w:hAnsi="Times New Roman"/>
                <w:color w:val="auto"/>
                <w:sz w:val="24"/>
                <w:u w:val="single"/>
              </w:rPr>
              <w:t>的告示牌。储存温度不可高于52℃，储存区应远离频繁出入和紧急出口。</w:t>
            </w:r>
          </w:p>
          <w:p>
            <w:pPr>
              <w:widowControl/>
              <w:spacing w:line="360" w:lineRule="auto"/>
              <w:ind w:firstLine="480"/>
              <w:rPr>
                <w:rFonts w:ascii="Times New Roman" w:hAnsi="Times New Roman"/>
                <w:b/>
                <w:bCs/>
                <w:color w:val="auto"/>
                <w:kern w:val="0"/>
                <w:sz w:val="24"/>
                <w:u w:val="single"/>
              </w:rPr>
            </w:pPr>
            <w:r>
              <w:rPr>
                <w:rFonts w:ascii="Times New Roman" w:hAnsi="Times New Roman"/>
                <w:b/>
                <w:bCs/>
                <w:color w:val="auto"/>
                <w:kern w:val="0"/>
                <w:sz w:val="24"/>
                <w:u w:val="single"/>
              </w:rPr>
              <w:t>（</w:t>
            </w:r>
            <w:r>
              <w:rPr>
                <w:rFonts w:hint="eastAsia" w:ascii="Times New Roman" w:hAnsi="Times New Roman"/>
                <w:b/>
                <w:bCs/>
                <w:color w:val="auto"/>
                <w:kern w:val="0"/>
                <w:sz w:val="24"/>
                <w:u w:val="single"/>
              </w:rPr>
              <w:t>5</w:t>
            </w:r>
            <w:r>
              <w:rPr>
                <w:rFonts w:ascii="Times New Roman" w:hAnsi="Times New Roman"/>
                <w:b/>
                <w:bCs/>
                <w:color w:val="auto"/>
                <w:kern w:val="0"/>
                <w:sz w:val="24"/>
                <w:u w:val="single"/>
              </w:rPr>
              <w:t>）厂区应急预案</w:t>
            </w:r>
          </w:p>
          <w:p>
            <w:pPr>
              <w:widowControl/>
              <w:spacing w:line="360" w:lineRule="auto"/>
              <w:ind w:firstLine="480"/>
              <w:jc w:val="left"/>
              <w:rPr>
                <w:rFonts w:ascii="Times New Roman" w:hAnsi="Times New Roman"/>
                <w:color w:val="auto"/>
                <w:sz w:val="24"/>
                <w:u w:val="single"/>
              </w:rPr>
            </w:pPr>
            <w:r>
              <w:rPr>
                <w:rFonts w:ascii="Times New Roman" w:hAnsi="Times New Roman"/>
                <w:color w:val="auto"/>
                <w:sz w:val="24"/>
                <w:u w:val="single"/>
              </w:rPr>
              <w:t>应急预案是为应对可能发生的紧急事件所做的预先准备，其目的是限制紧急事件的影响范围，尽可能减少事件造成的人、财产和环境的损失。制定环境风险应急预案的目的是为了发生环境风险事故时能以最快的速度发挥最大的效能，有组织。有秩序的实施救援行动，达到尽快控制事态发展，降低事故造成的环境危害，减少事故损失。</w:t>
            </w:r>
          </w:p>
          <w:p>
            <w:pPr>
              <w:widowControl/>
              <w:spacing w:line="360" w:lineRule="auto"/>
              <w:jc w:val="left"/>
              <w:rPr>
                <w:rFonts w:ascii="Times New Roman" w:hAnsi="Times New Roman"/>
                <w:color w:val="auto"/>
                <w:sz w:val="24"/>
                <w:u w:val="single"/>
              </w:rPr>
            </w:pPr>
            <w:r>
              <w:rPr>
                <w:rFonts w:ascii="Times New Roman" w:hAnsi="Times New Roman"/>
                <w:color w:val="auto"/>
                <w:sz w:val="24"/>
                <w:u w:val="single"/>
              </w:rPr>
              <w:t xml:space="preserve">应急预案主要内容应根据下表详细编制，经过修订完善后，由企业负责人负责实施。 </w:t>
            </w:r>
          </w:p>
          <w:p>
            <w:pPr>
              <w:pStyle w:val="54"/>
              <w:rPr>
                <w:rFonts w:ascii="Times New Roman" w:hAnsi="Times New Roman"/>
                <w:color w:val="auto"/>
                <w:u w:val="single"/>
              </w:rPr>
            </w:pPr>
            <w:r>
              <w:rPr>
                <w:rFonts w:ascii="Times New Roman" w:hAnsi="Times New Roman"/>
                <w:color w:val="auto"/>
                <w:u w:val="single"/>
              </w:rPr>
              <w:t>表4</w:t>
            </w:r>
            <w:r>
              <w:rPr>
                <w:rFonts w:hint="eastAsia" w:ascii="Times New Roman" w:hAnsi="Times New Roman"/>
                <w:color w:val="auto"/>
                <w:u w:val="single"/>
              </w:rPr>
              <w:t>-1</w:t>
            </w:r>
            <w:r>
              <w:rPr>
                <w:rFonts w:hint="eastAsia" w:ascii="Times New Roman" w:hAnsi="Times New Roman"/>
                <w:color w:val="auto"/>
                <w:u w:val="single"/>
                <w:lang w:val="en-US" w:eastAsia="zh-CN"/>
              </w:rPr>
              <w:t>6</w:t>
            </w:r>
            <w:r>
              <w:rPr>
                <w:rFonts w:ascii="Times New Roman" w:hAnsi="Times New Roman"/>
                <w:color w:val="auto"/>
                <w:u w:val="single"/>
              </w:rPr>
              <w:t xml:space="preserve">  应急预案内容一览表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18"/>
              <w:gridCol w:w="2604"/>
              <w:gridCol w:w="53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序号</w:t>
                  </w:r>
                </w:p>
              </w:tc>
              <w:tc>
                <w:tcPr>
                  <w:tcW w:w="1483"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项目</w:t>
                  </w:r>
                </w:p>
              </w:tc>
              <w:tc>
                <w:tcPr>
                  <w:tcW w:w="3050" w:type="pct"/>
                  <w:tcBorders>
                    <w:tl2br w:val="nil"/>
                    <w:tr2bl w:val="nil"/>
                  </w:tcBorders>
                  <w:vAlign w:val="center"/>
                </w:tcPr>
                <w:p>
                  <w:pPr>
                    <w:pStyle w:val="50"/>
                    <w:jc w:val="center"/>
                    <w:rPr>
                      <w:rFonts w:ascii="Times New Roman" w:hAnsi="Times New Roman"/>
                      <w:b/>
                      <w:bCs/>
                      <w:color w:val="auto"/>
                      <w:u w:val="single"/>
                    </w:rPr>
                  </w:pPr>
                  <w:r>
                    <w:rPr>
                      <w:rFonts w:ascii="Times New Roman" w:hAnsi="Times New Roman"/>
                      <w:b/>
                      <w:bCs/>
                      <w:color w:val="auto"/>
                      <w:u w:val="single"/>
                    </w:rPr>
                    <w:t>内容及要求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1</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应急计划区</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危险目标、装置区、环境保护目标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2</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应急组织机构、人员</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3</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预案分级影响条件</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规定预案的级别和分级影响程序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4</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应急救援保障</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5</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报警、通讯联络方式</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6</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应急环境监测、抢救、救援及控制措施</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由专业队伍负责对事故现场进行侦查监测，对事故性质、参数后果进行评估，对指挥部门提供决策依据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7</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应急监测、防护措施、救援措施和器材</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事故现场、邻近区域、控制防火区域、控制清楚污染措施及相关设施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8</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人员紧急撤离、疏散，应急剂量控制、撤离组织计划</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事故现场、工厂邻近区，受事故影响的区域人员及公众对度物应急剂量控制规定，撤离组织计划及救护，医疗救护与公众健康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9</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事故应急救援关闭程序与恢复措施</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规定应急状态终止程序事故现场善后处理，恢复措施邻近区域解除事故警警戒及善后恢复措施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10</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应急培训计划</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466"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11</w:t>
                  </w:r>
                </w:p>
              </w:tc>
              <w:tc>
                <w:tcPr>
                  <w:tcW w:w="1483"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公众教育和信息</w:t>
                  </w:r>
                </w:p>
              </w:tc>
              <w:tc>
                <w:tcPr>
                  <w:tcW w:w="3050" w:type="pct"/>
                  <w:tcBorders>
                    <w:tl2br w:val="nil"/>
                    <w:tr2bl w:val="nil"/>
                  </w:tcBorders>
                  <w:vAlign w:val="center"/>
                </w:tcPr>
                <w:p>
                  <w:pPr>
                    <w:pStyle w:val="50"/>
                    <w:jc w:val="center"/>
                    <w:rPr>
                      <w:rFonts w:ascii="Times New Roman" w:hAnsi="Times New Roman"/>
                      <w:color w:val="auto"/>
                      <w:u w:val="single"/>
                    </w:rPr>
                  </w:pPr>
                  <w:r>
                    <w:rPr>
                      <w:rFonts w:ascii="Times New Roman" w:hAnsi="Times New Roman"/>
                      <w:color w:val="auto"/>
                      <w:u w:val="single"/>
                    </w:rPr>
                    <w:t>对工厂邻近地区开展公众教育，培训和发布有关信息</w:t>
                  </w:r>
                </w:p>
              </w:tc>
            </w:tr>
          </w:tbl>
          <w:p>
            <w:pPr>
              <w:widowControl/>
              <w:spacing w:line="360" w:lineRule="auto"/>
              <w:ind w:firstLine="480"/>
              <w:jc w:val="left"/>
              <w:rPr>
                <w:rFonts w:ascii="Times New Roman" w:hAnsi="Times New Roman"/>
                <w:b/>
                <w:bCs/>
                <w:color w:val="auto"/>
                <w:sz w:val="24"/>
                <w:u w:val="single"/>
              </w:rPr>
            </w:pPr>
            <w:r>
              <w:rPr>
                <w:rFonts w:ascii="Times New Roman" w:hAnsi="Times New Roman"/>
                <w:b/>
                <w:bCs/>
                <w:color w:val="auto"/>
                <w:sz w:val="24"/>
                <w:u w:val="single"/>
              </w:rPr>
              <w:t>（</w:t>
            </w:r>
            <w:r>
              <w:rPr>
                <w:rFonts w:hint="eastAsia" w:ascii="Times New Roman" w:hAnsi="Times New Roman"/>
                <w:b/>
                <w:bCs/>
                <w:color w:val="auto"/>
                <w:sz w:val="24"/>
                <w:u w:val="single"/>
              </w:rPr>
              <w:t>6</w:t>
            </w:r>
            <w:r>
              <w:rPr>
                <w:rFonts w:ascii="Times New Roman" w:hAnsi="Times New Roman"/>
                <w:b/>
                <w:bCs/>
                <w:color w:val="auto"/>
                <w:sz w:val="24"/>
                <w:u w:val="single"/>
              </w:rPr>
              <w:t>）分析结论</w:t>
            </w:r>
          </w:p>
          <w:p>
            <w:pPr>
              <w:widowControl/>
              <w:spacing w:line="360" w:lineRule="auto"/>
              <w:ind w:firstLine="480"/>
              <w:jc w:val="left"/>
              <w:rPr>
                <w:rFonts w:ascii="Times New Roman" w:hAnsi="Times New Roman"/>
                <w:color w:val="auto"/>
                <w:sz w:val="24"/>
                <w:u w:val="single"/>
              </w:rPr>
            </w:pPr>
            <w:r>
              <w:rPr>
                <w:rFonts w:ascii="Times New Roman" w:hAnsi="Times New Roman"/>
                <w:color w:val="auto"/>
                <w:sz w:val="24"/>
                <w:u w:val="single"/>
              </w:rPr>
              <w:t>综上，在采取相应管理及防治措施后，机油、</w:t>
            </w:r>
            <w:r>
              <w:rPr>
                <w:rFonts w:hint="eastAsia" w:ascii="Times New Roman" w:hAnsi="Times New Roman"/>
                <w:color w:val="auto"/>
                <w:sz w:val="24"/>
                <w:u w:val="single"/>
              </w:rPr>
              <w:t>润滑油</w:t>
            </w:r>
            <w:r>
              <w:rPr>
                <w:rFonts w:ascii="Times New Roman" w:hAnsi="Times New Roman"/>
                <w:color w:val="auto"/>
                <w:sz w:val="24"/>
                <w:u w:val="single"/>
              </w:rPr>
              <w:t>泄露造成环境污染的风险在可以接受的范围之内。</w:t>
            </w:r>
          </w:p>
          <w:p>
            <w:pPr>
              <w:pStyle w:val="54"/>
              <w:rPr>
                <w:rFonts w:ascii="Times New Roman" w:hAnsi="Times New Roman"/>
                <w:color w:val="auto"/>
                <w:u w:val="single"/>
              </w:rPr>
            </w:pPr>
            <w:r>
              <w:rPr>
                <w:rFonts w:ascii="Times New Roman" w:hAnsi="Times New Roman"/>
                <w:color w:val="auto"/>
                <w:u w:val="single"/>
              </w:rPr>
              <w:t>表4</w:t>
            </w:r>
            <w:r>
              <w:rPr>
                <w:rFonts w:hint="eastAsia" w:ascii="Times New Roman" w:hAnsi="Times New Roman"/>
                <w:color w:val="auto"/>
                <w:u w:val="single"/>
              </w:rPr>
              <w:t>-1</w:t>
            </w:r>
            <w:r>
              <w:rPr>
                <w:rFonts w:hint="eastAsia" w:ascii="Times New Roman" w:hAnsi="Times New Roman"/>
                <w:color w:val="auto"/>
                <w:u w:val="single"/>
                <w:lang w:val="en-US" w:eastAsia="zh-CN"/>
              </w:rPr>
              <w:t>7</w:t>
            </w:r>
            <w:r>
              <w:rPr>
                <w:rFonts w:ascii="Times New Roman" w:hAnsi="Times New Roman"/>
                <w:color w:val="auto"/>
                <w:u w:val="single"/>
              </w:rPr>
              <w:t xml:space="preserve">  建设项目环境风险简单分析内容表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6"/>
              <w:gridCol w:w="1017"/>
              <w:gridCol w:w="1642"/>
              <w:gridCol w:w="1303"/>
              <w:gridCol w:w="1017"/>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46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建设项目名称</w:t>
                  </w:r>
                </w:p>
              </w:tc>
              <w:tc>
                <w:tcPr>
                  <w:tcW w:w="3537" w:type="pct"/>
                  <w:gridSpan w:val="5"/>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年产</w:t>
                  </w:r>
                  <w:r>
                    <w:rPr>
                      <w:rFonts w:hint="eastAsia" w:ascii="Times New Roman" w:hAnsi="Times New Roman"/>
                      <w:color w:val="auto"/>
                      <w:szCs w:val="21"/>
                      <w:u w:val="single"/>
                    </w:rPr>
                    <w:t>100万支两用扳手</w:t>
                  </w:r>
                  <w:r>
                    <w:rPr>
                      <w:rFonts w:ascii="Times New Roman" w:hAnsi="Times New Roman"/>
                      <w:color w:val="auto"/>
                      <w:szCs w:val="21"/>
                      <w:u w:val="single"/>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6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建设地点</w:t>
                  </w:r>
                </w:p>
              </w:tc>
              <w:tc>
                <w:tcPr>
                  <w:tcW w:w="579"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（湖南）省</w:t>
                  </w:r>
                </w:p>
              </w:tc>
              <w:tc>
                <w:tcPr>
                  <w:tcW w:w="935"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（邵阳）市</w:t>
                  </w:r>
                </w:p>
              </w:tc>
              <w:tc>
                <w:tcPr>
                  <w:tcW w:w="74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（邵东）市</w:t>
                  </w:r>
                </w:p>
              </w:tc>
              <w:tc>
                <w:tcPr>
                  <w:tcW w:w="579"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（/）县</w:t>
                  </w:r>
                </w:p>
              </w:tc>
              <w:tc>
                <w:tcPr>
                  <w:tcW w:w="700"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（仙槎桥）镇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46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地理坐标</w:t>
                  </w:r>
                </w:p>
              </w:tc>
              <w:tc>
                <w:tcPr>
                  <w:tcW w:w="579"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经度</w:t>
                  </w:r>
                </w:p>
              </w:tc>
              <w:tc>
                <w:tcPr>
                  <w:tcW w:w="935"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111.4232</w:t>
                  </w:r>
                  <w:r>
                    <w:rPr>
                      <w:rFonts w:hint="eastAsia" w:ascii="Times New Roman" w:hAnsi="Times New Roman"/>
                      <w:color w:val="auto"/>
                      <w:szCs w:val="21"/>
                      <w:u w:val="single"/>
                    </w:rPr>
                    <w:t>97613</w:t>
                  </w:r>
                </w:p>
              </w:tc>
              <w:tc>
                <w:tcPr>
                  <w:tcW w:w="74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纬度</w:t>
                  </w:r>
                </w:p>
              </w:tc>
              <w:tc>
                <w:tcPr>
                  <w:tcW w:w="1280" w:type="pct"/>
                  <w:gridSpan w:val="2"/>
                  <w:tcBorders>
                    <w:tl2br w:val="nil"/>
                    <w:tr2bl w:val="nil"/>
                  </w:tcBorders>
                  <w:vAlign w:val="center"/>
                </w:tcPr>
                <w:p>
                  <w:pPr>
                    <w:pStyle w:val="50"/>
                    <w:jc w:val="center"/>
                    <w:rPr>
                      <w:rFonts w:ascii="Times New Roman" w:hAnsi="Times New Roman"/>
                      <w:color w:val="auto"/>
                      <w:szCs w:val="21"/>
                      <w:u w:val="single"/>
                    </w:rPr>
                  </w:pPr>
                  <w:r>
                    <w:rPr>
                      <w:rFonts w:hint="eastAsia" w:ascii="Times New Roman" w:hAnsi="Times New Roman"/>
                      <w:color w:val="auto"/>
                      <w:szCs w:val="21"/>
                      <w:u w:val="single"/>
                    </w:rPr>
                    <w:t>27.101632966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6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主要危险物质及分布</w:t>
                  </w:r>
                </w:p>
              </w:tc>
              <w:tc>
                <w:tcPr>
                  <w:tcW w:w="3537" w:type="pct"/>
                  <w:gridSpan w:val="5"/>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主要危险物质为废包装桶、原料润滑油、原料机油</w:t>
                  </w:r>
                  <w:r>
                    <w:rPr>
                      <w:rFonts w:hint="eastAsia" w:ascii="Times New Roman" w:hAnsi="Times New Roman"/>
                      <w:color w:val="auto"/>
                      <w:szCs w:val="21"/>
                      <w:u w:val="single"/>
                    </w:rPr>
                    <w:t>。</w:t>
                  </w:r>
                  <w:r>
                    <w:rPr>
                      <w:rFonts w:ascii="Times New Roman" w:hAnsi="Times New Roman"/>
                      <w:color w:val="auto"/>
                      <w:szCs w:val="21"/>
                      <w:u w:val="single"/>
                    </w:rPr>
                    <w:t>废包装桶暂存于厂房危废暂存间内托盘上，原料润滑油、原料机油油存放于厂内原料仓库内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62" w:type="pct"/>
                  <w:tcBorders>
                    <w:tl2br w:val="nil"/>
                    <w:tr2bl w:val="nil"/>
                  </w:tcBorders>
                  <w:vAlign w:val="center"/>
                </w:tcPr>
                <w:p>
                  <w:pPr>
                    <w:pStyle w:val="57"/>
                    <w:spacing w:line="240" w:lineRule="auto"/>
                    <w:ind w:firstLine="0" w:firstLineChars="0"/>
                    <w:jc w:val="center"/>
                    <w:rPr>
                      <w:color w:val="auto"/>
                      <w:szCs w:val="21"/>
                      <w:u w:val="single"/>
                    </w:rPr>
                  </w:pPr>
                  <w:r>
                    <w:rPr>
                      <w:color w:val="auto"/>
                      <w:sz w:val="21"/>
                      <w:szCs w:val="21"/>
                      <w:u w:val="single"/>
                    </w:rPr>
                    <w:t>环境影响途径及危害后果（大气、地表水、地下水等）</w:t>
                  </w:r>
                </w:p>
              </w:tc>
              <w:tc>
                <w:tcPr>
                  <w:tcW w:w="3537" w:type="pct"/>
                  <w:gridSpan w:val="5"/>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本项目主要风险为火灾及危废泄漏对周边的影响。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62" w:type="pct"/>
                  <w:tcBorders>
                    <w:tl2br w:val="nil"/>
                    <w:tr2bl w:val="nil"/>
                  </w:tcBorders>
                  <w:vAlign w:val="center"/>
                </w:tcPr>
                <w:p>
                  <w:pPr>
                    <w:pStyle w:val="50"/>
                    <w:jc w:val="center"/>
                    <w:rPr>
                      <w:rFonts w:ascii="Times New Roman" w:hAnsi="Times New Roman"/>
                      <w:color w:val="auto"/>
                      <w:szCs w:val="21"/>
                      <w:u w:val="single"/>
                    </w:rPr>
                  </w:pPr>
                  <w:r>
                    <w:rPr>
                      <w:rFonts w:ascii="Times New Roman" w:hAnsi="Times New Roman"/>
                      <w:color w:val="auto"/>
                      <w:szCs w:val="21"/>
                      <w:u w:val="single"/>
                    </w:rPr>
                    <w:t>风险防范措施要求</w:t>
                  </w:r>
                </w:p>
              </w:tc>
              <w:tc>
                <w:tcPr>
                  <w:tcW w:w="3537" w:type="pct"/>
                  <w:gridSpan w:val="5"/>
                  <w:tcBorders>
                    <w:tl2br w:val="nil"/>
                    <w:tr2bl w:val="nil"/>
                  </w:tcBorders>
                  <w:vAlign w:val="center"/>
                </w:tcPr>
                <w:p>
                  <w:pPr>
                    <w:pStyle w:val="57"/>
                    <w:numPr>
                      <w:ilvl w:val="0"/>
                      <w:numId w:val="4"/>
                    </w:numPr>
                    <w:spacing w:line="240" w:lineRule="auto"/>
                    <w:ind w:firstLine="420"/>
                    <w:rPr>
                      <w:color w:val="auto"/>
                      <w:sz w:val="21"/>
                      <w:szCs w:val="21"/>
                      <w:u w:val="single"/>
                    </w:rPr>
                  </w:pPr>
                  <w:r>
                    <w:rPr>
                      <w:color w:val="auto"/>
                      <w:sz w:val="21"/>
                      <w:szCs w:val="21"/>
                      <w:u w:val="single"/>
                    </w:rPr>
                    <w:t>如发现火情，应立即利用身边</w:t>
                  </w:r>
                  <w:r>
                    <w:rPr>
                      <w:rFonts w:hint="eastAsia"/>
                      <w:color w:val="auto"/>
                      <w:sz w:val="21"/>
                      <w:szCs w:val="21"/>
                      <w:u w:val="single"/>
                    </w:rPr>
                    <w:t>的“灭火器材”</w:t>
                  </w:r>
                  <w:r>
                    <w:rPr>
                      <w:color w:val="auto"/>
                      <w:sz w:val="21"/>
                      <w:szCs w:val="21"/>
                      <w:u w:val="single"/>
                    </w:rPr>
                    <w:t>进行扑救，同时通知附近的工作人员；当火势太大难以灭火时，应立即向其他员工发出火警信号，以便及时组织撤离工厂。</w:t>
                  </w:r>
                </w:p>
                <w:p>
                  <w:pPr>
                    <w:pStyle w:val="57"/>
                    <w:numPr>
                      <w:ilvl w:val="0"/>
                      <w:numId w:val="4"/>
                    </w:numPr>
                    <w:spacing w:line="240" w:lineRule="auto"/>
                    <w:ind w:firstLine="420"/>
                    <w:rPr>
                      <w:color w:val="auto"/>
                      <w:sz w:val="21"/>
                      <w:szCs w:val="21"/>
                      <w:u w:val="single"/>
                    </w:rPr>
                  </w:pPr>
                  <w:r>
                    <w:rPr>
                      <w:color w:val="auto"/>
                      <w:sz w:val="21"/>
                      <w:szCs w:val="21"/>
                      <w:u w:val="single"/>
                    </w:rPr>
                    <w:t>立即关闭所有电源，拨打“消防某某中心”电话，通知其启动灭火系统，并通知所有义务消防队员、通知工厂上层人员离开。</w:t>
                  </w:r>
                </w:p>
                <w:p>
                  <w:pPr>
                    <w:pStyle w:val="57"/>
                    <w:numPr>
                      <w:ilvl w:val="0"/>
                      <w:numId w:val="4"/>
                    </w:numPr>
                    <w:spacing w:line="240" w:lineRule="auto"/>
                    <w:ind w:firstLine="420"/>
                    <w:rPr>
                      <w:color w:val="auto"/>
                      <w:sz w:val="21"/>
                      <w:szCs w:val="21"/>
                      <w:u w:val="single"/>
                    </w:rPr>
                  </w:pPr>
                  <w:r>
                    <w:rPr>
                      <w:color w:val="auto"/>
                      <w:sz w:val="21"/>
                      <w:szCs w:val="21"/>
                      <w:u w:val="single"/>
                    </w:rPr>
                    <w:t>如火势燃烧猛烈、迅速蔓延，可直接拨</w:t>
                  </w:r>
                  <w:r>
                    <w:rPr>
                      <w:rFonts w:hint="eastAsia"/>
                      <w:color w:val="auto"/>
                      <w:sz w:val="21"/>
                      <w:szCs w:val="21"/>
                      <w:u w:val="single"/>
                    </w:rPr>
                    <w:t>打“</w:t>
                  </w:r>
                  <w:r>
                    <w:rPr>
                      <w:color w:val="auto"/>
                      <w:sz w:val="21"/>
                      <w:szCs w:val="21"/>
                      <w:u w:val="single"/>
                    </w:rPr>
                    <w:t>119指挥中心</w:t>
                  </w:r>
                  <w:r>
                    <w:rPr>
                      <w:rFonts w:hint="eastAsia"/>
                      <w:color w:val="auto"/>
                      <w:sz w:val="21"/>
                      <w:szCs w:val="21"/>
                      <w:u w:val="single"/>
                    </w:rPr>
                    <w:t>”报</w:t>
                  </w:r>
                  <w:r>
                    <w:rPr>
                      <w:color w:val="auto"/>
                      <w:sz w:val="21"/>
                      <w:szCs w:val="21"/>
                      <w:u w:val="single"/>
                    </w:rPr>
                    <w:t>警。</w:t>
                  </w:r>
                </w:p>
                <w:p>
                  <w:pPr>
                    <w:pStyle w:val="57"/>
                    <w:numPr>
                      <w:ilvl w:val="0"/>
                      <w:numId w:val="4"/>
                    </w:numPr>
                    <w:spacing w:line="240" w:lineRule="auto"/>
                    <w:ind w:firstLine="420"/>
                    <w:rPr>
                      <w:color w:val="auto"/>
                      <w:sz w:val="21"/>
                      <w:szCs w:val="21"/>
                      <w:u w:val="single"/>
                    </w:rPr>
                  </w:pPr>
                  <w:r>
                    <w:rPr>
                      <w:color w:val="auto"/>
                      <w:sz w:val="21"/>
                      <w:szCs w:val="21"/>
                      <w:u w:val="single"/>
                    </w:rPr>
                    <w:t>在报警时切勿慌张，要沉着冷静；讲清起火地点、部位、燃烧物质、来路走向、楼层高底、火势大小及火势蔓延情况。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5000" w:type="pct"/>
                  <w:gridSpan w:val="6"/>
                  <w:tcBorders>
                    <w:tl2br w:val="nil"/>
                    <w:tr2bl w:val="nil"/>
                  </w:tcBorders>
                  <w:vAlign w:val="center"/>
                </w:tcPr>
                <w:p>
                  <w:pPr>
                    <w:pStyle w:val="55"/>
                    <w:spacing w:line="240" w:lineRule="auto"/>
                    <w:ind w:firstLine="0" w:firstLineChars="0"/>
                    <w:jc w:val="left"/>
                    <w:rPr>
                      <w:color w:val="auto"/>
                      <w:sz w:val="21"/>
                      <w:szCs w:val="21"/>
                      <w:u w:val="single"/>
                    </w:rPr>
                  </w:pPr>
                  <w:r>
                    <w:rPr>
                      <w:color w:val="auto"/>
                      <w:sz w:val="21"/>
                      <w:szCs w:val="21"/>
                      <w:u w:val="single"/>
                    </w:rPr>
                    <w:t>填表说明（列出项目相关信息及评价说明）</w:t>
                  </w:r>
                </w:p>
                <w:p>
                  <w:pPr>
                    <w:pStyle w:val="55"/>
                    <w:spacing w:line="240" w:lineRule="auto"/>
                    <w:ind w:firstLine="420"/>
                    <w:jc w:val="left"/>
                    <w:rPr>
                      <w:color w:val="auto"/>
                      <w:sz w:val="21"/>
                      <w:szCs w:val="21"/>
                      <w:u w:val="single"/>
                    </w:rPr>
                  </w:pPr>
                  <w:r>
                    <w:rPr>
                      <w:color w:val="auto"/>
                      <w:sz w:val="21"/>
                      <w:szCs w:val="21"/>
                      <w:u w:val="single"/>
                    </w:rPr>
                    <w:t>根据《建设项目环境风险评价技术导则》《HJ169-2018》，项目涉及的风险物质种类少，环境风险潜势Ⅰ，评价工作等级为简单分析，项目环境风险主要为</w:t>
                  </w:r>
                  <w:r>
                    <w:rPr>
                      <w:rFonts w:hint="eastAsia"/>
                      <w:color w:val="auto"/>
                      <w:sz w:val="21"/>
                      <w:szCs w:val="21"/>
                      <w:u w:val="single"/>
                    </w:rPr>
                    <w:t>机</w:t>
                  </w:r>
                  <w:r>
                    <w:rPr>
                      <w:color w:val="auto"/>
                      <w:sz w:val="21"/>
                      <w:szCs w:val="21"/>
                      <w:u w:val="single"/>
                    </w:rPr>
                    <w:t>油</w:t>
                  </w:r>
                  <w:r>
                    <w:rPr>
                      <w:rFonts w:hint="eastAsia"/>
                      <w:color w:val="auto"/>
                      <w:sz w:val="21"/>
                      <w:szCs w:val="21"/>
                      <w:u w:val="single"/>
                    </w:rPr>
                    <w:t>、润滑油</w:t>
                  </w:r>
                  <w:r>
                    <w:rPr>
                      <w:color w:val="auto"/>
                      <w:sz w:val="21"/>
                      <w:szCs w:val="21"/>
                      <w:u w:val="single"/>
                    </w:rPr>
                    <w:t>泄露引起的火灾风险。企业应该认真做好各项风险防范措施，完善管理制度，储运过程应该严格操作，杜绝风险事故。严格履行风险应急预案，一旦发生突发事故，企业除了根据内部制度和履行最快最有效的应急预案外，应立即报当地环保部门。在上级环保部门到达之后，要从大局考虑，服从环保部门领导，共同协商同意部署，将环境风险事故降低最小。</w:t>
                  </w:r>
                </w:p>
              </w:tc>
            </w:tr>
          </w:tbl>
          <w:p>
            <w:pPr>
              <w:spacing w:line="360" w:lineRule="auto"/>
              <w:rPr>
                <w:rFonts w:ascii="Times New Roman" w:hAnsi="Times New Roman"/>
                <w:color w:val="auto"/>
                <w:sz w:val="24"/>
              </w:rPr>
            </w:pPr>
            <w:r>
              <w:rPr>
                <w:rFonts w:hint="eastAsia" w:ascii="Times New Roman" w:hAnsi="Times New Roman"/>
                <w:b/>
                <w:bCs/>
                <w:color w:val="auto"/>
                <w:sz w:val="24"/>
              </w:rPr>
              <w:t>8、</w:t>
            </w:r>
            <w:r>
              <w:rPr>
                <w:rFonts w:ascii="Times New Roman" w:hAnsi="Times New Roman"/>
                <w:b/>
                <w:bCs/>
                <w:color w:val="auto"/>
                <w:sz w:val="24"/>
              </w:rPr>
              <w:t>生态环境影响及防范措施：</w:t>
            </w:r>
          </w:p>
          <w:p>
            <w:pPr>
              <w:spacing w:line="360" w:lineRule="auto"/>
              <w:ind w:firstLine="480" w:firstLineChars="200"/>
              <w:rPr>
                <w:color w:val="auto"/>
                <w:sz w:val="24"/>
              </w:rPr>
            </w:pPr>
            <w:r>
              <w:rPr>
                <w:color w:val="auto"/>
                <w:sz w:val="24"/>
              </w:rPr>
              <w:t>本项目建设位于已建厂房内，不新增工业用地，对周边生态环境影响较小。本环评要求建设方加强环保设施的维护，使污染物稳定达标排放。加强固体废物管理。避免对周边生态产生不利影响。</w:t>
            </w:r>
          </w:p>
          <w:p>
            <w:pPr>
              <w:spacing w:line="360" w:lineRule="auto"/>
              <w:rPr>
                <w:rFonts w:ascii="Times New Roman" w:hAnsi="Times New Roman"/>
                <w:color w:val="auto"/>
                <w:sz w:val="24"/>
                <w:u w:val="single"/>
              </w:rPr>
            </w:pPr>
            <w:r>
              <w:rPr>
                <w:rFonts w:hint="eastAsia" w:ascii="Times New Roman" w:hAnsi="Times New Roman"/>
                <w:b/>
                <w:bCs/>
                <w:color w:val="auto"/>
                <w:sz w:val="24"/>
                <w:u w:val="single"/>
              </w:rPr>
              <w:t>9、建设项目环保投资估算</w:t>
            </w:r>
          </w:p>
          <w:p>
            <w:pPr>
              <w:spacing w:line="360" w:lineRule="auto"/>
              <w:ind w:firstLine="480" w:firstLineChars="200"/>
              <w:rPr>
                <w:rFonts w:ascii="Times New Roman" w:hAnsi="Times New Roman"/>
                <w:color w:val="auto"/>
                <w:sz w:val="24"/>
                <w:u w:val="single"/>
              </w:rPr>
            </w:pPr>
            <w:r>
              <w:rPr>
                <w:rFonts w:hint="eastAsia" w:ascii="Times New Roman" w:hAnsi="Times New Roman"/>
                <w:color w:val="auto"/>
                <w:sz w:val="24"/>
                <w:u w:val="single"/>
              </w:rPr>
              <w:t>本项目总投资150万元，环保投资约15万元，环保投资占总投资的10%，项目环保投资估算见下表。</w:t>
            </w:r>
          </w:p>
          <w:p>
            <w:pPr>
              <w:jc w:val="center"/>
              <w:rPr>
                <w:rFonts w:ascii="Times New Roman" w:hAnsi="Times New Roman"/>
                <w:color w:val="auto"/>
                <w:u w:val="single"/>
              </w:rPr>
            </w:pPr>
            <w:r>
              <w:rPr>
                <w:rFonts w:ascii="Times New Roman" w:hAnsi="Times New Roman"/>
                <w:b/>
                <w:bCs/>
                <w:color w:val="auto"/>
                <w:szCs w:val="21"/>
                <w:u w:val="single"/>
              </w:rPr>
              <w:t>表4-1</w:t>
            </w:r>
            <w:r>
              <w:rPr>
                <w:rFonts w:hint="eastAsia" w:ascii="Times New Roman" w:hAnsi="Times New Roman"/>
                <w:b/>
                <w:bCs/>
                <w:color w:val="auto"/>
                <w:szCs w:val="21"/>
                <w:u w:val="single"/>
                <w:lang w:val="en-US" w:eastAsia="zh-CN"/>
              </w:rPr>
              <w:t>8</w:t>
            </w:r>
            <w:r>
              <w:rPr>
                <w:rFonts w:ascii="Times New Roman" w:hAnsi="Times New Roman"/>
                <w:b/>
                <w:bCs/>
                <w:color w:val="auto"/>
                <w:szCs w:val="21"/>
                <w:u w:val="single"/>
              </w:rPr>
              <w:t xml:space="preserve">  项目环保投资情况一览表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446"/>
              <w:gridCol w:w="1146"/>
              <w:gridCol w:w="4658"/>
              <w:gridCol w:w="115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26" w:type="pct"/>
                  <w:gridSpan w:val="4"/>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工程项目</w:t>
                  </w:r>
                </w:p>
              </w:tc>
              <w:tc>
                <w:tcPr>
                  <w:tcW w:w="658"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投资费用（万元）</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65" w:type="pct"/>
                  <w:vMerge w:val="restart"/>
                  <w:tcBorders>
                    <w:tl2br w:val="nil"/>
                    <w:tr2bl w:val="nil"/>
                  </w:tcBorders>
                  <w:vAlign w:val="center"/>
                </w:tcPr>
                <w:p>
                  <w:pPr>
                    <w:widowControl/>
                    <w:jc w:val="center"/>
                    <w:rPr>
                      <w:rFonts w:ascii="Times New Roman" w:hAnsi="Times New Roman"/>
                      <w:color w:val="auto"/>
                      <w:szCs w:val="21"/>
                      <w:u w:val="single"/>
                    </w:rPr>
                  </w:pPr>
                  <w:r>
                    <w:rPr>
                      <w:rFonts w:hint="eastAsia" w:ascii="Times New Roman" w:hAnsi="Times New Roman"/>
                      <w:color w:val="auto"/>
                      <w:szCs w:val="21"/>
                      <w:u w:val="single"/>
                    </w:rPr>
                    <w:t>运营期</w:t>
                  </w:r>
                </w:p>
              </w:tc>
              <w:tc>
                <w:tcPr>
                  <w:tcW w:w="907" w:type="pct"/>
                  <w:gridSpan w:val="2"/>
                  <w:vMerge w:val="restar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废气治理</w:t>
                  </w:r>
                </w:p>
              </w:tc>
              <w:tc>
                <w:tcPr>
                  <w:tcW w:w="2653"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喷砂除尘系统</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4</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907" w:type="pct"/>
                  <w:gridSpan w:val="2"/>
                  <w:vMerge w:val="continue"/>
                  <w:tcBorders>
                    <w:tl2br w:val="nil"/>
                    <w:tr2bl w:val="nil"/>
                  </w:tcBorders>
                  <w:vAlign w:val="center"/>
                </w:tcPr>
                <w:p>
                  <w:pPr>
                    <w:jc w:val="center"/>
                    <w:rPr>
                      <w:rFonts w:ascii="Times New Roman" w:hAnsi="Times New Roman"/>
                      <w:color w:val="auto"/>
                      <w:szCs w:val="21"/>
                      <w:u w:val="single"/>
                    </w:rPr>
                  </w:pPr>
                </w:p>
              </w:tc>
              <w:tc>
                <w:tcPr>
                  <w:tcW w:w="2653"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水幕除尘系统</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2</w:t>
                  </w:r>
                </w:p>
              </w:tc>
              <w:tc>
                <w:tcPr>
                  <w:tcW w:w="515"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907" w:type="pct"/>
                  <w:gridSpan w:val="2"/>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噪声治理</w:t>
                  </w:r>
                </w:p>
              </w:tc>
              <w:tc>
                <w:tcPr>
                  <w:tcW w:w="2653"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消声降噪装置</w:t>
                  </w:r>
                </w:p>
              </w:tc>
              <w:tc>
                <w:tcPr>
                  <w:tcW w:w="658"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2</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254" w:type="pct"/>
                  <w:vMerge w:val="restar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固废治理</w:t>
                  </w:r>
                </w:p>
              </w:tc>
              <w:tc>
                <w:tcPr>
                  <w:tcW w:w="653" w:type="pct"/>
                  <w:tcBorders>
                    <w:tl2br w:val="nil"/>
                    <w:tr2bl w:val="nil"/>
                  </w:tcBorders>
                  <w:vAlign w:val="center"/>
                </w:tcPr>
                <w:p>
                  <w:pPr>
                    <w:widowControl/>
                    <w:jc w:val="center"/>
                    <w:rPr>
                      <w:color w:val="auto"/>
                      <w:u w:val="single"/>
                    </w:rPr>
                  </w:pPr>
                  <w:r>
                    <w:rPr>
                      <w:bCs/>
                      <w:color w:val="auto"/>
                      <w:szCs w:val="21"/>
                      <w:u w:val="single"/>
                    </w:rPr>
                    <w:t>生活垃圾</w:t>
                  </w:r>
                </w:p>
              </w:tc>
              <w:tc>
                <w:tcPr>
                  <w:tcW w:w="2653" w:type="pct"/>
                  <w:tcBorders>
                    <w:tl2br w:val="nil"/>
                    <w:tr2bl w:val="nil"/>
                  </w:tcBorders>
                  <w:vAlign w:val="center"/>
                </w:tcPr>
                <w:p>
                  <w:pPr>
                    <w:widowControl/>
                    <w:jc w:val="center"/>
                    <w:rPr>
                      <w:rFonts w:ascii="Times New Roman" w:hAnsi="Times New Roman"/>
                      <w:color w:val="auto"/>
                      <w:u w:val="single"/>
                    </w:rPr>
                  </w:pPr>
                  <w:r>
                    <w:rPr>
                      <w:rFonts w:ascii="Times New Roman" w:hAnsi="Times New Roman"/>
                      <w:color w:val="auto"/>
                      <w:szCs w:val="21"/>
                      <w:u w:val="single"/>
                    </w:rPr>
                    <w:t>垃圾桶，收集后由环卫部门定期清运</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0.5</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254" w:type="pct"/>
                  <w:vMerge w:val="continue"/>
                  <w:tcBorders>
                    <w:tl2br w:val="nil"/>
                    <w:tr2bl w:val="nil"/>
                  </w:tcBorders>
                  <w:vAlign w:val="center"/>
                </w:tcPr>
                <w:p>
                  <w:pPr>
                    <w:jc w:val="center"/>
                    <w:rPr>
                      <w:rFonts w:ascii="Times New Roman" w:hAnsi="Times New Roman"/>
                      <w:color w:val="auto"/>
                      <w:szCs w:val="21"/>
                      <w:u w:val="single"/>
                    </w:rPr>
                  </w:pPr>
                </w:p>
              </w:tc>
              <w:tc>
                <w:tcPr>
                  <w:tcW w:w="653" w:type="pct"/>
                  <w:tcBorders>
                    <w:tl2br w:val="nil"/>
                    <w:tr2bl w:val="nil"/>
                  </w:tcBorders>
                  <w:vAlign w:val="center"/>
                </w:tcPr>
                <w:p>
                  <w:pPr>
                    <w:widowControl/>
                    <w:jc w:val="center"/>
                    <w:rPr>
                      <w:color w:val="auto"/>
                      <w:u w:val="single"/>
                    </w:rPr>
                  </w:pPr>
                  <w:r>
                    <w:rPr>
                      <w:bCs/>
                      <w:color w:val="auto"/>
                      <w:szCs w:val="21"/>
                      <w:u w:val="single"/>
                    </w:rPr>
                    <w:t>一般工业固废</w:t>
                  </w:r>
                </w:p>
              </w:tc>
              <w:tc>
                <w:tcPr>
                  <w:tcW w:w="2653" w:type="pct"/>
                  <w:tcBorders>
                    <w:tl2br w:val="nil"/>
                    <w:tr2bl w:val="nil"/>
                  </w:tcBorders>
                  <w:vAlign w:val="center"/>
                </w:tcPr>
                <w:p>
                  <w:pPr>
                    <w:widowControl/>
                    <w:jc w:val="center"/>
                    <w:rPr>
                      <w:rFonts w:ascii="Times New Roman" w:hAnsi="Times New Roman"/>
                      <w:color w:val="auto"/>
                      <w:u w:val="single"/>
                    </w:rPr>
                  </w:pPr>
                  <w:r>
                    <w:rPr>
                      <w:rFonts w:ascii="Times New Roman" w:hAnsi="Times New Roman"/>
                      <w:color w:val="auto"/>
                      <w:szCs w:val="21"/>
                      <w:u w:val="single"/>
                    </w:rPr>
                    <w:t>一般工业固废统一收集后收集</w:t>
                  </w:r>
                  <w:r>
                    <w:rPr>
                      <w:rFonts w:hint="eastAsia" w:ascii="Times New Roman" w:hAnsi="Times New Roman"/>
                      <w:color w:val="auto"/>
                      <w:szCs w:val="21"/>
                      <w:u w:val="single"/>
                    </w:rPr>
                    <w:t>分别交由回收公司进行资源再利用</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0.5</w:t>
                  </w:r>
                </w:p>
              </w:tc>
              <w:tc>
                <w:tcPr>
                  <w:tcW w:w="515" w:type="pct"/>
                  <w:vMerge w:val="restar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危废间及堆场待整改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254" w:type="pct"/>
                  <w:vMerge w:val="continue"/>
                  <w:tcBorders>
                    <w:tl2br w:val="nil"/>
                    <w:tr2bl w:val="nil"/>
                  </w:tcBorders>
                  <w:vAlign w:val="center"/>
                </w:tcPr>
                <w:p>
                  <w:pPr>
                    <w:jc w:val="center"/>
                    <w:rPr>
                      <w:rFonts w:ascii="Times New Roman" w:hAnsi="Times New Roman"/>
                      <w:color w:val="auto"/>
                      <w:szCs w:val="21"/>
                      <w:u w:val="single"/>
                    </w:rPr>
                  </w:pPr>
                </w:p>
              </w:tc>
              <w:tc>
                <w:tcPr>
                  <w:tcW w:w="653" w:type="pct"/>
                  <w:tcBorders>
                    <w:tl2br w:val="nil"/>
                    <w:tr2bl w:val="nil"/>
                  </w:tcBorders>
                  <w:vAlign w:val="center"/>
                </w:tcPr>
                <w:p>
                  <w:pPr>
                    <w:widowControl/>
                    <w:jc w:val="center"/>
                    <w:rPr>
                      <w:color w:val="auto"/>
                      <w:u w:val="single"/>
                    </w:rPr>
                  </w:pPr>
                  <w:r>
                    <w:rPr>
                      <w:bCs/>
                      <w:color w:val="auto"/>
                      <w:szCs w:val="21"/>
                      <w:u w:val="single"/>
                    </w:rPr>
                    <w:t>危险固废</w:t>
                  </w:r>
                </w:p>
              </w:tc>
              <w:tc>
                <w:tcPr>
                  <w:tcW w:w="2653" w:type="pct"/>
                  <w:tcBorders>
                    <w:tl2br w:val="nil"/>
                    <w:tr2bl w:val="nil"/>
                  </w:tcBorders>
                  <w:vAlign w:val="center"/>
                </w:tcPr>
                <w:p>
                  <w:pPr>
                    <w:widowControl/>
                    <w:jc w:val="center"/>
                    <w:rPr>
                      <w:rFonts w:ascii="Times New Roman" w:hAnsi="Times New Roman"/>
                      <w:color w:val="auto"/>
                      <w:u w:val="single"/>
                    </w:rPr>
                  </w:pPr>
                  <w:r>
                    <w:rPr>
                      <w:rFonts w:ascii="Times New Roman" w:hAnsi="Times New Roman"/>
                      <w:bCs/>
                      <w:color w:val="auto"/>
                      <w:szCs w:val="21"/>
                      <w:u w:val="single"/>
                    </w:rPr>
                    <w:t>设置危废暂存间，危废交由有资质的单位进行处理</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1</w:t>
                  </w:r>
                </w:p>
              </w:tc>
              <w:tc>
                <w:tcPr>
                  <w:tcW w:w="515" w:type="pct"/>
                  <w:vMerge w:val="continue"/>
                  <w:tcBorders>
                    <w:tl2br w:val="nil"/>
                    <w:tr2bl w:val="nil"/>
                  </w:tcBorders>
                  <w:vAlign w:val="center"/>
                </w:tcPr>
                <w:p>
                  <w:pPr>
                    <w:jc w:val="center"/>
                    <w:rPr>
                      <w:rFonts w:ascii="Times New Roman" w:hAnsi="Times New Roman"/>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254" w:type="pct"/>
                  <w:vMerge w:val="restar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废水治理</w:t>
                  </w:r>
                </w:p>
              </w:tc>
              <w:tc>
                <w:tcPr>
                  <w:tcW w:w="653" w:type="pct"/>
                  <w:vMerge w:val="restar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生产废水</w:t>
                  </w:r>
                </w:p>
              </w:tc>
              <w:tc>
                <w:tcPr>
                  <w:tcW w:w="2653"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沉淀池</w:t>
                  </w:r>
                </w:p>
              </w:tc>
              <w:tc>
                <w:tcPr>
                  <w:tcW w:w="658" w:type="pct"/>
                  <w:tcBorders>
                    <w:tl2br w:val="nil"/>
                    <w:tr2bl w:val="nil"/>
                  </w:tcBorders>
                  <w:vAlign w:val="center"/>
                </w:tcPr>
                <w:p>
                  <w:pPr>
                    <w:jc w:val="center"/>
                    <w:rPr>
                      <w:rFonts w:hint="default"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1.5</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254" w:type="pct"/>
                  <w:vMerge w:val="continue"/>
                  <w:tcBorders>
                    <w:tl2br w:val="nil"/>
                    <w:tr2bl w:val="nil"/>
                  </w:tcBorders>
                  <w:vAlign w:val="center"/>
                </w:tcPr>
                <w:p>
                  <w:pPr>
                    <w:jc w:val="center"/>
                    <w:rPr>
                      <w:rFonts w:ascii="Times New Roman" w:hAnsi="Times New Roman"/>
                      <w:color w:val="auto"/>
                      <w:szCs w:val="21"/>
                      <w:u w:val="single"/>
                    </w:rPr>
                  </w:pPr>
                </w:p>
              </w:tc>
              <w:tc>
                <w:tcPr>
                  <w:tcW w:w="653" w:type="pct"/>
                  <w:vMerge w:val="continue"/>
                  <w:tcBorders>
                    <w:tl2br w:val="nil"/>
                    <w:tr2bl w:val="nil"/>
                  </w:tcBorders>
                  <w:vAlign w:val="center"/>
                </w:tcPr>
                <w:p>
                  <w:pPr>
                    <w:jc w:val="center"/>
                    <w:rPr>
                      <w:rFonts w:ascii="Times New Roman" w:hAnsi="Times New Roman"/>
                      <w:color w:val="auto"/>
                      <w:szCs w:val="21"/>
                      <w:u w:val="single"/>
                    </w:rPr>
                  </w:pPr>
                </w:p>
              </w:tc>
              <w:tc>
                <w:tcPr>
                  <w:tcW w:w="2653"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冷却水循环系统（散热器）</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1.5</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254" w:type="pct"/>
                  <w:vMerge w:val="continue"/>
                  <w:tcBorders>
                    <w:tl2br w:val="nil"/>
                    <w:tr2bl w:val="nil"/>
                  </w:tcBorders>
                  <w:vAlign w:val="center"/>
                </w:tcPr>
                <w:p>
                  <w:pPr>
                    <w:jc w:val="center"/>
                    <w:rPr>
                      <w:rFonts w:ascii="Times New Roman" w:hAnsi="Times New Roman"/>
                      <w:color w:val="auto"/>
                      <w:szCs w:val="21"/>
                      <w:u w:val="single"/>
                    </w:rPr>
                  </w:pPr>
                </w:p>
              </w:tc>
              <w:tc>
                <w:tcPr>
                  <w:tcW w:w="653"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生活污水</w:t>
                  </w:r>
                </w:p>
              </w:tc>
              <w:tc>
                <w:tcPr>
                  <w:tcW w:w="2653"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化粪池</w:t>
                  </w:r>
                </w:p>
              </w:tc>
              <w:tc>
                <w:tcPr>
                  <w:tcW w:w="658"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0.5</w:t>
                  </w:r>
                </w:p>
              </w:tc>
              <w:tc>
                <w:tcPr>
                  <w:tcW w:w="515" w:type="pct"/>
                  <w:tcBorders>
                    <w:tl2br w:val="nil"/>
                    <w:tr2bl w:val="nil"/>
                  </w:tcBorders>
                  <w:vAlign w:val="center"/>
                </w:tcPr>
                <w:p>
                  <w:pPr>
                    <w:jc w:val="center"/>
                    <w:rPr>
                      <w:rFonts w:ascii="Times New Roman" w:hAnsi="Times New Roman"/>
                      <w:color w:val="auto"/>
                      <w:szCs w:val="21"/>
                      <w:u w:val="single"/>
                    </w:rPr>
                  </w:pPr>
                  <w:r>
                    <w:rPr>
                      <w:rFonts w:hint="eastAsia" w:ascii="Times New Roman" w:hAnsi="Times New Roman"/>
                      <w:color w:val="auto"/>
                      <w:szCs w:val="21"/>
                      <w:u w:val="singl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907" w:type="pct"/>
                  <w:gridSpan w:val="2"/>
                  <w:tcBorders>
                    <w:tl2br w:val="nil"/>
                    <w:tr2bl w:val="nil"/>
                  </w:tcBorders>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eastAsia="zh-CN"/>
                    </w:rPr>
                    <w:t>风险措施</w:t>
                  </w:r>
                </w:p>
              </w:tc>
              <w:tc>
                <w:tcPr>
                  <w:tcW w:w="2653" w:type="pct"/>
                  <w:tcBorders>
                    <w:tl2br w:val="nil"/>
                    <w:tr2bl w:val="nil"/>
                  </w:tcBorders>
                  <w:vAlign w:val="center"/>
                </w:tcPr>
                <w:p>
                  <w:pPr>
                    <w:jc w:val="center"/>
                    <w:rPr>
                      <w:rFonts w:hint="eastAsia" w:ascii="Times New Roman" w:hAnsi="Times New Roman"/>
                      <w:color w:val="auto"/>
                      <w:szCs w:val="21"/>
                      <w:u w:val="single"/>
                    </w:rPr>
                  </w:pPr>
                  <w:r>
                    <w:rPr>
                      <w:rFonts w:ascii="Times New Roman" w:hAnsi="Times New Roman"/>
                      <w:color w:val="auto"/>
                      <w:u w:val="single"/>
                    </w:rPr>
                    <w:t>液态物料存放区做好地面防渗、容器底部设托盘、配套相应的应急物资</w:t>
                  </w:r>
                </w:p>
              </w:tc>
              <w:tc>
                <w:tcPr>
                  <w:tcW w:w="658" w:type="pct"/>
                  <w:tcBorders>
                    <w:tl2br w:val="nil"/>
                    <w:tr2bl w:val="nil"/>
                  </w:tcBorders>
                  <w:vAlign w:val="center"/>
                </w:tcPr>
                <w:p>
                  <w:pPr>
                    <w:jc w:val="center"/>
                    <w:rPr>
                      <w:rFonts w:hint="eastAsia" w:ascii="Times New Roman" w:hAnsi="Times New Roman" w:eastAsia="宋体"/>
                      <w:color w:val="auto"/>
                      <w:szCs w:val="21"/>
                      <w:u w:val="single"/>
                      <w:lang w:val="en-US" w:eastAsia="zh-CN"/>
                    </w:rPr>
                  </w:pPr>
                  <w:r>
                    <w:rPr>
                      <w:rFonts w:hint="eastAsia" w:ascii="Times New Roman" w:hAnsi="Times New Roman"/>
                      <w:color w:val="auto"/>
                      <w:szCs w:val="21"/>
                      <w:u w:val="single"/>
                      <w:lang w:val="en-US" w:eastAsia="zh-CN"/>
                    </w:rPr>
                    <w:t>1</w:t>
                  </w:r>
                </w:p>
              </w:tc>
              <w:tc>
                <w:tcPr>
                  <w:tcW w:w="515" w:type="pct"/>
                  <w:tcBorders>
                    <w:tl2br w:val="nil"/>
                    <w:tr2bl w:val="nil"/>
                  </w:tcBorders>
                  <w:vAlign w:val="center"/>
                </w:tcPr>
                <w:p>
                  <w:pPr>
                    <w:jc w:val="center"/>
                    <w:rPr>
                      <w:rFonts w:hint="eastAsia" w:ascii="Times New Roman" w:hAnsi="Times New Roman" w:eastAsia="宋体"/>
                      <w:color w:val="auto"/>
                      <w:szCs w:val="21"/>
                      <w:u w:val="single"/>
                      <w:lang w:eastAsia="zh-CN"/>
                    </w:rPr>
                  </w:pPr>
                  <w:r>
                    <w:rPr>
                      <w:rFonts w:hint="eastAsia" w:ascii="Times New Roman" w:hAnsi="Times New Roman"/>
                      <w:color w:val="auto"/>
                      <w:szCs w:val="21"/>
                      <w:u w:val="single"/>
                      <w:lang w:eastAsia="zh-CN"/>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265" w:type="pct"/>
                  <w:vMerge w:val="continue"/>
                  <w:tcBorders>
                    <w:tl2br w:val="nil"/>
                    <w:tr2bl w:val="nil"/>
                  </w:tcBorders>
                  <w:vAlign w:val="center"/>
                </w:tcPr>
                <w:p>
                  <w:pPr>
                    <w:widowControl/>
                    <w:jc w:val="center"/>
                    <w:rPr>
                      <w:rFonts w:ascii="Times New Roman" w:hAnsi="Times New Roman"/>
                      <w:color w:val="auto"/>
                      <w:szCs w:val="21"/>
                      <w:u w:val="single"/>
                    </w:rPr>
                  </w:pPr>
                </w:p>
              </w:tc>
              <w:tc>
                <w:tcPr>
                  <w:tcW w:w="907" w:type="pct"/>
                  <w:gridSpan w:val="2"/>
                  <w:tcBorders>
                    <w:tl2br w:val="nil"/>
                    <w:tr2bl w:val="nil"/>
                  </w:tcBorders>
                  <w:vAlign w:val="center"/>
                </w:tcPr>
                <w:p>
                  <w:pPr>
                    <w:jc w:val="center"/>
                    <w:rPr>
                      <w:rFonts w:hint="eastAsia" w:ascii="Times New Roman" w:hAnsi="Times New Roman"/>
                      <w:color w:val="auto"/>
                      <w:szCs w:val="21"/>
                      <w:u w:val="single"/>
                      <w:lang w:eastAsia="zh-CN"/>
                    </w:rPr>
                  </w:pPr>
                  <w:r>
                    <w:rPr>
                      <w:rFonts w:hint="eastAsia" w:ascii="Times New Roman" w:hAnsi="Times New Roman"/>
                      <w:color w:val="auto"/>
                      <w:szCs w:val="21"/>
                      <w:u w:val="single"/>
                      <w:lang w:eastAsia="zh-CN"/>
                    </w:rPr>
                    <w:t>其他</w:t>
                  </w:r>
                </w:p>
              </w:tc>
              <w:tc>
                <w:tcPr>
                  <w:tcW w:w="2653" w:type="pct"/>
                  <w:tcBorders>
                    <w:tl2br w:val="nil"/>
                    <w:tr2bl w:val="nil"/>
                  </w:tcBorders>
                  <w:vAlign w:val="center"/>
                </w:tcPr>
                <w:p>
                  <w:pPr>
                    <w:pStyle w:val="70"/>
                    <w:ind w:firstLine="0" w:firstLineChars="0"/>
                    <w:rPr>
                      <w:rFonts w:ascii="Times New Roman" w:hAnsi="Times New Roman" w:eastAsia="宋体" w:cs="Times New Roman"/>
                      <w:color w:val="auto"/>
                      <w:kern w:val="2"/>
                      <w:sz w:val="21"/>
                      <w:szCs w:val="24"/>
                      <w:u w:val="single"/>
                      <w:lang w:val="en-US" w:eastAsia="zh-CN" w:bidi="ar-SA"/>
                    </w:rPr>
                  </w:pPr>
                  <w:r>
                    <w:rPr>
                      <w:rFonts w:ascii="Times New Roman" w:hAnsi="Times New Roman"/>
                      <w:color w:val="auto"/>
                      <w:u w:val="single"/>
                    </w:rPr>
                    <w:t>制定环境管理规章制度及人员培训、灭火器等</w:t>
                  </w:r>
                </w:p>
              </w:tc>
              <w:tc>
                <w:tcPr>
                  <w:tcW w:w="658" w:type="pct"/>
                  <w:tcBorders>
                    <w:tl2br w:val="nil"/>
                    <w:tr2bl w:val="nil"/>
                  </w:tcBorders>
                  <w:vAlign w:val="center"/>
                </w:tcPr>
                <w:p>
                  <w:pPr>
                    <w:pStyle w:val="70"/>
                    <w:ind w:firstLine="0" w:firstLineChars="0"/>
                    <w:rPr>
                      <w:rFonts w:hint="default" w:ascii="Times New Roman" w:hAnsi="Times New Roman" w:eastAsia="宋体" w:cs="Times New Roman"/>
                      <w:color w:val="auto"/>
                      <w:kern w:val="2"/>
                      <w:sz w:val="21"/>
                      <w:szCs w:val="24"/>
                      <w:u w:val="single"/>
                      <w:lang w:val="en-US" w:eastAsia="zh-CN" w:bidi="ar-SA"/>
                    </w:rPr>
                  </w:pPr>
                  <w:r>
                    <w:rPr>
                      <w:rFonts w:hint="eastAsia" w:ascii="Times New Roman" w:hAnsi="Times New Roman"/>
                      <w:color w:val="auto"/>
                      <w:u w:val="single"/>
                      <w:lang w:val="en-US" w:eastAsia="zh-CN"/>
                    </w:rPr>
                    <w:t>0.5</w:t>
                  </w:r>
                </w:p>
              </w:tc>
              <w:tc>
                <w:tcPr>
                  <w:tcW w:w="515" w:type="pct"/>
                  <w:tcBorders>
                    <w:tl2br w:val="nil"/>
                    <w:tr2bl w:val="nil"/>
                  </w:tcBorders>
                  <w:vAlign w:val="center"/>
                </w:tcPr>
                <w:p>
                  <w:pPr>
                    <w:jc w:val="center"/>
                    <w:rPr>
                      <w:rFonts w:hint="eastAsia" w:ascii="Times New Roman" w:hAnsi="Times New Roman"/>
                      <w:color w:val="auto"/>
                      <w:szCs w:val="21"/>
                      <w:u w:val="single"/>
                      <w:lang w:eastAsia="zh-CN"/>
                    </w:rPr>
                  </w:pPr>
                  <w:r>
                    <w:rPr>
                      <w:rFonts w:hint="eastAsia" w:ascii="Times New Roman" w:hAnsi="Times New Roman"/>
                      <w:color w:val="auto"/>
                      <w:szCs w:val="21"/>
                      <w:u w:val="single"/>
                      <w:lang w:eastAsia="zh-CN"/>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3826" w:type="pct"/>
                  <w:gridSpan w:val="4"/>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合计</w:t>
                  </w:r>
                </w:p>
              </w:tc>
              <w:tc>
                <w:tcPr>
                  <w:tcW w:w="658"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15</w:t>
                  </w:r>
                </w:p>
              </w:tc>
              <w:tc>
                <w:tcPr>
                  <w:tcW w:w="515" w:type="pct"/>
                  <w:tcBorders>
                    <w:tl2br w:val="nil"/>
                    <w:tr2bl w:val="nil"/>
                  </w:tcBorders>
                  <w:vAlign w:val="center"/>
                </w:tcPr>
                <w:p>
                  <w:pPr>
                    <w:jc w:val="center"/>
                    <w:rPr>
                      <w:rFonts w:ascii="Times New Roman" w:hAnsi="Times New Roman"/>
                      <w:color w:val="auto"/>
                      <w:szCs w:val="21"/>
                      <w:u w:val="single"/>
                    </w:rPr>
                  </w:pPr>
                  <w:r>
                    <w:rPr>
                      <w:rFonts w:ascii="Times New Roman" w:hAnsi="Times New Roman"/>
                      <w:color w:val="auto"/>
                      <w:szCs w:val="21"/>
                      <w:u w:val="single"/>
                    </w:rPr>
                    <w:t>/</w:t>
                  </w:r>
                </w:p>
              </w:tc>
            </w:tr>
          </w:tbl>
          <w:p>
            <w:pPr>
              <w:spacing w:line="360" w:lineRule="auto"/>
              <w:ind w:firstLine="480" w:firstLineChars="200"/>
              <w:rPr>
                <w:rFonts w:ascii="Times New Roman" w:hAnsi="Times New Roman"/>
                <w:color w:val="auto"/>
                <w:sz w:val="24"/>
                <w:u w:val="single"/>
              </w:rPr>
            </w:pPr>
          </w:p>
          <w:p>
            <w:pPr>
              <w:spacing w:line="360" w:lineRule="auto"/>
              <w:ind w:firstLine="480" w:firstLineChars="200"/>
              <w:rPr>
                <w:rFonts w:ascii="Times New Roman" w:hAnsi="Times New Roman"/>
                <w:color w:val="auto"/>
                <w:sz w:val="24"/>
                <w:u w:val="single"/>
              </w:rPr>
            </w:pPr>
          </w:p>
          <w:p>
            <w:pPr>
              <w:spacing w:line="360" w:lineRule="auto"/>
              <w:ind w:firstLine="480" w:firstLineChars="200"/>
              <w:rPr>
                <w:rFonts w:ascii="Times New Roman" w:hAnsi="Times New Roman"/>
                <w:color w:val="auto"/>
                <w:sz w:val="24"/>
                <w:u w:val="single"/>
              </w:rPr>
            </w:pPr>
          </w:p>
          <w:p>
            <w:pPr>
              <w:spacing w:line="360" w:lineRule="auto"/>
              <w:ind w:firstLine="480" w:firstLineChars="200"/>
              <w:rPr>
                <w:rFonts w:ascii="Times New Roman" w:hAnsi="Times New Roman"/>
                <w:color w:val="auto"/>
                <w:sz w:val="24"/>
                <w:u w:val="single"/>
              </w:rPr>
            </w:pPr>
          </w:p>
          <w:p>
            <w:pPr>
              <w:spacing w:line="360" w:lineRule="auto"/>
              <w:ind w:firstLine="480" w:firstLineChars="200"/>
              <w:rPr>
                <w:rFonts w:ascii="Times New Roman" w:hAnsi="Times New Roman"/>
                <w:color w:val="auto"/>
                <w:sz w:val="24"/>
                <w:u w:val="single"/>
              </w:rPr>
            </w:pPr>
          </w:p>
          <w:p>
            <w:pPr>
              <w:spacing w:line="360" w:lineRule="auto"/>
              <w:ind w:firstLine="480" w:firstLineChars="200"/>
              <w:rPr>
                <w:rFonts w:ascii="Times New Roman" w:hAnsi="Times New Roman"/>
                <w:color w:val="auto"/>
                <w:sz w:val="24"/>
                <w:u w:val="single"/>
              </w:rPr>
            </w:pPr>
          </w:p>
          <w:p>
            <w:pPr>
              <w:spacing w:line="360" w:lineRule="auto"/>
              <w:rPr>
                <w:rFonts w:ascii="Times New Roman" w:hAnsi="Times New Roman"/>
                <w:color w:val="auto"/>
                <w:sz w:val="24"/>
                <w:u w:val="single"/>
              </w:rPr>
            </w:pPr>
          </w:p>
          <w:p>
            <w:pPr>
              <w:spacing w:line="360" w:lineRule="auto"/>
              <w:jc w:val="both"/>
              <w:rPr>
                <w:rFonts w:ascii="Times New Roman" w:hAnsi="Times New Roman"/>
                <w:color w:val="auto"/>
              </w:rPr>
            </w:pPr>
          </w:p>
        </w:tc>
      </w:tr>
    </w:tbl>
    <w:p>
      <w:pPr>
        <w:pStyle w:val="21"/>
        <w:ind w:left="0"/>
        <w:rPr>
          <w:rFonts w:ascii="Times New Roman" w:hAnsi="Times New Roman"/>
          <w:b/>
          <w:color w:val="auto"/>
          <w:kern w:val="0"/>
          <w:sz w:val="28"/>
          <w:szCs w:val="28"/>
        </w:rPr>
      </w:pPr>
    </w:p>
    <w:p>
      <w:pPr>
        <w:rPr>
          <w:color w:val="auto"/>
        </w:rPr>
        <w:sectPr>
          <w:pgSz w:w="11907" w:h="16840"/>
          <w:pgMar w:top="1531" w:right="1134" w:bottom="1134" w:left="1417" w:header="851" w:footer="851" w:gutter="0"/>
          <w:cols w:space="720" w:num="1"/>
          <w:docGrid w:linePitch="312" w:charSpace="0"/>
        </w:sectPr>
      </w:pPr>
    </w:p>
    <w:p>
      <w:pPr>
        <w:pStyle w:val="22"/>
        <w:jc w:val="center"/>
        <w:outlineLvl w:val="0"/>
        <w:rPr>
          <w:rFonts w:ascii="Times New Roman" w:hAnsi="Times New Roman" w:eastAsia="黑体"/>
          <w:snapToGrid w:val="0"/>
          <w:color w:val="auto"/>
          <w:sz w:val="30"/>
          <w:szCs w:val="30"/>
        </w:rPr>
      </w:pPr>
      <w:bookmarkStart w:id="6" w:name="_Toc19159"/>
      <w:r>
        <w:rPr>
          <w:rFonts w:ascii="Times New Roman" w:hAnsi="Times New Roman" w:eastAsia="黑体"/>
          <w:snapToGrid w:val="0"/>
          <w:color w:val="auto"/>
          <w:sz w:val="30"/>
          <w:szCs w:val="30"/>
        </w:rPr>
        <w:t>五、</w:t>
      </w:r>
      <w:bookmarkStart w:id="7" w:name="_Hlk54167917"/>
      <w:r>
        <w:rPr>
          <w:rFonts w:ascii="Times New Roman" w:hAnsi="Times New Roman" w:eastAsia="黑体"/>
          <w:snapToGrid w:val="0"/>
          <w:color w:val="auto"/>
          <w:sz w:val="30"/>
          <w:szCs w:val="30"/>
        </w:rPr>
        <w:t>环境保护措施监督检查清单</w:t>
      </w:r>
      <w:bookmarkEnd w:id="6"/>
      <w:bookmarkEnd w:id="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856"/>
        <w:gridCol w:w="1605"/>
        <w:gridCol w:w="1217"/>
        <w:gridCol w:w="878"/>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7" w:type="dxa"/>
            <w:tcBorders>
              <w:tl2br w:val="single" w:color="auto" w:sz="4" w:space="0"/>
            </w:tcBorders>
          </w:tcPr>
          <w:p>
            <w:pPr>
              <w:adjustRightInd w:val="0"/>
              <w:snapToGrid w:val="0"/>
              <w:ind w:firstLine="840"/>
              <w:rPr>
                <w:rFonts w:ascii="Times New Roman" w:hAnsi="Times New Roman"/>
                <w:b/>
                <w:bCs/>
                <w:color w:val="auto"/>
                <w:szCs w:val="21"/>
              </w:rPr>
            </w:pPr>
            <w:r>
              <w:rPr>
                <w:rFonts w:ascii="Times New Roman" w:hAnsi="Times New Roman"/>
                <w:b/>
                <w:bCs/>
                <w:color w:val="auto"/>
                <w:szCs w:val="21"/>
              </w:rPr>
              <w:t>内容</w:t>
            </w:r>
          </w:p>
          <w:p>
            <w:pPr>
              <w:adjustRightInd w:val="0"/>
              <w:snapToGrid w:val="0"/>
              <w:rPr>
                <w:rFonts w:ascii="Times New Roman" w:hAnsi="Times New Roman"/>
                <w:b/>
                <w:bCs/>
                <w:color w:val="auto"/>
                <w:szCs w:val="21"/>
              </w:rPr>
            </w:pPr>
            <w:r>
              <w:rPr>
                <w:rFonts w:ascii="Times New Roman" w:hAnsi="Times New Roman"/>
                <w:b/>
                <w:bCs/>
                <w:color w:val="auto"/>
                <w:szCs w:val="21"/>
              </w:rPr>
              <w:t>要素</w:t>
            </w:r>
          </w:p>
        </w:tc>
        <w:tc>
          <w:tcPr>
            <w:tcW w:w="1856" w:type="dxa"/>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排放口</w:t>
            </w:r>
            <w:r>
              <w:rPr>
                <w:rFonts w:hint="eastAsia" w:ascii="Times New Roman" w:hAnsi="Times New Roman"/>
                <w:b/>
                <w:bCs/>
                <w:color w:val="auto"/>
                <w:szCs w:val="21"/>
              </w:rPr>
              <w:t>（</w:t>
            </w:r>
            <w:r>
              <w:rPr>
                <w:rFonts w:ascii="Times New Roman" w:hAnsi="Times New Roman"/>
                <w:b/>
                <w:bCs/>
                <w:color w:val="auto"/>
                <w:szCs w:val="21"/>
              </w:rPr>
              <w:t>编号、</w:t>
            </w:r>
          </w:p>
          <w:p>
            <w:pPr>
              <w:adjustRightInd w:val="0"/>
              <w:snapToGrid w:val="0"/>
              <w:jc w:val="center"/>
              <w:rPr>
                <w:rFonts w:ascii="Times New Roman" w:hAnsi="Times New Roman"/>
                <w:b/>
                <w:bCs/>
                <w:color w:val="auto"/>
                <w:szCs w:val="21"/>
              </w:rPr>
            </w:pPr>
            <w:r>
              <w:rPr>
                <w:rFonts w:ascii="Times New Roman" w:hAnsi="Times New Roman"/>
                <w:b/>
                <w:bCs/>
                <w:color w:val="auto"/>
                <w:szCs w:val="21"/>
              </w:rPr>
              <w:t>名称</w:t>
            </w:r>
            <w:r>
              <w:rPr>
                <w:rFonts w:hint="eastAsia" w:ascii="Times New Roman" w:hAnsi="Times New Roman"/>
                <w:b/>
                <w:bCs/>
                <w:color w:val="auto"/>
                <w:szCs w:val="21"/>
              </w:rPr>
              <w:t>）/</w:t>
            </w:r>
            <w:r>
              <w:rPr>
                <w:rFonts w:ascii="Times New Roman" w:hAnsi="Times New Roman"/>
                <w:b/>
                <w:bCs/>
                <w:color w:val="auto"/>
                <w:szCs w:val="21"/>
              </w:rPr>
              <w:t>污染源</w:t>
            </w:r>
          </w:p>
        </w:tc>
        <w:tc>
          <w:tcPr>
            <w:tcW w:w="1605" w:type="dxa"/>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污染物项目</w:t>
            </w:r>
          </w:p>
        </w:tc>
        <w:tc>
          <w:tcPr>
            <w:tcW w:w="2095" w:type="dxa"/>
            <w:gridSpan w:val="2"/>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环境保护措施</w:t>
            </w:r>
          </w:p>
        </w:tc>
        <w:tc>
          <w:tcPr>
            <w:tcW w:w="1757" w:type="dxa"/>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87" w:type="dxa"/>
            <w:vMerge w:val="restart"/>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大气环境</w:t>
            </w:r>
          </w:p>
        </w:tc>
        <w:tc>
          <w:tcPr>
            <w:tcW w:w="1856"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无组织废气</w:t>
            </w:r>
          </w:p>
        </w:tc>
        <w:tc>
          <w:tcPr>
            <w:tcW w:w="1605"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打磨粉尘</w:t>
            </w:r>
          </w:p>
        </w:tc>
        <w:tc>
          <w:tcPr>
            <w:tcW w:w="1217"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水幕除尘</w:t>
            </w:r>
          </w:p>
        </w:tc>
        <w:tc>
          <w:tcPr>
            <w:tcW w:w="878" w:type="dxa"/>
            <w:vMerge w:val="restart"/>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排风扇通风</w:t>
            </w:r>
          </w:p>
        </w:tc>
        <w:tc>
          <w:tcPr>
            <w:tcW w:w="1757"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《大气污染物综合排放标准》（GB16297-1996）表</w:t>
            </w:r>
            <w:r>
              <w:rPr>
                <w:rFonts w:hint="eastAsia" w:ascii="Times New Roman" w:hAnsi="Times New Roman"/>
                <w:color w:val="auto"/>
                <w:szCs w:val="21"/>
              </w:rPr>
              <w:t>2</w:t>
            </w:r>
            <w:r>
              <w:rPr>
                <w:rFonts w:ascii="Times New Roman" w:hAnsi="Times New Roman"/>
                <w:color w:val="auto"/>
                <w:szCs w:val="21"/>
              </w:rPr>
              <w:t>中无组织排放限值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87" w:type="dxa"/>
            <w:vMerge w:val="continue"/>
            <w:vAlign w:val="center"/>
          </w:tcPr>
          <w:p>
            <w:pPr>
              <w:adjustRightInd w:val="0"/>
              <w:snapToGrid w:val="0"/>
              <w:jc w:val="center"/>
              <w:rPr>
                <w:color w:val="auto"/>
              </w:rPr>
            </w:pPr>
          </w:p>
        </w:tc>
        <w:tc>
          <w:tcPr>
            <w:tcW w:w="1856" w:type="dxa"/>
            <w:vMerge w:val="continue"/>
            <w:vAlign w:val="center"/>
          </w:tcPr>
          <w:p>
            <w:pPr>
              <w:adjustRightInd w:val="0"/>
              <w:snapToGrid w:val="0"/>
              <w:jc w:val="center"/>
              <w:rPr>
                <w:color w:val="auto"/>
              </w:rPr>
            </w:pPr>
          </w:p>
        </w:tc>
        <w:tc>
          <w:tcPr>
            <w:tcW w:w="1605"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喷砂粉尘</w:t>
            </w:r>
          </w:p>
        </w:tc>
        <w:tc>
          <w:tcPr>
            <w:tcW w:w="1217"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自带的布袋除尘设备</w:t>
            </w:r>
          </w:p>
        </w:tc>
        <w:tc>
          <w:tcPr>
            <w:tcW w:w="878" w:type="dxa"/>
            <w:vMerge w:val="continue"/>
            <w:vAlign w:val="center"/>
          </w:tcPr>
          <w:p>
            <w:pPr>
              <w:adjustRightInd w:val="0"/>
              <w:snapToGrid w:val="0"/>
              <w:jc w:val="center"/>
              <w:rPr>
                <w:rFonts w:ascii="Times New Roman" w:hAnsi="Times New Roman"/>
                <w:color w:val="auto"/>
                <w:szCs w:val="21"/>
              </w:rPr>
            </w:pPr>
          </w:p>
        </w:tc>
        <w:tc>
          <w:tcPr>
            <w:tcW w:w="1757" w:type="dxa"/>
            <w:vMerge w:val="continue"/>
            <w:vAlign w:val="center"/>
          </w:tcPr>
          <w:p>
            <w:pPr>
              <w:adjustRightInd w:val="0"/>
              <w:snapToGrid w:val="0"/>
              <w:jc w:val="center"/>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7"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地表水环境</w:t>
            </w:r>
          </w:p>
        </w:tc>
        <w:tc>
          <w:tcPr>
            <w:tcW w:w="185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生活污水</w:t>
            </w:r>
            <w:r>
              <w:rPr>
                <w:rFonts w:hint="eastAsia" w:ascii="Times New Roman" w:hAnsi="Times New Roman"/>
                <w:color w:val="auto"/>
                <w:szCs w:val="21"/>
              </w:rPr>
              <w:t>（DW001）</w:t>
            </w:r>
          </w:p>
        </w:tc>
        <w:tc>
          <w:tcPr>
            <w:tcW w:w="16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pH、COD</w:t>
            </w:r>
            <w:r>
              <w:rPr>
                <w:rFonts w:ascii="Times New Roman" w:hAnsi="Times New Roman"/>
                <w:color w:val="auto"/>
                <w:szCs w:val="21"/>
                <w:vertAlign w:val="subscript"/>
              </w:rPr>
              <w:t>cr</w:t>
            </w:r>
            <w:r>
              <w:rPr>
                <w:rFonts w:ascii="Times New Roman" w:hAnsi="Times New Roman"/>
                <w:color w:val="auto"/>
                <w:szCs w:val="21"/>
              </w:rPr>
              <w:t>、BOD</w:t>
            </w:r>
            <w:r>
              <w:rPr>
                <w:rFonts w:ascii="Times New Roman" w:hAnsi="Times New Roman"/>
                <w:color w:val="auto"/>
                <w:szCs w:val="21"/>
                <w:vertAlign w:val="subscript"/>
              </w:rPr>
              <w:t>5</w:t>
            </w:r>
            <w:r>
              <w:rPr>
                <w:rFonts w:ascii="Times New Roman" w:hAnsi="Times New Roman"/>
                <w:color w:val="auto"/>
                <w:szCs w:val="21"/>
              </w:rPr>
              <w:t>、SS、氨氮、</w:t>
            </w:r>
            <w:r>
              <w:rPr>
                <w:rFonts w:hint="eastAsia" w:ascii="Times New Roman" w:hAnsi="Times New Roman"/>
                <w:color w:val="auto"/>
                <w:szCs w:val="21"/>
              </w:rPr>
              <w:t>石油</w:t>
            </w:r>
          </w:p>
        </w:tc>
        <w:tc>
          <w:tcPr>
            <w:tcW w:w="2095" w:type="dxa"/>
            <w:gridSpan w:val="2"/>
            <w:vAlign w:val="center"/>
          </w:tcPr>
          <w:p>
            <w:pPr>
              <w:adjustRightInd w:val="0"/>
              <w:snapToGrid w:val="0"/>
              <w:jc w:val="center"/>
              <w:rPr>
                <w:rFonts w:hint="eastAsia" w:ascii="Times New Roman" w:hAnsi="Times New Roman" w:eastAsia="宋体"/>
                <w:color w:val="auto"/>
                <w:szCs w:val="21"/>
                <w:lang w:eastAsia="zh-CN"/>
              </w:rPr>
            </w:pPr>
            <w:r>
              <w:rPr>
                <w:rFonts w:ascii="Times New Roman" w:hAnsi="Times New Roman"/>
                <w:color w:val="auto"/>
                <w:szCs w:val="21"/>
              </w:rPr>
              <w:t>化粪池预处理后</w:t>
            </w:r>
            <w:r>
              <w:rPr>
                <w:rFonts w:hint="eastAsia" w:ascii="Times New Roman" w:hAnsi="Times New Roman"/>
                <w:color w:val="auto"/>
                <w:szCs w:val="21"/>
                <w:lang w:eastAsia="zh-CN"/>
              </w:rPr>
              <w:t>进入仙槎桥镇污水处理厂</w:t>
            </w:r>
          </w:p>
        </w:tc>
        <w:tc>
          <w:tcPr>
            <w:tcW w:w="1757" w:type="dxa"/>
            <w:vAlign w:val="center"/>
          </w:tcPr>
          <w:p>
            <w:pPr>
              <w:adjustRightInd w:val="0"/>
              <w:snapToGrid w:val="0"/>
              <w:jc w:val="center"/>
              <w:rPr>
                <w:rFonts w:hint="eastAsia" w:ascii="Times New Roman" w:hAnsi="Times New Roman" w:eastAsia="宋体"/>
                <w:color w:val="auto"/>
                <w:szCs w:val="21"/>
                <w:lang w:eastAsia="zh-CN"/>
              </w:rPr>
            </w:pPr>
            <w:r>
              <w:rPr>
                <w:rFonts w:hint="eastAsia"/>
                <w:color w:val="auto"/>
                <w:szCs w:val="21"/>
                <w:lang w:eastAsia="zh-CN"/>
              </w:rPr>
              <w:t>间接排放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7" w:type="dxa"/>
            <w:vMerge w:val="continue"/>
            <w:vAlign w:val="center"/>
          </w:tcPr>
          <w:p>
            <w:pPr>
              <w:adjustRightInd w:val="0"/>
              <w:snapToGrid w:val="0"/>
              <w:jc w:val="center"/>
              <w:rPr>
                <w:rFonts w:ascii="Times New Roman" w:hAnsi="Times New Roman"/>
                <w:color w:val="auto"/>
                <w:szCs w:val="21"/>
              </w:rPr>
            </w:pPr>
          </w:p>
        </w:tc>
        <w:tc>
          <w:tcPr>
            <w:tcW w:w="1856"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水幕除尘及</w:t>
            </w:r>
          </w:p>
          <w:p>
            <w:pPr>
              <w:adjustRightInd w:val="0"/>
              <w:snapToGrid w:val="0"/>
              <w:jc w:val="center"/>
              <w:rPr>
                <w:rFonts w:ascii="Times New Roman" w:hAnsi="Times New Roman"/>
                <w:color w:val="auto"/>
                <w:szCs w:val="21"/>
              </w:rPr>
            </w:pPr>
            <w:r>
              <w:rPr>
                <w:rFonts w:hint="eastAsia" w:ascii="Times New Roman" w:hAnsi="Times New Roman"/>
                <w:color w:val="auto"/>
                <w:szCs w:val="21"/>
              </w:rPr>
              <w:t>抛光废水</w:t>
            </w:r>
          </w:p>
        </w:tc>
        <w:tc>
          <w:tcPr>
            <w:tcW w:w="1605"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2095" w:type="dxa"/>
            <w:gridSpan w:val="2"/>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三级沉淀池循环使用</w:t>
            </w:r>
          </w:p>
        </w:tc>
        <w:tc>
          <w:tcPr>
            <w:tcW w:w="1757"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7" w:type="dxa"/>
            <w:vMerge w:val="continue"/>
            <w:vAlign w:val="center"/>
          </w:tcPr>
          <w:p>
            <w:pPr>
              <w:adjustRightInd w:val="0"/>
              <w:snapToGrid w:val="0"/>
              <w:jc w:val="center"/>
              <w:rPr>
                <w:rFonts w:ascii="Times New Roman" w:hAnsi="Times New Roman"/>
                <w:color w:val="auto"/>
                <w:szCs w:val="21"/>
              </w:rPr>
            </w:pPr>
          </w:p>
        </w:tc>
        <w:tc>
          <w:tcPr>
            <w:tcW w:w="1856"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中频感应加热设备高温</w:t>
            </w:r>
            <w:r>
              <w:rPr>
                <w:rFonts w:ascii="Times New Roman" w:hAnsi="Times New Roman"/>
                <w:color w:val="auto"/>
                <w:szCs w:val="21"/>
              </w:rPr>
              <w:t>废水</w:t>
            </w:r>
          </w:p>
        </w:tc>
        <w:tc>
          <w:tcPr>
            <w:tcW w:w="1605"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2095" w:type="dxa"/>
            <w:gridSpan w:val="2"/>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冷却池冷却后</w:t>
            </w:r>
            <w:r>
              <w:rPr>
                <w:rFonts w:ascii="Times New Roman" w:hAnsi="Times New Roman"/>
                <w:color w:val="auto"/>
                <w:szCs w:val="21"/>
              </w:rPr>
              <w:t>循环使用</w:t>
            </w:r>
          </w:p>
        </w:tc>
        <w:tc>
          <w:tcPr>
            <w:tcW w:w="1757" w:type="dxa"/>
            <w:vMerge w:val="continue"/>
            <w:vAlign w:val="center"/>
          </w:tcPr>
          <w:p>
            <w:pPr>
              <w:adjustRightInd w:val="0"/>
              <w:snapToGrid w:val="0"/>
              <w:jc w:val="center"/>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声环境</w:t>
            </w:r>
          </w:p>
        </w:tc>
        <w:tc>
          <w:tcPr>
            <w:tcW w:w="185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生产车间</w:t>
            </w:r>
          </w:p>
        </w:tc>
        <w:tc>
          <w:tcPr>
            <w:tcW w:w="16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噪声</w:t>
            </w:r>
          </w:p>
        </w:tc>
        <w:tc>
          <w:tcPr>
            <w:tcW w:w="2095" w:type="dxa"/>
            <w:gridSpan w:val="2"/>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厂房隔声、距离衰减</w:t>
            </w:r>
          </w:p>
        </w:tc>
        <w:tc>
          <w:tcPr>
            <w:tcW w:w="1757"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电磁辐射</w:t>
            </w:r>
          </w:p>
        </w:tc>
        <w:tc>
          <w:tcPr>
            <w:tcW w:w="1856"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16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2095" w:type="dxa"/>
            <w:gridSpan w:val="2"/>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175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8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固体废物</w:t>
            </w:r>
          </w:p>
        </w:tc>
        <w:tc>
          <w:tcPr>
            <w:tcW w:w="7313" w:type="dxa"/>
            <w:gridSpan w:val="5"/>
            <w:vAlign w:val="center"/>
          </w:tcPr>
          <w:p>
            <w:pPr>
              <w:rPr>
                <w:color w:val="auto"/>
              </w:rPr>
            </w:pPr>
            <w:r>
              <w:rPr>
                <w:rFonts w:ascii="Times New Roman" w:hAnsi="Times New Roman"/>
                <w:color w:val="auto"/>
              </w:rPr>
              <w:t>一</w:t>
            </w:r>
            <w:r>
              <w:rPr>
                <w:color w:val="auto"/>
              </w:rPr>
              <w:t>般工业固体废物：生产过程中产生的废边角料</w:t>
            </w:r>
            <w:r>
              <w:rPr>
                <w:rFonts w:hint="eastAsia"/>
                <w:color w:val="auto"/>
              </w:rPr>
              <w:t>暂存于固废堆场进行资源回收利用；沉淀池铁泥收集后交由炼钢厂回收利用</w:t>
            </w:r>
            <w:r>
              <w:rPr>
                <w:color w:val="auto"/>
              </w:rPr>
              <w:t>。</w:t>
            </w:r>
          </w:p>
          <w:p>
            <w:pPr>
              <w:rPr>
                <w:color w:val="auto"/>
              </w:rPr>
            </w:pPr>
            <w:r>
              <w:rPr>
                <w:color w:val="auto"/>
              </w:rPr>
              <w:t>生活垃圾：生活垃圾经收集后交由环卫部门统一处置。</w:t>
            </w:r>
          </w:p>
          <w:p>
            <w:pPr>
              <w:rPr>
                <w:rFonts w:ascii="Times New Roman" w:hAnsi="Times New Roman"/>
                <w:color w:val="auto"/>
              </w:rPr>
            </w:pPr>
            <w:r>
              <w:rPr>
                <w:color w:val="auto"/>
              </w:rPr>
              <w:t>危险废物：</w:t>
            </w:r>
            <w:r>
              <w:rPr>
                <w:rFonts w:hint="eastAsia"/>
                <w:color w:val="auto"/>
              </w:rPr>
              <w:t>废包装桶作为</w:t>
            </w:r>
            <w:r>
              <w:rPr>
                <w:color w:val="auto"/>
              </w:rPr>
              <w:t>危险废物经危废暂存间暂存后交由</w:t>
            </w:r>
            <w:r>
              <w:rPr>
                <w:rFonts w:hint="eastAsia"/>
                <w:color w:val="auto"/>
              </w:rPr>
              <w:t>供应商回收处置</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7" w:type="dxa"/>
            <w:vAlign w:val="center"/>
          </w:tcPr>
          <w:p>
            <w:pPr>
              <w:adjustRightInd w:val="0"/>
              <w:snapToGrid w:val="0"/>
              <w:jc w:val="center"/>
              <w:rPr>
                <w:rFonts w:ascii="Times New Roman" w:hAnsi="Times New Roman"/>
                <w:color w:val="auto"/>
                <w:szCs w:val="21"/>
                <w:u w:val="single"/>
              </w:rPr>
            </w:pPr>
            <w:r>
              <w:rPr>
                <w:rFonts w:ascii="Times New Roman" w:hAnsi="Times New Roman"/>
                <w:color w:val="auto"/>
                <w:szCs w:val="21"/>
                <w:u w:val="single"/>
              </w:rPr>
              <w:t>土壤及地下水</w:t>
            </w:r>
          </w:p>
          <w:p>
            <w:pPr>
              <w:adjustRightInd w:val="0"/>
              <w:snapToGrid w:val="0"/>
              <w:jc w:val="center"/>
              <w:rPr>
                <w:rFonts w:ascii="Times New Roman" w:hAnsi="Times New Roman"/>
                <w:color w:val="auto"/>
                <w:szCs w:val="21"/>
                <w:u w:val="single"/>
              </w:rPr>
            </w:pPr>
            <w:r>
              <w:rPr>
                <w:rFonts w:ascii="Times New Roman" w:hAnsi="Times New Roman"/>
                <w:color w:val="auto"/>
                <w:szCs w:val="21"/>
                <w:u w:val="single"/>
              </w:rPr>
              <w:t>污染防治措施</w:t>
            </w:r>
          </w:p>
        </w:tc>
        <w:tc>
          <w:tcPr>
            <w:tcW w:w="7313" w:type="dxa"/>
            <w:gridSpan w:val="5"/>
            <w:vAlign w:val="center"/>
          </w:tcPr>
          <w:p>
            <w:pPr>
              <w:adjustRightInd w:val="0"/>
              <w:snapToGrid w:val="0"/>
              <w:jc w:val="center"/>
              <w:rPr>
                <w:rFonts w:ascii="Times New Roman" w:hAnsi="Times New Roman"/>
                <w:color w:val="auto"/>
                <w:szCs w:val="21"/>
                <w:u w:val="single"/>
              </w:rPr>
            </w:pPr>
            <w:r>
              <w:rPr>
                <w:color w:val="auto"/>
                <w:szCs w:val="21"/>
                <w:u w:val="single"/>
              </w:rPr>
              <w:t>本项目建设依托现有厂房，本环评要求建设方加强</w:t>
            </w:r>
            <w:r>
              <w:rPr>
                <w:rFonts w:hint="eastAsia"/>
                <w:color w:val="auto"/>
                <w:szCs w:val="21"/>
                <w:u w:val="single"/>
              </w:rPr>
              <w:t>油品</w:t>
            </w:r>
            <w:r>
              <w:rPr>
                <w:color w:val="auto"/>
                <w:szCs w:val="21"/>
                <w:u w:val="single"/>
              </w:rPr>
              <w:t>及危险废物的储存和使用管理，避免危险废物及化学品洒落污染土壤地下水。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87" w:type="dxa"/>
            <w:vAlign w:val="center"/>
          </w:tcPr>
          <w:p>
            <w:pPr>
              <w:adjustRightInd w:val="0"/>
              <w:snapToGrid w:val="0"/>
              <w:jc w:val="center"/>
              <w:rPr>
                <w:rFonts w:ascii="Times New Roman" w:hAnsi="Times New Roman"/>
                <w:color w:val="auto"/>
                <w:spacing w:val="-8"/>
                <w:szCs w:val="21"/>
                <w:u w:val="single"/>
              </w:rPr>
            </w:pPr>
            <w:r>
              <w:rPr>
                <w:rFonts w:ascii="Times New Roman" w:hAnsi="Times New Roman"/>
                <w:color w:val="auto"/>
                <w:spacing w:val="-8"/>
                <w:szCs w:val="21"/>
                <w:u w:val="single"/>
              </w:rPr>
              <w:t>环境风险</w:t>
            </w:r>
          </w:p>
          <w:p>
            <w:pPr>
              <w:adjustRightInd w:val="0"/>
              <w:snapToGrid w:val="0"/>
              <w:jc w:val="center"/>
              <w:rPr>
                <w:rFonts w:ascii="Times New Roman" w:hAnsi="Times New Roman"/>
                <w:color w:val="auto"/>
                <w:spacing w:val="-8"/>
                <w:szCs w:val="21"/>
                <w:u w:val="single"/>
              </w:rPr>
            </w:pPr>
            <w:r>
              <w:rPr>
                <w:rFonts w:ascii="Times New Roman" w:hAnsi="Times New Roman"/>
                <w:color w:val="auto"/>
                <w:spacing w:val="-8"/>
                <w:szCs w:val="21"/>
                <w:u w:val="single"/>
              </w:rPr>
              <w:t>防范措施</w:t>
            </w:r>
          </w:p>
        </w:tc>
        <w:tc>
          <w:tcPr>
            <w:tcW w:w="7313" w:type="dxa"/>
            <w:gridSpan w:val="5"/>
            <w:vAlign w:val="center"/>
          </w:tcPr>
          <w:p>
            <w:pPr>
              <w:adjustRightInd w:val="0"/>
              <w:snapToGrid w:val="0"/>
              <w:jc w:val="center"/>
              <w:rPr>
                <w:rFonts w:ascii="Times New Roman" w:hAnsi="Times New Roman"/>
                <w:color w:val="auto"/>
                <w:szCs w:val="21"/>
                <w:u w:val="single"/>
              </w:rPr>
            </w:pPr>
            <w:r>
              <w:rPr>
                <w:color w:val="auto"/>
                <w:szCs w:val="21"/>
                <w:u w:val="single"/>
              </w:rPr>
              <w:t>针对泄漏风险，应按规范设置应急预案以及收集设备，制定巡查制度、提高人员安全生产意识和加强生产管理，定期培训工作人员应急技能和知识；针对原辅材料泄漏，应按规范要求使用、贮存和管理原辅材料，设置警示标示，加强人员安全教育；针对废气、废水事故风险，应定期检修废气、废水处理设施，发现异常，立即停止生产，并对处理设施进行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7" w:type="dxa"/>
            <w:vAlign w:val="center"/>
          </w:tcPr>
          <w:p>
            <w:pPr>
              <w:adjustRightInd w:val="0"/>
              <w:snapToGrid w:val="0"/>
              <w:jc w:val="center"/>
              <w:rPr>
                <w:rFonts w:ascii="Times New Roman" w:hAnsi="Times New Roman"/>
                <w:color w:val="auto"/>
                <w:spacing w:val="-8"/>
                <w:szCs w:val="21"/>
                <w:u w:val="single"/>
              </w:rPr>
            </w:pPr>
            <w:r>
              <w:rPr>
                <w:rFonts w:ascii="Times New Roman" w:hAnsi="Times New Roman"/>
                <w:color w:val="auto"/>
                <w:spacing w:val="-8"/>
                <w:szCs w:val="21"/>
                <w:u w:val="single"/>
              </w:rPr>
              <w:t>其他环境</w:t>
            </w:r>
          </w:p>
          <w:p>
            <w:pPr>
              <w:adjustRightInd w:val="0"/>
              <w:snapToGrid w:val="0"/>
              <w:jc w:val="center"/>
              <w:rPr>
                <w:rFonts w:ascii="Times New Roman" w:hAnsi="Times New Roman"/>
                <w:color w:val="auto"/>
                <w:spacing w:val="-8"/>
                <w:szCs w:val="21"/>
                <w:u w:val="single"/>
              </w:rPr>
            </w:pPr>
            <w:r>
              <w:rPr>
                <w:rFonts w:ascii="Times New Roman" w:hAnsi="Times New Roman"/>
                <w:color w:val="auto"/>
                <w:spacing w:val="-8"/>
                <w:szCs w:val="21"/>
                <w:u w:val="single"/>
              </w:rPr>
              <w:t>管理要求</w:t>
            </w:r>
          </w:p>
        </w:tc>
        <w:tc>
          <w:tcPr>
            <w:tcW w:w="7313" w:type="dxa"/>
            <w:gridSpan w:val="5"/>
            <w:vAlign w:val="center"/>
          </w:tcPr>
          <w:p>
            <w:pPr>
              <w:adjustRightInd w:val="0"/>
              <w:snapToGrid w:val="0"/>
              <w:jc w:val="center"/>
              <w:rPr>
                <w:color w:val="auto"/>
                <w:szCs w:val="21"/>
                <w:u w:val="single"/>
              </w:rPr>
            </w:pPr>
            <w:r>
              <w:rPr>
                <w:color w:val="auto"/>
                <w:szCs w:val="21"/>
                <w:u w:val="single"/>
              </w:rPr>
              <w:t>1、加强对工程环保设施的管理，并定期对各废气处理设施、废水处理设施进行检查、维护，避免事故排放；</w:t>
            </w:r>
          </w:p>
          <w:p>
            <w:pPr>
              <w:adjustRightInd w:val="0"/>
              <w:snapToGrid w:val="0"/>
              <w:jc w:val="center"/>
              <w:rPr>
                <w:color w:val="auto"/>
                <w:szCs w:val="21"/>
                <w:u w:val="single"/>
              </w:rPr>
            </w:pPr>
            <w:r>
              <w:rPr>
                <w:color w:val="auto"/>
                <w:szCs w:val="21"/>
                <w:u w:val="single"/>
              </w:rPr>
              <w:t>2、建立健全一套完善的环境管理制度，并严格按管理制度执行；加强生产管理，实施清洁生产，从而减少污染物的产生量；</w:t>
            </w:r>
          </w:p>
          <w:p>
            <w:pPr>
              <w:adjustRightInd w:val="0"/>
              <w:snapToGrid w:val="0"/>
              <w:jc w:val="center"/>
              <w:rPr>
                <w:rFonts w:ascii="Times New Roman" w:hAnsi="Times New Roman"/>
                <w:color w:val="auto"/>
                <w:szCs w:val="21"/>
                <w:u w:val="single"/>
              </w:rPr>
            </w:pPr>
            <w:r>
              <w:rPr>
                <w:color w:val="auto"/>
                <w:szCs w:val="21"/>
                <w:u w:val="single"/>
              </w:rPr>
              <w:t>3、严格按照建设项目竣工环境保护验收制度，项目建成后尽快履行环保验收手续。</w:t>
            </w:r>
          </w:p>
        </w:tc>
      </w:tr>
    </w:tbl>
    <w:p>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8" w:name="_Toc15843"/>
      <w:r>
        <w:rPr>
          <w:rFonts w:ascii="Times New Roman" w:hAnsi="Times New Roman" w:eastAsia="黑体"/>
          <w:snapToGrid w:val="0"/>
          <w:color w:val="auto"/>
          <w:sz w:val="30"/>
          <w:szCs w:val="30"/>
        </w:rPr>
        <w:t>六、结论</w:t>
      </w:r>
      <w:bookmarkEnd w:id="8"/>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color w:val="auto"/>
                <w:sz w:val="24"/>
              </w:rPr>
            </w:pPr>
            <w:r>
              <w:rPr>
                <w:rFonts w:ascii="Times New Roman" w:hAnsi="Times New Roman"/>
                <w:color w:val="auto"/>
                <w:sz w:val="24"/>
              </w:rPr>
              <w:t>本项目</w:t>
            </w:r>
            <w:r>
              <w:rPr>
                <w:color w:val="auto"/>
                <w:sz w:val="24"/>
              </w:rPr>
              <w:t>符合国家和地方相关产业政策；选址符合当地规划，平面布局较合理。通过对该项目的工程分析、污染因素分析，在采取环评提出的污染控制措施的基础上，项目对环境的影响较小。本项目从环境保护的角度分析是可行的。</w:t>
            </w:r>
          </w:p>
          <w:p>
            <w:pPr>
              <w:spacing w:line="360" w:lineRule="auto"/>
              <w:ind w:firstLine="480" w:firstLineChars="200"/>
              <w:rPr>
                <w:color w:val="auto"/>
                <w:sz w:val="24"/>
              </w:rPr>
            </w:pPr>
            <w:r>
              <w:rPr>
                <w:color w:val="auto"/>
                <w:sz w:val="24"/>
              </w:rPr>
              <w:t>建设单位应严格按照环评提出的要求，切实落实相应的污染防治对策及生态保护措施，严格执行建设项目竣工环境保护验收，并加强环保设施管理和维护，确保环保设施的正常高效运行，减缓项目建设对环境带来的不利影响，使工程建设与环境保护协调发展。</w:t>
            </w:r>
          </w:p>
          <w:p>
            <w:pPr>
              <w:spacing w:line="360" w:lineRule="auto"/>
              <w:ind w:firstLine="480" w:firstLineChars="200"/>
              <w:rPr>
                <w:rFonts w:ascii="Times New Roman" w:hAnsi="Times New Roman"/>
                <w:color w:val="auto"/>
                <w:sz w:val="24"/>
              </w:rPr>
            </w:pPr>
          </w:p>
        </w:tc>
      </w:tr>
    </w:tbl>
    <w:p>
      <w:pPr>
        <w:rPr>
          <w:rFonts w:ascii="Times New Roman" w:hAnsi="Times New Roman"/>
          <w:color w:val="auto"/>
        </w:rPr>
        <w:sectPr>
          <w:pgSz w:w="11906" w:h="16838"/>
          <w:pgMar w:top="1701" w:right="1531" w:bottom="1701" w:left="1531" w:header="851" w:footer="851" w:gutter="0"/>
          <w:cols w:space="720" w:num="1"/>
          <w:docGrid w:linePitch="312" w:charSpace="0"/>
        </w:sectPr>
      </w:pPr>
    </w:p>
    <w:p>
      <w:pPr>
        <w:pStyle w:val="22"/>
        <w:adjustRightInd w:val="0"/>
        <w:snapToGrid w:val="0"/>
        <w:spacing w:before="0" w:beforeAutospacing="0" w:after="0" w:afterAutospacing="0" w:line="360" w:lineRule="auto"/>
        <w:outlineLvl w:val="0"/>
        <w:rPr>
          <w:rFonts w:ascii="Times New Roman" w:hAnsi="Times New Roman" w:eastAsia="黑体"/>
          <w:snapToGrid w:val="0"/>
          <w:color w:val="auto"/>
          <w:sz w:val="32"/>
          <w:szCs w:val="32"/>
        </w:rPr>
      </w:pPr>
      <w:bookmarkStart w:id="9" w:name="_Toc7994"/>
      <w:r>
        <w:rPr>
          <w:rFonts w:ascii="Times New Roman" w:hAnsi="Times New Roman" w:eastAsia="黑体"/>
          <w:snapToGrid w:val="0"/>
          <w:color w:val="auto"/>
          <w:sz w:val="32"/>
          <w:szCs w:val="32"/>
        </w:rPr>
        <w:t>附表</w:t>
      </w:r>
      <w:bookmarkEnd w:id="9"/>
    </w:p>
    <w:p>
      <w:pPr>
        <w:pStyle w:val="22"/>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bookmarkStart w:id="10" w:name="_Toc8623"/>
      <w:r>
        <w:rPr>
          <w:rFonts w:ascii="Times New Roman" w:hAnsi="Times New Roman" w:eastAsia="方正小标宋_GBK"/>
          <w:snapToGrid w:val="0"/>
          <w:color w:val="auto"/>
          <w:sz w:val="38"/>
          <w:szCs w:val="38"/>
        </w:rPr>
        <w:t>建设项目污染物排放量汇总表</w:t>
      </w:r>
      <w:bookmarkEnd w:id="10"/>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5"/>
              <w:spacing w:beforeLines="0" w:afterLines="0" w:line="240" w:lineRule="auto"/>
              <w:jc w:val="right"/>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项目</w:t>
            </w:r>
          </w:p>
          <w:p>
            <w:pPr>
              <w:pStyle w:val="45"/>
              <w:spacing w:beforeLines="0" w:afterLines="0" w:line="240" w:lineRule="auto"/>
              <w:jc w:val="left"/>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分类</w:t>
            </w:r>
          </w:p>
        </w:tc>
        <w:tc>
          <w:tcPr>
            <w:tcW w:w="1417"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污染物名称</w:t>
            </w:r>
          </w:p>
        </w:tc>
        <w:tc>
          <w:tcPr>
            <w:tcW w:w="1701"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现有工程</w:t>
            </w:r>
          </w:p>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排放量（固体废物产生量）</w:t>
            </w: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1 \* GB3 \* MERGEFORMAT </w:instrText>
            </w:r>
            <w:r>
              <w:rPr>
                <w:rFonts w:ascii="Times New Roman" w:hAnsi="Times New Roman" w:eastAsia="黑体"/>
                <w:snapToGrid w:val="0"/>
                <w:color w:val="auto"/>
                <w:spacing w:val="-6"/>
                <w:kern w:val="21"/>
                <w:szCs w:val="21"/>
              </w:rPr>
              <w:fldChar w:fldCharType="separate"/>
            </w:r>
            <w:r>
              <w:rPr>
                <w:rFonts w:ascii="Times New Roman" w:hAnsi="Times New Roman" w:eastAsia="黑体"/>
                <w:color w:val="auto"/>
                <w:kern w:val="2"/>
                <w:szCs w:val="21"/>
              </w:rPr>
              <w:t>①</w:t>
            </w:r>
            <w:r>
              <w:rPr>
                <w:rFonts w:ascii="Times New Roman" w:hAnsi="Times New Roman" w:eastAsia="黑体"/>
                <w:snapToGrid w:val="0"/>
                <w:color w:val="auto"/>
                <w:spacing w:val="-6"/>
                <w:kern w:val="21"/>
                <w:szCs w:val="21"/>
              </w:rPr>
              <w:fldChar w:fldCharType="end"/>
            </w:r>
          </w:p>
        </w:tc>
        <w:tc>
          <w:tcPr>
            <w:tcW w:w="1276"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现有工程</w:t>
            </w:r>
          </w:p>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许可排放量</w:t>
            </w:r>
          </w:p>
          <w:p>
            <w:pPr>
              <w:pStyle w:val="45"/>
              <w:spacing w:beforeLines="0" w:afterLines="0"/>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2 \* GB3 \* MERGEFORMAT </w:instrText>
            </w:r>
            <w:r>
              <w:rPr>
                <w:rFonts w:ascii="Times New Roman" w:hAnsi="Times New Roman" w:eastAsia="黑体"/>
                <w:snapToGrid w:val="0"/>
                <w:color w:val="auto"/>
                <w:spacing w:val="-6"/>
                <w:kern w:val="21"/>
                <w:szCs w:val="21"/>
              </w:rPr>
              <w:fldChar w:fldCharType="separate"/>
            </w:r>
            <w:r>
              <w:rPr>
                <w:rFonts w:ascii="Times New Roman" w:hAnsi="Times New Roman" w:eastAsia="黑体"/>
                <w:snapToGrid w:val="0"/>
                <w:color w:val="auto"/>
                <w:spacing w:val="-6"/>
                <w:kern w:val="21"/>
                <w:szCs w:val="21"/>
              </w:rPr>
              <w:t>②</w:t>
            </w:r>
            <w:r>
              <w:rPr>
                <w:rFonts w:ascii="Times New Roman" w:hAnsi="Times New Roman" w:eastAsia="黑体"/>
                <w:snapToGrid w:val="0"/>
                <w:color w:val="auto"/>
                <w:spacing w:val="-6"/>
                <w:kern w:val="21"/>
                <w:szCs w:val="21"/>
              </w:rPr>
              <w:fldChar w:fldCharType="end"/>
            </w:r>
          </w:p>
        </w:tc>
        <w:tc>
          <w:tcPr>
            <w:tcW w:w="1701"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在建工程</w:t>
            </w:r>
          </w:p>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排放量（固体废物产生量）</w:t>
            </w: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3 \* GB3 \* MERGEFORMAT </w:instrText>
            </w:r>
            <w:r>
              <w:rPr>
                <w:rFonts w:ascii="Times New Roman" w:hAnsi="Times New Roman" w:eastAsia="黑体"/>
                <w:snapToGrid w:val="0"/>
                <w:color w:val="auto"/>
                <w:spacing w:val="-6"/>
                <w:kern w:val="21"/>
                <w:szCs w:val="21"/>
              </w:rPr>
              <w:fldChar w:fldCharType="separate"/>
            </w:r>
            <w:r>
              <w:rPr>
                <w:rFonts w:ascii="Times New Roman" w:hAnsi="Times New Roman" w:eastAsia="黑体"/>
                <w:color w:val="auto"/>
                <w:kern w:val="2"/>
                <w:szCs w:val="21"/>
              </w:rPr>
              <w:t>③</w:t>
            </w:r>
            <w:r>
              <w:rPr>
                <w:rFonts w:ascii="Times New Roman" w:hAnsi="Times New Roman" w:eastAsia="黑体"/>
                <w:snapToGrid w:val="0"/>
                <w:color w:val="auto"/>
                <w:spacing w:val="-6"/>
                <w:kern w:val="21"/>
                <w:szCs w:val="21"/>
              </w:rPr>
              <w:fldChar w:fldCharType="end"/>
            </w:r>
          </w:p>
        </w:tc>
        <w:tc>
          <w:tcPr>
            <w:tcW w:w="1559"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本项目</w:t>
            </w:r>
          </w:p>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排放量（固体废物产生量）</w:t>
            </w: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4 \* GB3 \* MERGEFORMAT </w:instrText>
            </w:r>
            <w:r>
              <w:rPr>
                <w:rFonts w:ascii="Times New Roman" w:hAnsi="Times New Roman" w:eastAsia="黑体"/>
                <w:snapToGrid w:val="0"/>
                <w:color w:val="auto"/>
                <w:spacing w:val="-6"/>
                <w:kern w:val="21"/>
                <w:szCs w:val="21"/>
              </w:rPr>
              <w:fldChar w:fldCharType="separate"/>
            </w:r>
            <w:r>
              <w:rPr>
                <w:rFonts w:ascii="Times New Roman" w:hAnsi="Times New Roman" w:eastAsia="黑体"/>
                <w:color w:val="auto"/>
                <w:kern w:val="2"/>
                <w:szCs w:val="21"/>
              </w:rPr>
              <w:t>④</w:t>
            </w:r>
            <w:r>
              <w:rPr>
                <w:rFonts w:ascii="Times New Roman" w:hAnsi="Times New Roman" w:eastAsia="黑体"/>
                <w:snapToGrid w:val="0"/>
                <w:color w:val="auto"/>
                <w:spacing w:val="-6"/>
                <w:kern w:val="21"/>
                <w:szCs w:val="21"/>
              </w:rPr>
              <w:fldChar w:fldCharType="end"/>
            </w:r>
          </w:p>
        </w:tc>
        <w:tc>
          <w:tcPr>
            <w:tcW w:w="1761"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以新带老削减量</w:t>
            </w:r>
          </w:p>
          <w:p>
            <w:pPr>
              <w:pStyle w:val="45"/>
              <w:spacing w:beforeLines="0" w:afterLines="0" w:line="240" w:lineRule="auto"/>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（新建项目不填）</w:t>
            </w:r>
            <w:r>
              <w:rPr>
                <w:rFonts w:ascii="Times New Roman" w:hAnsi="Times New Roman" w:eastAsia="黑体"/>
                <w:snapToGrid w:val="0"/>
                <w:color w:val="auto"/>
                <w:spacing w:val="-16"/>
                <w:kern w:val="21"/>
                <w:szCs w:val="21"/>
              </w:rPr>
              <w:fldChar w:fldCharType="begin"/>
            </w:r>
            <w:r>
              <w:rPr>
                <w:rFonts w:ascii="Times New Roman" w:hAnsi="Times New Roman" w:eastAsia="黑体"/>
                <w:snapToGrid w:val="0"/>
                <w:color w:val="auto"/>
                <w:spacing w:val="-16"/>
                <w:kern w:val="21"/>
                <w:szCs w:val="21"/>
              </w:rPr>
              <w:instrText xml:space="preserve"> = 5 \* GB3 \* MERGEFORMAT </w:instrText>
            </w:r>
            <w:r>
              <w:rPr>
                <w:rFonts w:ascii="Times New Roman" w:hAnsi="Times New Roman" w:eastAsia="黑体"/>
                <w:snapToGrid w:val="0"/>
                <w:color w:val="auto"/>
                <w:spacing w:val="-16"/>
                <w:kern w:val="21"/>
                <w:szCs w:val="21"/>
              </w:rPr>
              <w:fldChar w:fldCharType="separate"/>
            </w:r>
            <w:r>
              <w:rPr>
                <w:rFonts w:ascii="Times New Roman" w:hAnsi="Times New Roman" w:eastAsia="黑体"/>
                <w:color w:val="auto"/>
                <w:kern w:val="2"/>
                <w:szCs w:val="21"/>
              </w:rPr>
              <w:t>⑤</w:t>
            </w:r>
            <w:r>
              <w:rPr>
                <w:rFonts w:ascii="Times New Roman" w:hAnsi="Times New Roman" w:eastAsia="黑体"/>
                <w:snapToGrid w:val="0"/>
                <w:color w:val="auto"/>
                <w:spacing w:val="-16"/>
                <w:kern w:val="21"/>
                <w:szCs w:val="21"/>
              </w:rPr>
              <w:fldChar w:fldCharType="end"/>
            </w:r>
          </w:p>
        </w:tc>
        <w:tc>
          <w:tcPr>
            <w:tcW w:w="1959"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本项目建成后</w:t>
            </w:r>
          </w:p>
          <w:p>
            <w:pPr>
              <w:pStyle w:val="45"/>
              <w:spacing w:beforeLines="0" w:afterLines="0" w:line="240" w:lineRule="auto"/>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全厂排放量（固体废物产生量）</w:t>
            </w:r>
            <w:r>
              <w:rPr>
                <w:rFonts w:ascii="Times New Roman" w:hAnsi="Times New Roman" w:eastAsia="黑体"/>
                <w:snapToGrid w:val="0"/>
                <w:color w:val="auto"/>
                <w:spacing w:val="-16"/>
                <w:kern w:val="21"/>
                <w:szCs w:val="21"/>
              </w:rPr>
              <w:fldChar w:fldCharType="begin"/>
            </w:r>
            <w:r>
              <w:rPr>
                <w:rFonts w:ascii="Times New Roman" w:hAnsi="Times New Roman" w:eastAsia="黑体"/>
                <w:snapToGrid w:val="0"/>
                <w:color w:val="auto"/>
                <w:spacing w:val="-16"/>
                <w:kern w:val="21"/>
                <w:szCs w:val="21"/>
              </w:rPr>
              <w:instrText xml:space="preserve"> = 6 \* GB3 \* MERGEFORMAT </w:instrText>
            </w:r>
            <w:r>
              <w:rPr>
                <w:rFonts w:ascii="Times New Roman" w:hAnsi="Times New Roman" w:eastAsia="黑体"/>
                <w:snapToGrid w:val="0"/>
                <w:color w:val="auto"/>
                <w:spacing w:val="-16"/>
                <w:kern w:val="21"/>
                <w:szCs w:val="21"/>
              </w:rPr>
              <w:fldChar w:fldCharType="separate"/>
            </w:r>
            <w:r>
              <w:rPr>
                <w:rFonts w:ascii="Times New Roman" w:hAnsi="Times New Roman" w:eastAsia="黑体"/>
                <w:color w:val="auto"/>
                <w:kern w:val="2"/>
                <w:szCs w:val="21"/>
              </w:rPr>
              <w:t>⑥</w:t>
            </w:r>
            <w:r>
              <w:rPr>
                <w:rFonts w:ascii="Times New Roman" w:hAnsi="Times New Roman" w:eastAsia="黑体"/>
                <w:snapToGrid w:val="0"/>
                <w:color w:val="auto"/>
                <w:spacing w:val="-16"/>
                <w:kern w:val="21"/>
                <w:szCs w:val="21"/>
              </w:rPr>
              <w:fldChar w:fldCharType="end"/>
            </w:r>
          </w:p>
        </w:tc>
        <w:tc>
          <w:tcPr>
            <w:tcW w:w="826" w:type="dxa"/>
            <w:tcMar>
              <w:left w:w="28" w:type="dxa"/>
              <w:right w:w="28" w:type="dxa"/>
            </w:tcMar>
            <w:vAlign w:val="center"/>
          </w:tcPr>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变化量</w:t>
            </w:r>
          </w:p>
          <w:p>
            <w:pPr>
              <w:pStyle w:val="45"/>
              <w:spacing w:beforeLines="0" w:afterLines="0" w:line="240" w:lineRule="auto"/>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7 \* GB3 \* MERGEFORMAT </w:instrText>
            </w:r>
            <w:r>
              <w:rPr>
                <w:rFonts w:ascii="Times New Roman" w:hAnsi="Times New Roman" w:eastAsia="黑体"/>
                <w:snapToGrid w:val="0"/>
                <w:color w:val="auto"/>
                <w:spacing w:val="-6"/>
                <w:kern w:val="21"/>
                <w:szCs w:val="21"/>
              </w:rPr>
              <w:fldChar w:fldCharType="separate"/>
            </w:r>
            <w:r>
              <w:rPr>
                <w:rFonts w:ascii="Times New Roman" w:hAnsi="Times New Roman" w:eastAsia="黑体"/>
                <w:color w:val="auto"/>
                <w:kern w:val="2"/>
                <w:szCs w:val="21"/>
              </w:rPr>
              <w:t>⑦</w:t>
            </w:r>
            <w:r>
              <w:rPr>
                <w:rFonts w:ascii="Times New Roman" w:hAns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废气</w:t>
            </w: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打磨</w:t>
            </w:r>
            <w:r>
              <w:rPr>
                <w:rFonts w:ascii="Times New Roman" w:hAnsi="Times New Roman"/>
                <w:snapToGrid w:val="0"/>
                <w:color w:val="auto"/>
                <w:kern w:val="21"/>
                <w:szCs w:val="21"/>
              </w:rPr>
              <w:t>粉尘</w:t>
            </w:r>
          </w:p>
        </w:tc>
        <w:tc>
          <w:tcPr>
            <w:tcW w:w="170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0.027414</w:t>
            </w:r>
            <w:r>
              <w:rPr>
                <w:rFonts w:ascii="Times New Roman" w:hAnsi="Times New Roman"/>
                <w:snapToGrid w:val="0"/>
                <w:color w:val="auto"/>
                <w:kern w:val="21"/>
                <w:szCs w:val="21"/>
              </w:rPr>
              <w:t>t/a</w:t>
            </w:r>
          </w:p>
        </w:tc>
        <w:tc>
          <w:tcPr>
            <w:tcW w:w="176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0.027414</w:t>
            </w:r>
            <w:r>
              <w:rPr>
                <w:rFonts w:ascii="Times New Roman" w:hAnsi="Times New Roman"/>
                <w:snapToGrid w:val="0"/>
                <w:color w:val="auto"/>
                <w:kern w:val="21"/>
                <w:szCs w:val="21"/>
              </w:rPr>
              <w:t>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0.027414</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喷砂粉尘</w:t>
            </w:r>
          </w:p>
        </w:tc>
        <w:tc>
          <w:tcPr>
            <w:tcW w:w="170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0.00</w:t>
            </w:r>
            <w:r>
              <w:rPr>
                <w:rFonts w:hint="eastAsia" w:ascii="Times New Roman" w:hAnsi="Times New Roman"/>
                <w:snapToGrid w:val="0"/>
                <w:color w:val="auto"/>
                <w:kern w:val="21"/>
                <w:szCs w:val="21"/>
              </w:rPr>
              <w:t>0004</w:t>
            </w:r>
            <w:r>
              <w:rPr>
                <w:rFonts w:ascii="Times New Roman" w:hAnsi="Times New Roman"/>
                <w:snapToGrid w:val="0"/>
                <w:color w:val="auto"/>
                <w:kern w:val="21"/>
                <w:szCs w:val="21"/>
              </w:rPr>
              <w:t>t/a</w:t>
            </w:r>
          </w:p>
        </w:tc>
        <w:tc>
          <w:tcPr>
            <w:tcW w:w="176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0.00</w:t>
            </w:r>
            <w:r>
              <w:rPr>
                <w:rFonts w:hint="eastAsia" w:ascii="Times New Roman" w:hAnsi="Times New Roman"/>
                <w:snapToGrid w:val="0"/>
                <w:color w:val="auto"/>
                <w:kern w:val="21"/>
                <w:szCs w:val="21"/>
              </w:rPr>
              <w:t>0004</w:t>
            </w:r>
            <w:r>
              <w:rPr>
                <w:rFonts w:ascii="Times New Roman" w:hAnsi="Times New Roman"/>
                <w:snapToGrid w:val="0"/>
                <w:color w:val="auto"/>
                <w:kern w:val="21"/>
                <w:szCs w:val="21"/>
              </w:rPr>
              <w:t>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0.00</w:t>
            </w:r>
            <w:r>
              <w:rPr>
                <w:rFonts w:hint="eastAsia" w:ascii="Times New Roman" w:hAnsi="Times New Roman"/>
                <w:snapToGrid w:val="0"/>
                <w:color w:val="auto"/>
                <w:kern w:val="21"/>
                <w:szCs w:val="21"/>
              </w:rPr>
              <w:t>0004</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废水</w:t>
            </w:r>
          </w:p>
        </w:tc>
        <w:tc>
          <w:tcPr>
            <w:tcW w:w="1417"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snapToGrid w:val="0"/>
                <w:color w:val="auto"/>
                <w:kern w:val="21"/>
                <w:szCs w:val="21"/>
              </w:rPr>
              <w:t>COD</w:t>
            </w:r>
          </w:p>
        </w:tc>
        <w:tc>
          <w:tcPr>
            <w:tcW w:w="1701"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shd w:val="clear" w:color="auto" w:fill="auto"/>
            <w:vAlign w:val="center"/>
          </w:tcPr>
          <w:p>
            <w:pPr>
              <w:pStyle w:val="45"/>
              <w:spacing w:beforeLines="0" w:afterLines="0" w:line="240" w:lineRule="auto"/>
              <w:rPr>
                <w:rFonts w:hint="default" w:ascii="Times New Roman" w:hAnsi="Times New Roman" w:eastAsia="宋体"/>
                <w:snapToGrid w:val="0"/>
                <w:color w:val="auto"/>
                <w:kern w:val="21"/>
                <w:szCs w:val="21"/>
                <w:lang w:val="en-US" w:eastAsia="zh-CN"/>
              </w:rPr>
            </w:pPr>
            <w:r>
              <w:rPr>
                <w:rFonts w:hint="eastAsia" w:ascii="Times New Roman" w:hAnsi="Times New Roman"/>
                <w:snapToGrid w:val="0"/>
                <w:color w:val="auto"/>
                <w:kern w:val="21"/>
                <w:szCs w:val="21"/>
                <w:lang w:val="en-US" w:eastAsia="zh-CN"/>
              </w:rPr>
              <w:t>0.0103</w:t>
            </w:r>
            <w:r>
              <w:rPr>
                <w:rFonts w:ascii="Times New Roman" w:hAnsi="Times New Roman"/>
                <w:snapToGrid w:val="0"/>
                <w:color w:val="auto"/>
                <w:kern w:val="21"/>
                <w:szCs w:val="21"/>
              </w:rPr>
              <w:t>t/a</w:t>
            </w:r>
          </w:p>
        </w:tc>
        <w:tc>
          <w:tcPr>
            <w:tcW w:w="1761"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lang w:val="en-US" w:eastAsia="zh-CN"/>
              </w:rPr>
              <w:t>0.0103</w:t>
            </w:r>
            <w:r>
              <w:rPr>
                <w:rFonts w:ascii="Times New Roman" w:hAnsi="Times New Roman"/>
                <w:snapToGrid w:val="0"/>
                <w:color w:val="auto"/>
                <w:kern w:val="21"/>
                <w:szCs w:val="21"/>
              </w:rPr>
              <w:t>t/a</w:t>
            </w:r>
          </w:p>
        </w:tc>
        <w:tc>
          <w:tcPr>
            <w:tcW w:w="826"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lang w:val="en-US" w:eastAsia="zh-CN"/>
              </w:rPr>
              <w:t>0.0103</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ascii="Times New Roman"/>
                <w:snapToGrid w:val="0"/>
                <w:color w:val="auto"/>
                <w:kern w:val="21"/>
                <w:szCs w:val="21"/>
              </w:rPr>
              <w:t>-H</w:t>
            </w:r>
          </w:p>
        </w:tc>
        <w:tc>
          <w:tcPr>
            <w:tcW w:w="1701"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shd w:val="clear" w:color="auto" w:fill="auto"/>
            <w:vAlign w:val="center"/>
          </w:tcPr>
          <w:p>
            <w:pPr>
              <w:pStyle w:val="45"/>
              <w:spacing w:beforeLines="0" w:afterLines="0" w:line="240" w:lineRule="auto"/>
              <w:rPr>
                <w:rFonts w:hint="default" w:ascii="Times New Roman" w:hAnsi="Times New Roman" w:eastAsia="宋体"/>
                <w:snapToGrid w:val="0"/>
                <w:color w:val="auto"/>
                <w:kern w:val="21"/>
                <w:szCs w:val="21"/>
                <w:lang w:val="en-US" w:eastAsia="zh-CN"/>
              </w:rPr>
            </w:pPr>
            <w:r>
              <w:rPr>
                <w:rFonts w:hint="eastAsia" w:ascii="Times New Roman" w:hAnsi="Times New Roman"/>
                <w:snapToGrid w:val="0"/>
                <w:color w:val="auto"/>
                <w:kern w:val="21"/>
                <w:szCs w:val="21"/>
                <w:lang w:val="en-US" w:eastAsia="zh-CN"/>
              </w:rPr>
              <w:t>0.0016</w:t>
            </w:r>
            <w:r>
              <w:rPr>
                <w:rFonts w:ascii="Times New Roman" w:hAnsi="Times New Roman"/>
                <w:snapToGrid w:val="0"/>
                <w:color w:val="auto"/>
                <w:kern w:val="21"/>
                <w:szCs w:val="21"/>
              </w:rPr>
              <w:t>t/a</w:t>
            </w:r>
          </w:p>
        </w:tc>
        <w:tc>
          <w:tcPr>
            <w:tcW w:w="1761"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lang w:val="en-US" w:eastAsia="zh-CN"/>
              </w:rPr>
              <w:t>0.0016</w:t>
            </w:r>
            <w:r>
              <w:rPr>
                <w:rFonts w:ascii="Times New Roman" w:hAnsi="Times New Roman"/>
                <w:snapToGrid w:val="0"/>
                <w:color w:val="auto"/>
                <w:kern w:val="21"/>
                <w:szCs w:val="21"/>
              </w:rPr>
              <w:t>t/a</w:t>
            </w:r>
          </w:p>
        </w:tc>
        <w:tc>
          <w:tcPr>
            <w:tcW w:w="826" w:type="dxa"/>
            <w:shd w:val="clear" w:color="auto" w:fill="auto"/>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lang w:val="en-US" w:eastAsia="zh-CN"/>
              </w:rPr>
              <w:t>0.0016</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一般工业</w:t>
            </w:r>
          </w:p>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固体废物</w:t>
            </w: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生活垃圾</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6.76</w:t>
            </w:r>
            <w:r>
              <w:rPr>
                <w:rFonts w:ascii="Times New Roman" w:hAnsi="Times New Roman"/>
                <w:snapToGrid w:val="0"/>
                <w:color w:val="auto"/>
                <w:kern w:val="21"/>
                <w:szCs w:val="21"/>
              </w:rPr>
              <w:t>t/a</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6.76</w:t>
            </w:r>
            <w:r>
              <w:rPr>
                <w:rFonts w:ascii="Times New Roman" w:hAnsi="Times New Roman"/>
                <w:snapToGrid w:val="0"/>
                <w:color w:val="auto"/>
                <w:kern w:val="21"/>
                <w:szCs w:val="21"/>
              </w:rPr>
              <w:t>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3.9</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沉淀池铁泥</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2t/a</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2t/a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布袋除尘收集金属颗粒</w:t>
            </w:r>
          </w:p>
        </w:tc>
        <w:tc>
          <w:tcPr>
            <w:tcW w:w="1701" w:type="dxa"/>
            <w:vAlign w:val="center"/>
          </w:tcPr>
          <w:p>
            <w:pPr>
              <w:jc w:val="center"/>
              <w:rPr>
                <w:rFonts w:ascii="Times New Roman" w:hAnsi="Times New Roman"/>
                <w:snapToGrid w:val="0"/>
                <w:color w:val="auto"/>
                <w:kern w:val="21"/>
                <w:szCs w:val="21"/>
              </w:rPr>
            </w:pPr>
          </w:p>
        </w:tc>
        <w:tc>
          <w:tcPr>
            <w:tcW w:w="1276" w:type="dxa"/>
            <w:vAlign w:val="center"/>
          </w:tcPr>
          <w:p>
            <w:pPr>
              <w:jc w:val="center"/>
              <w:rPr>
                <w:rFonts w:ascii="Times New Roman" w:hAnsi="Times New Roman"/>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0.00</w:t>
            </w:r>
            <w:r>
              <w:rPr>
                <w:rFonts w:hint="eastAsia" w:ascii="Times New Roman" w:hAnsi="Times New Roman"/>
                <w:snapToGrid w:val="0"/>
                <w:color w:val="auto"/>
                <w:kern w:val="21"/>
                <w:szCs w:val="21"/>
              </w:rPr>
              <w:t>0349</w:t>
            </w:r>
            <w:r>
              <w:rPr>
                <w:rFonts w:ascii="Times New Roman" w:hAnsi="Times New Roman"/>
                <w:snapToGrid w:val="0"/>
                <w:color w:val="auto"/>
                <w:kern w:val="21"/>
                <w:szCs w:val="21"/>
              </w:rPr>
              <w:t>t/a</w:t>
            </w:r>
          </w:p>
        </w:tc>
        <w:tc>
          <w:tcPr>
            <w:tcW w:w="1761"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0.00</w:t>
            </w:r>
            <w:r>
              <w:rPr>
                <w:rFonts w:hint="eastAsia" w:ascii="Times New Roman" w:hAnsi="Times New Roman"/>
                <w:snapToGrid w:val="0"/>
                <w:color w:val="auto"/>
                <w:kern w:val="21"/>
                <w:szCs w:val="21"/>
              </w:rPr>
              <w:t>0349</w:t>
            </w:r>
            <w:r>
              <w:rPr>
                <w:rFonts w:ascii="Times New Roman" w:hAnsi="Times New Roman"/>
                <w:snapToGrid w:val="0"/>
                <w:color w:val="auto"/>
                <w:kern w:val="21"/>
                <w:szCs w:val="21"/>
              </w:rPr>
              <w:t>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0.00</w:t>
            </w:r>
            <w:r>
              <w:rPr>
                <w:rFonts w:hint="eastAsia" w:ascii="Times New Roman" w:hAnsi="Times New Roman"/>
                <w:snapToGrid w:val="0"/>
                <w:color w:val="auto"/>
                <w:kern w:val="21"/>
                <w:szCs w:val="21"/>
              </w:rPr>
              <w:t>03494</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金属边角料</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70</w:t>
            </w:r>
            <w:r>
              <w:rPr>
                <w:rFonts w:ascii="Times New Roman" w:hAnsi="Times New Roman"/>
                <w:snapToGrid w:val="0"/>
                <w:color w:val="auto"/>
                <w:kern w:val="21"/>
                <w:szCs w:val="21"/>
              </w:rPr>
              <w:t>t/a</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70</w:t>
            </w:r>
            <w:r>
              <w:rPr>
                <w:rFonts w:ascii="Times New Roman" w:hAnsi="Times New Roman"/>
                <w:snapToGrid w:val="0"/>
                <w:color w:val="auto"/>
                <w:kern w:val="21"/>
                <w:szCs w:val="21"/>
              </w:rPr>
              <w:t>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hint="eastAsia" w:ascii="Times New Roman" w:hAnsi="Times New Roman"/>
                <w:snapToGrid w:val="0"/>
                <w:color w:val="auto"/>
                <w:kern w:val="21"/>
                <w:szCs w:val="21"/>
              </w:rPr>
              <w:t>70</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危险废物</w:t>
            </w: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废包装桶</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0.01t/a</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0.01t/a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废</w:t>
            </w:r>
            <w:r>
              <w:rPr>
                <w:rFonts w:hint="eastAsia" w:ascii="Times New Roman" w:hAnsi="Times New Roman"/>
                <w:snapToGrid w:val="0"/>
                <w:color w:val="auto"/>
                <w:kern w:val="21"/>
                <w:szCs w:val="21"/>
              </w:rPr>
              <w:t>机</w:t>
            </w:r>
            <w:r>
              <w:rPr>
                <w:rFonts w:ascii="Times New Roman" w:hAnsi="Times New Roman"/>
                <w:snapToGrid w:val="0"/>
                <w:color w:val="auto"/>
                <w:kern w:val="21"/>
                <w:szCs w:val="21"/>
              </w:rPr>
              <w:t>油</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w:t>
            </w:r>
            <w:r>
              <w:rPr>
                <w:rFonts w:hint="eastAsia" w:ascii="Times New Roman" w:hAnsi="Times New Roman"/>
                <w:snapToGrid w:val="0"/>
                <w:color w:val="auto"/>
                <w:kern w:val="21"/>
                <w:szCs w:val="21"/>
              </w:rPr>
              <w:t>1</w:t>
            </w:r>
            <w:r>
              <w:rPr>
                <w:rFonts w:ascii="Times New Roman" w:hAnsi="Times New Roman"/>
                <w:snapToGrid w:val="0"/>
                <w:color w:val="auto"/>
                <w:kern w:val="21"/>
                <w:szCs w:val="21"/>
              </w:rPr>
              <w:t>t/a</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w:t>
            </w:r>
            <w:r>
              <w:rPr>
                <w:rFonts w:hint="eastAsia" w:ascii="Times New Roman" w:hAnsi="Times New Roman"/>
                <w:snapToGrid w:val="0"/>
                <w:color w:val="auto"/>
                <w:kern w:val="21"/>
                <w:szCs w:val="21"/>
              </w:rPr>
              <w:t>1</w:t>
            </w:r>
            <w:r>
              <w:rPr>
                <w:rFonts w:ascii="Times New Roman" w:hAnsi="Times New Roman"/>
                <w:snapToGrid w:val="0"/>
                <w:color w:val="auto"/>
                <w:kern w:val="21"/>
                <w:szCs w:val="21"/>
              </w:rPr>
              <w:t>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w:t>
            </w:r>
            <w:r>
              <w:rPr>
                <w:rFonts w:hint="eastAsia" w:ascii="Times New Roman" w:hAnsi="Times New Roman"/>
                <w:snapToGrid w:val="0"/>
                <w:color w:val="auto"/>
                <w:kern w:val="21"/>
                <w:szCs w:val="21"/>
              </w:rPr>
              <w:t>1</w:t>
            </w:r>
            <w:r>
              <w:rPr>
                <w:rFonts w:ascii="Times New Roman" w:hAns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hAnsi="Times New Roman"/>
                <w:snapToGrid w:val="0"/>
                <w:color w:val="auto"/>
                <w:kern w:val="21"/>
                <w:szCs w:val="21"/>
              </w:rPr>
            </w:pPr>
          </w:p>
        </w:tc>
        <w:tc>
          <w:tcPr>
            <w:tcW w:w="1417"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废包装桶</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27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0.01t/a</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959"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0.01t/a</w:t>
            </w:r>
          </w:p>
        </w:tc>
        <w:tc>
          <w:tcPr>
            <w:tcW w:w="826" w:type="dxa"/>
            <w:vAlign w:val="center"/>
          </w:tcPr>
          <w:p>
            <w:pPr>
              <w:pStyle w:val="45"/>
              <w:spacing w:beforeLines="0" w:afterLines="0" w:line="240" w:lineRule="auto"/>
              <w:rPr>
                <w:rFonts w:ascii="Times New Roman" w:hAnsi="Times New Roman"/>
                <w:snapToGrid w:val="0"/>
                <w:color w:val="auto"/>
                <w:kern w:val="21"/>
                <w:szCs w:val="21"/>
              </w:rPr>
            </w:pPr>
            <w:r>
              <w:rPr>
                <w:rFonts w:ascii="Times New Roman" w:hAnsi="Times New Roman"/>
                <w:snapToGrid w:val="0"/>
                <w:color w:val="auto"/>
                <w:kern w:val="21"/>
                <w:szCs w:val="21"/>
              </w:rPr>
              <w:t>0.01t/a</w:t>
            </w:r>
          </w:p>
        </w:tc>
      </w:tr>
    </w:tbl>
    <w:p>
      <w:pPr>
        <w:pStyle w:val="45"/>
        <w:spacing w:before="192" w:beforeLines="80" w:after="24"/>
        <w:jc w:val="left"/>
        <w:rPr>
          <w:rFonts w:ascii="Times New Roman" w:hAnsi="Times New Roman"/>
          <w:snapToGrid w:val="0"/>
          <w:color w:val="auto"/>
          <w:spacing w:val="-6"/>
          <w:kern w:val="21"/>
          <w:szCs w:val="21"/>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①</w:t>
      </w:r>
      <w:r>
        <w:rPr>
          <w:rFonts w:ascii="Times New Roman" w:hAnsi="Times New Roman"/>
          <w:snapToGrid w:val="0"/>
          <w:color w:val="auto"/>
          <w:spacing w:val="-6"/>
          <w:kern w:val="21"/>
          <w:szCs w:val="21"/>
        </w:rPr>
        <w:fldChar w:fldCharType="end"/>
      </w:r>
    </w:p>
    <w:p>
      <w:pPr>
        <w:rPr>
          <w:rFonts w:ascii="Times New Roman" w:hAnsi="Times New Roman" w:eastAsia="黑体"/>
          <w:color w:val="auto"/>
        </w:rPr>
      </w:pPr>
    </w:p>
    <w:p>
      <w:pPr>
        <w:rPr>
          <w:color w:val="auto"/>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微软雅黑"/>
    <w:panose1 w:val="00000000000000000000"/>
    <w:charset w:val="86"/>
    <w:family w:val="auto"/>
    <w:pitch w:val="default"/>
    <w:sig w:usb0="00000000" w:usb1="00000000" w:usb2="000A005E" w:usb3="00000000" w:csb0="00040001" w:csb1="00000000"/>
  </w:font>
  <w:font w:name="微软雅黑">
    <w:panose1 w:val="020B0503020204020204"/>
    <w:charset w:val="86"/>
    <w:family w:val="auto"/>
    <w:pitch w:val="default"/>
    <w:sig w:usb0="80000287" w:usb1="280F3C52" w:usb2="00000016" w:usb3="00000000" w:csb0="0004001F" w:csb1="00000000"/>
  </w:font>
  <w:font w:name="仿宋体">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fldChar w:fldCharType="begin"/>
    </w:r>
    <w:r>
      <w:rPr>
        <w:rStyle w:val="29"/>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16</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1FEEsEBAACN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MnINCLfHhIVLPxl1hJqK4ZQKo2mj8hr8eS9Zj3/R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R1FEEsEBAACNAwAADgAAAAAAAAABACAAAAAeAQAAZHJzL2Uyb0RvYy54bWxQSwUG&#10;AAAAAAYABgBZAQAAUQUAAAAA&#10;">
              <v:fill on="f" focussize="0,0"/>
              <v:stroke on="f"/>
              <v:imagedata o:title=""/>
              <o:lock v:ext="edit" aspectratio="f"/>
              <v:textbox inset="0mm,0mm,0mm,0mm" style="mso-fit-shape-to-text:t;">
                <w:txbxContent>
                  <w:p>
                    <w:pPr>
                      <w:pStyle w:val="18"/>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16</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37</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g0Z8IBAACN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INGfCAQAAjQMAAA4AAAAAAAAAAQAgAAAAHgEAAGRycy9lMm9Eb2MueG1sUEsF&#10;BgAAAAAGAAYAWQEAAFIFAAAAAA==&#10;">
              <v:fill on="f" focussize="0,0"/>
              <v:stroke on="f"/>
              <v:imagedata o:title=""/>
              <o:lock v:ext="edit" aspectratio="f"/>
              <v:textbox inset="0mm,0mm,0mm,0mm" style="mso-fit-shape-to-text:t;">
                <w:txbxContent>
                  <w:p>
                    <w:pPr>
                      <w:pStyle w:val="18"/>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37</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6D60B"/>
    <w:multiLevelType w:val="singleLevel"/>
    <w:tmpl w:val="2266D60B"/>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3C886094"/>
    <w:multiLevelType w:val="singleLevel"/>
    <w:tmpl w:val="3C886094"/>
    <w:lvl w:ilvl="0" w:tentative="0">
      <w:start w:val="1"/>
      <w:numFmt w:val="lowerLetter"/>
      <w:lvlText w:val="%1."/>
      <w:lvlJc w:val="left"/>
      <w:pPr>
        <w:tabs>
          <w:tab w:val="left" w:pos="312"/>
        </w:tabs>
      </w:pPr>
    </w:lvl>
  </w:abstractNum>
  <w:abstractNum w:abstractNumId="2">
    <w:nsid w:val="56261FDD"/>
    <w:multiLevelType w:val="singleLevel"/>
    <w:tmpl w:val="56261FDD"/>
    <w:lvl w:ilvl="0" w:tentative="0">
      <w:start w:val="1"/>
      <w:numFmt w:val="decimal"/>
      <w:suff w:val="nothing"/>
      <w:lvlText w:val="%1）"/>
      <w:lvlJc w:val="left"/>
    </w:lvl>
  </w:abstractNum>
  <w:abstractNum w:abstractNumId="3">
    <w:nsid w:val="662974D6"/>
    <w:multiLevelType w:val="singleLevel"/>
    <w:tmpl w:val="662974D6"/>
    <w:lvl w:ilvl="0" w:tentative="0">
      <w:start w:val="2"/>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12FBD"/>
    <w:rsid w:val="00026681"/>
    <w:rsid w:val="0004364B"/>
    <w:rsid w:val="00051727"/>
    <w:rsid w:val="00061B1F"/>
    <w:rsid w:val="000733C4"/>
    <w:rsid w:val="00074783"/>
    <w:rsid w:val="0008070B"/>
    <w:rsid w:val="000810AC"/>
    <w:rsid w:val="00081A02"/>
    <w:rsid w:val="00082231"/>
    <w:rsid w:val="00092D38"/>
    <w:rsid w:val="0009377B"/>
    <w:rsid w:val="000A20C9"/>
    <w:rsid w:val="000A6A44"/>
    <w:rsid w:val="000B058F"/>
    <w:rsid w:val="000B4467"/>
    <w:rsid w:val="000B4DB9"/>
    <w:rsid w:val="000C09AC"/>
    <w:rsid w:val="000C767F"/>
    <w:rsid w:val="000D5A44"/>
    <w:rsid w:val="000E3ED2"/>
    <w:rsid w:val="00103C44"/>
    <w:rsid w:val="00117142"/>
    <w:rsid w:val="001200E9"/>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0218"/>
    <w:rsid w:val="001B72B8"/>
    <w:rsid w:val="001C69B3"/>
    <w:rsid w:val="001D4C3C"/>
    <w:rsid w:val="001D5595"/>
    <w:rsid w:val="001D7874"/>
    <w:rsid w:val="001D7F22"/>
    <w:rsid w:val="001F0F17"/>
    <w:rsid w:val="001F3347"/>
    <w:rsid w:val="001F69E4"/>
    <w:rsid w:val="0020084D"/>
    <w:rsid w:val="002125B4"/>
    <w:rsid w:val="002155B8"/>
    <w:rsid w:val="00221B58"/>
    <w:rsid w:val="00224839"/>
    <w:rsid w:val="002249B2"/>
    <w:rsid w:val="00226574"/>
    <w:rsid w:val="002278EC"/>
    <w:rsid w:val="0023280E"/>
    <w:rsid w:val="002377D1"/>
    <w:rsid w:val="002506BC"/>
    <w:rsid w:val="00254345"/>
    <w:rsid w:val="00264557"/>
    <w:rsid w:val="002649F8"/>
    <w:rsid w:val="002805AB"/>
    <w:rsid w:val="00284204"/>
    <w:rsid w:val="00291773"/>
    <w:rsid w:val="002A168C"/>
    <w:rsid w:val="002A3DC7"/>
    <w:rsid w:val="002B49E2"/>
    <w:rsid w:val="002B64AD"/>
    <w:rsid w:val="002B6AF9"/>
    <w:rsid w:val="002B7B00"/>
    <w:rsid w:val="002B7C44"/>
    <w:rsid w:val="002C2B17"/>
    <w:rsid w:val="002D3DD0"/>
    <w:rsid w:val="002E1F3A"/>
    <w:rsid w:val="002E298A"/>
    <w:rsid w:val="002F15B7"/>
    <w:rsid w:val="00301570"/>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A7733"/>
    <w:rsid w:val="003B420D"/>
    <w:rsid w:val="003B59BB"/>
    <w:rsid w:val="003C0A2B"/>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27E37"/>
    <w:rsid w:val="00431E6C"/>
    <w:rsid w:val="00433CE7"/>
    <w:rsid w:val="00446C56"/>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3C2D"/>
    <w:rsid w:val="00514870"/>
    <w:rsid w:val="00514B9B"/>
    <w:rsid w:val="00517F02"/>
    <w:rsid w:val="00524303"/>
    <w:rsid w:val="005258A2"/>
    <w:rsid w:val="00525A1A"/>
    <w:rsid w:val="005401AE"/>
    <w:rsid w:val="00542E07"/>
    <w:rsid w:val="00545424"/>
    <w:rsid w:val="00545F21"/>
    <w:rsid w:val="00554A7B"/>
    <w:rsid w:val="0055572C"/>
    <w:rsid w:val="0056106A"/>
    <w:rsid w:val="005720AE"/>
    <w:rsid w:val="00585FD6"/>
    <w:rsid w:val="00594D77"/>
    <w:rsid w:val="005969E4"/>
    <w:rsid w:val="005A06B7"/>
    <w:rsid w:val="005A1759"/>
    <w:rsid w:val="005A68A7"/>
    <w:rsid w:val="005D36AB"/>
    <w:rsid w:val="00617CC3"/>
    <w:rsid w:val="006377A6"/>
    <w:rsid w:val="00637A3D"/>
    <w:rsid w:val="006411EF"/>
    <w:rsid w:val="00664B1E"/>
    <w:rsid w:val="006748B8"/>
    <w:rsid w:val="00676A40"/>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4853"/>
    <w:rsid w:val="006E607E"/>
    <w:rsid w:val="00706C5D"/>
    <w:rsid w:val="007117F0"/>
    <w:rsid w:val="00732922"/>
    <w:rsid w:val="0075162E"/>
    <w:rsid w:val="00754034"/>
    <w:rsid w:val="00756556"/>
    <w:rsid w:val="007618C4"/>
    <w:rsid w:val="00767980"/>
    <w:rsid w:val="00770B19"/>
    <w:rsid w:val="0077463F"/>
    <w:rsid w:val="00780616"/>
    <w:rsid w:val="007836EA"/>
    <w:rsid w:val="00784CDA"/>
    <w:rsid w:val="007906C4"/>
    <w:rsid w:val="00792E2A"/>
    <w:rsid w:val="007940EA"/>
    <w:rsid w:val="007967E8"/>
    <w:rsid w:val="007A2170"/>
    <w:rsid w:val="007A22BF"/>
    <w:rsid w:val="007A3323"/>
    <w:rsid w:val="007B72B8"/>
    <w:rsid w:val="007B7A58"/>
    <w:rsid w:val="007C21B5"/>
    <w:rsid w:val="007E4BD2"/>
    <w:rsid w:val="00801393"/>
    <w:rsid w:val="00802F88"/>
    <w:rsid w:val="0081293E"/>
    <w:rsid w:val="00813722"/>
    <w:rsid w:val="00815465"/>
    <w:rsid w:val="00817E9A"/>
    <w:rsid w:val="008306BD"/>
    <w:rsid w:val="00831A80"/>
    <w:rsid w:val="00833743"/>
    <w:rsid w:val="008340A4"/>
    <w:rsid w:val="00855AB4"/>
    <w:rsid w:val="0087135F"/>
    <w:rsid w:val="00872D94"/>
    <w:rsid w:val="00880364"/>
    <w:rsid w:val="00883BE6"/>
    <w:rsid w:val="00891592"/>
    <w:rsid w:val="00891E9E"/>
    <w:rsid w:val="008A2F68"/>
    <w:rsid w:val="008B4FA6"/>
    <w:rsid w:val="008B5282"/>
    <w:rsid w:val="008B7C17"/>
    <w:rsid w:val="008C2D01"/>
    <w:rsid w:val="008C40E6"/>
    <w:rsid w:val="008D0F7A"/>
    <w:rsid w:val="008D68E4"/>
    <w:rsid w:val="008D7497"/>
    <w:rsid w:val="008E0506"/>
    <w:rsid w:val="008E0CFF"/>
    <w:rsid w:val="008E5D6B"/>
    <w:rsid w:val="008E76F0"/>
    <w:rsid w:val="008F141D"/>
    <w:rsid w:val="008F15FE"/>
    <w:rsid w:val="008F2D29"/>
    <w:rsid w:val="008F5187"/>
    <w:rsid w:val="008F60D8"/>
    <w:rsid w:val="009000D4"/>
    <w:rsid w:val="00901C7E"/>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3FE4"/>
    <w:rsid w:val="009D7F57"/>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0C8D"/>
    <w:rsid w:val="00B1295A"/>
    <w:rsid w:val="00B13EF8"/>
    <w:rsid w:val="00B20A45"/>
    <w:rsid w:val="00B22C5C"/>
    <w:rsid w:val="00B24F30"/>
    <w:rsid w:val="00B31ABF"/>
    <w:rsid w:val="00B33BE3"/>
    <w:rsid w:val="00B41BF5"/>
    <w:rsid w:val="00B53B5D"/>
    <w:rsid w:val="00B6055E"/>
    <w:rsid w:val="00B6317D"/>
    <w:rsid w:val="00B631A4"/>
    <w:rsid w:val="00B7723F"/>
    <w:rsid w:val="00B80534"/>
    <w:rsid w:val="00B82F6D"/>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7F9"/>
    <w:rsid w:val="00C47E5B"/>
    <w:rsid w:val="00C61E4B"/>
    <w:rsid w:val="00C64B44"/>
    <w:rsid w:val="00C64BFF"/>
    <w:rsid w:val="00C704E9"/>
    <w:rsid w:val="00C763C9"/>
    <w:rsid w:val="00C80057"/>
    <w:rsid w:val="00C82232"/>
    <w:rsid w:val="00C82913"/>
    <w:rsid w:val="00C83141"/>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1981"/>
    <w:rsid w:val="00D53EFA"/>
    <w:rsid w:val="00D74660"/>
    <w:rsid w:val="00D94A7C"/>
    <w:rsid w:val="00D95896"/>
    <w:rsid w:val="00DB2983"/>
    <w:rsid w:val="00DC1257"/>
    <w:rsid w:val="00DC3DC0"/>
    <w:rsid w:val="00DC5B2B"/>
    <w:rsid w:val="00DD1DA8"/>
    <w:rsid w:val="00DD318D"/>
    <w:rsid w:val="00DF25DD"/>
    <w:rsid w:val="00DF2E12"/>
    <w:rsid w:val="00DF514A"/>
    <w:rsid w:val="00DF6690"/>
    <w:rsid w:val="00DF6804"/>
    <w:rsid w:val="00E0358D"/>
    <w:rsid w:val="00E04323"/>
    <w:rsid w:val="00E070A2"/>
    <w:rsid w:val="00E2656A"/>
    <w:rsid w:val="00E32431"/>
    <w:rsid w:val="00E412D0"/>
    <w:rsid w:val="00E56322"/>
    <w:rsid w:val="00E60982"/>
    <w:rsid w:val="00E62C62"/>
    <w:rsid w:val="00E654C1"/>
    <w:rsid w:val="00E65D97"/>
    <w:rsid w:val="00E72A5A"/>
    <w:rsid w:val="00E73354"/>
    <w:rsid w:val="00E9242D"/>
    <w:rsid w:val="00EA736F"/>
    <w:rsid w:val="00EA7B74"/>
    <w:rsid w:val="00EB5255"/>
    <w:rsid w:val="00EB5C47"/>
    <w:rsid w:val="00EC127F"/>
    <w:rsid w:val="00ED0639"/>
    <w:rsid w:val="00EE0287"/>
    <w:rsid w:val="00EF06F2"/>
    <w:rsid w:val="00EF4755"/>
    <w:rsid w:val="00EF7135"/>
    <w:rsid w:val="00F027DB"/>
    <w:rsid w:val="00F14A7A"/>
    <w:rsid w:val="00F22985"/>
    <w:rsid w:val="00F3383E"/>
    <w:rsid w:val="00F35B35"/>
    <w:rsid w:val="00F465A7"/>
    <w:rsid w:val="00F50B7C"/>
    <w:rsid w:val="00F550E6"/>
    <w:rsid w:val="00F74345"/>
    <w:rsid w:val="00F80A0A"/>
    <w:rsid w:val="00F82B19"/>
    <w:rsid w:val="00F8559C"/>
    <w:rsid w:val="00F9212D"/>
    <w:rsid w:val="00F946A6"/>
    <w:rsid w:val="00F965DA"/>
    <w:rsid w:val="00FA406A"/>
    <w:rsid w:val="00FB503A"/>
    <w:rsid w:val="00FB516C"/>
    <w:rsid w:val="00FD0236"/>
    <w:rsid w:val="00FD18F4"/>
    <w:rsid w:val="00FD54DB"/>
    <w:rsid w:val="00FD619F"/>
    <w:rsid w:val="00FE3F03"/>
    <w:rsid w:val="00FF72AD"/>
    <w:rsid w:val="01290F7E"/>
    <w:rsid w:val="015D1E09"/>
    <w:rsid w:val="02697903"/>
    <w:rsid w:val="02A94135"/>
    <w:rsid w:val="02F96569"/>
    <w:rsid w:val="030149A7"/>
    <w:rsid w:val="03EA7B21"/>
    <w:rsid w:val="04023501"/>
    <w:rsid w:val="041B38F0"/>
    <w:rsid w:val="05F83EAE"/>
    <w:rsid w:val="063E7D85"/>
    <w:rsid w:val="0657171E"/>
    <w:rsid w:val="07293586"/>
    <w:rsid w:val="07295285"/>
    <w:rsid w:val="0731232F"/>
    <w:rsid w:val="07636392"/>
    <w:rsid w:val="07770C56"/>
    <w:rsid w:val="07A41B90"/>
    <w:rsid w:val="07CD0DE3"/>
    <w:rsid w:val="08DC58E4"/>
    <w:rsid w:val="092217DD"/>
    <w:rsid w:val="093A7294"/>
    <w:rsid w:val="0A263993"/>
    <w:rsid w:val="0A2D3AC2"/>
    <w:rsid w:val="0AA755DF"/>
    <w:rsid w:val="0AD360CE"/>
    <w:rsid w:val="0B120D44"/>
    <w:rsid w:val="0BD27BF6"/>
    <w:rsid w:val="0C3B3C7D"/>
    <w:rsid w:val="0CAB2EAE"/>
    <w:rsid w:val="0D621C7D"/>
    <w:rsid w:val="0E480C98"/>
    <w:rsid w:val="0E73034D"/>
    <w:rsid w:val="0F13775A"/>
    <w:rsid w:val="0F5F45FE"/>
    <w:rsid w:val="0F6117DE"/>
    <w:rsid w:val="0F9A112B"/>
    <w:rsid w:val="106D2F64"/>
    <w:rsid w:val="10B63710"/>
    <w:rsid w:val="10F10820"/>
    <w:rsid w:val="111C2F7A"/>
    <w:rsid w:val="11665CA1"/>
    <w:rsid w:val="12654DC5"/>
    <w:rsid w:val="13951726"/>
    <w:rsid w:val="14396509"/>
    <w:rsid w:val="14C51FA3"/>
    <w:rsid w:val="14DD2C3C"/>
    <w:rsid w:val="1580540F"/>
    <w:rsid w:val="16087E1D"/>
    <w:rsid w:val="171E139D"/>
    <w:rsid w:val="17701D14"/>
    <w:rsid w:val="17735226"/>
    <w:rsid w:val="189F624C"/>
    <w:rsid w:val="1A1C1EBE"/>
    <w:rsid w:val="1A1C66C0"/>
    <w:rsid w:val="1A42393B"/>
    <w:rsid w:val="1AAD45DE"/>
    <w:rsid w:val="1ADC5E8C"/>
    <w:rsid w:val="1B0142D6"/>
    <w:rsid w:val="1B046F80"/>
    <w:rsid w:val="1B3267B5"/>
    <w:rsid w:val="1B40161D"/>
    <w:rsid w:val="1B441859"/>
    <w:rsid w:val="1B6606B1"/>
    <w:rsid w:val="1B6912A4"/>
    <w:rsid w:val="1B6A0773"/>
    <w:rsid w:val="1C5E7925"/>
    <w:rsid w:val="1CFD070F"/>
    <w:rsid w:val="1D5F6196"/>
    <w:rsid w:val="1D6132A5"/>
    <w:rsid w:val="1D8E56D5"/>
    <w:rsid w:val="1E3E0AE5"/>
    <w:rsid w:val="1E7A43DA"/>
    <w:rsid w:val="1FE7539E"/>
    <w:rsid w:val="20671BE0"/>
    <w:rsid w:val="20963CB8"/>
    <w:rsid w:val="20A81A1B"/>
    <w:rsid w:val="20B07FB6"/>
    <w:rsid w:val="20B646FB"/>
    <w:rsid w:val="20BF1FE1"/>
    <w:rsid w:val="213B74B1"/>
    <w:rsid w:val="214521C8"/>
    <w:rsid w:val="215A2310"/>
    <w:rsid w:val="21DE318A"/>
    <w:rsid w:val="21EF5B80"/>
    <w:rsid w:val="22387535"/>
    <w:rsid w:val="22481211"/>
    <w:rsid w:val="22576990"/>
    <w:rsid w:val="22760564"/>
    <w:rsid w:val="22F47480"/>
    <w:rsid w:val="23C3482E"/>
    <w:rsid w:val="23DE1C48"/>
    <w:rsid w:val="240210CD"/>
    <w:rsid w:val="249D2660"/>
    <w:rsid w:val="24BF09F7"/>
    <w:rsid w:val="252D53FE"/>
    <w:rsid w:val="25B26FDF"/>
    <w:rsid w:val="25BF7E8C"/>
    <w:rsid w:val="25EC2D81"/>
    <w:rsid w:val="272971D4"/>
    <w:rsid w:val="27646F17"/>
    <w:rsid w:val="277057A2"/>
    <w:rsid w:val="29206EB8"/>
    <w:rsid w:val="29595666"/>
    <w:rsid w:val="29874881"/>
    <w:rsid w:val="29E325E0"/>
    <w:rsid w:val="2A452503"/>
    <w:rsid w:val="2AA57D73"/>
    <w:rsid w:val="2BA67ACA"/>
    <w:rsid w:val="2BA936A8"/>
    <w:rsid w:val="2C315A5A"/>
    <w:rsid w:val="2C4B1C25"/>
    <w:rsid w:val="2D996859"/>
    <w:rsid w:val="2D9E56F5"/>
    <w:rsid w:val="2E1917A3"/>
    <w:rsid w:val="2E667F96"/>
    <w:rsid w:val="2E8226AB"/>
    <w:rsid w:val="2EA42D62"/>
    <w:rsid w:val="2FD065E6"/>
    <w:rsid w:val="2FD96870"/>
    <w:rsid w:val="300450AA"/>
    <w:rsid w:val="30580BC9"/>
    <w:rsid w:val="311E2ED7"/>
    <w:rsid w:val="315619EE"/>
    <w:rsid w:val="315C449C"/>
    <w:rsid w:val="31B82709"/>
    <w:rsid w:val="31D05482"/>
    <w:rsid w:val="32400B34"/>
    <w:rsid w:val="329E6876"/>
    <w:rsid w:val="333015F2"/>
    <w:rsid w:val="334B6320"/>
    <w:rsid w:val="33D934D4"/>
    <w:rsid w:val="33FE2F6A"/>
    <w:rsid w:val="340E07E5"/>
    <w:rsid w:val="34235BF7"/>
    <w:rsid w:val="3487661C"/>
    <w:rsid w:val="352C0378"/>
    <w:rsid w:val="358C5FA8"/>
    <w:rsid w:val="35C15DF1"/>
    <w:rsid w:val="36074A7F"/>
    <w:rsid w:val="36642C5A"/>
    <w:rsid w:val="36923549"/>
    <w:rsid w:val="36B75FBF"/>
    <w:rsid w:val="36BD0C45"/>
    <w:rsid w:val="37362FAC"/>
    <w:rsid w:val="37491EEF"/>
    <w:rsid w:val="379A257E"/>
    <w:rsid w:val="37E00298"/>
    <w:rsid w:val="38B302F9"/>
    <w:rsid w:val="38F12CD3"/>
    <w:rsid w:val="38F94775"/>
    <w:rsid w:val="392971ED"/>
    <w:rsid w:val="39325651"/>
    <w:rsid w:val="39652F15"/>
    <w:rsid w:val="3A872856"/>
    <w:rsid w:val="3AFC2624"/>
    <w:rsid w:val="3B3763D1"/>
    <w:rsid w:val="3B9A3016"/>
    <w:rsid w:val="3C2F6E1E"/>
    <w:rsid w:val="3C4F64BA"/>
    <w:rsid w:val="3C571711"/>
    <w:rsid w:val="3C5835FA"/>
    <w:rsid w:val="3CD6183C"/>
    <w:rsid w:val="3CDA245A"/>
    <w:rsid w:val="3CEE57D3"/>
    <w:rsid w:val="3D115745"/>
    <w:rsid w:val="3D1E06B7"/>
    <w:rsid w:val="3D5955A0"/>
    <w:rsid w:val="3E9E5758"/>
    <w:rsid w:val="3EDA0523"/>
    <w:rsid w:val="3F0D4875"/>
    <w:rsid w:val="3FB42D28"/>
    <w:rsid w:val="407A6407"/>
    <w:rsid w:val="4200449D"/>
    <w:rsid w:val="423A3BCC"/>
    <w:rsid w:val="42435CE4"/>
    <w:rsid w:val="424E57D2"/>
    <w:rsid w:val="42B26C49"/>
    <w:rsid w:val="433A6FE6"/>
    <w:rsid w:val="43480868"/>
    <w:rsid w:val="4350713C"/>
    <w:rsid w:val="436653E0"/>
    <w:rsid w:val="43C4431A"/>
    <w:rsid w:val="44B951CC"/>
    <w:rsid w:val="44CD14E0"/>
    <w:rsid w:val="44F20B0B"/>
    <w:rsid w:val="452E5F4C"/>
    <w:rsid w:val="454203A0"/>
    <w:rsid w:val="45612018"/>
    <w:rsid w:val="458946E9"/>
    <w:rsid w:val="45A47C0E"/>
    <w:rsid w:val="46577FD6"/>
    <w:rsid w:val="46D955A7"/>
    <w:rsid w:val="47133957"/>
    <w:rsid w:val="4716288E"/>
    <w:rsid w:val="476A1910"/>
    <w:rsid w:val="47A07E0C"/>
    <w:rsid w:val="481128A9"/>
    <w:rsid w:val="483C5B94"/>
    <w:rsid w:val="4870272E"/>
    <w:rsid w:val="489577FB"/>
    <w:rsid w:val="49DC7715"/>
    <w:rsid w:val="4A023139"/>
    <w:rsid w:val="4A7B576F"/>
    <w:rsid w:val="4AEB6431"/>
    <w:rsid w:val="4AF561A9"/>
    <w:rsid w:val="4AF764B1"/>
    <w:rsid w:val="4B633282"/>
    <w:rsid w:val="4BB06EA6"/>
    <w:rsid w:val="4C220F50"/>
    <w:rsid w:val="4C4A0649"/>
    <w:rsid w:val="4C7E5ECA"/>
    <w:rsid w:val="4C876AA5"/>
    <w:rsid w:val="4D0E00FB"/>
    <w:rsid w:val="4D176606"/>
    <w:rsid w:val="4DEC4FB0"/>
    <w:rsid w:val="4E075D8A"/>
    <w:rsid w:val="4E846232"/>
    <w:rsid w:val="4EC00FAD"/>
    <w:rsid w:val="4F9843DC"/>
    <w:rsid w:val="4FC62A8C"/>
    <w:rsid w:val="4FE20F0D"/>
    <w:rsid w:val="4FE51552"/>
    <w:rsid w:val="50504C4B"/>
    <w:rsid w:val="505C245A"/>
    <w:rsid w:val="509C6E7C"/>
    <w:rsid w:val="5162104E"/>
    <w:rsid w:val="51E05429"/>
    <w:rsid w:val="529035D9"/>
    <w:rsid w:val="530D7A27"/>
    <w:rsid w:val="53A039CC"/>
    <w:rsid w:val="53A1505A"/>
    <w:rsid w:val="54063E08"/>
    <w:rsid w:val="543437E8"/>
    <w:rsid w:val="54F73313"/>
    <w:rsid w:val="54F80955"/>
    <w:rsid w:val="54FD61B5"/>
    <w:rsid w:val="555170A7"/>
    <w:rsid w:val="5587536D"/>
    <w:rsid w:val="559B174B"/>
    <w:rsid w:val="55CE0CF4"/>
    <w:rsid w:val="56B22A9C"/>
    <w:rsid w:val="57B72A76"/>
    <w:rsid w:val="57C3426C"/>
    <w:rsid w:val="57CE1F93"/>
    <w:rsid w:val="57F85399"/>
    <w:rsid w:val="588743D1"/>
    <w:rsid w:val="5887701A"/>
    <w:rsid w:val="59C0439F"/>
    <w:rsid w:val="5ABE2233"/>
    <w:rsid w:val="5AF045D4"/>
    <w:rsid w:val="5BDF5D95"/>
    <w:rsid w:val="5BFE7528"/>
    <w:rsid w:val="5C5B72D3"/>
    <w:rsid w:val="5D894448"/>
    <w:rsid w:val="5E2467F1"/>
    <w:rsid w:val="5E5A6F70"/>
    <w:rsid w:val="5EB9679C"/>
    <w:rsid w:val="5F1A2B43"/>
    <w:rsid w:val="5F5D16B2"/>
    <w:rsid w:val="5F7836D3"/>
    <w:rsid w:val="5FB837BB"/>
    <w:rsid w:val="60CC405A"/>
    <w:rsid w:val="616A3592"/>
    <w:rsid w:val="61E215D8"/>
    <w:rsid w:val="621B3775"/>
    <w:rsid w:val="62364782"/>
    <w:rsid w:val="63110D0F"/>
    <w:rsid w:val="6394356A"/>
    <w:rsid w:val="63C61B2C"/>
    <w:rsid w:val="63D40BE9"/>
    <w:rsid w:val="64102431"/>
    <w:rsid w:val="6418421C"/>
    <w:rsid w:val="64A5243A"/>
    <w:rsid w:val="64F531DE"/>
    <w:rsid w:val="65373578"/>
    <w:rsid w:val="65455995"/>
    <w:rsid w:val="654918A2"/>
    <w:rsid w:val="66ED76C1"/>
    <w:rsid w:val="670B1AAB"/>
    <w:rsid w:val="671F124A"/>
    <w:rsid w:val="67485E35"/>
    <w:rsid w:val="677A33C6"/>
    <w:rsid w:val="681F6961"/>
    <w:rsid w:val="68610A2F"/>
    <w:rsid w:val="68805514"/>
    <w:rsid w:val="69316E2F"/>
    <w:rsid w:val="694E2071"/>
    <w:rsid w:val="69766163"/>
    <w:rsid w:val="697A3B33"/>
    <w:rsid w:val="699272D1"/>
    <w:rsid w:val="69D44760"/>
    <w:rsid w:val="6A520EC7"/>
    <w:rsid w:val="6AF87E20"/>
    <w:rsid w:val="6B147A4F"/>
    <w:rsid w:val="6B322639"/>
    <w:rsid w:val="6BDC3120"/>
    <w:rsid w:val="6C636C38"/>
    <w:rsid w:val="6CB21958"/>
    <w:rsid w:val="6DA30217"/>
    <w:rsid w:val="6DB34098"/>
    <w:rsid w:val="6DB545B6"/>
    <w:rsid w:val="6DE02FB4"/>
    <w:rsid w:val="6E2A23C9"/>
    <w:rsid w:val="6E2A4FFF"/>
    <w:rsid w:val="6E514CED"/>
    <w:rsid w:val="6EB563D5"/>
    <w:rsid w:val="6ED92677"/>
    <w:rsid w:val="6EE05F44"/>
    <w:rsid w:val="6F225983"/>
    <w:rsid w:val="6FD04EDB"/>
    <w:rsid w:val="6FFC5590"/>
    <w:rsid w:val="706D1DD0"/>
    <w:rsid w:val="70856B87"/>
    <w:rsid w:val="70D527EE"/>
    <w:rsid w:val="7141561E"/>
    <w:rsid w:val="715B5300"/>
    <w:rsid w:val="71D27F8A"/>
    <w:rsid w:val="72553024"/>
    <w:rsid w:val="72613825"/>
    <w:rsid w:val="72DD7AED"/>
    <w:rsid w:val="73122968"/>
    <w:rsid w:val="731F5D5E"/>
    <w:rsid w:val="73C51AD5"/>
    <w:rsid w:val="741E793C"/>
    <w:rsid w:val="74454349"/>
    <w:rsid w:val="745E3944"/>
    <w:rsid w:val="754E381F"/>
    <w:rsid w:val="7635099D"/>
    <w:rsid w:val="77762421"/>
    <w:rsid w:val="77777C8E"/>
    <w:rsid w:val="77B56B1F"/>
    <w:rsid w:val="780F09F4"/>
    <w:rsid w:val="7863689C"/>
    <w:rsid w:val="78A90480"/>
    <w:rsid w:val="7A364017"/>
    <w:rsid w:val="7A5015A6"/>
    <w:rsid w:val="7A8265E1"/>
    <w:rsid w:val="7ABB0B5E"/>
    <w:rsid w:val="7B686D42"/>
    <w:rsid w:val="7B841746"/>
    <w:rsid w:val="7BF671AD"/>
    <w:rsid w:val="7C6C5AC7"/>
    <w:rsid w:val="7C966624"/>
    <w:rsid w:val="7CAF71D8"/>
    <w:rsid w:val="7CC6544B"/>
    <w:rsid w:val="7D0239FF"/>
    <w:rsid w:val="7D5E40CD"/>
    <w:rsid w:val="7D6805C8"/>
    <w:rsid w:val="7DCD56F2"/>
    <w:rsid w:val="7DE01B6D"/>
    <w:rsid w:val="7F001CE7"/>
    <w:rsid w:val="7F24482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5"/>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7"/>
    <w:next w:val="1"/>
    <w:qFormat/>
    <w:locked/>
    <w:uiPriority w:val="0"/>
    <w:pPr>
      <w:keepNext/>
      <w:keepLines/>
      <w:tabs>
        <w:tab w:val="left" w:pos="360"/>
        <w:tab w:val="left" w:pos="432"/>
      </w:tabs>
      <w:spacing w:line="360" w:lineRule="auto"/>
      <w:outlineLvl w:val="1"/>
    </w:pPr>
    <w:rPr>
      <w:rFonts w:ascii="Arial" w:hAnsi="Arial"/>
      <w:sz w:val="32"/>
    </w:rPr>
  </w:style>
  <w:style w:type="paragraph" w:styleId="8">
    <w:name w:val="heading 3"/>
    <w:basedOn w:val="1"/>
    <w:next w:val="1"/>
    <w:unhideWhenUsed/>
    <w:qFormat/>
    <w:locked/>
    <w:uiPriority w:val="0"/>
    <w:pPr>
      <w:keepNext/>
      <w:keepLines/>
      <w:spacing w:before="260" w:after="260" w:line="413" w:lineRule="auto"/>
      <w:outlineLvl w:val="2"/>
    </w:pPr>
    <w:rPr>
      <w:b/>
      <w:sz w:val="32"/>
    </w:rPr>
  </w:style>
  <w:style w:type="paragraph" w:styleId="9">
    <w:name w:val="heading 4"/>
    <w:basedOn w:val="1"/>
    <w:next w:val="1"/>
    <w:qFormat/>
    <w:locked/>
    <w:uiPriority w:val="0"/>
    <w:pPr>
      <w:keepNext/>
      <w:keepLines/>
      <w:tabs>
        <w:tab w:val="left" w:pos="864"/>
      </w:tabs>
      <w:spacing w:before="280" w:after="290" w:line="372" w:lineRule="auto"/>
      <w:ind w:left="864" w:hanging="864"/>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2"/>
    <w:qFormat/>
    <w:uiPriority w:val="0"/>
    <w:pPr>
      <w:widowControl/>
      <w:snapToGrid w:val="0"/>
      <w:spacing w:before="60" w:after="160" w:line="259" w:lineRule="auto"/>
      <w:ind w:right="113"/>
    </w:pPr>
    <w:rPr>
      <w:kern w:val="0"/>
      <w:sz w:val="18"/>
      <w:szCs w:val="20"/>
    </w:rPr>
  </w:style>
  <w:style w:type="paragraph" w:customStyle="1" w:styleId="3">
    <w:name w:val="xl27"/>
    <w:basedOn w:val="1"/>
    <w:unhideWhenUsed/>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sz w:val="28"/>
    </w:rPr>
  </w:style>
  <w:style w:type="paragraph" w:customStyle="1" w:styleId="5">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7">
    <w:name w:val="一级条标题"/>
    <w:basedOn w:val="4"/>
    <w:next w:val="1"/>
    <w:qFormat/>
    <w:uiPriority w:val="0"/>
    <w:pPr>
      <w:keepNext w:val="0"/>
      <w:widowControl/>
      <w:tabs>
        <w:tab w:val="left" w:pos="360"/>
        <w:tab w:val="left" w:pos="432"/>
      </w:tabs>
      <w:spacing w:line="240" w:lineRule="auto"/>
      <w:ind w:firstLine="0"/>
      <w:outlineLvl w:val="2"/>
    </w:pPr>
    <w:rPr>
      <w:rFonts w:ascii="黑体"/>
      <w:kern w:val="0"/>
      <w:sz w:val="21"/>
    </w:rPr>
  </w:style>
  <w:style w:type="paragraph" w:styleId="10">
    <w:name w:val="Normal Indent"/>
    <w:basedOn w:val="1"/>
    <w:next w:val="1"/>
    <w:qFormat/>
    <w:locked/>
    <w:uiPriority w:val="0"/>
    <w:pPr>
      <w:ind w:firstLine="200" w:firstLineChars="200"/>
    </w:pPr>
    <w:rPr>
      <w:sz w:val="28"/>
    </w:rPr>
  </w:style>
  <w:style w:type="paragraph" w:styleId="11">
    <w:name w:val="annotation text"/>
    <w:basedOn w:val="1"/>
    <w:link w:val="31"/>
    <w:semiHidden/>
    <w:qFormat/>
    <w:uiPriority w:val="0"/>
    <w:pPr>
      <w:jc w:val="left"/>
    </w:pPr>
    <w:rPr>
      <w:kern w:val="0"/>
      <w:sz w:val="24"/>
      <w:szCs w:val="20"/>
    </w:rPr>
  </w:style>
  <w:style w:type="paragraph" w:styleId="12">
    <w:name w:val="Body Text Indent"/>
    <w:basedOn w:val="1"/>
    <w:next w:val="13"/>
    <w:link w:val="33"/>
    <w:qFormat/>
    <w:uiPriority w:val="0"/>
    <w:pPr>
      <w:spacing w:after="120"/>
      <w:ind w:left="420" w:leftChars="200"/>
    </w:pPr>
    <w:rPr>
      <w:kern w:val="0"/>
      <w:sz w:val="24"/>
      <w:szCs w:val="20"/>
    </w:rPr>
  </w:style>
  <w:style w:type="paragraph" w:customStyle="1" w:styleId="13">
    <w:name w:val="样式 正文文本缩进 + 行距: 1.5 倍行距"/>
    <w:basedOn w:val="12"/>
    <w:qFormat/>
    <w:uiPriority w:val="0"/>
    <w:pPr>
      <w:ind w:left="90" w:leftChars="32" w:firstLine="560" w:firstLineChars="200"/>
    </w:pPr>
    <w:rPr>
      <w:rFonts w:ascii="Times New Roman" w:cs="宋体"/>
    </w:rPr>
  </w:style>
  <w:style w:type="paragraph" w:styleId="14">
    <w:name w:val="Plain Text"/>
    <w:basedOn w:val="1"/>
    <w:qFormat/>
    <w:locked/>
    <w:uiPriority w:val="0"/>
    <w:rPr>
      <w:rFonts w:ascii="宋体" w:hAnsi="Courier New"/>
    </w:rPr>
  </w:style>
  <w:style w:type="paragraph" w:styleId="15">
    <w:name w:val="List Bullet 5"/>
    <w:basedOn w:val="1"/>
    <w:qFormat/>
    <w:locked/>
    <w:uiPriority w:val="0"/>
    <w:pPr>
      <w:numPr>
        <w:ilvl w:val="0"/>
        <w:numId w:val="1"/>
      </w:numPr>
    </w:pPr>
  </w:style>
  <w:style w:type="paragraph" w:styleId="16">
    <w:name w:val="Date"/>
    <w:basedOn w:val="1"/>
    <w:next w:val="1"/>
    <w:link w:val="34"/>
    <w:qFormat/>
    <w:uiPriority w:val="0"/>
    <w:pPr>
      <w:ind w:left="100" w:leftChars="2500"/>
    </w:pPr>
    <w:rPr>
      <w:kern w:val="0"/>
      <w:sz w:val="24"/>
      <w:szCs w:val="20"/>
    </w:rPr>
  </w:style>
  <w:style w:type="paragraph" w:styleId="17">
    <w:name w:val="Balloon Text"/>
    <w:basedOn w:val="1"/>
    <w:link w:val="35"/>
    <w:semiHidden/>
    <w:qFormat/>
    <w:uiPriority w:val="0"/>
    <w:rPr>
      <w:kern w:val="0"/>
      <w:sz w:val="18"/>
      <w:szCs w:val="20"/>
    </w:rPr>
  </w:style>
  <w:style w:type="paragraph" w:styleId="18">
    <w:name w:val="footer"/>
    <w:basedOn w:val="1"/>
    <w:link w:val="36"/>
    <w:qFormat/>
    <w:uiPriority w:val="99"/>
    <w:pPr>
      <w:tabs>
        <w:tab w:val="center" w:pos="4153"/>
        <w:tab w:val="right" w:pos="8306"/>
      </w:tabs>
      <w:snapToGrid w:val="0"/>
      <w:jc w:val="left"/>
    </w:pPr>
    <w:rPr>
      <w:kern w:val="0"/>
      <w:sz w:val="18"/>
      <w:szCs w:val="20"/>
    </w:rPr>
  </w:style>
  <w:style w:type="paragraph" w:styleId="19">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able of figures"/>
    <w:basedOn w:val="1"/>
    <w:next w:val="1"/>
    <w:unhideWhenUsed/>
    <w:qFormat/>
    <w:locked/>
    <w:uiPriority w:val="99"/>
  </w:style>
  <w:style w:type="paragraph" w:styleId="21">
    <w:name w:val="toc 2"/>
    <w:basedOn w:val="1"/>
    <w:next w:val="1"/>
    <w:semiHidden/>
    <w:qFormat/>
    <w:locked/>
    <w:uiPriority w:val="0"/>
    <w:pPr>
      <w:ind w:left="280"/>
      <w:jc w:val="left"/>
    </w:pPr>
    <w:rPr>
      <w:smallCaps/>
      <w:sz w:val="20"/>
    </w:rPr>
  </w:style>
  <w:style w:type="paragraph" w:styleId="22">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1"/>
    <w:next w:val="11"/>
    <w:link w:val="39"/>
    <w:semiHidden/>
    <w:qFormat/>
    <w:uiPriority w:val="0"/>
    <w:rPr>
      <w:b/>
    </w:rPr>
  </w:style>
  <w:style w:type="paragraph" w:styleId="24">
    <w:name w:val="Body Text First Indent"/>
    <w:basedOn w:val="2"/>
    <w:next w:val="20"/>
    <w:qFormat/>
    <w:locked/>
    <w:uiPriority w:val="0"/>
    <w:pPr>
      <w:ind w:firstLine="420" w:firstLineChars="100"/>
    </w:pPr>
  </w:style>
  <w:style w:type="paragraph" w:styleId="25">
    <w:name w:val="Body Text First Indent 2"/>
    <w:basedOn w:val="12"/>
    <w:next w:val="1"/>
    <w:unhideWhenUsed/>
    <w:qFormat/>
    <w:locked/>
    <w:uiPriority w:val="99"/>
    <w:pPr>
      <w:ind w:left="200" w:firstLine="420" w:firstLineChars="200"/>
    </w:pPr>
    <w:rPr>
      <w:rFonts w:hint="eastAsia"/>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qFormat/>
    <w:locked/>
    <w:uiPriority w:val="0"/>
  </w:style>
  <w:style w:type="character" w:styleId="30">
    <w:name w:val="annotation reference"/>
    <w:semiHidden/>
    <w:qFormat/>
    <w:uiPriority w:val="0"/>
    <w:rPr>
      <w:sz w:val="21"/>
    </w:rPr>
  </w:style>
  <w:style w:type="character" w:customStyle="1" w:styleId="31">
    <w:name w:val="批注文字 Char"/>
    <w:link w:val="11"/>
    <w:qFormat/>
    <w:locked/>
    <w:uiPriority w:val="0"/>
    <w:rPr>
      <w:rFonts w:ascii="Times New Roman" w:hAnsi="Times New Roman" w:eastAsia="宋体"/>
      <w:sz w:val="24"/>
    </w:rPr>
  </w:style>
  <w:style w:type="character" w:customStyle="1" w:styleId="32">
    <w:name w:val="正文文本 Char"/>
    <w:link w:val="2"/>
    <w:qFormat/>
    <w:locked/>
    <w:uiPriority w:val="0"/>
    <w:rPr>
      <w:sz w:val="18"/>
    </w:rPr>
  </w:style>
  <w:style w:type="character" w:customStyle="1" w:styleId="33">
    <w:name w:val="正文文本缩进 Char"/>
    <w:link w:val="12"/>
    <w:semiHidden/>
    <w:qFormat/>
    <w:locked/>
    <w:uiPriority w:val="0"/>
    <w:rPr>
      <w:rFonts w:ascii="Times New Roman" w:hAnsi="Times New Roman" w:eastAsia="宋体"/>
      <w:sz w:val="24"/>
    </w:rPr>
  </w:style>
  <w:style w:type="character" w:customStyle="1" w:styleId="34">
    <w:name w:val="日期 Char"/>
    <w:link w:val="16"/>
    <w:qFormat/>
    <w:locked/>
    <w:uiPriority w:val="0"/>
    <w:rPr>
      <w:rFonts w:ascii="Times New Roman" w:hAnsi="Times New Roman" w:eastAsia="宋体"/>
      <w:sz w:val="24"/>
    </w:rPr>
  </w:style>
  <w:style w:type="character" w:customStyle="1" w:styleId="35">
    <w:name w:val="批注框文本 Char"/>
    <w:link w:val="17"/>
    <w:semiHidden/>
    <w:qFormat/>
    <w:locked/>
    <w:uiPriority w:val="0"/>
    <w:rPr>
      <w:rFonts w:ascii="Times New Roman" w:hAnsi="Times New Roman" w:eastAsia="宋体"/>
      <w:sz w:val="18"/>
    </w:rPr>
  </w:style>
  <w:style w:type="character" w:customStyle="1" w:styleId="36">
    <w:name w:val="页脚 Char"/>
    <w:link w:val="18"/>
    <w:qFormat/>
    <w:locked/>
    <w:uiPriority w:val="99"/>
    <w:rPr>
      <w:sz w:val="18"/>
    </w:rPr>
  </w:style>
  <w:style w:type="character" w:customStyle="1" w:styleId="37">
    <w:name w:val="页眉 Char"/>
    <w:link w:val="19"/>
    <w:qFormat/>
    <w:locked/>
    <w:uiPriority w:val="0"/>
    <w:rPr>
      <w:sz w:val="18"/>
    </w:rPr>
  </w:style>
  <w:style w:type="character" w:customStyle="1" w:styleId="38">
    <w:name w:val="普通(网站) Char"/>
    <w:link w:val="22"/>
    <w:qFormat/>
    <w:locked/>
    <w:uiPriority w:val="0"/>
    <w:rPr>
      <w:rFonts w:ascii="宋体" w:hAnsi="宋体" w:eastAsia="宋体"/>
      <w:sz w:val="24"/>
    </w:rPr>
  </w:style>
  <w:style w:type="character" w:customStyle="1" w:styleId="39">
    <w:name w:val="批注主题 Char"/>
    <w:link w:val="23"/>
    <w:semiHidden/>
    <w:qFormat/>
    <w:locked/>
    <w:uiPriority w:val="0"/>
    <w:rPr>
      <w:rFonts w:ascii="Times New Roman" w:hAnsi="Times New Roman" w:eastAsia="宋体"/>
      <w:b/>
      <w:kern w:val="2"/>
      <w:sz w:val="24"/>
    </w:rPr>
  </w:style>
  <w:style w:type="paragraph" w:customStyle="1" w:styleId="40">
    <w:name w:val="样式9"/>
    <w:basedOn w:val="1"/>
    <w:qFormat/>
    <w:uiPriority w:val="0"/>
    <w:pPr>
      <w:adjustRightInd w:val="0"/>
      <w:snapToGrid w:val="0"/>
      <w:spacing w:line="460" w:lineRule="exact"/>
      <w:ind w:firstLine="520" w:firstLineChars="200"/>
    </w:pPr>
    <w:rPr>
      <w:sz w:val="26"/>
      <w:szCs w:val="26"/>
    </w:rPr>
  </w:style>
  <w:style w:type="character" w:customStyle="1" w:styleId="41">
    <w:name w:val="日期 字符"/>
    <w:semiHidden/>
    <w:qFormat/>
    <w:uiPriority w:val="0"/>
    <w:rPr>
      <w:rFonts w:ascii="Times New Roman" w:hAnsi="Times New Roman" w:eastAsia="宋体"/>
      <w:sz w:val="24"/>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页脚 字符"/>
    <w:qFormat/>
    <w:uiPriority w:val="99"/>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6-1表格文字（居中）阳选清"/>
    <w:basedOn w:val="1"/>
    <w:qFormat/>
    <w:uiPriority w:val="0"/>
    <w:pPr>
      <w:adjustRightInd w:val="0"/>
      <w:snapToGrid w:val="0"/>
      <w:jc w:val="center"/>
    </w:pPr>
    <w:rPr>
      <w:bCs/>
      <w:color w:val="000000"/>
      <w:szCs w:val="18"/>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表格内无样式"/>
    <w:basedOn w:val="2"/>
    <w:qFormat/>
    <w:uiPriority w:val="0"/>
    <w:pPr>
      <w:spacing w:line="240" w:lineRule="auto"/>
    </w:pPr>
    <w:rPr>
      <w:sz w:val="21"/>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Table Paragraph"/>
    <w:basedOn w:val="1"/>
    <w:qFormat/>
    <w:uiPriority w:val="1"/>
    <w:pPr>
      <w:spacing w:before="21"/>
      <w:jc w:val="center"/>
    </w:pPr>
    <w:rPr>
      <w:rFonts w:ascii="Times New Roman" w:hAnsi="Times New Roman" w:eastAsia="Times New Roman"/>
      <w:lang w:val="zh-CN" w:bidi="zh-CN"/>
    </w:rPr>
  </w:style>
  <w:style w:type="paragraph" w:customStyle="1" w:styleId="53">
    <w:name w:val="表格标题"/>
    <w:basedOn w:val="24"/>
    <w:qFormat/>
    <w:uiPriority w:val="0"/>
    <w:pPr>
      <w:ind w:firstLine="0" w:firstLineChars="0"/>
      <w:jc w:val="center"/>
    </w:pPr>
    <w:rPr>
      <w:rFonts w:eastAsia="黑体"/>
      <w:sz w:val="22"/>
    </w:rPr>
  </w:style>
  <w:style w:type="paragraph" w:customStyle="1" w:styleId="54">
    <w:name w:val="表头图尾"/>
    <w:basedOn w:val="1"/>
    <w:next w:val="1"/>
    <w:qFormat/>
    <w:uiPriority w:val="0"/>
    <w:pPr>
      <w:jc w:val="center"/>
    </w:pPr>
    <w:rPr>
      <w:b/>
    </w:rPr>
  </w:style>
  <w:style w:type="paragraph" w:customStyle="1" w:styleId="55">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6">
    <w:name w:val="13-表格整体"/>
    <w:basedOn w:val="1"/>
    <w:qFormat/>
    <w:uiPriority w:val="0"/>
    <w:rPr>
      <w:szCs w:val="21"/>
    </w:rPr>
  </w:style>
  <w:style w:type="paragraph" w:customStyle="1" w:styleId="57">
    <w:name w:val="正文1"/>
    <w:basedOn w:val="1"/>
    <w:qFormat/>
    <w:uiPriority w:val="0"/>
    <w:pPr>
      <w:spacing w:line="360" w:lineRule="auto"/>
      <w:ind w:firstLine="1440" w:firstLineChars="200"/>
    </w:pPr>
    <w:rPr>
      <w:rFonts w:ascii="Times New Roman" w:hAnsi="Times New Roman"/>
      <w:sz w:val="24"/>
      <w:szCs w:val="20"/>
    </w:rPr>
  </w:style>
  <w:style w:type="paragraph" w:customStyle="1" w:styleId="58">
    <w:name w:val="纯文本1"/>
    <w:basedOn w:val="1"/>
    <w:qFormat/>
    <w:uiPriority w:val="0"/>
    <w:pPr>
      <w:adjustRightInd w:val="0"/>
    </w:pPr>
    <w:rPr>
      <w:rFonts w:ascii="宋体" w:hAnsi="Courier New"/>
      <w:szCs w:val="20"/>
    </w:rPr>
  </w:style>
  <w:style w:type="paragraph" w:customStyle="1" w:styleId="59">
    <w:name w:val="Default"/>
    <w:basedOn w:val="58"/>
    <w:qFormat/>
    <w:uiPriority w:val="0"/>
    <w:pPr>
      <w:autoSpaceDE w:val="0"/>
      <w:autoSpaceDN w:val="0"/>
    </w:pPr>
    <w:rPr>
      <w:color w:val="000000"/>
      <w:sz w:val="24"/>
    </w:rPr>
  </w:style>
  <w:style w:type="paragraph" w:customStyle="1" w:styleId="60">
    <w:name w:val="表1表2"/>
    <w:basedOn w:val="1"/>
    <w:qFormat/>
    <w:uiPriority w:val="0"/>
    <w:pPr>
      <w:topLinePunct/>
      <w:autoSpaceDE w:val="0"/>
      <w:autoSpaceDN w:val="0"/>
      <w:adjustRightInd w:val="0"/>
      <w:jc w:val="center"/>
      <w:textAlignment w:val="center"/>
    </w:pPr>
    <w:rPr>
      <w:rFonts w:eastAsia="仿宋体"/>
      <w:kern w:val="0"/>
      <w:sz w:val="24"/>
      <w:szCs w:val="20"/>
    </w:rPr>
  </w:style>
  <w:style w:type="paragraph" w:customStyle="1" w:styleId="61">
    <w:name w:val="正文首行缩进2个字"/>
    <w:basedOn w:val="1"/>
    <w:qFormat/>
    <w:uiPriority w:val="0"/>
    <w:pPr>
      <w:spacing w:line="480" w:lineRule="exact"/>
      <w:ind w:firstLine="600" w:firstLineChars="200"/>
    </w:pPr>
    <w:rPr>
      <w:rFonts w:ascii="Times New Roman" w:hAnsi="Times New Roman"/>
      <w:spacing w:val="3"/>
      <w:sz w:val="24"/>
    </w:rPr>
  </w:style>
  <w:style w:type="paragraph" w:customStyle="1" w:styleId="62">
    <w:name w:val="黄酒表格标题"/>
    <w:qFormat/>
    <w:uiPriority w:val="0"/>
    <w:pPr>
      <w:tabs>
        <w:tab w:val="left" w:pos="-2848"/>
      </w:tabs>
      <w:jc w:val="center"/>
    </w:pPr>
    <w:rPr>
      <w:rFonts w:ascii="Times New Roman" w:hAnsi="Times New Roman" w:eastAsia="宋体" w:cs="宋体"/>
      <w:b/>
      <w:sz w:val="21"/>
      <w:szCs w:val="21"/>
      <w:lang w:val="en-US" w:eastAsia="zh-CN" w:bidi="ar-SA"/>
    </w:rPr>
  </w:style>
  <w:style w:type="character" w:customStyle="1" w:styleId="63">
    <w:name w:val="样式 正文01 + Times New Roman Char"/>
    <w:link w:val="64"/>
    <w:qFormat/>
    <w:uiPriority w:val="0"/>
    <w:rPr>
      <w:bCs/>
    </w:rPr>
  </w:style>
  <w:style w:type="paragraph" w:customStyle="1" w:styleId="64">
    <w:name w:val="样式 正文01 + Times New Roman"/>
    <w:basedOn w:val="65"/>
    <w:link w:val="63"/>
    <w:qFormat/>
    <w:uiPriority w:val="0"/>
    <w:pPr>
      <w:ind w:firstLine="0" w:firstLineChars="0"/>
    </w:pPr>
    <w:rPr>
      <w:bCs/>
    </w:rPr>
  </w:style>
  <w:style w:type="paragraph" w:customStyle="1" w:styleId="65">
    <w:name w:val="正文01"/>
    <w:basedOn w:val="10"/>
    <w:qFormat/>
    <w:uiPriority w:val="0"/>
    <w:pPr>
      <w:ind w:firstLine="480"/>
    </w:pPr>
  </w:style>
  <w:style w:type="paragraph" w:customStyle="1" w:styleId="66">
    <w:name w:val="表格文字"/>
    <w:basedOn w:val="24"/>
    <w:next w:val="14"/>
    <w:qFormat/>
    <w:uiPriority w:val="0"/>
    <w:pPr>
      <w:jc w:val="center"/>
    </w:pPr>
    <w:rPr>
      <w:sz w:val="20"/>
    </w:rPr>
  </w:style>
  <w:style w:type="paragraph" w:customStyle="1" w:styleId="67">
    <w:name w:val="正文1-1"/>
    <w:basedOn w:val="1"/>
    <w:qFormat/>
    <w:uiPriority w:val="0"/>
    <w:pPr>
      <w:tabs>
        <w:tab w:val="left" w:pos="5520"/>
        <w:tab w:val="left" w:pos="6360"/>
      </w:tabs>
      <w:adjustRightInd w:val="0"/>
      <w:snapToGrid w:val="0"/>
      <w:spacing w:line="360" w:lineRule="auto"/>
      <w:ind w:firstLine="480" w:firstLineChars="200"/>
    </w:pPr>
    <w:rPr>
      <w:sz w:val="24"/>
      <w:szCs w:val="20"/>
    </w:rPr>
  </w:style>
  <w:style w:type="paragraph" w:customStyle="1" w:styleId="6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9">
    <w:name w:val="段落"/>
    <w:basedOn w:val="1"/>
    <w:qFormat/>
    <w:uiPriority w:val="0"/>
    <w:pPr>
      <w:tabs>
        <w:tab w:val="left" w:pos="720"/>
        <w:tab w:val="left" w:pos="900"/>
      </w:tabs>
      <w:spacing w:line="360" w:lineRule="auto"/>
      <w:ind w:firstLine="480" w:firstLineChars="200"/>
    </w:pPr>
    <w:rPr>
      <w:kern w:val="24"/>
      <w:sz w:val="24"/>
    </w:rPr>
  </w:style>
  <w:style w:type="paragraph" w:customStyle="1" w:styleId="70">
    <w:name w:val="sheet"/>
    <w:basedOn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TQ0NDg4MTAwNTYiLAogICAiR3JvdXBJZCIgOiAiMjY1MjU4NjI0IiwKICAgIkltYWdlIiA6ICJpVkJPUncwS0dnb0FBQUFOU1VoRVVnQUFBakVBQUFGMENBWUFBQURTRW1pMkFBQUFDWEJJV1hNQUFBc1RBQUFMRXdFQW1wd1lBQUFnQUVsRVFWUjRuT3pkZVZoVTFSc0g4Tys1d3lJb3VCdnF6MXpUMUZ5NEF4cnVwbGFZU21xYXBiaEZhcm1WbWx0aGlCdFdhcG9iaWt1WkZTZ1lMdUZTTG9HUndJQktrdVZ1cm9rTHF6RE16UG45QVhOam1BRUdHQmlZZVQvUHcrUE12ZWZlZTJidXlMeWM1VDBB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pxa3Y4SEUzZVREVkpvdjZjQUFBQUFTVVZPUks1Q1lJST0iLAogICAiVGhlbWUiIDogIiIsCiAgICJUeXBlIiA6ICJmbG93IiwKICAgIlZlcnNpb24iIDogIjEwNSIKfQo="/>
    </extobj>
    <extobj name="ECB019B1-382A-4266-B25C-5B523AA43C14-2">
      <extobjdata type="ECB019B1-382A-4266-B25C-5B523AA43C14" data="ewogICAiRmlsZUlkIiA6ICIxMTgwNzE0OTY0NjciLAogICAiR3JvdXBJZCIgOiAiMjY1MjU4NjI0IiwKICAgIkltYWdlIiA6ICJpVkJPUncwS0dnb0FBQUFOU1VoRVVnQUFBalFBQUFHNUNBWUFBQUNaVGE2WUFBQUFDWEJJV1hNQUFBc1RBQUFMRXdFQW1wd1lBQUFnQUVsRVFWUjRuT3pkZVZ4VVZmOEg4TThkTmtORlhIRXB6U1ZUYzhsQlVGUlFVU3dNdFRCSjBVeEtNemZjQ3NNdGxGeFNVOHZjVFVrekZ4NTlGRkZjQ2R6SUJVaFRmNlpvaHVLQ2FMSUt3OHljM3g4MDkyRmdXR1ViK2J4ZkwxL092ZmZjZTgvQURQT2RzM3dQU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42</Pages>
  <Words>23138</Words>
  <Characters>26517</Characters>
  <Lines>190</Lines>
  <Paragraphs>53</Paragraphs>
  <TotalTime>0</TotalTime>
  <ScaleCrop>false</ScaleCrop>
  <LinksUpToDate>false</LinksUpToDate>
  <CharactersWithSpaces>26723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2021-05-13T06:22:00Z</dcterms:created>
  <dc:creator>lhj</dc:creator>
  <cp:lastModifiedBy>SHM</cp:lastModifiedBy>
  <cp:lastPrinted>2020-12-29T02:43:00Z</cp:lastPrinted>
  <dcterms:modified xsi:type="dcterms:W3CDTF">2021-08-20T01:01:24Z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FD03394E73B746118CB280F67E4FCE14</vt:lpwstr>
  </property>
</Properties>
</file>