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783" w:firstLineChars="2400"/>
        <w:jc w:val="left"/>
        <w:rPr>
          <w:rFonts w:hint="default" w:ascii="Times New Roman" w:hAnsi="Times New Roman" w:cs="Times New Roman"/>
          <w:b/>
          <w:bCs/>
          <w:sz w:val="24"/>
          <w:szCs w:val="24"/>
          <w:lang w:eastAsia="zh-CN"/>
        </w:rPr>
      </w:pPr>
    </w:p>
    <w:p>
      <w:pPr>
        <w:ind w:firstLine="5542" w:firstLineChars="2300"/>
        <w:jc w:val="left"/>
        <w:rPr>
          <w:rFonts w:hint="default" w:ascii="Times New Roman" w:hAnsi="Times New Roman" w:cs="Times New Roman"/>
          <w:b/>
          <w:bCs/>
          <w:sz w:val="24"/>
          <w:szCs w:val="24"/>
          <w:lang w:eastAsia="zh-CN"/>
        </w:rPr>
      </w:pPr>
    </w:p>
    <w:p>
      <w:pPr>
        <w:ind w:firstLine="5542" w:firstLineChars="2300"/>
        <w:jc w:val="left"/>
        <w:rPr>
          <w:rFonts w:hint="default" w:ascii="Times New Roman" w:hAnsi="Times New Roman" w:cs="Times New Roman"/>
          <w:b/>
          <w:bCs/>
          <w:sz w:val="24"/>
          <w:szCs w:val="24"/>
          <w:lang w:eastAsia="zh-CN"/>
        </w:rPr>
      </w:pPr>
    </w:p>
    <w:p>
      <w:pPr>
        <w:ind w:firstLine="5542" w:firstLineChars="2300"/>
        <w:jc w:val="left"/>
        <w:rPr>
          <w:rFonts w:hint="default" w:ascii="Times New Roman" w:hAnsi="Times New Roman" w:cs="Times New Roman"/>
          <w:b/>
          <w:bCs/>
          <w:sz w:val="24"/>
          <w:szCs w:val="24"/>
          <w:lang w:eastAsia="zh-CN"/>
        </w:rPr>
      </w:pPr>
    </w:p>
    <w:p>
      <w:pPr>
        <w:ind w:firstLine="5542" w:firstLineChars="2300"/>
        <w:jc w:val="left"/>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eastAsia="zh-CN"/>
        </w:rPr>
        <w:t>邵</w:t>
      </w:r>
      <w:r>
        <w:rPr>
          <w:rFonts w:hint="eastAsia" w:ascii="Times New Roman" w:hAnsi="Times New Roman" w:cs="Times New Roman"/>
          <w:b/>
          <w:bCs/>
          <w:sz w:val="24"/>
          <w:szCs w:val="24"/>
          <w:lang w:eastAsia="zh-CN"/>
        </w:rPr>
        <w:t>市</w:t>
      </w:r>
      <w:r>
        <w:rPr>
          <w:rFonts w:hint="default" w:ascii="Times New Roman" w:hAnsi="Times New Roman" w:cs="Times New Roman"/>
          <w:b/>
          <w:bCs/>
          <w:sz w:val="24"/>
          <w:szCs w:val="24"/>
          <w:lang w:eastAsia="zh-CN"/>
        </w:rPr>
        <w:t>环评</w:t>
      </w:r>
      <w:r>
        <w:rPr>
          <w:rFonts w:hint="eastAsia" w:ascii="Times New Roman" w:hAnsi="Times New Roman" w:cs="Times New Roman"/>
          <w:b/>
          <w:bCs/>
          <w:sz w:val="24"/>
          <w:szCs w:val="24"/>
          <w:lang w:eastAsia="zh-CN"/>
        </w:rPr>
        <w:t>（</w:t>
      </w:r>
      <w:r>
        <w:rPr>
          <w:rFonts w:hint="eastAsia" w:ascii="Times New Roman" w:hAnsi="Times New Roman" w:cs="Times New Roman"/>
          <w:b/>
          <w:bCs/>
          <w:sz w:val="24"/>
          <w:szCs w:val="24"/>
          <w:lang w:val="en-US" w:eastAsia="zh-CN"/>
        </w:rPr>
        <w:t>1）</w:t>
      </w:r>
      <w:r>
        <w:rPr>
          <w:rFonts w:hint="default" w:ascii="Times New Roman" w:hAnsi="Times New Roman" w:cs="Times New Roman"/>
          <w:b/>
          <w:bCs/>
          <w:sz w:val="24"/>
          <w:szCs w:val="24"/>
          <w:lang w:val="en-US" w:eastAsia="zh-CN"/>
        </w:rPr>
        <w:t>[20</w:t>
      </w:r>
      <w:r>
        <w:rPr>
          <w:rFonts w:hint="eastAsia" w:ascii="Times New Roman" w:hAnsi="Times New Roman" w:cs="Times New Roman"/>
          <w:b/>
          <w:bCs/>
          <w:sz w:val="24"/>
          <w:szCs w:val="24"/>
          <w:lang w:val="en-US" w:eastAsia="zh-CN"/>
        </w:rPr>
        <w:t>21</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38号</w:t>
      </w:r>
      <w:r>
        <w:rPr>
          <w:rFonts w:hint="default" w:ascii="Times New Roman" w:hAnsi="Times New Roman" w:cs="Times New Roman"/>
          <w:b/>
          <w:bCs/>
          <w:sz w:val="24"/>
          <w:szCs w:val="24"/>
          <w:lang w:val="en-US" w:eastAsia="zh-CN"/>
        </w:rPr>
        <w:t xml:space="preserve"> </w:t>
      </w:r>
    </w:p>
    <w:p>
      <w:pPr>
        <w:ind w:firstLine="6325" w:firstLineChars="3000"/>
        <w:rPr>
          <w:rFonts w:hint="default" w:ascii="Times New Roman" w:hAnsi="Times New Roman" w:cs="Times New Roman"/>
          <w:b/>
          <w:bCs/>
          <w:lang w:val="en-US" w:eastAsia="zh-CN"/>
        </w:rPr>
      </w:pPr>
    </w:p>
    <w:p>
      <w:pPr>
        <w:ind w:firstLine="6325" w:firstLineChars="3000"/>
        <w:rPr>
          <w:rFonts w:hint="default" w:ascii="Times New Roman" w:hAnsi="Times New Roman" w:cs="Times New Roman"/>
          <w:b/>
          <w:bCs/>
          <w:lang w:val="en-US" w:eastAsia="zh-CN"/>
        </w:rPr>
      </w:pPr>
    </w:p>
    <w:p>
      <w:pPr>
        <w:keepNext w:val="0"/>
        <w:keepLines w:val="0"/>
        <w:pageBreakBefore w:val="0"/>
        <w:widowControl w:val="0"/>
        <w:kinsoku/>
        <w:wordWrap/>
        <w:overflowPunct/>
        <w:topLinePunct w:val="0"/>
        <w:autoSpaceDE w:val="0"/>
        <w:autoSpaceDN w:val="0"/>
        <w:bidi w:val="0"/>
        <w:adjustRightInd w:val="0"/>
        <w:spacing w:line="480" w:lineRule="exact"/>
        <w:ind w:left="718" w:leftChars="342" w:right="0" w:rightChars="0" w:firstLine="0" w:firstLineChars="0"/>
        <w:jc w:val="center"/>
        <w:textAlignment w:val="auto"/>
        <w:outlineLvl w:val="9"/>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关于邵东市航伟贸易有限公司年产20万平方米铝合金门窗建设项目环境影响报告表的批复</w:t>
      </w:r>
    </w:p>
    <w:p>
      <w:pPr>
        <w:jc w:val="both"/>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邵东市航伟贸易有限公司</w:t>
      </w:r>
      <w:r>
        <w:rPr>
          <w:rFonts w:hint="default" w:ascii="Times New Roman" w:hAnsi="Times New Roman" w:eastAsia="宋体"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你单位报送的《</w:t>
      </w:r>
      <w:r>
        <w:rPr>
          <w:rFonts w:hint="eastAsia" w:ascii="Times New Roman" w:hAnsi="Times New Roman" w:eastAsia="宋体" w:cs="Times New Roman"/>
          <w:b w:val="0"/>
          <w:bCs w:val="0"/>
          <w:sz w:val="24"/>
          <w:szCs w:val="24"/>
          <w:lang w:val="en-US" w:eastAsia="zh-CN"/>
        </w:rPr>
        <w:t>邵东市航伟贸易有限公司年产20万平方米铝合金门窗建设项目环境影响报告表</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以及项目申请批复的报告</w:t>
      </w:r>
      <w:r>
        <w:rPr>
          <w:rFonts w:hint="default" w:ascii="Times New Roman" w:hAnsi="Times New Roman" w:eastAsia="宋体" w:cs="Times New Roman"/>
          <w:b w:val="0"/>
          <w:bCs w:val="0"/>
          <w:sz w:val="24"/>
          <w:szCs w:val="24"/>
          <w:lang w:val="en-US" w:eastAsia="zh-CN"/>
        </w:rPr>
        <w:t>已收悉。经研究，现批复如下：</w:t>
      </w: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sz w:val="24"/>
          <w:szCs w:val="24"/>
          <w:lang w:val="en-US" w:eastAsia="zh-CN"/>
        </w:rPr>
        <w:t>一、</w:t>
      </w:r>
      <w:r>
        <w:rPr>
          <w:rFonts w:hint="default" w:ascii="Times New Roman" w:hAnsi="Times New Roman" w:eastAsia="宋体" w:cs="Times New Roman"/>
          <w:b w:val="0"/>
          <w:bCs w:val="0"/>
          <w:sz w:val="24"/>
          <w:szCs w:val="24"/>
          <w:lang w:val="en-US" w:eastAsia="zh-CN"/>
        </w:rPr>
        <w:t>你单位投资</w:t>
      </w:r>
      <w:r>
        <w:rPr>
          <w:rFonts w:hint="eastAsia" w:ascii="Times New Roman" w:hAnsi="Times New Roman" w:eastAsia="宋体" w:cs="Times New Roman"/>
          <w:b w:val="0"/>
          <w:bCs w:val="0"/>
          <w:sz w:val="24"/>
          <w:szCs w:val="24"/>
          <w:lang w:val="en-US" w:eastAsia="zh-CN"/>
        </w:rPr>
        <w:t>6000</w:t>
      </w:r>
      <w:r>
        <w:rPr>
          <w:rFonts w:hint="default" w:ascii="Times New Roman" w:hAnsi="Times New Roman" w:eastAsia="宋体" w:cs="Times New Roman"/>
          <w:b w:val="0"/>
          <w:bCs w:val="0"/>
          <w:sz w:val="24"/>
          <w:szCs w:val="24"/>
          <w:lang w:val="en-US" w:eastAsia="zh-CN"/>
        </w:rPr>
        <w:t>万元在</w:t>
      </w:r>
      <w:r>
        <w:rPr>
          <w:sz w:val="24"/>
        </w:rPr>
        <w:t>邵东市</w:t>
      </w:r>
      <w:r>
        <w:rPr>
          <w:rFonts w:hint="eastAsia"/>
          <w:sz w:val="24"/>
        </w:rPr>
        <w:t>包装印刷、塑料制品、新材料工业园（原黑田铺印刷产业园）</w:t>
      </w:r>
      <w:r>
        <w:rPr>
          <w:rFonts w:hint="default" w:ascii="Times New Roman" w:hAnsi="Times New Roman" w:eastAsia="宋体" w:cs="Times New Roman"/>
          <w:color w:val="auto"/>
          <w:sz w:val="24"/>
          <w:szCs w:val="24"/>
          <w:highlight w:val="none"/>
          <w:lang w:eastAsia="zh-CN"/>
        </w:rPr>
        <w:t>建设</w:t>
      </w:r>
      <w:r>
        <w:rPr>
          <w:rFonts w:hint="eastAsia" w:ascii="Times New Roman" w:hAnsi="Times New Roman" w:eastAsia="宋体" w:cs="Times New Roman"/>
          <w:b w:val="0"/>
          <w:bCs w:val="0"/>
          <w:sz w:val="24"/>
          <w:szCs w:val="24"/>
          <w:lang w:val="en-US" w:eastAsia="zh-CN"/>
        </w:rPr>
        <w:t>年产20万平方米铝合金门窗建设项目</w:t>
      </w:r>
      <w:r>
        <w:rPr>
          <w:rFonts w:hint="eastAsia" w:ascii="Times New Roman" w:hAnsi="Times New Roman" w:eastAsia="宋体" w:cs="Times New Roman"/>
          <w:color w:val="auto"/>
          <w:sz w:val="24"/>
          <w:szCs w:val="24"/>
          <w:highlight w:val="none"/>
          <w:lang w:val="en-US" w:eastAsia="zh-CN"/>
        </w:rPr>
        <w:t>，主要建设内容包括生产车间、综合楼等主体工程，同时配套建设活性炭吸附装置、化粪池等环保设施。</w:t>
      </w:r>
      <w:r>
        <w:rPr>
          <w:rFonts w:hint="eastAsia" w:ascii="宋体" w:hAnsi="宋体"/>
          <w:sz w:val="24"/>
          <w:szCs w:val="24"/>
        </w:rPr>
        <w:t>根据国家发展改革委《产业结构调整指导目录（201</w:t>
      </w:r>
      <w:r>
        <w:rPr>
          <w:rFonts w:hint="eastAsia" w:ascii="宋体" w:hAnsi="宋体"/>
          <w:sz w:val="24"/>
          <w:szCs w:val="24"/>
          <w:lang w:val="en-US" w:eastAsia="zh-CN"/>
        </w:rPr>
        <w:t>9</w:t>
      </w:r>
      <w:r>
        <w:rPr>
          <w:rFonts w:hint="eastAsia" w:ascii="宋体" w:hAnsi="宋体"/>
          <w:sz w:val="24"/>
          <w:szCs w:val="24"/>
        </w:rPr>
        <w:t>年本）》</w:t>
      </w:r>
      <w:r>
        <w:rPr>
          <w:rFonts w:hint="eastAsia" w:ascii="宋体" w:hAnsi="宋体"/>
          <w:sz w:val="24"/>
          <w:szCs w:val="24"/>
          <w:lang w:val="en-US" w:eastAsia="zh-CN"/>
        </w:rPr>
        <w:t>(</w:t>
      </w:r>
      <w:r>
        <w:rPr>
          <w:rFonts w:hint="eastAsia" w:ascii="宋体" w:hAnsi="宋体"/>
          <w:sz w:val="24"/>
          <w:szCs w:val="24"/>
        </w:rPr>
        <w:t>第2</w:t>
      </w:r>
      <w:r>
        <w:rPr>
          <w:rFonts w:hint="eastAsia" w:ascii="宋体" w:hAnsi="宋体"/>
          <w:sz w:val="24"/>
          <w:szCs w:val="24"/>
          <w:lang w:val="en-US" w:eastAsia="zh-CN"/>
        </w:rPr>
        <w:t>9</w:t>
      </w:r>
      <w:r>
        <w:rPr>
          <w:rFonts w:hint="eastAsia" w:ascii="宋体" w:hAnsi="宋体"/>
          <w:sz w:val="24"/>
          <w:szCs w:val="24"/>
        </w:rPr>
        <w:t>号令</w:t>
      </w:r>
      <w:r>
        <w:rPr>
          <w:rFonts w:hint="eastAsia" w:ascii="宋体" w:hAnsi="宋体"/>
          <w:sz w:val="24"/>
          <w:szCs w:val="24"/>
          <w:lang w:val="en-US" w:eastAsia="zh-CN"/>
        </w:rPr>
        <w:t>)</w:t>
      </w:r>
      <w:bookmarkStart w:id="0" w:name="_GoBack"/>
      <w:bookmarkEnd w:id="0"/>
      <w:r>
        <w:rPr>
          <w:rFonts w:hint="eastAsia" w:ascii="宋体" w:hAnsi="宋体"/>
          <w:sz w:val="24"/>
          <w:szCs w:val="24"/>
          <w:lang w:val="en-US" w:eastAsia="zh-CN"/>
        </w:rPr>
        <w:t xml:space="preserve"> ,</w:t>
      </w:r>
      <w:r>
        <w:rPr>
          <w:rFonts w:hint="eastAsia" w:ascii="Times New Roman" w:hAnsi="Times New Roman" w:eastAsia="宋体" w:cs="Times New Roman"/>
          <w:color w:val="auto"/>
          <w:sz w:val="24"/>
          <w:szCs w:val="24"/>
          <w:highlight w:val="none"/>
          <w:lang w:val="en-US" w:eastAsia="zh-CN"/>
        </w:rPr>
        <w:t>该项目符合国家产业政策要求。根据石家庄赞洁环保科技有限公司编制的建设项目环境影响报告表的分析结论，在你单位认真落实环评报告表提出的环保措施，确保外排污染物达标的前提下，从环境保护的角度，同意你单位按照报告表确定的地点、规模、工艺、污染防治措施实施该项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二、在项目的实施过程中，重点做好以下几项工作：</w:t>
      </w:r>
    </w:p>
    <w:p>
      <w:pPr>
        <w:keepNext w:val="0"/>
        <w:keepLines w:val="0"/>
        <w:pageBreakBefore w:val="0"/>
        <w:numPr>
          <w:ilvl w:val="0"/>
          <w:numId w:val="1"/>
        </w:numPr>
        <w:kinsoku/>
        <w:wordWrap/>
        <w:overflowPunct/>
        <w:topLinePunct w:val="0"/>
        <w:autoSpaceDE/>
        <w:autoSpaceDN/>
        <w:bidi w:val="0"/>
        <w:adjustRightInd/>
        <w:snapToGrid/>
        <w:spacing w:line="480" w:lineRule="exact"/>
        <w:ind w:firstLine="480" w:firstLineChars="200"/>
        <w:jc w:val="left"/>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控制废水污染物排放。</w:t>
      </w:r>
      <w:r>
        <w:rPr>
          <w:rFonts w:hint="eastAsia" w:ascii="宋体" w:hAnsi="宋体" w:cs="宋体"/>
          <w:sz w:val="24"/>
          <w:szCs w:val="24"/>
          <w:lang w:eastAsia="zh-CN"/>
        </w:rPr>
        <w:t>施工</w:t>
      </w:r>
      <w:r>
        <w:rPr>
          <w:rFonts w:hint="eastAsia" w:ascii="宋体" w:hAnsi="宋体" w:eastAsia="宋体" w:cs="宋体"/>
          <w:sz w:val="24"/>
          <w:szCs w:val="24"/>
          <w:lang w:eastAsia="zh-CN"/>
        </w:rPr>
        <w:t>废水集中收集经沉淀池处理后回用。营运期</w:t>
      </w:r>
      <w:r>
        <w:rPr>
          <w:rFonts w:hint="eastAsia" w:ascii="宋体" w:hAnsi="宋体" w:eastAsia="宋体" w:cs="宋体"/>
          <w:color w:val="auto"/>
          <w:sz w:val="24"/>
          <w:szCs w:val="24"/>
          <w:lang w:val="en-US" w:eastAsia="zh-CN"/>
        </w:rPr>
        <w:t>生活污水经</w:t>
      </w:r>
      <w:r>
        <w:rPr>
          <w:sz w:val="24"/>
        </w:rPr>
        <w:t>化粪池</w:t>
      </w:r>
      <w:r>
        <w:rPr>
          <w:rFonts w:hint="eastAsia"/>
          <w:sz w:val="24"/>
          <w:lang w:eastAsia="zh-CN"/>
        </w:rPr>
        <w:t>、隔油池</w:t>
      </w:r>
      <w:r>
        <w:rPr>
          <w:sz w:val="24"/>
        </w:rPr>
        <w:t>处理</w:t>
      </w:r>
      <w:r>
        <w:rPr>
          <w:rFonts w:hint="eastAsia"/>
          <w:sz w:val="24"/>
          <w:lang w:eastAsia="zh-CN"/>
        </w:rPr>
        <w:t>后</w:t>
      </w:r>
      <w:r>
        <w:rPr>
          <w:sz w:val="24"/>
        </w:rPr>
        <w:t>排入园区管网</w:t>
      </w:r>
      <w:r>
        <w:rPr>
          <w:rFonts w:hint="eastAsia"/>
          <w:sz w:val="24"/>
          <w:lang w:eastAsia="zh-CN"/>
        </w:rPr>
        <w:t>，入网</w:t>
      </w:r>
      <w:r>
        <w:rPr>
          <w:rFonts w:hint="eastAsia" w:ascii="宋体" w:hAnsi="宋体" w:eastAsia="宋体" w:cs="宋体"/>
          <w:sz w:val="24"/>
          <w:szCs w:val="24"/>
          <w:lang w:eastAsia="zh-CN"/>
        </w:rPr>
        <w:t>废水须达到</w:t>
      </w:r>
      <w:r>
        <w:rPr>
          <w:rFonts w:hint="eastAsia"/>
          <w:sz w:val="24"/>
          <w:szCs w:val="24"/>
          <w:lang w:eastAsia="zh-CN"/>
        </w:rPr>
        <w:t>《污水综合</w:t>
      </w:r>
      <w:r>
        <w:rPr>
          <w:rFonts w:hint="eastAsia"/>
          <w:sz w:val="24"/>
          <w:szCs w:val="24"/>
        </w:rPr>
        <w:t>排放标准》（</w:t>
      </w:r>
      <w:r>
        <w:rPr>
          <w:rFonts w:hint="eastAsia"/>
          <w:sz w:val="24"/>
          <w:szCs w:val="24"/>
          <w:lang w:val="en-US" w:eastAsia="zh-CN"/>
        </w:rPr>
        <w:t>G</w:t>
      </w:r>
      <w:r>
        <w:rPr>
          <w:rFonts w:hint="eastAsia" w:ascii="宋体" w:hAnsi="宋体" w:eastAsia="宋体" w:cs="宋体"/>
          <w:color w:val="auto"/>
          <w:sz w:val="24"/>
          <w:szCs w:val="24"/>
          <w:lang w:val="en-US" w:eastAsia="zh-CN"/>
        </w:rPr>
        <w:t>B8978-1996）及《污水排入城镇下水</w:t>
      </w:r>
      <w:r>
        <w:rPr>
          <w:rFonts w:hint="eastAsia" w:ascii="Times New Roman" w:hAnsi="Times New Roman" w:eastAsia="宋体" w:cs="Times New Roman"/>
          <w:color w:val="auto"/>
          <w:sz w:val="24"/>
          <w:szCs w:val="24"/>
          <w:highlight w:val="none"/>
          <w:lang w:val="en-US" w:eastAsia="zh-CN"/>
        </w:rPr>
        <w:t>道水质标准》（GB/T31962-2015）表1中B等级标准。</w:t>
      </w:r>
    </w:p>
    <w:p>
      <w:pPr>
        <w:keepNext w:val="0"/>
        <w:keepLines w:val="0"/>
        <w:pageBreakBefore w:val="0"/>
        <w:numPr>
          <w:ilvl w:val="0"/>
          <w:numId w:val="1"/>
        </w:numPr>
        <w:kinsoku/>
        <w:wordWrap/>
        <w:overflowPunct/>
        <w:topLinePunct w:val="0"/>
        <w:autoSpaceDE/>
        <w:autoSpaceDN/>
        <w:bidi w:val="0"/>
        <w:adjustRightInd/>
        <w:snapToGrid/>
        <w:spacing w:line="480" w:lineRule="exact"/>
        <w:ind w:firstLine="480" w:firstLineChars="200"/>
        <w:jc w:val="left"/>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强化废气污染防治。</w:t>
      </w:r>
      <w:r>
        <w:rPr>
          <w:rFonts w:hint="eastAsia" w:ascii="宋体" w:hAnsi="宋体" w:eastAsia="宋体" w:cs="宋体"/>
          <w:b w:val="0"/>
          <w:bCs w:val="0"/>
          <w:sz w:val="24"/>
          <w:szCs w:val="24"/>
          <w:lang w:eastAsia="zh-CN"/>
        </w:rPr>
        <w:t>施工工</w:t>
      </w:r>
      <w:r>
        <w:rPr>
          <w:rFonts w:hint="eastAsia" w:ascii="宋体" w:hAnsi="宋体" w:eastAsia="宋体" w:cs="宋体"/>
          <w:sz w:val="24"/>
          <w:szCs w:val="24"/>
          <w:lang w:eastAsia="zh-CN"/>
        </w:rPr>
        <w:t>地四周设置围挡，施工场地定期洒水，</w:t>
      </w:r>
      <w:r>
        <w:rPr>
          <w:rFonts w:hint="eastAsia" w:ascii="宋体" w:hAnsi="宋体" w:eastAsia="宋体" w:cs="宋体"/>
          <w:sz w:val="24"/>
          <w:szCs w:val="24"/>
        </w:rPr>
        <w:t>易起尘</w:t>
      </w:r>
      <w:r>
        <w:rPr>
          <w:rFonts w:hint="eastAsia" w:ascii="宋体" w:hAnsi="宋体" w:eastAsia="宋体" w:cs="宋体"/>
          <w:sz w:val="24"/>
          <w:szCs w:val="24"/>
          <w:lang w:eastAsia="zh-CN"/>
        </w:rPr>
        <w:t>物</w:t>
      </w:r>
      <w:r>
        <w:rPr>
          <w:rFonts w:hint="eastAsia" w:ascii="宋体" w:hAnsi="宋体" w:eastAsia="宋体" w:cs="宋体"/>
          <w:sz w:val="24"/>
          <w:szCs w:val="24"/>
        </w:rPr>
        <w:t>料</w:t>
      </w:r>
      <w:r>
        <w:rPr>
          <w:rFonts w:hint="eastAsia" w:ascii="宋体" w:hAnsi="宋体" w:eastAsia="宋体" w:cs="宋体"/>
          <w:bCs/>
          <w:sz w:val="24"/>
          <w:szCs w:val="24"/>
        </w:rPr>
        <w:t>采用密闭</w:t>
      </w:r>
      <w:r>
        <w:rPr>
          <w:rFonts w:hint="eastAsia" w:ascii="宋体" w:hAnsi="宋体" w:eastAsia="宋体" w:cs="宋体"/>
          <w:bCs/>
          <w:sz w:val="24"/>
          <w:szCs w:val="24"/>
          <w:lang w:eastAsia="zh-CN"/>
        </w:rPr>
        <w:t>存储和</w:t>
      </w:r>
      <w:r>
        <w:rPr>
          <w:rFonts w:hint="eastAsia" w:ascii="宋体" w:hAnsi="宋体" w:eastAsia="宋体" w:cs="宋体"/>
          <w:sz w:val="24"/>
          <w:szCs w:val="24"/>
        </w:rPr>
        <w:t>覆盖堆放</w:t>
      </w:r>
      <w:r>
        <w:rPr>
          <w:rFonts w:hint="eastAsia" w:ascii="宋体" w:hAnsi="宋体" w:eastAsia="宋体" w:cs="宋体"/>
          <w:sz w:val="24"/>
          <w:szCs w:val="24"/>
          <w:lang w:eastAsia="zh-CN"/>
        </w:rPr>
        <w:t>措施，运输</w:t>
      </w:r>
      <w:r>
        <w:rPr>
          <w:rFonts w:hint="eastAsia" w:ascii="宋体" w:hAnsi="宋体" w:cs="宋体"/>
          <w:sz w:val="24"/>
          <w:szCs w:val="24"/>
          <w:lang w:eastAsia="zh-CN"/>
        </w:rPr>
        <w:t>过程采取封闭物料、控制车速、清洗车辆轮胎等措施抑制</w:t>
      </w:r>
      <w:r>
        <w:rPr>
          <w:rFonts w:hint="eastAsia" w:ascii="宋体" w:hAnsi="宋体" w:eastAsia="宋体" w:cs="宋体"/>
          <w:sz w:val="24"/>
          <w:szCs w:val="24"/>
          <w:lang w:eastAsia="zh-CN"/>
        </w:rPr>
        <w:t>扬尘污染，外排颗粒物须满足《大气污染物综合排放标准》</w:t>
      </w:r>
      <w:r>
        <w:rPr>
          <w:rFonts w:hint="eastAsia" w:ascii="宋体" w:hAnsi="宋体" w:cs="宋体"/>
          <w:sz w:val="24"/>
          <w:szCs w:val="24"/>
          <w:lang w:val="en-US" w:eastAsia="zh-CN"/>
        </w:rPr>
        <w:t>(GB16297-1996)</w:t>
      </w:r>
      <w:r>
        <w:rPr>
          <w:rFonts w:hint="eastAsia" w:ascii="宋体" w:hAnsi="宋体" w:eastAsia="宋体" w:cs="宋体"/>
          <w:sz w:val="24"/>
          <w:szCs w:val="24"/>
          <w:lang w:eastAsia="zh-CN"/>
        </w:rPr>
        <w:t>中的浓度监控限值。营运期</w:t>
      </w:r>
      <w:r>
        <w:rPr>
          <w:rFonts w:hint="eastAsia" w:ascii="Times New Roman" w:hAnsi="Times New Roman" w:eastAsia="宋体" w:cs="Times New Roman"/>
          <w:color w:val="auto"/>
          <w:sz w:val="24"/>
          <w:szCs w:val="24"/>
          <w:highlight w:val="none"/>
          <w:lang w:val="en-US" w:eastAsia="zh-CN"/>
        </w:rPr>
        <w:t>机加工工序废气采取加强车间通风的措施，外排颗粒</w:t>
      </w:r>
      <w:r>
        <w:rPr>
          <w:rFonts w:hint="eastAsia"/>
          <w:sz w:val="24"/>
          <w:lang w:eastAsia="zh-CN"/>
        </w:rPr>
        <w:t>物须满足《大气污染物综合排放标准》（GB16297-1996）表2中无组织排放监</w:t>
      </w:r>
      <w:r>
        <w:rPr>
          <w:rFonts w:hint="eastAsia" w:ascii="Times New Roman" w:hAnsi="Times New Roman" w:eastAsia="宋体" w:cs="Times New Roman"/>
          <w:color w:val="auto"/>
          <w:sz w:val="24"/>
          <w:szCs w:val="24"/>
          <w:highlight w:val="none"/>
          <w:lang w:val="en-US" w:eastAsia="zh-CN"/>
        </w:rPr>
        <w:t>控浓度限值；玻璃合片、打胶工序有机废气经“集气罩+活性炭吸附装置”处理后通过15米高的排气筒（DA001）排放，外排非甲烷总烃须满足《湖南省家具制造行业挥发性有机物排放标准》（DB43/ 1355-2017）表1浓度限值要求；未经集气装置收集的非甲烷总烃须满足《湖南省家具制造行业挥发性有机物排放标准》（DB43/ 1355-2017）表2无组织排放监控浓度限值要求；</w:t>
      </w:r>
      <w:r>
        <w:rPr>
          <w:rFonts w:hint="eastAsia"/>
          <w:sz w:val="24"/>
          <w:szCs w:val="24"/>
        </w:rPr>
        <w:t>食堂油烟经油烟净化机处理后，通过</w:t>
      </w:r>
      <w:r>
        <w:rPr>
          <w:rFonts w:hint="eastAsia"/>
          <w:sz w:val="24"/>
          <w:szCs w:val="24"/>
          <w:lang w:eastAsia="zh-CN"/>
        </w:rPr>
        <w:t>专管（</w:t>
      </w:r>
      <w:r>
        <w:rPr>
          <w:rFonts w:hint="eastAsia" w:ascii="Times New Roman" w:hAnsi="Times New Roman" w:eastAsia="宋体" w:cs="Times New Roman"/>
          <w:color w:val="auto"/>
          <w:sz w:val="24"/>
          <w:szCs w:val="24"/>
          <w:highlight w:val="none"/>
          <w:lang w:val="en-US" w:eastAsia="zh-CN"/>
        </w:rPr>
        <w:t>DA002）</w:t>
      </w:r>
      <w:r>
        <w:rPr>
          <w:rFonts w:hint="eastAsia"/>
          <w:sz w:val="24"/>
          <w:szCs w:val="24"/>
          <w:lang w:eastAsia="zh-CN"/>
        </w:rPr>
        <w:t>于屋顶</w:t>
      </w:r>
      <w:r>
        <w:rPr>
          <w:rFonts w:hint="eastAsia"/>
          <w:sz w:val="24"/>
          <w:szCs w:val="24"/>
        </w:rPr>
        <w:t>排放，外排油烟</w:t>
      </w:r>
      <w:r>
        <w:rPr>
          <w:rFonts w:hint="eastAsia"/>
          <w:sz w:val="24"/>
          <w:szCs w:val="24"/>
          <w:lang w:eastAsia="zh-CN"/>
        </w:rPr>
        <w:t>须</w:t>
      </w:r>
      <w:r>
        <w:rPr>
          <w:rFonts w:hint="eastAsia"/>
          <w:sz w:val="24"/>
          <w:szCs w:val="24"/>
        </w:rPr>
        <w:t>符合《饮食业油烟排放标准（试行）》（GB18483-2001）</w:t>
      </w:r>
      <w:r>
        <w:rPr>
          <w:rFonts w:hint="eastAsia"/>
          <w:sz w:val="24"/>
          <w:szCs w:val="24"/>
          <w:lang w:eastAsia="zh-CN"/>
        </w:rPr>
        <w:t>中的小型规模标准。</w:t>
      </w:r>
    </w:p>
    <w:p>
      <w:pPr>
        <w:numPr>
          <w:ilvl w:val="0"/>
          <w:numId w:val="1"/>
        </w:numPr>
        <w:spacing w:line="520" w:lineRule="exact"/>
        <w:ind w:left="0" w:leftChars="0" w:firstLine="480" w:firstLineChars="200"/>
        <w:jc w:val="left"/>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auto"/>
          <w:sz w:val="24"/>
          <w:szCs w:val="24"/>
          <w:highlight w:val="none"/>
          <w:lang w:val="en-US" w:eastAsia="zh-CN"/>
        </w:rPr>
        <w:t>加强噪声控制管理。选用先进的低噪声设备，对高噪声设备采取减振、消音、隔声等措施，</w:t>
      </w:r>
      <w:r>
        <w:rPr>
          <w:rFonts w:hint="eastAsia" w:ascii="宋体" w:hAnsi="宋体" w:eastAsia="宋体" w:cs="宋体"/>
          <w:sz w:val="24"/>
          <w:szCs w:val="24"/>
          <w:lang w:eastAsia="zh-CN"/>
        </w:rPr>
        <w:t>施工期、营运期场</w:t>
      </w:r>
      <w:r>
        <w:rPr>
          <w:rFonts w:hint="eastAsia" w:ascii="Times New Roman" w:hAnsi="Times New Roman" w:eastAsia="宋体" w:cs="Times New Roman"/>
          <w:color w:val="000000"/>
          <w:sz w:val="24"/>
          <w:szCs w:val="24"/>
          <w:lang w:val="en-US" w:eastAsia="zh-CN"/>
        </w:rPr>
        <w:t>界噪声分别达到</w:t>
      </w:r>
      <w:r>
        <w:rPr>
          <w:rFonts w:hint="eastAsia" w:ascii="宋体" w:hAnsi="宋体" w:eastAsia="宋体" w:cs="宋体"/>
          <w:sz w:val="24"/>
          <w:szCs w:val="24"/>
        </w:rPr>
        <w:t>《建筑施工场界</w:t>
      </w:r>
      <w:r>
        <w:rPr>
          <w:rFonts w:hint="eastAsia" w:ascii="宋体" w:hAnsi="宋体" w:eastAsia="宋体" w:cs="宋体"/>
          <w:sz w:val="24"/>
          <w:szCs w:val="24"/>
          <w:lang w:eastAsia="zh-CN"/>
        </w:rPr>
        <w:t>环境</w:t>
      </w:r>
      <w:r>
        <w:rPr>
          <w:rFonts w:hint="eastAsia" w:ascii="宋体" w:hAnsi="宋体" w:eastAsia="宋体" w:cs="宋体"/>
          <w:sz w:val="24"/>
          <w:szCs w:val="24"/>
        </w:rPr>
        <w:t>噪声</w:t>
      </w:r>
      <w:r>
        <w:rPr>
          <w:rFonts w:hint="eastAsia" w:ascii="宋体" w:hAnsi="宋体" w:eastAsia="宋体" w:cs="宋体"/>
          <w:sz w:val="24"/>
          <w:szCs w:val="24"/>
          <w:lang w:eastAsia="zh-CN"/>
        </w:rPr>
        <w:t>排放标准</w:t>
      </w:r>
      <w:r>
        <w:rPr>
          <w:rFonts w:hint="eastAsia" w:ascii="宋体" w:hAnsi="宋体" w:eastAsia="宋体" w:cs="宋体"/>
          <w:sz w:val="24"/>
          <w:szCs w:val="24"/>
        </w:rPr>
        <w:t>》（GB12523-</w:t>
      </w:r>
      <w:r>
        <w:rPr>
          <w:rFonts w:hint="eastAsia" w:ascii="宋体" w:hAnsi="宋体" w:eastAsia="宋体" w:cs="宋体"/>
          <w:sz w:val="24"/>
          <w:szCs w:val="24"/>
          <w:lang w:val="en-US" w:eastAsia="zh-CN"/>
        </w:rPr>
        <w:t>2011</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Times New Roman" w:hAnsi="Times New Roman" w:eastAsia="宋体" w:cs="Times New Roman"/>
          <w:color w:val="000000"/>
          <w:sz w:val="24"/>
          <w:szCs w:val="24"/>
          <w:lang w:val="en-US" w:eastAsia="zh-CN"/>
        </w:rPr>
        <w:t>《工业企业厂界环境噪声排放标准》（GB12348-2008）中3类标准。</w:t>
      </w:r>
    </w:p>
    <w:p>
      <w:pPr>
        <w:keepNext w:val="0"/>
        <w:keepLines w:val="0"/>
        <w:pageBreakBefore w:val="0"/>
        <w:numPr>
          <w:ilvl w:val="0"/>
          <w:numId w:val="1"/>
        </w:numPr>
        <w:kinsoku/>
        <w:wordWrap/>
        <w:overflowPunct/>
        <w:topLinePunct w:val="0"/>
        <w:autoSpaceDE/>
        <w:autoSpaceDN/>
        <w:bidi w:val="0"/>
        <w:adjustRightInd/>
        <w:snapToGrid/>
        <w:spacing w:line="480" w:lineRule="exact"/>
        <w:ind w:left="0" w:leftChars="0" w:firstLine="480" w:firstLineChars="200"/>
        <w:jc w:val="left"/>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color w:val="000000"/>
          <w:sz w:val="24"/>
          <w:szCs w:val="24"/>
          <w:lang w:val="en-US" w:eastAsia="zh-CN"/>
        </w:rPr>
        <w:t>妥善处置固体废物。按照“减量化、资源化、无害化”原则妥善处置固体废物。</w:t>
      </w:r>
      <w:r>
        <w:rPr>
          <w:rFonts w:hint="eastAsia" w:ascii="宋体" w:hAnsi="宋体" w:eastAsia="宋体" w:cs="宋体"/>
          <w:sz w:val="24"/>
          <w:szCs w:val="24"/>
          <w:lang w:val="en-US" w:eastAsia="zh-CN"/>
        </w:rPr>
        <w:t>废砖、废水泥块、废塑料管、废钢材等施工垃圾能回收的尽量回收利用，不能利用的</w:t>
      </w:r>
      <w:r>
        <w:rPr>
          <w:rFonts w:hint="eastAsia" w:ascii="宋体" w:hAnsi="宋体" w:eastAsia="宋体" w:cs="宋体"/>
          <w:sz w:val="24"/>
          <w:szCs w:val="24"/>
          <w:lang w:eastAsia="zh-CN"/>
        </w:rPr>
        <w:t>及时清运填埋；</w:t>
      </w:r>
      <w:r>
        <w:rPr>
          <w:bCs/>
          <w:sz w:val="24"/>
        </w:rPr>
        <w:t>废铝材</w:t>
      </w:r>
      <w:r>
        <w:rPr>
          <w:rFonts w:hint="eastAsia"/>
          <w:bCs/>
          <w:sz w:val="24"/>
          <w:lang w:eastAsia="zh-CN"/>
        </w:rPr>
        <w:t>、</w:t>
      </w:r>
      <w:r>
        <w:rPr>
          <w:bCs/>
          <w:sz w:val="24"/>
        </w:rPr>
        <w:t>玻璃下脚料</w:t>
      </w:r>
      <w:r>
        <w:rPr>
          <w:rFonts w:hint="eastAsia"/>
          <w:bCs/>
          <w:sz w:val="24"/>
          <w:lang w:eastAsia="zh-CN"/>
        </w:rPr>
        <w:t>集中</w:t>
      </w:r>
      <w:r>
        <w:rPr>
          <w:rFonts w:hint="eastAsia" w:ascii="Times New Roman" w:hAnsi="Times New Roman" w:eastAsia="宋体" w:cs="Times New Roman"/>
          <w:color w:val="000000"/>
          <w:sz w:val="24"/>
          <w:szCs w:val="24"/>
          <w:lang w:val="en-US" w:eastAsia="zh-CN"/>
        </w:rPr>
        <w:t>收集后定期外售；</w:t>
      </w:r>
      <w:r>
        <w:rPr>
          <w:bCs/>
          <w:sz w:val="24"/>
        </w:rPr>
        <w:t>废胶水桶</w:t>
      </w:r>
      <w:r>
        <w:rPr>
          <w:rFonts w:hint="eastAsia"/>
          <w:bCs/>
          <w:sz w:val="24"/>
          <w:lang w:eastAsia="zh-CN"/>
        </w:rPr>
        <w:t>、</w:t>
      </w:r>
      <w:r>
        <w:rPr>
          <w:rFonts w:hint="eastAsia"/>
          <w:sz w:val="24"/>
        </w:rPr>
        <w:t>废胶水</w:t>
      </w:r>
      <w:r>
        <w:rPr>
          <w:rFonts w:hint="eastAsia"/>
          <w:sz w:val="24"/>
          <w:lang w:eastAsia="zh-CN"/>
        </w:rPr>
        <w:t>、</w:t>
      </w:r>
      <w:r>
        <w:rPr>
          <w:rFonts w:hint="eastAsia"/>
          <w:sz w:val="24"/>
        </w:rPr>
        <w:t>废活性炭</w:t>
      </w:r>
      <w:r>
        <w:rPr>
          <w:rFonts w:hint="eastAsia" w:ascii="Times New Roman" w:hAnsi="Times New Roman" w:eastAsia="宋体" w:cs="Times New Roman"/>
          <w:b w:val="0"/>
          <w:bCs w:val="0"/>
          <w:sz w:val="24"/>
          <w:szCs w:val="24"/>
          <w:lang w:val="en-US" w:eastAsia="zh-CN"/>
        </w:rPr>
        <w:t>收集于危废暂存间，定期交有资质的单位处理，危废暂存间须满足《危险废物贮存污染控制标准》（GB18597-2001）及其修改单要求；生活垃圾统一收集后交由环卫部门统一清运。</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eastAsia="宋体" w:cs="Times New Roman"/>
          <w:color w:val="000000"/>
          <w:sz w:val="24"/>
          <w:szCs w:val="24"/>
          <w:lang w:val="en-US" w:eastAsia="zh-CN"/>
        </w:rPr>
        <w:t>加强</w:t>
      </w:r>
      <w:r>
        <w:rPr>
          <w:rFonts w:hint="eastAsia" w:ascii="Times New Roman" w:hAnsi="Times New Roman" w:cs="Times New Roman"/>
          <w:sz w:val="24"/>
          <w:szCs w:val="24"/>
          <w:lang w:val="en-US" w:eastAsia="zh-CN"/>
        </w:rPr>
        <w:t>企业环境管理</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按环评要求合理布局生产设施和建设污染防治设施，建立健全生产与环境保护管理制度，实行清洁生产，全过程控制污染，保持良好的厂容厂貌。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sz w:val="24"/>
          <w:szCs w:val="24"/>
        </w:rPr>
      </w:pPr>
      <w:r>
        <w:rPr>
          <w:rFonts w:hint="eastAsia"/>
          <w:sz w:val="24"/>
          <w:szCs w:val="24"/>
        </w:rPr>
        <w:t>三、</w:t>
      </w:r>
      <w:r>
        <w:rPr>
          <w:rFonts w:hint="eastAsia"/>
          <w:sz w:val="24"/>
          <w:szCs w:val="24"/>
          <w:lang w:eastAsia="zh-CN"/>
        </w:rPr>
        <w:t>项目建成后，在启动生产设施或实际排污之前须申请排污许可证或完成排污许可信息登记。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四、按规定办理项目竣工环境保护验收手续，经验收合格后方可投入运营。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480" w:firstLineChars="200"/>
        <w:jc w:val="both"/>
        <w:textAlignment w:val="auto"/>
        <w:outlineLvl w:val="9"/>
        <w:rPr>
          <w:rFonts w:hint="eastAsia"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both"/>
        <w:textAlignment w:val="auto"/>
        <w:outlineLvl w:val="9"/>
        <w:rPr>
          <w:rFonts w:hint="eastAsia" w:ascii="Times New Roman" w:hAnsi="Times New Roman" w:eastAsia="宋体" w:cs="Times New Roman"/>
          <w:b w:val="0"/>
          <w:bCs w:val="0"/>
          <w:sz w:val="24"/>
          <w:szCs w:val="24"/>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6240" w:firstLineChars="2600"/>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邵阳市生态环境局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20</w:t>
      </w:r>
      <w:r>
        <w:rPr>
          <w:rFonts w:hint="eastAsia" w:ascii="Times New Roman" w:hAnsi="Times New Roman" w:eastAsia="宋体" w:cs="Times New Roman"/>
          <w:b w:val="0"/>
          <w:bCs w:val="0"/>
          <w:sz w:val="24"/>
          <w:szCs w:val="24"/>
          <w:lang w:val="en-US" w:eastAsia="zh-CN"/>
        </w:rPr>
        <w:t>21</w:t>
      </w:r>
      <w:r>
        <w:rPr>
          <w:rFonts w:hint="default" w:ascii="Times New Roman" w:hAnsi="Times New Roman" w:eastAsia="宋体" w:cs="Times New Roman"/>
          <w:b w:val="0"/>
          <w:bCs w:val="0"/>
          <w:sz w:val="24"/>
          <w:szCs w:val="24"/>
          <w:lang w:val="en-US" w:eastAsia="zh-CN"/>
        </w:rPr>
        <w:t>年</w:t>
      </w:r>
      <w:r>
        <w:rPr>
          <w:rFonts w:hint="eastAsia" w:ascii="Times New Roman" w:hAnsi="Times New Roman" w:eastAsia="宋体" w:cs="Times New Roman"/>
          <w:b w:val="0"/>
          <w:bCs w:val="0"/>
          <w:sz w:val="24"/>
          <w:szCs w:val="24"/>
          <w:lang w:val="en-US" w:eastAsia="zh-CN"/>
        </w:rPr>
        <w:t xml:space="preserve"> 05</w:t>
      </w:r>
      <w:r>
        <w:rPr>
          <w:rFonts w:hint="default" w:ascii="Times New Roman" w:hAnsi="Times New Roman" w:eastAsia="宋体" w:cs="Times New Roman"/>
          <w:b w:val="0"/>
          <w:bCs w:val="0"/>
          <w:sz w:val="24"/>
          <w:szCs w:val="24"/>
          <w:lang w:val="en-US" w:eastAsia="zh-CN"/>
        </w:rPr>
        <w:t>月</w:t>
      </w:r>
      <w:r>
        <w:rPr>
          <w:rFonts w:hint="eastAsia" w:ascii="Times New Roman" w:hAnsi="Times New Roman" w:eastAsia="宋体" w:cs="Times New Roman"/>
          <w:b w:val="0"/>
          <w:bCs w:val="0"/>
          <w:sz w:val="24"/>
          <w:szCs w:val="24"/>
          <w:lang w:val="en-US" w:eastAsia="zh-CN"/>
        </w:rPr>
        <w:t xml:space="preserve"> 24</w:t>
      </w:r>
      <w:r>
        <w:rPr>
          <w:rFonts w:hint="default" w:ascii="Times New Roman" w:hAnsi="Times New Roman" w:eastAsia="宋体" w:cs="Times New Roman"/>
          <w:b w:val="0"/>
          <w:bCs w:val="0"/>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pPr>
      <w:r>
        <w:rPr>
          <w:rFonts w:hint="eastAsia" w:ascii="Times New Roman" w:hAnsi="Times New Roman" w:eastAsia="宋体" w:cs="Times New Roman"/>
          <w:color w:val="000000"/>
          <w:sz w:val="24"/>
          <w:szCs w:val="24"/>
          <w:lang w:val="en-US" w:eastAsia="zh-CN"/>
        </w:rPr>
        <w:t>抄送：黑田铺</w:t>
      </w:r>
      <w:r>
        <w:rPr>
          <w:rFonts w:hint="default" w:ascii="Times New Roman" w:hAnsi="Times New Roman" w:eastAsia="宋体" w:cs="Times New Roman"/>
          <w:b w:val="0"/>
          <w:bCs w:val="0"/>
          <w:sz w:val="24"/>
          <w:szCs w:val="24"/>
          <w:lang w:val="en-US" w:eastAsia="zh-CN"/>
        </w:rPr>
        <w:t>镇</w:t>
      </w:r>
      <w:r>
        <w:rPr>
          <w:rFonts w:hint="eastAsia" w:ascii="Times New Roman" w:hAnsi="Times New Roman" w:eastAsia="宋体" w:cs="Times New Roman"/>
          <w:b w:val="0"/>
          <w:bCs w:val="0"/>
          <w:sz w:val="24"/>
          <w:szCs w:val="24"/>
          <w:lang w:val="en-US" w:eastAsia="zh-CN"/>
        </w:rPr>
        <w:t xml:space="preserve">人民政府  </w:t>
      </w:r>
      <w:r>
        <w:rPr>
          <w:rFonts w:hint="eastAsia" w:ascii="Times New Roman" w:hAnsi="Times New Roman" w:eastAsia="宋体" w:cs="Times New Roman"/>
          <w:color w:val="auto"/>
          <w:sz w:val="24"/>
          <w:szCs w:val="24"/>
          <w:highlight w:val="none"/>
          <w:lang w:val="en-US" w:eastAsia="zh-CN"/>
        </w:rPr>
        <w:t>石家庄赞洁环保科技有限公司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51824"/>
    <w:multiLevelType w:val="singleLevel"/>
    <w:tmpl w:val="89B51824"/>
    <w:lvl w:ilvl="0" w:tentative="0">
      <w:start w:val="5"/>
      <w:numFmt w:val="decimal"/>
      <w:suff w:val="nothing"/>
      <w:lvlText w:val="%1、"/>
      <w:lvlJc w:val="left"/>
    </w:lvl>
  </w:abstractNum>
  <w:abstractNum w:abstractNumId="1">
    <w:nsid w:val="A3B3EA92"/>
    <w:multiLevelType w:val="singleLevel"/>
    <w:tmpl w:val="A3B3EA92"/>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3B7BE5"/>
    <w:rsid w:val="013B7BE5"/>
    <w:rsid w:val="01BE3117"/>
    <w:rsid w:val="033404AB"/>
    <w:rsid w:val="0712288F"/>
    <w:rsid w:val="08471608"/>
    <w:rsid w:val="2E95300C"/>
    <w:rsid w:val="30C67625"/>
    <w:rsid w:val="3BD64C40"/>
    <w:rsid w:val="502D226F"/>
    <w:rsid w:val="5A0C559B"/>
    <w:rsid w:val="63886DF4"/>
    <w:rsid w:val="75E60252"/>
    <w:rsid w:val="7F3C2B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0" w:beforeLines="0" w:beforeAutospacing="0" w:after="20" w:afterLines="0" w:afterAutospacing="0" w:line="240" w:lineRule="auto"/>
      <w:ind w:leftChars="0"/>
      <w:jc w:val="left"/>
      <w:outlineLvl w:val="2"/>
    </w:pPr>
    <w:rPr>
      <w:rFonts w:ascii="Calibri" w:hAnsi="Calibri" w:eastAsia="宋体" w:cs="Times New Roman"/>
      <w:b/>
      <w:sz w:val="2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Default"/>
    <w:basedOn w:val="6"/>
    <w:next w:val="1"/>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
    <w:name w:val="纯文本1"/>
    <w:basedOn w:val="1"/>
    <w:qFormat/>
    <w:uiPriority w:val="0"/>
    <w:rPr>
      <w:rFonts w:ascii="宋体"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2021-05-14T02:05:00Z</dcterms:created>
  <dc:creator>幸运草</dc:creator>
  <cp:lastModifiedBy>幸运草</cp:lastModifiedBy>
  <dcterms:modified xsi:type="dcterms:W3CDTF">2021-05-24T01:39:38Z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33D86BD4C5AF4280ACF9A16F27AF37CA</vt:lpwstr>
  </property>
</Properties>
</file>